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51D" w:rsidRPr="007A17AE" w:rsidRDefault="0067451D" w:rsidP="0067451D">
      <w:pPr>
        <w:tabs>
          <w:tab w:val="clear" w:pos="567"/>
        </w:tabs>
        <w:spacing w:line="240" w:lineRule="auto"/>
        <w:contextualSpacing/>
        <w:jc w:val="center"/>
        <w:outlineLvl w:val="0"/>
        <w:rPr>
          <w:szCs w:val="22"/>
        </w:rPr>
      </w:pPr>
      <w:r w:rsidRPr="007A17AE">
        <w:rPr>
          <w:b/>
          <w:szCs w:val="22"/>
        </w:rPr>
        <w:t xml:space="preserve">Pakuotės lapelis: informacija </w:t>
      </w:r>
      <w:r>
        <w:rPr>
          <w:b/>
          <w:szCs w:val="22"/>
        </w:rPr>
        <w:t>vartotojui</w:t>
      </w:r>
    </w:p>
    <w:p w:rsidR="0067451D" w:rsidRPr="007A17AE" w:rsidRDefault="0067451D" w:rsidP="0067451D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contextualSpacing/>
        <w:jc w:val="center"/>
        <w:rPr>
          <w:szCs w:val="22"/>
        </w:rPr>
      </w:pPr>
    </w:p>
    <w:p w:rsidR="0067451D" w:rsidRPr="00B12DD0" w:rsidRDefault="0067451D" w:rsidP="0067451D">
      <w:pPr>
        <w:widowControl w:val="0"/>
        <w:spacing w:line="240" w:lineRule="auto"/>
        <w:contextualSpacing/>
        <w:jc w:val="center"/>
        <w:rPr>
          <w:b/>
          <w:szCs w:val="22"/>
        </w:rPr>
      </w:pPr>
    </w:p>
    <w:p w:rsidR="0067451D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jc w:val="center"/>
        <w:rPr>
          <w:b/>
          <w:szCs w:val="22"/>
        </w:rPr>
      </w:pPr>
      <w:proofErr w:type="spellStart"/>
      <w:r w:rsidRPr="00B12DD0">
        <w:rPr>
          <w:b/>
          <w:szCs w:val="22"/>
        </w:rPr>
        <w:t>Aprepitant</w:t>
      </w:r>
      <w:proofErr w:type="spellEnd"/>
      <w:r w:rsidRPr="00B12DD0">
        <w:rPr>
          <w:b/>
          <w:szCs w:val="22"/>
        </w:rPr>
        <w:t xml:space="preserve"> </w:t>
      </w:r>
      <w:proofErr w:type="spellStart"/>
      <w:r w:rsidRPr="00B12DD0">
        <w:rPr>
          <w:b/>
          <w:szCs w:val="22"/>
        </w:rPr>
        <w:t>Sandoz</w:t>
      </w:r>
      <w:proofErr w:type="spellEnd"/>
      <w:r w:rsidRPr="00B12DD0">
        <w:rPr>
          <w:b/>
          <w:szCs w:val="22"/>
        </w:rPr>
        <w:t xml:space="preserve"> 125 mg kieto</w:t>
      </w:r>
      <w:r>
        <w:rPr>
          <w:b/>
          <w:szCs w:val="22"/>
        </w:rPr>
        <w:t>ji</w:t>
      </w:r>
      <w:r w:rsidRPr="00B12DD0">
        <w:rPr>
          <w:b/>
          <w:szCs w:val="22"/>
        </w:rPr>
        <w:t xml:space="preserve"> kapsulė</w:t>
      </w:r>
    </w:p>
    <w:p w:rsidR="0067451D" w:rsidRPr="00F122CC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jc w:val="center"/>
        <w:rPr>
          <w:b/>
          <w:szCs w:val="22"/>
        </w:rPr>
      </w:pPr>
      <w:proofErr w:type="spellStart"/>
      <w:r w:rsidRPr="00B12DD0">
        <w:rPr>
          <w:b/>
          <w:szCs w:val="22"/>
        </w:rPr>
        <w:t>Aprepitant</w:t>
      </w:r>
      <w:proofErr w:type="spellEnd"/>
      <w:r w:rsidRPr="00B12DD0">
        <w:rPr>
          <w:b/>
          <w:szCs w:val="22"/>
        </w:rPr>
        <w:t xml:space="preserve"> </w:t>
      </w:r>
      <w:proofErr w:type="spellStart"/>
      <w:r w:rsidRPr="00B12DD0">
        <w:rPr>
          <w:b/>
          <w:szCs w:val="22"/>
        </w:rPr>
        <w:t>Sandoz</w:t>
      </w:r>
      <w:proofErr w:type="spellEnd"/>
      <w:r w:rsidRPr="00B12DD0">
        <w:rPr>
          <w:b/>
          <w:szCs w:val="22"/>
        </w:rPr>
        <w:t xml:space="preserve"> 80 mg kietosios kapsulės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jc w:val="center"/>
        <w:rPr>
          <w:szCs w:val="22"/>
        </w:rPr>
      </w:pPr>
      <w:proofErr w:type="spellStart"/>
      <w:r>
        <w:rPr>
          <w:szCs w:val="22"/>
        </w:rPr>
        <w:t>a</w:t>
      </w:r>
      <w:r w:rsidRPr="007A17AE">
        <w:rPr>
          <w:szCs w:val="22"/>
        </w:rPr>
        <w:t>prepitantas</w:t>
      </w:r>
      <w:proofErr w:type="spellEnd"/>
    </w:p>
    <w:p w:rsidR="0067451D" w:rsidRPr="007A17AE" w:rsidRDefault="0067451D" w:rsidP="0067451D">
      <w:pPr>
        <w:tabs>
          <w:tab w:val="clear" w:pos="567"/>
        </w:tabs>
        <w:suppressAutoHyphens/>
        <w:spacing w:line="240" w:lineRule="auto"/>
        <w:ind w:left="142" w:hanging="142"/>
        <w:contextualSpacing/>
        <w:rPr>
          <w:b/>
          <w:szCs w:val="22"/>
        </w:rPr>
      </w:pPr>
    </w:p>
    <w:p w:rsidR="0067451D" w:rsidRPr="007A17AE" w:rsidRDefault="0067451D" w:rsidP="0067451D">
      <w:pPr>
        <w:tabs>
          <w:tab w:val="clear" w:pos="567"/>
        </w:tabs>
        <w:suppressAutoHyphens/>
        <w:spacing w:line="240" w:lineRule="auto"/>
        <w:contextualSpacing/>
        <w:rPr>
          <w:szCs w:val="22"/>
        </w:rPr>
      </w:pPr>
      <w:r w:rsidRPr="007A17AE">
        <w:rPr>
          <w:b/>
          <w:szCs w:val="22"/>
        </w:rPr>
        <w:t>Atidžiai perskaitykite visą šį lapelį, prieš pradėdami vartoti vaistą, nes jame pateikiama Jums svarbi informacija.</w:t>
      </w:r>
    </w:p>
    <w:p w:rsidR="0067451D" w:rsidRPr="007A17AE" w:rsidRDefault="0067451D" w:rsidP="0067451D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 xml:space="preserve">Neišmeskite šio lapelio, nes vėl gali prireikti jį perskaityti. </w:t>
      </w:r>
    </w:p>
    <w:p w:rsidR="0067451D" w:rsidRPr="007A17AE" w:rsidRDefault="0067451D" w:rsidP="0067451D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>Jeigu kiltų daugiau klausimų, kreipkitės į gydytoją arba vaistininką.</w:t>
      </w:r>
    </w:p>
    <w:p w:rsidR="0067451D" w:rsidRPr="007A17AE" w:rsidRDefault="0067451D" w:rsidP="0067451D">
      <w:pPr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>-</w:t>
      </w:r>
      <w:r w:rsidRPr="007A17AE">
        <w:rPr>
          <w:szCs w:val="22"/>
        </w:rPr>
        <w:tab/>
        <w:t>Šis vaistas skirtas tik Jums, todėl kitiems žmonėms jo duoti negalima. Vaistas gali jiems pakenkti (net tiems, kurių ligos požymiai yra tokie patys kaip Jūsų).</w:t>
      </w:r>
      <w:r w:rsidRPr="007A17AE">
        <w:rPr>
          <w:color w:val="008000"/>
          <w:szCs w:val="22"/>
        </w:rPr>
        <w:t xml:space="preserve"> </w:t>
      </w:r>
    </w:p>
    <w:p w:rsidR="0067451D" w:rsidRPr="007A17AE" w:rsidRDefault="0067451D" w:rsidP="0067451D">
      <w:pPr>
        <w:numPr>
          <w:ilvl w:val="0"/>
          <w:numId w:val="1"/>
        </w:numPr>
        <w:spacing w:line="240" w:lineRule="auto"/>
        <w:ind w:left="567" w:hanging="567"/>
        <w:contextualSpacing/>
        <w:rPr>
          <w:szCs w:val="22"/>
        </w:rPr>
      </w:pPr>
      <w:r w:rsidRPr="007A17AE">
        <w:rPr>
          <w:szCs w:val="22"/>
        </w:rPr>
        <w:t>Jeigu pasireiškė šalutinis poveikis (net jeigu jis šiame lapelyje nenurodytas),</w:t>
      </w:r>
      <w:r w:rsidRPr="007A17AE">
        <w:rPr>
          <w:color w:val="FF0000"/>
          <w:szCs w:val="22"/>
        </w:rPr>
        <w:t xml:space="preserve"> </w:t>
      </w:r>
      <w:r w:rsidRPr="007A17AE">
        <w:rPr>
          <w:szCs w:val="22"/>
        </w:rPr>
        <w:t>kreipkitės į gydytoją</w:t>
      </w:r>
      <w:r>
        <w:rPr>
          <w:szCs w:val="22"/>
        </w:rPr>
        <w:t>,</w:t>
      </w:r>
      <w:r w:rsidRPr="007A17AE">
        <w:rPr>
          <w:szCs w:val="22"/>
        </w:rPr>
        <w:t xml:space="preserve"> vaistininką</w:t>
      </w:r>
      <w:r>
        <w:rPr>
          <w:szCs w:val="22"/>
        </w:rPr>
        <w:t xml:space="preserve"> arba slaugytoją</w:t>
      </w:r>
      <w:r w:rsidRPr="007A17AE">
        <w:rPr>
          <w:szCs w:val="22"/>
        </w:rPr>
        <w:t>. Žr. 4 skyrių.</w:t>
      </w:r>
    </w:p>
    <w:p w:rsidR="0067451D" w:rsidRPr="007A17AE" w:rsidRDefault="0067451D" w:rsidP="0067451D">
      <w:p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</w:p>
    <w:p w:rsidR="0067451D" w:rsidRPr="007A17AE" w:rsidRDefault="0067451D" w:rsidP="0067451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outlineLvl w:val="0"/>
        <w:rPr>
          <w:szCs w:val="22"/>
        </w:rPr>
      </w:pPr>
      <w:r w:rsidRPr="007A17AE">
        <w:rPr>
          <w:b/>
          <w:szCs w:val="22"/>
        </w:rPr>
        <w:t>Apie ką rašoma šiame lapelyje?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outlineLvl w:val="0"/>
        <w:rPr>
          <w:szCs w:val="22"/>
        </w:rPr>
      </w:pP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contextualSpacing/>
        <w:rPr>
          <w:szCs w:val="22"/>
        </w:rPr>
      </w:pPr>
      <w:r w:rsidRPr="007A17AE">
        <w:rPr>
          <w:szCs w:val="22"/>
        </w:rPr>
        <w:t>1.</w:t>
      </w:r>
      <w:r w:rsidRPr="007A17AE">
        <w:rPr>
          <w:szCs w:val="22"/>
        </w:rPr>
        <w:tab/>
        <w:t xml:space="preserve">Kas yra </w:t>
      </w:r>
      <w:proofErr w:type="spellStart"/>
      <w:r w:rsidRPr="007A17AE">
        <w:rPr>
          <w:szCs w:val="22"/>
        </w:rPr>
        <w:t>Aprepitant</w:t>
      </w:r>
      <w:proofErr w:type="spellEnd"/>
      <w:r w:rsidRPr="007A17AE">
        <w:rPr>
          <w:szCs w:val="22"/>
        </w:rPr>
        <w:t xml:space="preserve"> </w:t>
      </w:r>
      <w:proofErr w:type="spellStart"/>
      <w:r w:rsidRPr="007A17AE">
        <w:rPr>
          <w:szCs w:val="22"/>
        </w:rPr>
        <w:t>Sandoz</w:t>
      </w:r>
      <w:proofErr w:type="spellEnd"/>
      <w:r w:rsidRPr="007A17AE">
        <w:rPr>
          <w:szCs w:val="22"/>
        </w:rPr>
        <w:t xml:space="preserve"> ir kam jis vartojamas 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contextualSpacing/>
        <w:rPr>
          <w:szCs w:val="22"/>
        </w:rPr>
      </w:pPr>
      <w:r w:rsidRPr="007A17AE">
        <w:rPr>
          <w:szCs w:val="22"/>
        </w:rPr>
        <w:t>2.</w:t>
      </w:r>
      <w:r w:rsidRPr="007A17AE">
        <w:rPr>
          <w:szCs w:val="22"/>
        </w:rPr>
        <w:tab/>
        <w:t xml:space="preserve">Kas žinotina prieš vartojant </w:t>
      </w:r>
      <w:proofErr w:type="spellStart"/>
      <w:r w:rsidRPr="007A17AE">
        <w:rPr>
          <w:szCs w:val="22"/>
        </w:rPr>
        <w:t>Aprepitant</w:t>
      </w:r>
      <w:proofErr w:type="spellEnd"/>
      <w:r w:rsidRPr="007A17AE">
        <w:rPr>
          <w:szCs w:val="22"/>
        </w:rPr>
        <w:t xml:space="preserve"> </w:t>
      </w:r>
      <w:proofErr w:type="spellStart"/>
      <w:r w:rsidRPr="007A17AE">
        <w:rPr>
          <w:szCs w:val="22"/>
        </w:rPr>
        <w:t>Sandoz</w:t>
      </w:r>
      <w:proofErr w:type="spellEnd"/>
      <w:r w:rsidRPr="007A17AE">
        <w:rPr>
          <w:szCs w:val="22"/>
        </w:rPr>
        <w:t xml:space="preserve"> 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contextualSpacing/>
        <w:rPr>
          <w:szCs w:val="22"/>
        </w:rPr>
      </w:pPr>
      <w:r w:rsidRPr="007A17AE">
        <w:rPr>
          <w:szCs w:val="22"/>
        </w:rPr>
        <w:t>3.</w:t>
      </w:r>
      <w:r w:rsidRPr="007A17AE">
        <w:rPr>
          <w:szCs w:val="22"/>
        </w:rPr>
        <w:tab/>
        <w:t xml:space="preserve">Kaip vartoti </w:t>
      </w:r>
      <w:proofErr w:type="spellStart"/>
      <w:r w:rsidRPr="007A17AE">
        <w:rPr>
          <w:szCs w:val="22"/>
        </w:rPr>
        <w:t>Aprepitant</w:t>
      </w:r>
      <w:proofErr w:type="spellEnd"/>
      <w:r w:rsidRPr="007A17AE">
        <w:rPr>
          <w:szCs w:val="22"/>
        </w:rPr>
        <w:t xml:space="preserve"> </w:t>
      </w:r>
      <w:proofErr w:type="spellStart"/>
      <w:r w:rsidRPr="007A17AE">
        <w:rPr>
          <w:szCs w:val="22"/>
        </w:rPr>
        <w:t>Sandoz</w:t>
      </w:r>
      <w:proofErr w:type="spellEnd"/>
      <w:r w:rsidRPr="007A17AE">
        <w:rPr>
          <w:szCs w:val="22"/>
        </w:rPr>
        <w:t xml:space="preserve"> 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contextualSpacing/>
        <w:rPr>
          <w:szCs w:val="22"/>
        </w:rPr>
      </w:pPr>
      <w:r w:rsidRPr="007A17AE">
        <w:rPr>
          <w:szCs w:val="22"/>
        </w:rPr>
        <w:t>4.</w:t>
      </w:r>
      <w:r w:rsidRPr="007A17AE">
        <w:rPr>
          <w:szCs w:val="22"/>
        </w:rPr>
        <w:tab/>
        <w:t xml:space="preserve">Galimas šalutinis poveikis </w:t>
      </w:r>
    </w:p>
    <w:p w:rsidR="0067451D" w:rsidRPr="007A17AE" w:rsidRDefault="0067451D" w:rsidP="0067451D">
      <w:pPr>
        <w:tabs>
          <w:tab w:val="clear" w:pos="567"/>
          <w:tab w:val="left" w:pos="426"/>
        </w:tabs>
        <w:spacing w:line="240" w:lineRule="auto"/>
        <w:ind w:right="-29"/>
        <w:contextualSpacing/>
        <w:rPr>
          <w:szCs w:val="22"/>
        </w:rPr>
      </w:pPr>
      <w:r w:rsidRPr="007A17AE">
        <w:rPr>
          <w:szCs w:val="22"/>
        </w:rPr>
        <w:t>5.</w:t>
      </w:r>
      <w:r w:rsidRPr="007A17AE">
        <w:rPr>
          <w:szCs w:val="22"/>
        </w:rPr>
        <w:tab/>
        <w:t xml:space="preserve">Kaip laikyti </w:t>
      </w:r>
      <w:proofErr w:type="spellStart"/>
      <w:r w:rsidRPr="007A17AE">
        <w:rPr>
          <w:szCs w:val="22"/>
        </w:rPr>
        <w:t>Aprepitant</w:t>
      </w:r>
      <w:proofErr w:type="spellEnd"/>
      <w:r w:rsidRPr="007A17AE">
        <w:rPr>
          <w:szCs w:val="22"/>
        </w:rPr>
        <w:t xml:space="preserve"> </w:t>
      </w:r>
      <w:proofErr w:type="spellStart"/>
      <w:r w:rsidRPr="007A17AE">
        <w:rPr>
          <w:szCs w:val="22"/>
        </w:rPr>
        <w:t>Sandoz</w:t>
      </w:r>
      <w:proofErr w:type="spellEnd"/>
    </w:p>
    <w:p w:rsidR="0067451D" w:rsidRPr="007A17AE" w:rsidRDefault="0067451D" w:rsidP="0067451D">
      <w:pPr>
        <w:tabs>
          <w:tab w:val="clear" w:pos="567"/>
          <w:tab w:val="left" w:pos="426"/>
        </w:tabs>
        <w:spacing w:line="240" w:lineRule="auto"/>
        <w:ind w:right="-29"/>
        <w:contextualSpacing/>
        <w:rPr>
          <w:szCs w:val="22"/>
        </w:rPr>
      </w:pPr>
      <w:r w:rsidRPr="007A17AE">
        <w:rPr>
          <w:szCs w:val="22"/>
        </w:rPr>
        <w:t>6.</w:t>
      </w:r>
      <w:r w:rsidRPr="007A17AE">
        <w:rPr>
          <w:szCs w:val="22"/>
        </w:rPr>
        <w:tab/>
        <w:t>Pakuotės turinys ir kita informacija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szCs w:val="22"/>
        </w:rPr>
      </w:pPr>
    </w:p>
    <w:p w:rsidR="0067451D" w:rsidRPr="007A17AE" w:rsidRDefault="0067451D" w:rsidP="0067451D">
      <w:pPr>
        <w:spacing w:line="240" w:lineRule="auto"/>
        <w:ind w:right="-2"/>
        <w:contextualSpacing/>
        <w:rPr>
          <w:b/>
          <w:szCs w:val="22"/>
        </w:rPr>
      </w:pPr>
      <w:r w:rsidRPr="007A17AE">
        <w:rPr>
          <w:b/>
          <w:szCs w:val="22"/>
        </w:rPr>
        <w:t>1.</w:t>
      </w:r>
      <w:r w:rsidRPr="007A17AE">
        <w:rPr>
          <w:b/>
          <w:szCs w:val="22"/>
        </w:rPr>
        <w:tab/>
        <w:t xml:space="preserve">Kas yra </w:t>
      </w:r>
      <w:proofErr w:type="spellStart"/>
      <w:r w:rsidRPr="007A17AE">
        <w:rPr>
          <w:b/>
          <w:szCs w:val="22"/>
        </w:rPr>
        <w:t>Aprepitant</w:t>
      </w:r>
      <w:proofErr w:type="spellEnd"/>
      <w:r w:rsidRPr="007A17AE">
        <w:rPr>
          <w:b/>
          <w:szCs w:val="22"/>
        </w:rPr>
        <w:t xml:space="preserve"> </w:t>
      </w:r>
      <w:proofErr w:type="spellStart"/>
      <w:r w:rsidRPr="007A17AE">
        <w:rPr>
          <w:b/>
          <w:szCs w:val="22"/>
        </w:rPr>
        <w:t>Sandoz</w:t>
      </w:r>
      <w:proofErr w:type="spellEnd"/>
      <w:r w:rsidRPr="007A17AE">
        <w:rPr>
          <w:b/>
          <w:szCs w:val="22"/>
        </w:rPr>
        <w:t xml:space="preserve"> ir kam jis vartojamas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szCs w:val="22"/>
        </w:rPr>
      </w:pPr>
    </w:p>
    <w:p w:rsidR="0067451D" w:rsidRPr="007A17AE" w:rsidRDefault="0067451D" w:rsidP="0067451D">
      <w:pPr>
        <w:pStyle w:val="Default"/>
        <w:contextualSpacing/>
        <w:rPr>
          <w:szCs w:val="22"/>
        </w:rPr>
      </w:pPr>
      <w:proofErr w:type="spellStart"/>
      <w:r w:rsidRPr="007A17AE">
        <w:rPr>
          <w:sz w:val="22"/>
          <w:szCs w:val="22"/>
        </w:rPr>
        <w:t>Aprepitant</w:t>
      </w:r>
      <w:proofErr w:type="spellEnd"/>
      <w:r w:rsidRPr="007A17AE">
        <w:rPr>
          <w:sz w:val="22"/>
          <w:szCs w:val="22"/>
        </w:rPr>
        <w:t xml:space="preserve"> </w:t>
      </w:r>
      <w:proofErr w:type="spellStart"/>
      <w:r w:rsidRPr="007A17AE">
        <w:rPr>
          <w:sz w:val="22"/>
          <w:szCs w:val="22"/>
        </w:rPr>
        <w:t>Sandoz</w:t>
      </w:r>
      <w:proofErr w:type="spellEnd"/>
      <w:r w:rsidRPr="007A17AE">
        <w:rPr>
          <w:sz w:val="22"/>
          <w:szCs w:val="22"/>
        </w:rPr>
        <w:t xml:space="preserve"> sudėtyje yra veikliosios medžiagos </w:t>
      </w:r>
      <w:proofErr w:type="spellStart"/>
      <w:r w:rsidRPr="007A17AE">
        <w:rPr>
          <w:sz w:val="22"/>
          <w:szCs w:val="22"/>
        </w:rPr>
        <w:t>aprepitanto</w:t>
      </w:r>
      <w:proofErr w:type="spellEnd"/>
      <w:r w:rsidRPr="007A17AE">
        <w:rPr>
          <w:sz w:val="22"/>
          <w:szCs w:val="22"/>
        </w:rPr>
        <w:t>, kuris priklauso vaistų grupei, vadinamai "</w:t>
      </w:r>
      <w:proofErr w:type="spellStart"/>
      <w:r w:rsidRPr="007A17AE">
        <w:rPr>
          <w:sz w:val="22"/>
          <w:szCs w:val="22"/>
        </w:rPr>
        <w:t>neurokinino</w:t>
      </w:r>
      <w:proofErr w:type="spellEnd"/>
      <w:r w:rsidRPr="007A17AE">
        <w:rPr>
          <w:sz w:val="22"/>
          <w:szCs w:val="22"/>
        </w:rPr>
        <w:t xml:space="preserve"> 1 (NK</w:t>
      </w:r>
      <w:r w:rsidRPr="00F122CC">
        <w:rPr>
          <w:sz w:val="22"/>
          <w:szCs w:val="22"/>
          <w:vertAlign w:val="subscript"/>
        </w:rPr>
        <w:t>1</w:t>
      </w:r>
      <w:r w:rsidRPr="007A17AE">
        <w:rPr>
          <w:sz w:val="22"/>
          <w:szCs w:val="22"/>
        </w:rPr>
        <w:t xml:space="preserve">) receptoriaus antagonistais". Pykinimą ir vėmimą kontroliuoja tam tikra galvos smegenų sritis. </w:t>
      </w:r>
      <w:proofErr w:type="spellStart"/>
      <w:r w:rsidRPr="007A17AE">
        <w:rPr>
          <w:sz w:val="22"/>
          <w:szCs w:val="22"/>
        </w:rPr>
        <w:t>Aprepitant</w:t>
      </w:r>
      <w:proofErr w:type="spellEnd"/>
      <w:r w:rsidRPr="007A17AE">
        <w:rPr>
          <w:sz w:val="22"/>
          <w:szCs w:val="22"/>
        </w:rPr>
        <w:t xml:space="preserve"> </w:t>
      </w:r>
      <w:proofErr w:type="spellStart"/>
      <w:r w:rsidRPr="007A17AE">
        <w:rPr>
          <w:sz w:val="22"/>
          <w:szCs w:val="22"/>
        </w:rPr>
        <w:t>Sandoz</w:t>
      </w:r>
      <w:proofErr w:type="spellEnd"/>
      <w:r w:rsidRPr="007A17AE">
        <w:rPr>
          <w:sz w:val="22"/>
          <w:szCs w:val="22"/>
        </w:rPr>
        <w:t xml:space="preserve"> veikia blokuodamas signalų patekimą į šią sritį, tokiu būdu sumažindamas pykinimą ir vėmimą. </w:t>
      </w:r>
      <w:proofErr w:type="spellStart"/>
      <w:r w:rsidRPr="007A17AE">
        <w:rPr>
          <w:sz w:val="22"/>
          <w:szCs w:val="22"/>
        </w:rPr>
        <w:t>Aprepitant</w:t>
      </w:r>
      <w:proofErr w:type="spellEnd"/>
      <w:r w:rsidRPr="007A17AE">
        <w:rPr>
          <w:sz w:val="22"/>
          <w:szCs w:val="22"/>
        </w:rPr>
        <w:t xml:space="preserve"> </w:t>
      </w:r>
      <w:proofErr w:type="spellStart"/>
      <w:r w:rsidRPr="007A17AE">
        <w:rPr>
          <w:sz w:val="22"/>
          <w:szCs w:val="22"/>
        </w:rPr>
        <w:t>Sandoz</w:t>
      </w:r>
      <w:proofErr w:type="spellEnd"/>
      <w:r w:rsidRPr="007A17AE">
        <w:rPr>
          <w:sz w:val="22"/>
          <w:szCs w:val="22"/>
        </w:rPr>
        <w:t xml:space="preserve"> kapsulės yra skirtos suaugusiesiems ir vaikams nuo 12</w:t>
      </w:r>
      <w:r>
        <w:rPr>
          <w:sz w:val="22"/>
          <w:szCs w:val="22"/>
        </w:rPr>
        <w:t> </w:t>
      </w:r>
      <w:r w:rsidRPr="007A17AE">
        <w:rPr>
          <w:sz w:val="22"/>
          <w:szCs w:val="22"/>
        </w:rPr>
        <w:t xml:space="preserve">metų vartoti </w:t>
      </w:r>
      <w:r w:rsidRPr="007A17AE">
        <w:rPr>
          <w:b/>
          <w:sz w:val="22"/>
          <w:szCs w:val="22"/>
          <w:u w:val="single"/>
        </w:rPr>
        <w:t xml:space="preserve">derinyje su kitais vaistais, </w:t>
      </w:r>
      <w:r w:rsidRPr="007A17AE">
        <w:rPr>
          <w:sz w:val="22"/>
          <w:szCs w:val="22"/>
        </w:rPr>
        <w:t xml:space="preserve">kad sukliudyti atsirasti pykinimui ir vėmimui taikant chemoterapiją, </w:t>
      </w:r>
      <w:proofErr w:type="spellStart"/>
      <w:r w:rsidRPr="007A17AE">
        <w:rPr>
          <w:sz w:val="22"/>
          <w:szCs w:val="22"/>
        </w:rPr>
        <w:t>t.y</w:t>
      </w:r>
      <w:proofErr w:type="spellEnd"/>
      <w:r w:rsidRPr="007A17AE">
        <w:rPr>
          <w:sz w:val="22"/>
          <w:szCs w:val="22"/>
        </w:rPr>
        <w:t xml:space="preserve">. vartojant vaistų nuo vėžio, sukeliančių minėtus stiprius arba vidutinio stiprumo sutrikimus, pvz., </w:t>
      </w:r>
      <w:proofErr w:type="spellStart"/>
      <w:r w:rsidRPr="007A17AE">
        <w:rPr>
          <w:sz w:val="22"/>
          <w:szCs w:val="22"/>
        </w:rPr>
        <w:t>cisplatinos</w:t>
      </w:r>
      <w:proofErr w:type="spellEnd"/>
      <w:r w:rsidRPr="007A17AE">
        <w:rPr>
          <w:sz w:val="22"/>
          <w:szCs w:val="22"/>
        </w:rPr>
        <w:t xml:space="preserve">, </w:t>
      </w:r>
      <w:proofErr w:type="spellStart"/>
      <w:r w:rsidRPr="007A17AE">
        <w:rPr>
          <w:sz w:val="22"/>
          <w:szCs w:val="22"/>
        </w:rPr>
        <w:t>ciklofosfamido</w:t>
      </w:r>
      <w:proofErr w:type="spellEnd"/>
      <w:r w:rsidRPr="007A17AE">
        <w:rPr>
          <w:sz w:val="22"/>
          <w:szCs w:val="22"/>
        </w:rPr>
        <w:t xml:space="preserve">, </w:t>
      </w:r>
      <w:proofErr w:type="spellStart"/>
      <w:r w:rsidRPr="007A17AE">
        <w:rPr>
          <w:sz w:val="22"/>
          <w:szCs w:val="22"/>
        </w:rPr>
        <w:t>doksorubicino</w:t>
      </w:r>
      <w:proofErr w:type="spellEnd"/>
      <w:r w:rsidRPr="007A17AE">
        <w:rPr>
          <w:sz w:val="22"/>
          <w:szCs w:val="22"/>
        </w:rPr>
        <w:t xml:space="preserve"> arba </w:t>
      </w:r>
      <w:proofErr w:type="spellStart"/>
      <w:r w:rsidRPr="007A17AE">
        <w:rPr>
          <w:sz w:val="22"/>
          <w:szCs w:val="22"/>
        </w:rPr>
        <w:t>epirubicino</w:t>
      </w:r>
      <w:proofErr w:type="spellEnd"/>
      <w:r w:rsidRPr="007A17AE">
        <w:rPr>
          <w:sz w:val="22"/>
          <w:szCs w:val="22"/>
        </w:rPr>
        <w:t>.</w:t>
      </w:r>
    </w:p>
    <w:p w:rsidR="0067451D" w:rsidRPr="007A17AE" w:rsidRDefault="0067451D" w:rsidP="0067451D">
      <w:pPr>
        <w:spacing w:line="240" w:lineRule="auto"/>
        <w:ind w:right="-2"/>
        <w:contextualSpacing/>
        <w:rPr>
          <w:szCs w:val="22"/>
        </w:rPr>
      </w:pPr>
    </w:p>
    <w:p w:rsidR="0067451D" w:rsidRPr="007A17AE" w:rsidRDefault="0067451D" w:rsidP="0067451D">
      <w:pPr>
        <w:spacing w:line="240" w:lineRule="auto"/>
        <w:ind w:right="-2"/>
        <w:contextualSpacing/>
        <w:rPr>
          <w:szCs w:val="22"/>
        </w:rPr>
      </w:pPr>
    </w:p>
    <w:p w:rsidR="0067451D" w:rsidRPr="007A17AE" w:rsidRDefault="0067451D" w:rsidP="0067451D">
      <w:pPr>
        <w:spacing w:line="240" w:lineRule="auto"/>
        <w:ind w:right="-2"/>
        <w:contextualSpacing/>
        <w:rPr>
          <w:b/>
          <w:szCs w:val="22"/>
        </w:rPr>
      </w:pPr>
      <w:r w:rsidRPr="007A17AE">
        <w:rPr>
          <w:b/>
          <w:szCs w:val="22"/>
        </w:rPr>
        <w:t>2.</w:t>
      </w:r>
      <w:r w:rsidRPr="007A17AE">
        <w:rPr>
          <w:b/>
          <w:szCs w:val="22"/>
        </w:rPr>
        <w:tab/>
        <w:t xml:space="preserve">Kas žinotina prieš vartojant </w:t>
      </w:r>
      <w:proofErr w:type="spellStart"/>
      <w:r w:rsidRPr="007A17AE">
        <w:rPr>
          <w:b/>
          <w:szCs w:val="22"/>
        </w:rPr>
        <w:t>Aprepitant</w:t>
      </w:r>
      <w:proofErr w:type="spellEnd"/>
      <w:r w:rsidRPr="007A17AE">
        <w:rPr>
          <w:b/>
          <w:szCs w:val="22"/>
        </w:rPr>
        <w:t xml:space="preserve"> </w:t>
      </w:r>
      <w:proofErr w:type="spellStart"/>
      <w:r w:rsidRPr="007A17AE">
        <w:rPr>
          <w:b/>
          <w:szCs w:val="22"/>
        </w:rPr>
        <w:t>Sandoz</w:t>
      </w:r>
      <w:proofErr w:type="spellEnd"/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outlineLvl w:val="0"/>
        <w:rPr>
          <w:i/>
          <w:szCs w:val="22"/>
        </w:rPr>
      </w:pP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outlineLvl w:val="0"/>
        <w:rPr>
          <w:szCs w:val="22"/>
        </w:rPr>
      </w:pPr>
      <w:proofErr w:type="spellStart"/>
      <w:r w:rsidRPr="007A17AE">
        <w:rPr>
          <w:b/>
          <w:szCs w:val="22"/>
        </w:rPr>
        <w:t>Aprepitant</w:t>
      </w:r>
      <w:proofErr w:type="spellEnd"/>
      <w:r w:rsidRPr="007A17AE">
        <w:rPr>
          <w:b/>
          <w:szCs w:val="22"/>
        </w:rPr>
        <w:t xml:space="preserve"> </w:t>
      </w:r>
      <w:proofErr w:type="spellStart"/>
      <w:r w:rsidRPr="007A17AE">
        <w:rPr>
          <w:b/>
          <w:szCs w:val="22"/>
        </w:rPr>
        <w:t>Sandoz</w:t>
      </w:r>
      <w:proofErr w:type="spellEnd"/>
      <w:r w:rsidRPr="007A17AE">
        <w:rPr>
          <w:b/>
          <w:szCs w:val="22"/>
        </w:rPr>
        <w:t xml:space="preserve"> vartoti </w:t>
      </w:r>
      <w:r>
        <w:rPr>
          <w:b/>
          <w:szCs w:val="22"/>
        </w:rPr>
        <w:t>draudžiama</w:t>
      </w:r>
      <w:r w:rsidRPr="007A17AE">
        <w:rPr>
          <w:b/>
          <w:szCs w:val="22"/>
        </w:rPr>
        <w:t>:</w:t>
      </w:r>
    </w:p>
    <w:p w:rsidR="0067451D" w:rsidRPr="007A17AE" w:rsidRDefault="0067451D" w:rsidP="0067451D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contextualSpacing/>
        <w:rPr>
          <w:szCs w:val="22"/>
        </w:rPr>
      </w:pPr>
      <w:r w:rsidRPr="007A17AE">
        <w:rPr>
          <w:szCs w:val="22"/>
        </w:rPr>
        <w:t xml:space="preserve">jeigu Jums arba Jūsų vaikui yra alergija </w:t>
      </w:r>
      <w:proofErr w:type="spellStart"/>
      <w:r w:rsidRPr="007A17AE">
        <w:rPr>
          <w:szCs w:val="22"/>
        </w:rPr>
        <w:t>aprepitantui</w:t>
      </w:r>
      <w:proofErr w:type="spellEnd"/>
      <w:r w:rsidRPr="007A17AE">
        <w:rPr>
          <w:szCs w:val="22"/>
        </w:rPr>
        <w:t xml:space="preserve"> arba bet kuriai pagalbinei šio vaisto medžiagai (jos išvardytos 6 skyriuje);</w:t>
      </w:r>
    </w:p>
    <w:p w:rsidR="0067451D" w:rsidRPr="007A17AE" w:rsidRDefault="0067451D" w:rsidP="0067451D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contextualSpacing/>
        <w:rPr>
          <w:szCs w:val="22"/>
        </w:rPr>
      </w:pPr>
      <w:r w:rsidRPr="007A17AE">
        <w:rPr>
          <w:szCs w:val="22"/>
        </w:rPr>
        <w:t xml:space="preserve">kartu su vaistais, kurių sudėtyje yra </w:t>
      </w:r>
      <w:proofErr w:type="spellStart"/>
      <w:r w:rsidRPr="007A17AE">
        <w:rPr>
          <w:szCs w:val="22"/>
        </w:rPr>
        <w:t>pimozido</w:t>
      </w:r>
      <w:proofErr w:type="spellEnd"/>
      <w:r w:rsidRPr="007A17AE">
        <w:rPr>
          <w:szCs w:val="22"/>
        </w:rPr>
        <w:t xml:space="preserve"> (vartojamo psichikos sutrikimams gydyti), </w:t>
      </w:r>
      <w:proofErr w:type="spellStart"/>
      <w:r w:rsidRPr="007A17AE">
        <w:rPr>
          <w:szCs w:val="22"/>
        </w:rPr>
        <w:t>terfenadino</w:t>
      </w:r>
      <w:proofErr w:type="spellEnd"/>
      <w:r w:rsidRPr="007A17AE">
        <w:rPr>
          <w:szCs w:val="22"/>
        </w:rPr>
        <w:t xml:space="preserve"> ir </w:t>
      </w:r>
      <w:proofErr w:type="spellStart"/>
      <w:r w:rsidRPr="007A17AE">
        <w:rPr>
          <w:szCs w:val="22"/>
        </w:rPr>
        <w:t>astemizolo</w:t>
      </w:r>
      <w:proofErr w:type="spellEnd"/>
      <w:r w:rsidRPr="007A17AE">
        <w:rPr>
          <w:szCs w:val="22"/>
        </w:rPr>
        <w:t xml:space="preserve"> (vartojamų šienligei ir kitoms alerginėms būklėms gydyti), </w:t>
      </w:r>
      <w:proofErr w:type="spellStart"/>
      <w:r w:rsidRPr="007A17AE">
        <w:rPr>
          <w:szCs w:val="22"/>
        </w:rPr>
        <w:t>cisaprido</w:t>
      </w:r>
      <w:proofErr w:type="spellEnd"/>
      <w:r w:rsidRPr="007A17AE">
        <w:rPr>
          <w:szCs w:val="22"/>
        </w:rPr>
        <w:t xml:space="preserve"> (vartojamo virškinimo sutrikimams gydyti). Pasakykite gydytojui, jeigu Jūs vartojate arba Jūsų vaikas vartoja šių vaistų, nes kartais reikia keisti gydymą prieš pradedant vartoti </w:t>
      </w:r>
      <w:proofErr w:type="spellStart"/>
      <w:r w:rsidRPr="007A17AE">
        <w:rPr>
          <w:szCs w:val="22"/>
        </w:rPr>
        <w:t>Aprepitant</w:t>
      </w:r>
      <w:proofErr w:type="spellEnd"/>
      <w:r w:rsidRPr="007A17AE">
        <w:rPr>
          <w:szCs w:val="22"/>
        </w:rPr>
        <w:t xml:space="preserve"> </w:t>
      </w:r>
      <w:proofErr w:type="spellStart"/>
      <w:r w:rsidRPr="007A17AE">
        <w:rPr>
          <w:szCs w:val="22"/>
        </w:rPr>
        <w:t>Sandoz</w:t>
      </w:r>
      <w:proofErr w:type="spellEnd"/>
      <w:r w:rsidRPr="007A17AE">
        <w:rPr>
          <w:szCs w:val="22"/>
        </w:rPr>
        <w:t>.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szCs w:val="22"/>
          <w:highlight w:val="yellow"/>
        </w:rPr>
      </w:pP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outlineLvl w:val="0"/>
        <w:rPr>
          <w:szCs w:val="22"/>
        </w:rPr>
      </w:pPr>
      <w:r w:rsidRPr="007A17AE">
        <w:rPr>
          <w:b/>
          <w:szCs w:val="22"/>
        </w:rPr>
        <w:t xml:space="preserve">Įspėjimai ir atsargumo priemonės </w:t>
      </w:r>
    </w:p>
    <w:p w:rsidR="0067451D" w:rsidRPr="007A17AE" w:rsidRDefault="0067451D" w:rsidP="0067451D">
      <w:pPr>
        <w:pStyle w:val="Default"/>
        <w:contextualSpacing/>
        <w:rPr>
          <w:sz w:val="22"/>
          <w:szCs w:val="22"/>
        </w:rPr>
      </w:pPr>
      <w:r w:rsidRPr="007A17AE">
        <w:rPr>
          <w:sz w:val="22"/>
          <w:szCs w:val="22"/>
        </w:rPr>
        <w:t xml:space="preserve">Pasitarkite su gydytoju, vaistininku arba slaugytoju, prieš pradėdami vartoti </w:t>
      </w:r>
      <w:proofErr w:type="spellStart"/>
      <w:r w:rsidRPr="007A17AE">
        <w:rPr>
          <w:sz w:val="22"/>
          <w:szCs w:val="22"/>
        </w:rPr>
        <w:t>Aprepitant</w:t>
      </w:r>
      <w:proofErr w:type="spellEnd"/>
      <w:r w:rsidRPr="007A17AE">
        <w:rPr>
          <w:sz w:val="22"/>
          <w:szCs w:val="22"/>
        </w:rPr>
        <w:t xml:space="preserve"> </w:t>
      </w:r>
      <w:proofErr w:type="spellStart"/>
      <w:r w:rsidRPr="007A17AE">
        <w:rPr>
          <w:sz w:val="22"/>
          <w:szCs w:val="22"/>
        </w:rPr>
        <w:t>Sandoz</w:t>
      </w:r>
      <w:proofErr w:type="spellEnd"/>
      <w:r w:rsidRPr="007A17AE">
        <w:rPr>
          <w:sz w:val="22"/>
          <w:szCs w:val="22"/>
        </w:rPr>
        <w:t xml:space="preserve"> arba prieš duodami šio vaisto vaikui.</w:t>
      </w:r>
    </w:p>
    <w:p w:rsidR="0067451D" w:rsidRPr="007A17AE" w:rsidRDefault="0067451D" w:rsidP="0067451D">
      <w:pPr>
        <w:pStyle w:val="Default"/>
        <w:contextualSpacing/>
        <w:rPr>
          <w:sz w:val="22"/>
          <w:szCs w:val="22"/>
        </w:rPr>
      </w:pPr>
    </w:p>
    <w:p w:rsidR="0067451D" w:rsidRPr="007A17AE" w:rsidRDefault="0067451D" w:rsidP="0067451D">
      <w:pPr>
        <w:pStyle w:val="Default"/>
        <w:contextualSpacing/>
        <w:rPr>
          <w:sz w:val="22"/>
          <w:szCs w:val="22"/>
        </w:rPr>
      </w:pPr>
      <w:r w:rsidRPr="007A17AE">
        <w:rPr>
          <w:sz w:val="22"/>
          <w:szCs w:val="22"/>
        </w:rPr>
        <w:t>Prieš pradedant gydyti šiuo vaistu pasakykite gydytojui, jeigu pacientas serga kepenų liga, nes kepenys yra svarbios vaisto ardymui organizme. Dėl to gydytojas gali stebėti paciento kepenų būklę.</w:t>
      </w:r>
    </w:p>
    <w:p w:rsidR="0067451D" w:rsidRPr="007A17AE" w:rsidRDefault="0067451D" w:rsidP="0067451D">
      <w:pPr>
        <w:pStyle w:val="Default"/>
        <w:contextualSpacing/>
        <w:rPr>
          <w:sz w:val="22"/>
          <w:szCs w:val="22"/>
        </w:rPr>
      </w:pPr>
    </w:p>
    <w:p w:rsidR="0067451D" w:rsidRPr="007A17AE" w:rsidRDefault="0067451D" w:rsidP="0067451D">
      <w:pPr>
        <w:pStyle w:val="Default"/>
        <w:contextualSpacing/>
        <w:rPr>
          <w:b/>
          <w:sz w:val="22"/>
          <w:szCs w:val="22"/>
        </w:rPr>
      </w:pPr>
      <w:r w:rsidRPr="007A17AE">
        <w:rPr>
          <w:b/>
          <w:sz w:val="22"/>
          <w:szCs w:val="22"/>
        </w:rPr>
        <w:t>Vaikams ir paaugliams</w:t>
      </w:r>
    </w:p>
    <w:p w:rsidR="0067451D" w:rsidRPr="007A17AE" w:rsidRDefault="0067451D" w:rsidP="0067451D">
      <w:pPr>
        <w:pStyle w:val="Default"/>
        <w:contextualSpacing/>
        <w:rPr>
          <w:sz w:val="22"/>
          <w:szCs w:val="22"/>
        </w:rPr>
      </w:pPr>
      <w:r w:rsidRPr="007A17AE">
        <w:rPr>
          <w:sz w:val="22"/>
          <w:szCs w:val="22"/>
        </w:rPr>
        <w:t xml:space="preserve">Neduokite </w:t>
      </w:r>
      <w:proofErr w:type="spellStart"/>
      <w:r w:rsidRPr="007A17AE">
        <w:rPr>
          <w:sz w:val="22"/>
          <w:szCs w:val="22"/>
        </w:rPr>
        <w:t>Aprepitant</w:t>
      </w:r>
      <w:proofErr w:type="spellEnd"/>
      <w:r w:rsidRPr="007A17AE">
        <w:rPr>
          <w:sz w:val="22"/>
          <w:szCs w:val="22"/>
        </w:rPr>
        <w:t xml:space="preserve"> </w:t>
      </w:r>
      <w:proofErr w:type="spellStart"/>
      <w:r w:rsidRPr="007A17AE">
        <w:rPr>
          <w:sz w:val="22"/>
          <w:szCs w:val="22"/>
        </w:rPr>
        <w:t>Sandoz</w:t>
      </w:r>
      <w:proofErr w:type="spellEnd"/>
      <w:r w:rsidRPr="007A17AE">
        <w:rPr>
          <w:sz w:val="22"/>
          <w:szCs w:val="22"/>
        </w:rPr>
        <w:t xml:space="preserve"> 80 mg kapsulių ir </w:t>
      </w:r>
      <w:proofErr w:type="spellStart"/>
      <w:r w:rsidRPr="007A17AE">
        <w:rPr>
          <w:sz w:val="22"/>
          <w:szCs w:val="22"/>
        </w:rPr>
        <w:t>Aprepitant</w:t>
      </w:r>
      <w:proofErr w:type="spellEnd"/>
      <w:r w:rsidRPr="007A17AE">
        <w:rPr>
          <w:sz w:val="22"/>
          <w:szCs w:val="22"/>
        </w:rPr>
        <w:t xml:space="preserve"> </w:t>
      </w:r>
      <w:proofErr w:type="spellStart"/>
      <w:r w:rsidRPr="007A17AE">
        <w:rPr>
          <w:sz w:val="22"/>
          <w:szCs w:val="22"/>
        </w:rPr>
        <w:t>Sandoz</w:t>
      </w:r>
      <w:proofErr w:type="spellEnd"/>
      <w:r w:rsidRPr="007A17AE">
        <w:rPr>
          <w:sz w:val="22"/>
          <w:szCs w:val="22"/>
        </w:rPr>
        <w:t xml:space="preserve"> 125 mg kapsulių jaunesniems kaip 12</w:t>
      </w:r>
      <w:r>
        <w:rPr>
          <w:sz w:val="22"/>
          <w:szCs w:val="22"/>
        </w:rPr>
        <w:t> </w:t>
      </w:r>
      <w:r w:rsidRPr="007A17AE">
        <w:rPr>
          <w:sz w:val="22"/>
          <w:szCs w:val="22"/>
        </w:rPr>
        <w:t xml:space="preserve">metų amžiaus vaikams, kadangi </w:t>
      </w:r>
      <w:proofErr w:type="spellStart"/>
      <w:r w:rsidRPr="007A17AE">
        <w:rPr>
          <w:sz w:val="22"/>
          <w:szCs w:val="22"/>
        </w:rPr>
        <w:t>Aprepitant</w:t>
      </w:r>
      <w:proofErr w:type="spellEnd"/>
      <w:r w:rsidRPr="007A17AE">
        <w:rPr>
          <w:sz w:val="22"/>
          <w:szCs w:val="22"/>
        </w:rPr>
        <w:t xml:space="preserve"> </w:t>
      </w:r>
      <w:proofErr w:type="spellStart"/>
      <w:r w:rsidRPr="007A17AE">
        <w:rPr>
          <w:sz w:val="22"/>
          <w:szCs w:val="22"/>
        </w:rPr>
        <w:t>Sandoz</w:t>
      </w:r>
      <w:proofErr w:type="spellEnd"/>
      <w:r w:rsidRPr="007A17AE">
        <w:rPr>
          <w:sz w:val="22"/>
          <w:szCs w:val="22"/>
        </w:rPr>
        <w:t xml:space="preserve"> 80 mg kapsulės ir </w:t>
      </w:r>
      <w:proofErr w:type="spellStart"/>
      <w:r w:rsidRPr="007A17AE">
        <w:rPr>
          <w:sz w:val="22"/>
          <w:szCs w:val="22"/>
        </w:rPr>
        <w:t>Aprepitant</w:t>
      </w:r>
      <w:proofErr w:type="spellEnd"/>
      <w:r w:rsidRPr="007A17AE">
        <w:rPr>
          <w:sz w:val="22"/>
          <w:szCs w:val="22"/>
        </w:rPr>
        <w:t xml:space="preserve"> </w:t>
      </w:r>
      <w:proofErr w:type="spellStart"/>
      <w:r w:rsidRPr="007A17AE">
        <w:rPr>
          <w:sz w:val="22"/>
          <w:szCs w:val="22"/>
        </w:rPr>
        <w:t>Sandoz</w:t>
      </w:r>
      <w:proofErr w:type="spellEnd"/>
      <w:r w:rsidRPr="007A17AE">
        <w:rPr>
          <w:sz w:val="22"/>
          <w:szCs w:val="22"/>
        </w:rPr>
        <w:t xml:space="preserve"> 125 mg kapsulės šioje populiacijoje netirtos. </w:t>
      </w:r>
    </w:p>
    <w:p w:rsidR="0067451D" w:rsidRPr="007A17AE" w:rsidRDefault="0067451D" w:rsidP="0067451D">
      <w:pPr>
        <w:pStyle w:val="Default"/>
        <w:contextualSpacing/>
        <w:rPr>
          <w:b/>
          <w:bCs/>
          <w:sz w:val="22"/>
          <w:szCs w:val="22"/>
        </w:rPr>
      </w:pPr>
    </w:p>
    <w:p w:rsidR="0067451D" w:rsidRPr="007A17AE" w:rsidRDefault="0067451D" w:rsidP="0067451D">
      <w:pPr>
        <w:pStyle w:val="Default"/>
        <w:contextualSpacing/>
        <w:rPr>
          <w:sz w:val="22"/>
          <w:szCs w:val="22"/>
        </w:rPr>
      </w:pPr>
      <w:r w:rsidRPr="007A17AE">
        <w:rPr>
          <w:b/>
          <w:bCs/>
          <w:sz w:val="22"/>
          <w:szCs w:val="22"/>
        </w:rPr>
        <w:t xml:space="preserve">Kiti vaistai ir </w:t>
      </w:r>
      <w:proofErr w:type="spellStart"/>
      <w:r w:rsidRPr="007A17AE">
        <w:rPr>
          <w:b/>
          <w:bCs/>
          <w:sz w:val="22"/>
          <w:szCs w:val="22"/>
        </w:rPr>
        <w:t>Aprepitant</w:t>
      </w:r>
      <w:proofErr w:type="spellEnd"/>
      <w:r w:rsidRPr="007A17AE">
        <w:rPr>
          <w:b/>
          <w:bCs/>
          <w:sz w:val="22"/>
          <w:szCs w:val="22"/>
        </w:rPr>
        <w:t xml:space="preserve"> </w:t>
      </w:r>
      <w:proofErr w:type="spellStart"/>
      <w:r w:rsidRPr="007A17AE">
        <w:rPr>
          <w:b/>
          <w:bCs/>
          <w:sz w:val="22"/>
          <w:szCs w:val="22"/>
        </w:rPr>
        <w:t>Sandoz</w:t>
      </w:r>
      <w:proofErr w:type="spellEnd"/>
      <w:r w:rsidRPr="007A17AE">
        <w:rPr>
          <w:b/>
          <w:bCs/>
          <w:sz w:val="22"/>
          <w:szCs w:val="22"/>
        </w:rPr>
        <w:t xml:space="preserve"> </w:t>
      </w:r>
    </w:p>
    <w:p w:rsidR="0067451D" w:rsidRPr="007A17AE" w:rsidRDefault="0067451D" w:rsidP="0067451D">
      <w:pPr>
        <w:pStyle w:val="Default"/>
        <w:contextualSpacing/>
        <w:rPr>
          <w:sz w:val="22"/>
          <w:szCs w:val="22"/>
        </w:rPr>
      </w:pPr>
      <w:r w:rsidRPr="007A17AE">
        <w:rPr>
          <w:sz w:val="22"/>
          <w:szCs w:val="22"/>
        </w:rPr>
        <w:t xml:space="preserve">Jeigu vartojate ar neseniai vartojote kitų vaistų, įskaitant įsigytus be recepto, arba dėl to nesate tikri, apie tai pasakykite gydytojui arba vaistininkui. </w:t>
      </w:r>
    </w:p>
    <w:p w:rsidR="0067451D" w:rsidRPr="007A17AE" w:rsidRDefault="0067451D" w:rsidP="0067451D">
      <w:pPr>
        <w:pStyle w:val="Default"/>
        <w:contextualSpacing/>
        <w:rPr>
          <w:sz w:val="22"/>
          <w:szCs w:val="22"/>
        </w:rPr>
      </w:pPr>
    </w:p>
    <w:p w:rsidR="0067451D" w:rsidRPr="007A17AE" w:rsidRDefault="0067451D" w:rsidP="0067451D">
      <w:pPr>
        <w:tabs>
          <w:tab w:val="clear" w:pos="567"/>
        </w:tabs>
        <w:autoSpaceDE w:val="0"/>
        <w:autoSpaceDN w:val="0"/>
        <w:adjustRightInd w:val="0"/>
        <w:spacing w:line="240" w:lineRule="auto"/>
        <w:contextualSpacing/>
        <w:rPr>
          <w:rFonts w:eastAsia="TimesNewRoman"/>
          <w:szCs w:val="22"/>
          <w:lang w:eastAsia="lt-LT"/>
        </w:rPr>
      </w:pPr>
      <w:proofErr w:type="spellStart"/>
      <w:r w:rsidRPr="007A17AE">
        <w:rPr>
          <w:rFonts w:eastAsia="TimesNewRoman"/>
          <w:szCs w:val="22"/>
          <w:lang w:eastAsia="lt-LT"/>
        </w:rPr>
        <w:t>Aprepitant</w:t>
      </w:r>
      <w:proofErr w:type="spellEnd"/>
      <w:r w:rsidRPr="007A17AE">
        <w:rPr>
          <w:rFonts w:eastAsia="TimesNewRoman"/>
          <w:szCs w:val="22"/>
          <w:lang w:eastAsia="lt-LT"/>
        </w:rPr>
        <w:t xml:space="preserve"> </w:t>
      </w:r>
      <w:proofErr w:type="spellStart"/>
      <w:r w:rsidRPr="007A17AE">
        <w:rPr>
          <w:rFonts w:eastAsia="TimesNewRoman"/>
          <w:szCs w:val="22"/>
          <w:lang w:eastAsia="lt-LT"/>
        </w:rPr>
        <w:t>Sandoz</w:t>
      </w:r>
      <w:proofErr w:type="spellEnd"/>
      <w:r w:rsidRPr="007A17AE">
        <w:rPr>
          <w:rFonts w:eastAsia="TimesNewRoman"/>
          <w:szCs w:val="22"/>
          <w:lang w:eastAsia="lt-LT"/>
        </w:rPr>
        <w:t xml:space="preserve"> gali įtakoti kitų vaistų, vartojamų kartu su </w:t>
      </w:r>
      <w:proofErr w:type="spellStart"/>
      <w:r w:rsidRPr="007A17AE">
        <w:rPr>
          <w:rFonts w:eastAsia="TimesNewRoman"/>
          <w:szCs w:val="22"/>
          <w:lang w:eastAsia="lt-LT"/>
        </w:rPr>
        <w:t>Aprepitant</w:t>
      </w:r>
      <w:proofErr w:type="spellEnd"/>
      <w:r w:rsidRPr="007A17AE">
        <w:rPr>
          <w:rFonts w:eastAsia="TimesNewRoman"/>
          <w:szCs w:val="22"/>
          <w:lang w:eastAsia="lt-LT"/>
        </w:rPr>
        <w:t xml:space="preserve"> </w:t>
      </w:r>
      <w:proofErr w:type="spellStart"/>
      <w:r w:rsidRPr="007A17AE">
        <w:rPr>
          <w:rFonts w:eastAsia="TimesNewRoman"/>
          <w:szCs w:val="22"/>
          <w:lang w:eastAsia="lt-LT"/>
        </w:rPr>
        <w:t>Sandoz</w:t>
      </w:r>
      <w:proofErr w:type="spellEnd"/>
      <w:r w:rsidRPr="007A17AE">
        <w:rPr>
          <w:rFonts w:eastAsia="TimesNewRoman"/>
          <w:szCs w:val="22"/>
          <w:lang w:eastAsia="lt-LT"/>
        </w:rPr>
        <w:t xml:space="preserve"> ar po gydymo juo, poveikį. Yra vaistų, kurių negalima vartoti kartu su </w:t>
      </w:r>
      <w:proofErr w:type="spellStart"/>
      <w:r w:rsidRPr="007A17AE">
        <w:rPr>
          <w:rFonts w:eastAsia="TimesNewRoman"/>
          <w:szCs w:val="22"/>
          <w:lang w:eastAsia="lt-LT"/>
        </w:rPr>
        <w:t>Aprepitant</w:t>
      </w:r>
      <w:proofErr w:type="spellEnd"/>
      <w:r w:rsidRPr="007A17AE">
        <w:rPr>
          <w:rFonts w:eastAsia="TimesNewRoman"/>
          <w:szCs w:val="22"/>
          <w:lang w:eastAsia="lt-LT"/>
        </w:rPr>
        <w:t xml:space="preserve"> </w:t>
      </w:r>
      <w:proofErr w:type="spellStart"/>
      <w:r w:rsidRPr="007A17AE">
        <w:rPr>
          <w:rFonts w:eastAsia="TimesNewRoman"/>
          <w:szCs w:val="22"/>
          <w:lang w:eastAsia="lt-LT"/>
        </w:rPr>
        <w:t>Sandoz</w:t>
      </w:r>
      <w:proofErr w:type="spellEnd"/>
      <w:r w:rsidRPr="007A17AE">
        <w:rPr>
          <w:rFonts w:eastAsia="TimesNewRoman"/>
          <w:szCs w:val="22"/>
          <w:lang w:eastAsia="lt-LT"/>
        </w:rPr>
        <w:t xml:space="preserve"> (tokių kaip </w:t>
      </w:r>
      <w:proofErr w:type="spellStart"/>
      <w:r w:rsidRPr="007A17AE">
        <w:rPr>
          <w:rFonts w:eastAsia="TimesNewRoman"/>
          <w:szCs w:val="22"/>
          <w:lang w:eastAsia="lt-LT"/>
        </w:rPr>
        <w:t>pimozidas</w:t>
      </w:r>
      <w:proofErr w:type="spellEnd"/>
      <w:r w:rsidRPr="007A17AE">
        <w:rPr>
          <w:rFonts w:eastAsia="TimesNewRoman"/>
          <w:szCs w:val="22"/>
          <w:lang w:eastAsia="lt-LT"/>
        </w:rPr>
        <w:t xml:space="preserve">, </w:t>
      </w:r>
      <w:proofErr w:type="spellStart"/>
      <w:r w:rsidRPr="007A17AE">
        <w:rPr>
          <w:rFonts w:eastAsia="TimesNewRoman"/>
          <w:szCs w:val="22"/>
          <w:lang w:eastAsia="lt-LT"/>
        </w:rPr>
        <w:t>terfenadinas</w:t>
      </w:r>
      <w:proofErr w:type="spellEnd"/>
      <w:r w:rsidRPr="007A17AE">
        <w:rPr>
          <w:rFonts w:eastAsia="TimesNewRoman"/>
          <w:szCs w:val="22"/>
          <w:lang w:eastAsia="lt-LT"/>
        </w:rPr>
        <w:t xml:space="preserve">, </w:t>
      </w:r>
      <w:proofErr w:type="spellStart"/>
      <w:r w:rsidRPr="007A17AE">
        <w:rPr>
          <w:rFonts w:eastAsia="TimesNewRoman"/>
          <w:szCs w:val="22"/>
          <w:lang w:eastAsia="lt-LT"/>
        </w:rPr>
        <w:t>astemizolas</w:t>
      </w:r>
      <w:proofErr w:type="spellEnd"/>
      <w:r w:rsidRPr="007A17AE">
        <w:rPr>
          <w:rFonts w:eastAsia="TimesNewRoman"/>
          <w:szCs w:val="22"/>
          <w:lang w:eastAsia="lt-LT"/>
        </w:rPr>
        <w:t xml:space="preserve"> ir </w:t>
      </w:r>
      <w:proofErr w:type="spellStart"/>
      <w:r w:rsidRPr="007A17AE">
        <w:rPr>
          <w:rFonts w:eastAsia="TimesNewRoman"/>
          <w:szCs w:val="22"/>
          <w:lang w:eastAsia="lt-LT"/>
        </w:rPr>
        <w:t>cisapridas</w:t>
      </w:r>
      <w:proofErr w:type="spellEnd"/>
      <w:r w:rsidRPr="007A17AE">
        <w:rPr>
          <w:rFonts w:eastAsia="TimesNewRoman"/>
          <w:szCs w:val="22"/>
          <w:lang w:eastAsia="lt-LT"/>
        </w:rPr>
        <w:t>) arba reikia keisti jų dozę (taip pat žr. „</w:t>
      </w:r>
      <w:proofErr w:type="spellStart"/>
      <w:r w:rsidRPr="007A17AE">
        <w:rPr>
          <w:rFonts w:eastAsia="TimesNewRoman"/>
          <w:szCs w:val="22"/>
          <w:lang w:eastAsia="lt-LT"/>
        </w:rPr>
        <w:t>Aprepitant</w:t>
      </w:r>
      <w:proofErr w:type="spellEnd"/>
      <w:r w:rsidRPr="007A17AE">
        <w:rPr>
          <w:rFonts w:eastAsia="TimesNewRoman"/>
          <w:szCs w:val="22"/>
          <w:lang w:eastAsia="lt-LT"/>
        </w:rPr>
        <w:t xml:space="preserve"> </w:t>
      </w:r>
      <w:proofErr w:type="spellStart"/>
      <w:r w:rsidRPr="007A17AE">
        <w:rPr>
          <w:rFonts w:eastAsia="TimesNewRoman"/>
          <w:szCs w:val="22"/>
          <w:lang w:eastAsia="lt-LT"/>
        </w:rPr>
        <w:t>Sandoz</w:t>
      </w:r>
      <w:proofErr w:type="spellEnd"/>
      <w:r w:rsidRPr="007A17AE">
        <w:rPr>
          <w:rFonts w:eastAsia="TimesNewRoman"/>
          <w:szCs w:val="22"/>
          <w:lang w:eastAsia="lt-LT"/>
        </w:rPr>
        <w:t xml:space="preserve"> vartoti negalima“).</w:t>
      </w:r>
    </w:p>
    <w:p w:rsidR="0067451D" w:rsidRPr="007A17AE" w:rsidRDefault="0067451D" w:rsidP="0067451D">
      <w:pPr>
        <w:tabs>
          <w:tab w:val="clear" w:pos="567"/>
        </w:tabs>
        <w:autoSpaceDE w:val="0"/>
        <w:autoSpaceDN w:val="0"/>
        <w:adjustRightInd w:val="0"/>
        <w:spacing w:line="240" w:lineRule="auto"/>
        <w:contextualSpacing/>
        <w:rPr>
          <w:rFonts w:eastAsia="TimesNewRoman"/>
          <w:szCs w:val="22"/>
          <w:lang w:eastAsia="lt-LT"/>
        </w:rPr>
      </w:pPr>
    </w:p>
    <w:p w:rsidR="0067451D" w:rsidRPr="007A17AE" w:rsidRDefault="0067451D" w:rsidP="0067451D">
      <w:pPr>
        <w:tabs>
          <w:tab w:val="clear" w:pos="567"/>
        </w:tabs>
        <w:autoSpaceDE w:val="0"/>
        <w:autoSpaceDN w:val="0"/>
        <w:adjustRightInd w:val="0"/>
        <w:spacing w:line="240" w:lineRule="auto"/>
        <w:contextualSpacing/>
        <w:rPr>
          <w:rFonts w:eastAsia="TimesNewRoman"/>
          <w:szCs w:val="22"/>
          <w:lang w:eastAsia="lt-LT"/>
        </w:rPr>
      </w:pPr>
      <w:r w:rsidRPr="007A17AE">
        <w:rPr>
          <w:rFonts w:eastAsia="TimesNewRoman"/>
          <w:szCs w:val="22"/>
          <w:lang w:eastAsia="lt-LT"/>
        </w:rPr>
        <w:t xml:space="preserve">Jeigu Jūs vartojate arba Jūsų vaikas vartoja </w:t>
      </w:r>
      <w:proofErr w:type="spellStart"/>
      <w:r w:rsidRPr="007A17AE">
        <w:rPr>
          <w:rFonts w:eastAsia="TimesNewRoman"/>
          <w:szCs w:val="22"/>
          <w:lang w:eastAsia="lt-LT"/>
        </w:rPr>
        <w:t>Aprepitant</w:t>
      </w:r>
      <w:proofErr w:type="spellEnd"/>
      <w:r w:rsidRPr="007A17AE">
        <w:rPr>
          <w:rFonts w:eastAsia="TimesNewRoman"/>
          <w:szCs w:val="22"/>
          <w:lang w:eastAsia="lt-LT"/>
        </w:rPr>
        <w:t xml:space="preserve"> </w:t>
      </w:r>
      <w:proofErr w:type="spellStart"/>
      <w:r w:rsidRPr="007A17AE">
        <w:rPr>
          <w:rFonts w:eastAsia="TimesNewRoman"/>
          <w:szCs w:val="22"/>
          <w:lang w:eastAsia="lt-LT"/>
        </w:rPr>
        <w:t>Sandoz</w:t>
      </w:r>
      <w:proofErr w:type="spellEnd"/>
      <w:r w:rsidRPr="007A17AE">
        <w:rPr>
          <w:rFonts w:eastAsia="TimesNewRoman"/>
          <w:szCs w:val="22"/>
          <w:lang w:eastAsia="lt-LT"/>
        </w:rPr>
        <w:t xml:space="preserve"> kartu su kitais vaistais, įskaitant išvardytus žemiau, tai gali daryti įtaką </w:t>
      </w:r>
      <w:proofErr w:type="spellStart"/>
      <w:r w:rsidRPr="007A17AE">
        <w:rPr>
          <w:rFonts w:eastAsia="TimesNewRoman"/>
          <w:szCs w:val="22"/>
          <w:lang w:eastAsia="lt-LT"/>
        </w:rPr>
        <w:t>Aprepitant</w:t>
      </w:r>
      <w:proofErr w:type="spellEnd"/>
      <w:r w:rsidRPr="007A17AE">
        <w:rPr>
          <w:rFonts w:eastAsia="TimesNewRoman"/>
          <w:szCs w:val="22"/>
          <w:lang w:eastAsia="lt-LT"/>
        </w:rPr>
        <w:t xml:space="preserve"> </w:t>
      </w:r>
      <w:proofErr w:type="spellStart"/>
      <w:r w:rsidRPr="007A17AE">
        <w:rPr>
          <w:rFonts w:eastAsia="TimesNewRoman"/>
          <w:szCs w:val="22"/>
          <w:lang w:eastAsia="lt-LT"/>
        </w:rPr>
        <w:t>Sandoz</w:t>
      </w:r>
      <w:proofErr w:type="spellEnd"/>
      <w:r w:rsidRPr="007A17AE">
        <w:rPr>
          <w:rFonts w:eastAsia="TimesNewRoman"/>
          <w:szCs w:val="22"/>
          <w:lang w:eastAsia="lt-LT"/>
        </w:rPr>
        <w:t xml:space="preserve"> ar kitų vaistų poveikiui. Pasitarkite su gydytoju arba vaistininku, jeigu Jūs vartojate arba Jūsų vaikas vartoja bet kurio iš šių vaistų:</w:t>
      </w:r>
    </w:p>
    <w:p w:rsidR="0067451D" w:rsidRPr="007A17AE" w:rsidRDefault="0067451D" w:rsidP="0067451D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NewRoman"/>
          <w:szCs w:val="22"/>
          <w:lang w:eastAsia="lt-LT"/>
        </w:rPr>
      </w:pPr>
      <w:r w:rsidRPr="007A17AE">
        <w:rPr>
          <w:rFonts w:eastAsia="TimesNewRoman"/>
          <w:szCs w:val="22"/>
          <w:lang w:eastAsia="lt-LT"/>
        </w:rPr>
        <w:t xml:space="preserve">apsaugančių nuo nėštumo vaistų, įskaitant kontraceptines tabletes, odos pleistrus, implantus ir tam tikras hormonus atpalaiduojančias vartojimo į gimdą sistemas (angl. </w:t>
      </w:r>
      <w:r w:rsidRPr="007A17AE">
        <w:rPr>
          <w:rFonts w:eastAsia="TimesNewRoman"/>
          <w:i/>
          <w:iCs/>
          <w:szCs w:val="22"/>
          <w:lang w:eastAsia="lt-LT"/>
        </w:rPr>
        <w:t>IUD</w:t>
      </w:r>
      <w:r w:rsidRPr="007A17AE">
        <w:rPr>
          <w:rFonts w:eastAsia="TimesNewRoman"/>
          <w:szCs w:val="22"/>
          <w:lang w:eastAsia="lt-LT"/>
        </w:rPr>
        <w:t xml:space="preserve">), kurie gali būti nepakankamai veiksmingi </w:t>
      </w:r>
      <w:proofErr w:type="spellStart"/>
      <w:r w:rsidRPr="007A17AE">
        <w:rPr>
          <w:rFonts w:eastAsia="TimesNewRoman"/>
          <w:szCs w:val="22"/>
          <w:lang w:eastAsia="lt-LT"/>
        </w:rPr>
        <w:t>Aprepitant</w:t>
      </w:r>
      <w:proofErr w:type="spellEnd"/>
      <w:r w:rsidRPr="007A17AE">
        <w:rPr>
          <w:rFonts w:eastAsia="TimesNewRoman"/>
          <w:szCs w:val="22"/>
          <w:lang w:eastAsia="lt-LT"/>
        </w:rPr>
        <w:t xml:space="preserve"> </w:t>
      </w:r>
      <w:proofErr w:type="spellStart"/>
      <w:r w:rsidRPr="007A17AE">
        <w:rPr>
          <w:rFonts w:eastAsia="TimesNewRoman"/>
          <w:szCs w:val="22"/>
          <w:lang w:eastAsia="lt-LT"/>
        </w:rPr>
        <w:t>Sandoz</w:t>
      </w:r>
      <w:proofErr w:type="spellEnd"/>
      <w:r w:rsidRPr="007A17AE">
        <w:rPr>
          <w:rFonts w:eastAsia="TimesNewRoman"/>
          <w:szCs w:val="22"/>
          <w:lang w:eastAsia="lt-LT"/>
        </w:rPr>
        <w:t xml:space="preserve"> vartojimo metu. Gydymo </w:t>
      </w:r>
      <w:proofErr w:type="spellStart"/>
      <w:r w:rsidRPr="007A17AE">
        <w:rPr>
          <w:rFonts w:eastAsia="TimesNewRoman"/>
          <w:szCs w:val="22"/>
          <w:lang w:eastAsia="lt-LT"/>
        </w:rPr>
        <w:t>Aprepitant</w:t>
      </w:r>
      <w:proofErr w:type="spellEnd"/>
      <w:r w:rsidRPr="007A17AE">
        <w:rPr>
          <w:rFonts w:eastAsia="TimesNewRoman"/>
          <w:szCs w:val="22"/>
          <w:lang w:eastAsia="lt-LT"/>
        </w:rPr>
        <w:t xml:space="preserve"> </w:t>
      </w:r>
      <w:proofErr w:type="spellStart"/>
      <w:r w:rsidRPr="007A17AE">
        <w:rPr>
          <w:rFonts w:eastAsia="TimesNewRoman"/>
          <w:szCs w:val="22"/>
          <w:lang w:eastAsia="lt-LT"/>
        </w:rPr>
        <w:t>Sandoz</w:t>
      </w:r>
      <w:proofErr w:type="spellEnd"/>
      <w:r w:rsidRPr="007A17AE">
        <w:rPr>
          <w:rFonts w:eastAsia="TimesNewRoman"/>
          <w:szCs w:val="22"/>
          <w:lang w:eastAsia="lt-LT"/>
        </w:rPr>
        <w:t xml:space="preserve"> metu ir dar du mėnesius po jo būtina taikyti kitus nehormoninius papildomus kontracepcijos metodus,</w:t>
      </w:r>
    </w:p>
    <w:p w:rsidR="0067451D" w:rsidRPr="007A17AE" w:rsidRDefault="0067451D" w:rsidP="0067451D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NewRoman"/>
          <w:szCs w:val="22"/>
          <w:lang w:eastAsia="lt-LT"/>
        </w:rPr>
      </w:pPr>
      <w:proofErr w:type="spellStart"/>
      <w:r w:rsidRPr="007A17AE">
        <w:rPr>
          <w:rFonts w:eastAsia="TimesNewRoman"/>
          <w:szCs w:val="22"/>
          <w:lang w:eastAsia="lt-LT"/>
        </w:rPr>
        <w:t>ciklosporino</w:t>
      </w:r>
      <w:proofErr w:type="spellEnd"/>
      <w:r w:rsidRPr="007A17AE">
        <w:rPr>
          <w:rFonts w:eastAsia="TimesNewRoman"/>
          <w:szCs w:val="22"/>
          <w:lang w:eastAsia="lt-LT"/>
        </w:rPr>
        <w:t xml:space="preserve">, </w:t>
      </w:r>
      <w:proofErr w:type="spellStart"/>
      <w:r w:rsidRPr="007A17AE">
        <w:rPr>
          <w:rFonts w:eastAsia="TimesNewRoman"/>
          <w:szCs w:val="22"/>
          <w:lang w:eastAsia="lt-LT"/>
        </w:rPr>
        <w:t>takrolimuzo</w:t>
      </w:r>
      <w:proofErr w:type="spellEnd"/>
      <w:r w:rsidRPr="007A17AE">
        <w:rPr>
          <w:rFonts w:eastAsia="TimesNewRoman"/>
          <w:szCs w:val="22"/>
          <w:lang w:eastAsia="lt-LT"/>
        </w:rPr>
        <w:t xml:space="preserve">, </w:t>
      </w:r>
      <w:proofErr w:type="spellStart"/>
      <w:r w:rsidRPr="007A17AE">
        <w:rPr>
          <w:rFonts w:eastAsia="TimesNewRoman"/>
          <w:szCs w:val="22"/>
          <w:lang w:eastAsia="lt-LT"/>
        </w:rPr>
        <w:t>sirolimuzo</w:t>
      </w:r>
      <w:proofErr w:type="spellEnd"/>
      <w:r w:rsidRPr="007A17AE">
        <w:rPr>
          <w:rFonts w:eastAsia="TimesNewRoman"/>
          <w:szCs w:val="22"/>
          <w:lang w:eastAsia="lt-LT"/>
        </w:rPr>
        <w:t xml:space="preserve">, </w:t>
      </w:r>
      <w:proofErr w:type="spellStart"/>
      <w:r w:rsidRPr="007A17AE">
        <w:rPr>
          <w:rFonts w:eastAsia="TimesNewRoman"/>
          <w:szCs w:val="22"/>
          <w:lang w:eastAsia="lt-LT"/>
        </w:rPr>
        <w:t>everolimuzo</w:t>
      </w:r>
      <w:proofErr w:type="spellEnd"/>
      <w:r w:rsidRPr="007A17AE">
        <w:rPr>
          <w:rFonts w:eastAsia="TimesNewRoman"/>
          <w:szCs w:val="22"/>
          <w:lang w:eastAsia="lt-LT"/>
        </w:rPr>
        <w:t xml:space="preserve"> (</w:t>
      </w:r>
      <w:proofErr w:type="spellStart"/>
      <w:r w:rsidRPr="007A17AE">
        <w:rPr>
          <w:rFonts w:eastAsia="TimesNewRoman"/>
          <w:szCs w:val="22"/>
          <w:lang w:eastAsia="lt-LT"/>
        </w:rPr>
        <w:t>imunosupresantų</w:t>
      </w:r>
      <w:proofErr w:type="spellEnd"/>
      <w:r w:rsidRPr="007A17AE">
        <w:rPr>
          <w:rFonts w:eastAsia="TimesNewRoman"/>
          <w:szCs w:val="22"/>
          <w:lang w:eastAsia="lt-LT"/>
        </w:rPr>
        <w:t>),</w:t>
      </w:r>
    </w:p>
    <w:p w:rsidR="0067451D" w:rsidRPr="007A17AE" w:rsidRDefault="0067451D" w:rsidP="0067451D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NewRoman"/>
          <w:szCs w:val="22"/>
          <w:lang w:eastAsia="lt-LT"/>
        </w:rPr>
      </w:pPr>
      <w:proofErr w:type="spellStart"/>
      <w:r w:rsidRPr="007A17AE">
        <w:rPr>
          <w:rFonts w:eastAsia="TimesNewRoman"/>
          <w:szCs w:val="22"/>
          <w:lang w:eastAsia="lt-LT"/>
        </w:rPr>
        <w:t>alfentanilio</w:t>
      </w:r>
      <w:proofErr w:type="spellEnd"/>
      <w:r w:rsidRPr="007A17AE">
        <w:rPr>
          <w:rFonts w:eastAsia="TimesNewRoman"/>
          <w:szCs w:val="22"/>
          <w:lang w:eastAsia="lt-LT"/>
        </w:rPr>
        <w:t xml:space="preserve">, </w:t>
      </w:r>
      <w:proofErr w:type="spellStart"/>
      <w:r w:rsidRPr="007A17AE">
        <w:rPr>
          <w:rFonts w:eastAsia="TimesNewRoman"/>
          <w:szCs w:val="22"/>
          <w:lang w:eastAsia="lt-LT"/>
        </w:rPr>
        <w:t>fentanilio</w:t>
      </w:r>
      <w:proofErr w:type="spellEnd"/>
      <w:r w:rsidRPr="007A17AE">
        <w:rPr>
          <w:rFonts w:eastAsia="TimesNewRoman"/>
          <w:szCs w:val="22"/>
          <w:lang w:eastAsia="lt-LT"/>
        </w:rPr>
        <w:t xml:space="preserve"> (skausmui malšinti),</w:t>
      </w:r>
    </w:p>
    <w:p w:rsidR="0067451D" w:rsidRPr="007A17AE" w:rsidRDefault="0067451D" w:rsidP="0067451D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NewRoman"/>
          <w:szCs w:val="22"/>
          <w:lang w:eastAsia="lt-LT"/>
        </w:rPr>
      </w:pPr>
      <w:proofErr w:type="spellStart"/>
      <w:r w:rsidRPr="007A17AE">
        <w:rPr>
          <w:rFonts w:eastAsia="TimesNewRoman"/>
          <w:szCs w:val="22"/>
          <w:lang w:eastAsia="lt-LT"/>
        </w:rPr>
        <w:t>chinidino</w:t>
      </w:r>
      <w:proofErr w:type="spellEnd"/>
      <w:r w:rsidRPr="007A17AE">
        <w:rPr>
          <w:rFonts w:eastAsia="TimesNewRoman"/>
          <w:szCs w:val="22"/>
          <w:lang w:eastAsia="lt-LT"/>
        </w:rPr>
        <w:t xml:space="preserve"> (nereguliariam širdies ritmui </w:t>
      </w:r>
      <w:proofErr w:type="spellStart"/>
      <w:r w:rsidRPr="007A17AE">
        <w:rPr>
          <w:rFonts w:eastAsia="TimesNewRoman"/>
          <w:szCs w:val="22"/>
          <w:lang w:eastAsia="lt-LT"/>
        </w:rPr>
        <w:t>sunormalinti</w:t>
      </w:r>
      <w:proofErr w:type="spellEnd"/>
      <w:r w:rsidRPr="007A17AE">
        <w:rPr>
          <w:rFonts w:eastAsia="TimesNewRoman"/>
          <w:szCs w:val="22"/>
          <w:lang w:eastAsia="lt-LT"/>
        </w:rPr>
        <w:t>),</w:t>
      </w:r>
    </w:p>
    <w:p w:rsidR="0067451D" w:rsidRPr="007A17AE" w:rsidRDefault="0067451D" w:rsidP="0067451D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NewRoman"/>
          <w:szCs w:val="22"/>
          <w:lang w:eastAsia="lt-LT"/>
        </w:rPr>
      </w:pPr>
      <w:proofErr w:type="spellStart"/>
      <w:r w:rsidRPr="007A17AE">
        <w:rPr>
          <w:rFonts w:eastAsia="TimesNewRoman"/>
          <w:szCs w:val="22"/>
          <w:lang w:eastAsia="lt-LT"/>
        </w:rPr>
        <w:t>irinotekano</w:t>
      </w:r>
      <w:proofErr w:type="spellEnd"/>
      <w:r w:rsidRPr="007A17AE">
        <w:rPr>
          <w:rFonts w:eastAsia="TimesNewRoman"/>
          <w:szCs w:val="22"/>
          <w:lang w:eastAsia="lt-LT"/>
        </w:rPr>
        <w:t xml:space="preserve">, </w:t>
      </w:r>
      <w:proofErr w:type="spellStart"/>
      <w:r w:rsidRPr="007A17AE">
        <w:rPr>
          <w:rFonts w:eastAsia="TimesNewRoman"/>
          <w:szCs w:val="22"/>
          <w:lang w:eastAsia="lt-LT"/>
        </w:rPr>
        <w:t>etopozido</w:t>
      </w:r>
      <w:proofErr w:type="spellEnd"/>
      <w:r w:rsidRPr="007A17AE">
        <w:rPr>
          <w:rFonts w:eastAsia="TimesNewRoman"/>
          <w:szCs w:val="22"/>
          <w:lang w:eastAsia="lt-LT"/>
        </w:rPr>
        <w:t xml:space="preserve">, </w:t>
      </w:r>
      <w:proofErr w:type="spellStart"/>
      <w:r w:rsidRPr="007A17AE">
        <w:rPr>
          <w:rFonts w:eastAsia="TimesNewRoman"/>
          <w:szCs w:val="22"/>
          <w:lang w:eastAsia="lt-LT"/>
        </w:rPr>
        <w:t>vinorelbino</w:t>
      </w:r>
      <w:proofErr w:type="spellEnd"/>
      <w:r w:rsidRPr="007A17AE">
        <w:rPr>
          <w:rFonts w:eastAsia="TimesNewRoman"/>
          <w:szCs w:val="22"/>
          <w:lang w:eastAsia="lt-LT"/>
        </w:rPr>
        <w:t xml:space="preserve">, </w:t>
      </w:r>
      <w:proofErr w:type="spellStart"/>
      <w:r w:rsidRPr="007A17AE">
        <w:rPr>
          <w:rFonts w:eastAsia="TimesNewRoman"/>
          <w:szCs w:val="22"/>
          <w:lang w:eastAsia="lt-LT"/>
        </w:rPr>
        <w:t>ifosfamido</w:t>
      </w:r>
      <w:proofErr w:type="spellEnd"/>
      <w:r w:rsidRPr="007A17AE">
        <w:rPr>
          <w:rFonts w:eastAsia="TimesNewRoman"/>
          <w:szCs w:val="22"/>
          <w:lang w:eastAsia="lt-LT"/>
        </w:rPr>
        <w:t xml:space="preserve"> (vaistų nuo vėžio),</w:t>
      </w:r>
    </w:p>
    <w:p w:rsidR="0067451D" w:rsidRPr="007A17AE" w:rsidRDefault="0067451D" w:rsidP="0067451D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NewRoman"/>
          <w:szCs w:val="22"/>
          <w:lang w:eastAsia="lt-LT"/>
        </w:rPr>
      </w:pPr>
      <w:r w:rsidRPr="007A17AE">
        <w:rPr>
          <w:rFonts w:eastAsia="TimesNewRoman"/>
          <w:szCs w:val="22"/>
          <w:lang w:eastAsia="lt-LT"/>
        </w:rPr>
        <w:t xml:space="preserve">vaistų, kurių sudėtyje yra skalsių </w:t>
      </w:r>
      <w:proofErr w:type="spellStart"/>
      <w:r w:rsidRPr="007A17AE">
        <w:rPr>
          <w:rFonts w:eastAsia="TimesNewRoman"/>
          <w:szCs w:val="22"/>
          <w:lang w:eastAsia="lt-LT"/>
        </w:rPr>
        <w:t>alkaloidų</w:t>
      </w:r>
      <w:proofErr w:type="spellEnd"/>
      <w:r w:rsidRPr="007A17AE">
        <w:rPr>
          <w:rFonts w:eastAsia="TimesNewRoman"/>
          <w:szCs w:val="22"/>
          <w:lang w:eastAsia="lt-LT"/>
        </w:rPr>
        <w:t xml:space="preserve"> darinių, tokių kaip </w:t>
      </w:r>
      <w:proofErr w:type="spellStart"/>
      <w:r w:rsidRPr="007A17AE">
        <w:rPr>
          <w:rFonts w:eastAsia="TimesNewRoman"/>
          <w:szCs w:val="22"/>
          <w:lang w:eastAsia="lt-LT"/>
        </w:rPr>
        <w:t>ergotaminas</w:t>
      </w:r>
      <w:proofErr w:type="spellEnd"/>
      <w:r w:rsidRPr="007A17AE">
        <w:rPr>
          <w:rFonts w:eastAsia="TimesNewRoman"/>
          <w:szCs w:val="22"/>
          <w:lang w:eastAsia="lt-LT"/>
        </w:rPr>
        <w:t xml:space="preserve"> ir </w:t>
      </w:r>
      <w:proofErr w:type="spellStart"/>
      <w:r w:rsidRPr="007A17AE">
        <w:rPr>
          <w:rFonts w:eastAsia="TimesNewRoman"/>
          <w:szCs w:val="22"/>
          <w:lang w:eastAsia="lt-LT"/>
        </w:rPr>
        <w:t>diergotaminas</w:t>
      </w:r>
      <w:proofErr w:type="spellEnd"/>
      <w:r w:rsidRPr="007A17AE">
        <w:rPr>
          <w:rFonts w:eastAsia="TimesNewRoman"/>
          <w:szCs w:val="22"/>
          <w:lang w:eastAsia="lt-LT"/>
        </w:rPr>
        <w:t xml:space="preserve"> (migrenai gydyti),</w:t>
      </w:r>
    </w:p>
    <w:p w:rsidR="0067451D" w:rsidRPr="007A17AE" w:rsidRDefault="0067451D" w:rsidP="0067451D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NewRoman"/>
          <w:szCs w:val="22"/>
          <w:lang w:eastAsia="lt-LT"/>
        </w:rPr>
      </w:pPr>
      <w:proofErr w:type="spellStart"/>
      <w:r w:rsidRPr="007A17AE">
        <w:rPr>
          <w:rFonts w:eastAsia="TimesNewRoman"/>
          <w:szCs w:val="22"/>
          <w:lang w:eastAsia="lt-LT"/>
        </w:rPr>
        <w:t>varfarino</w:t>
      </w:r>
      <w:proofErr w:type="spellEnd"/>
      <w:r w:rsidRPr="007A17AE">
        <w:rPr>
          <w:rFonts w:eastAsia="TimesNewRoman"/>
          <w:szCs w:val="22"/>
          <w:lang w:eastAsia="lt-LT"/>
        </w:rPr>
        <w:t xml:space="preserve"> ir </w:t>
      </w:r>
      <w:proofErr w:type="spellStart"/>
      <w:r w:rsidRPr="007A17AE">
        <w:rPr>
          <w:rFonts w:eastAsia="TimesNewRoman"/>
          <w:szCs w:val="22"/>
          <w:lang w:eastAsia="lt-LT"/>
        </w:rPr>
        <w:t>acenokumarolio</w:t>
      </w:r>
      <w:proofErr w:type="spellEnd"/>
      <w:r w:rsidRPr="007A17AE">
        <w:rPr>
          <w:rFonts w:eastAsia="TimesNewRoman"/>
          <w:szCs w:val="22"/>
          <w:lang w:eastAsia="lt-LT"/>
        </w:rPr>
        <w:t xml:space="preserve"> (kraują skystinančių vaistų; gali reikėti atlikti kraujo tyrimus),</w:t>
      </w:r>
    </w:p>
    <w:p w:rsidR="0067451D" w:rsidRPr="007A17AE" w:rsidRDefault="0067451D" w:rsidP="0067451D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NewRoman"/>
          <w:szCs w:val="22"/>
          <w:lang w:eastAsia="lt-LT"/>
        </w:rPr>
      </w:pPr>
      <w:proofErr w:type="spellStart"/>
      <w:r w:rsidRPr="007A17AE">
        <w:rPr>
          <w:rFonts w:eastAsia="TimesNewRoman"/>
          <w:szCs w:val="22"/>
          <w:lang w:eastAsia="lt-LT"/>
        </w:rPr>
        <w:t>rifampicino</w:t>
      </w:r>
      <w:proofErr w:type="spellEnd"/>
      <w:r w:rsidRPr="007A17AE">
        <w:rPr>
          <w:rFonts w:eastAsia="TimesNewRoman"/>
          <w:szCs w:val="22"/>
          <w:lang w:eastAsia="lt-LT"/>
        </w:rPr>
        <w:t xml:space="preserve">, </w:t>
      </w:r>
      <w:proofErr w:type="spellStart"/>
      <w:r w:rsidRPr="007A17AE">
        <w:rPr>
          <w:rFonts w:eastAsia="TimesNewRoman"/>
          <w:szCs w:val="22"/>
          <w:lang w:eastAsia="lt-LT"/>
        </w:rPr>
        <w:t>klaritromicino</w:t>
      </w:r>
      <w:proofErr w:type="spellEnd"/>
      <w:r w:rsidRPr="007A17AE">
        <w:rPr>
          <w:rFonts w:eastAsia="TimesNewRoman"/>
          <w:szCs w:val="22"/>
          <w:lang w:eastAsia="lt-LT"/>
        </w:rPr>
        <w:t xml:space="preserve">, </w:t>
      </w:r>
      <w:proofErr w:type="spellStart"/>
      <w:r w:rsidRPr="007A17AE">
        <w:rPr>
          <w:rFonts w:eastAsia="TimesNewRoman"/>
          <w:szCs w:val="22"/>
          <w:lang w:eastAsia="lt-LT"/>
        </w:rPr>
        <w:t>telitromicino</w:t>
      </w:r>
      <w:proofErr w:type="spellEnd"/>
      <w:r w:rsidRPr="007A17AE">
        <w:rPr>
          <w:rFonts w:eastAsia="TimesNewRoman"/>
          <w:szCs w:val="22"/>
          <w:lang w:eastAsia="lt-LT"/>
        </w:rPr>
        <w:t xml:space="preserve"> (antibiotikų infekcijoms gydyti),</w:t>
      </w:r>
    </w:p>
    <w:p w:rsidR="0067451D" w:rsidRPr="007A17AE" w:rsidRDefault="0067451D" w:rsidP="0067451D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NewRoman"/>
          <w:szCs w:val="22"/>
          <w:lang w:eastAsia="lt-LT"/>
        </w:rPr>
      </w:pPr>
      <w:proofErr w:type="spellStart"/>
      <w:r w:rsidRPr="007A17AE">
        <w:rPr>
          <w:rFonts w:eastAsia="TimesNewRoman"/>
          <w:szCs w:val="22"/>
          <w:lang w:eastAsia="lt-LT"/>
        </w:rPr>
        <w:t>fenitoino</w:t>
      </w:r>
      <w:proofErr w:type="spellEnd"/>
      <w:r w:rsidRPr="007A17AE">
        <w:rPr>
          <w:rFonts w:eastAsia="TimesNewRoman"/>
          <w:szCs w:val="22"/>
          <w:lang w:eastAsia="lt-LT"/>
        </w:rPr>
        <w:t xml:space="preserve"> (vaisto nuo traukulių),</w:t>
      </w:r>
    </w:p>
    <w:p w:rsidR="0067451D" w:rsidRPr="007A17AE" w:rsidRDefault="0067451D" w:rsidP="0067451D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NewRoman"/>
          <w:szCs w:val="22"/>
          <w:lang w:eastAsia="lt-LT"/>
        </w:rPr>
      </w:pPr>
      <w:proofErr w:type="spellStart"/>
      <w:r w:rsidRPr="007A17AE">
        <w:rPr>
          <w:rFonts w:eastAsia="TimesNewRoman"/>
          <w:szCs w:val="22"/>
          <w:lang w:eastAsia="lt-LT"/>
        </w:rPr>
        <w:t>karbamazepino</w:t>
      </w:r>
      <w:proofErr w:type="spellEnd"/>
      <w:r w:rsidRPr="007A17AE">
        <w:rPr>
          <w:rFonts w:eastAsia="TimesNewRoman"/>
          <w:szCs w:val="22"/>
          <w:lang w:eastAsia="lt-LT"/>
        </w:rPr>
        <w:t xml:space="preserve"> (vaisto nuo depresijos ir epilepsijos),</w:t>
      </w:r>
    </w:p>
    <w:p w:rsidR="0067451D" w:rsidRPr="007A17AE" w:rsidRDefault="0067451D" w:rsidP="0067451D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NewRoman"/>
          <w:szCs w:val="22"/>
          <w:lang w:eastAsia="lt-LT"/>
        </w:rPr>
      </w:pPr>
      <w:proofErr w:type="spellStart"/>
      <w:r w:rsidRPr="007A17AE">
        <w:rPr>
          <w:rFonts w:eastAsia="TimesNewRoman"/>
          <w:szCs w:val="22"/>
          <w:lang w:eastAsia="lt-LT"/>
        </w:rPr>
        <w:t>midazolamo</w:t>
      </w:r>
      <w:proofErr w:type="spellEnd"/>
      <w:r w:rsidRPr="007A17AE">
        <w:rPr>
          <w:rFonts w:eastAsia="TimesNewRoman"/>
          <w:szCs w:val="22"/>
          <w:lang w:eastAsia="lt-LT"/>
        </w:rPr>
        <w:t xml:space="preserve">, </w:t>
      </w:r>
      <w:proofErr w:type="spellStart"/>
      <w:r w:rsidRPr="007A17AE">
        <w:rPr>
          <w:rFonts w:eastAsia="TimesNewRoman"/>
          <w:szCs w:val="22"/>
          <w:lang w:eastAsia="lt-LT"/>
        </w:rPr>
        <w:t>triazolamo</w:t>
      </w:r>
      <w:proofErr w:type="spellEnd"/>
      <w:r w:rsidRPr="007A17AE">
        <w:rPr>
          <w:rFonts w:eastAsia="TimesNewRoman"/>
          <w:szCs w:val="22"/>
          <w:lang w:eastAsia="lt-LT"/>
        </w:rPr>
        <w:t xml:space="preserve">, </w:t>
      </w:r>
      <w:proofErr w:type="spellStart"/>
      <w:r w:rsidRPr="007A17AE">
        <w:rPr>
          <w:rFonts w:eastAsia="TimesNewRoman"/>
          <w:szCs w:val="22"/>
          <w:lang w:eastAsia="lt-LT"/>
        </w:rPr>
        <w:t>fenobarbitalio</w:t>
      </w:r>
      <w:proofErr w:type="spellEnd"/>
      <w:r w:rsidRPr="007A17AE">
        <w:rPr>
          <w:rFonts w:eastAsia="TimesNewRoman"/>
          <w:szCs w:val="22"/>
          <w:lang w:eastAsia="lt-LT"/>
        </w:rPr>
        <w:t xml:space="preserve"> (raminamųjų arba padedančių miegoti vaistų),</w:t>
      </w:r>
    </w:p>
    <w:p w:rsidR="0067451D" w:rsidRPr="007A17AE" w:rsidRDefault="0067451D" w:rsidP="0067451D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NewRoman"/>
          <w:szCs w:val="22"/>
          <w:lang w:eastAsia="lt-LT"/>
        </w:rPr>
      </w:pPr>
      <w:r w:rsidRPr="007A17AE">
        <w:rPr>
          <w:rFonts w:eastAsia="TimesNewRoman"/>
          <w:szCs w:val="22"/>
          <w:lang w:eastAsia="lt-LT"/>
        </w:rPr>
        <w:t>jonažolės (</w:t>
      </w:r>
      <w:proofErr w:type="spellStart"/>
      <w:r w:rsidRPr="007A17AE">
        <w:rPr>
          <w:rFonts w:eastAsia="TimesNewRoman"/>
          <w:szCs w:val="22"/>
          <w:lang w:eastAsia="lt-LT"/>
        </w:rPr>
        <w:t>vaistažolinio</w:t>
      </w:r>
      <w:proofErr w:type="spellEnd"/>
      <w:r w:rsidRPr="007A17AE">
        <w:rPr>
          <w:rFonts w:eastAsia="TimesNewRoman"/>
          <w:szCs w:val="22"/>
          <w:lang w:eastAsia="lt-LT"/>
        </w:rPr>
        <w:t xml:space="preserve"> vaisto depresijai gydyti),</w:t>
      </w:r>
    </w:p>
    <w:p w:rsidR="0067451D" w:rsidRPr="007A17AE" w:rsidRDefault="0067451D" w:rsidP="0067451D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NewRoman"/>
          <w:szCs w:val="22"/>
          <w:lang w:eastAsia="lt-LT"/>
        </w:rPr>
      </w:pPr>
      <w:r w:rsidRPr="007A17AE">
        <w:rPr>
          <w:rFonts w:eastAsia="TimesNewRoman"/>
          <w:szCs w:val="22"/>
          <w:lang w:eastAsia="lt-LT"/>
        </w:rPr>
        <w:t>proteazės inhibitorių (ŽIV infekcijoms gydyti),</w:t>
      </w:r>
    </w:p>
    <w:p w:rsidR="0067451D" w:rsidRPr="007A17AE" w:rsidRDefault="0067451D" w:rsidP="0067451D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NewRoman"/>
          <w:szCs w:val="22"/>
          <w:lang w:eastAsia="lt-LT"/>
        </w:rPr>
      </w:pPr>
      <w:proofErr w:type="spellStart"/>
      <w:r w:rsidRPr="007A17AE">
        <w:rPr>
          <w:rFonts w:eastAsia="TimesNewRoman"/>
          <w:szCs w:val="22"/>
          <w:lang w:eastAsia="lt-LT"/>
        </w:rPr>
        <w:t>ketokonazolo</w:t>
      </w:r>
      <w:proofErr w:type="spellEnd"/>
      <w:r w:rsidRPr="007A17AE">
        <w:rPr>
          <w:rFonts w:eastAsia="TimesNewRoman"/>
          <w:szCs w:val="22"/>
          <w:lang w:eastAsia="lt-LT"/>
        </w:rPr>
        <w:t>, išskyrus šampūną (</w:t>
      </w:r>
      <w:proofErr w:type="spellStart"/>
      <w:r w:rsidRPr="007A17AE">
        <w:rPr>
          <w:rFonts w:eastAsia="TimesNewRoman"/>
          <w:szCs w:val="22"/>
          <w:lang w:eastAsia="lt-LT"/>
        </w:rPr>
        <w:t>Kušingo</w:t>
      </w:r>
      <w:proofErr w:type="spellEnd"/>
      <w:r>
        <w:rPr>
          <w:rFonts w:eastAsia="TimesNewRoman"/>
          <w:szCs w:val="22"/>
          <w:lang w:eastAsia="lt-LT"/>
        </w:rPr>
        <w:t xml:space="preserve"> (</w:t>
      </w:r>
      <w:proofErr w:type="spellStart"/>
      <w:r>
        <w:rPr>
          <w:rFonts w:eastAsia="TimesNewRoman"/>
          <w:i/>
          <w:szCs w:val="22"/>
          <w:lang w:eastAsia="lt-LT"/>
        </w:rPr>
        <w:t>Cushing</w:t>
      </w:r>
      <w:proofErr w:type="spellEnd"/>
      <w:r>
        <w:rPr>
          <w:rFonts w:eastAsia="TimesNewRoman"/>
          <w:szCs w:val="22"/>
          <w:lang w:eastAsia="lt-LT"/>
        </w:rPr>
        <w:t>)</w:t>
      </w:r>
      <w:r w:rsidRPr="007A17AE">
        <w:rPr>
          <w:rFonts w:eastAsia="TimesNewRoman"/>
          <w:szCs w:val="22"/>
          <w:lang w:eastAsia="lt-LT"/>
        </w:rPr>
        <w:t xml:space="preserve"> sindromui, pasireiškiančiam kai organizmas gamina per daug kortizolio, gydyti),</w:t>
      </w:r>
    </w:p>
    <w:p w:rsidR="0067451D" w:rsidRPr="007A17AE" w:rsidRDefault="0067451D" w:rsidP="0067451D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NewRoman"/>
          <w:szCs w:val="22"/>
          <w:lang w:eastAsia="lt-LT"/>
        </w:rPr>
      </w:pPr>
      <w:proofErr w:type="spellStart"/>
      <w:r w:rsidRPr="007A17AE">
        <w:rPr>
          <w:rFonts w:eastAsia="TimesNewRoman"/>
          <w:szCs w:val="22"/>
          <w:lang w:eastAsia="lt-LT"/>
        </w:rPr>
        <w:t>itrakonazolo</w:t>
      </w:r>
      <w:proofErr w:type="spellEnd"/>
      <w:r w:rsidRPr="007A17AE">
        <w:rPr>
          <w:rFonts w:eastAsia="TimesNewRoman"/>
          <w:szCs w:val="22"/>
          <w:lang w:eastAsia="lt-LT"/>
        </w:rPr>
        <w:t xml:space="preserve">, </w:t>
      </w:r>
      <w:proofErr w:type="spellStart"/>
      <w:r w:rsidRPr="007A17AE">
        <w:rPr>
          <w:rFonts w:eastAsia="TimesNewRoman"/>
          <w:szCs w:val="22"/>
          <w:lang w:eastAsia="lt-LT"/>
        </w:rPr>
        <w:t>vorikonazolo</w:t>
      </w:r>
      <w:proofErr w:type="spellEnd"/>
      <w:r w:rsidRPr="007A17AE">
        <w:rPr>
          <w:rFonts w:eastAsia="TimesNewRoman"/>
          <w:szCs w:val="22"/>
          <w:lang w:eastAsia="lt-LT"/>
        </w:rPr>
        <w:t xml:space="preserve"> ir </w:t>
      </w:r>
      <w:proofErr w:type="spellStart"/>
      <w:r w:rsidRPr="007A17AE">
        <w:rPr>
          <w:rFonts w:eastAsia="TimesNewRoman"/>
          <w:szCs w:val="22"/>
          <w:lang w:eastAsia="lt-LT"/>
        </w:rPr>
        <w:t>pozakonazolo</w:t>
      </w:r>
      <w:proofErr w:type="spellEnd"/>
      <w:r w:rsidRPr="007A17AE">
        <w:rPr>
          <w:rFonts w:eastAsia="TimesNewRoman"/>
          <w:szCs w:val="22"/>
          <w:lang w:eastAsia="lt-LT"/>
        </w:rPr>
        <w:t xml:space="preserve"> (vaistų nuo grybelio),</w:t>
      </w:r>
    </w:p>
    <w:p w:rsidR="0067451D" w:rsidRPr="007A17AE" w:rsidRDefault="0067451D" w:rsidP="0067451D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NewRoman"/>
          <w:szCs w:val="22"/>
          <w:lang w:eastAsia="lt-LT"/>
        </w:rPr>
      </w:pPr>
      <w:proofErr w:type="spellStart"/>
      <w:r w:rsidRPr="007A17AE">
        <w:rPr>
          <w:rFonts w:eastAsia="TimesNewRoman"/>
          <w:szCs w:val="22"/>
          <w:lang w:eastAsia="lt-LT"/>
        </w:rPr>
        <w:t>nefazodono</w:t>
      </w:r>
      <w:proofErr w:type="spellEnd"/>
      <w:r w:rsidRPr="007A17AE">
        <w:rPr>
          <w:rFonts w:eastAsia="TimesNewRoman"/>
          <w:szCs w:val="22"/>
          <w:lang w:eastAsia="lt-LT"/>
        </w:rPr>
        <w:t xml:space="preserve"> (vaisto nuo depresijos),</w:t>
      </w:r>
    </w:p>
    <w:p w:rsidR="0067451D" w:rsidRPr="007A17AE" w:rsidRDefault="0067451D" w:rsidP="0067451D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NewRoman"/>
          <w:szCs w:val="22"/>
          <w:lang w:eastAsia="lt-LT"/>
        </w:rPr>
      </w:pPr>
      <w:r w:rsidRPr="007A17AE">
        <w:rPr>
          <w:rFonts w:eastAsia="TimesNewRoman"/>
          <w:szCs w:val="22"/>
          <w:lang w:eastAsia="lt-LT"/>
        </w:rPr>
        <w:t xml:space="preserve">kortikosteroidų (pavyzdžiui, </w:t>
      </w:r>
      <w:proofErr w:type="spellStart"/>
      <w:r w:rsidRPr="007A17AE">
        <w:rPr>
          <w:rFonts w:eastAsia="TimesNewRoman"/>
          <w:szCs w:val="22"/>
          <w:lang w:eastAsia="lt-LT"/>
        </w:rPr>
        <w:t>deksametazono</w:t>
      </w:r>
      <w:proofErr w:type="spellEnd"/>
      <w:r w:rsidRPr="007A17AE">
        <w:rPr>
          <w:rFonts w:eastAsia="TimesNewRoman"/>
          <w:szCs w:val="22"/>
          <w:lang w:eastAsia="lt-LT"/>
        </w:rPr>
        <w:t xml:space="preserve"> ir </w:t>
      </w:r>
      <w:proofErr w:type="spellStart"/>
      <w:r w:rsidRPr="007A17AE">
        <w:rPr>
          <w:rFonts w:eastAsia="TimesNewRoman"/>
          <w:szCs w:val="22"/>
          <w:lang w:eastAsia="lt-LT"/>
        </w:rPr>
        <w:t>metilprednizolono</w:t>
      </w:r>
      <w:proofErr w:type="spellEnd"/>
      <w:r w:rsidRPr="007A17AE">
        <w:rPr>
          <w:rFonts w:eastAsia="TimesNewRoman"/>
          <w:szCs w:val="22"/>
          <w:lang w:eastAsia="lt-LT"/>
        </w:rPr>
        <w:t>),</w:t>
      </w:r>
    </w:p>
    <w:p w:rsidR="0067451D" w:rsidRPr="007A17AE" w:rsidRDefault="0067451D" w:rsidP="0067451D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NewRoman"/>
          <w:szCs w:val="22"/>
          <w:lang w:eastAsia="lt-LT"/>
        </w:rPr>
      </w:pPr>
      <w:r w:rsidRPr="007A17AE">
        <w:rPr>
          <w:rFonts w:eastAsia="TimesNewRoman"/>
          <w:szCs w:val="22"/>
          <w:lang w:eastAsia="lt-LT"/>
        </w:rPr>
        <w:t xml:space="preserve">vaistų nerimui slopinti (pavyzdžiui, </w:t>
      </w:r>
      <w:proofErr w:type="spellStart"/>
      <w:r w:rsidRPr="007A17AE">
        <w:rPr>
          <w:rFonts w:eastAsia="TimesNewRoman"/>
          <w:szCs w:val="22"/>
          <w:lang w:eastAsia="lt-LT"/>
        </w:rPr>
        <w:t>alprazolamo</w:t>
      </w:r>
      <w:proofErr w:type="spellEnd"/>
      <w:r w:rsidRPr="007A17AE">
        <w:rPr>
          <w:rFonts w:eastAsia="TimesNewRoman"/>
          <w:szCs w:val="22"/>
          <w:lang w:eastAsia="lt-LT"/>
        </w:rPr>
        <w:t>),</w:t>
      </w:r>
    </w:p>
    <w:p w:rsidR="0067451D" w:rsidRPr="007A17AE" w:rsidRDefault="0067451D" w:rsidP="0067451D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NewRoman"/>
          <w:szCs w:val="22"/>
          <w:lang w:eastAsia="lt-LT"/>
        </w:rPr>
      </w:pPr>
      <w:proofErr w:type="spellStart"/>
      <w:r w:rsidRPr="007A17AE">
        <w:rPr>
          <w:rFonts w:eastAsia="TimesNewRoman"/>
          <w:szCs w:val="22"/>
          <w:lang w:eastAsia="lt-LT"/>
        </w:rPr>
        <w:t>tolbutamido</w:t>
      </w:r>
      <w:proofErr w:type="spellEnd"/>
      <w:r w:rsidRPr="007A17AE">
        <w:rPr>
          <w:rFonts w:eastAsia="TimesNewRoman"/>
          <w:szCs w:val="22"/>
          <w:lang w:eastAsia="lt-LT"/>
        </w:rPr>
        <w:t xml:space="preserve"> (vaisto, vartojamo gydyti nuo cukrinio diabeto).</w:t>
      </w:r>
    </w:p>
    <w:p w:rsidR="0067451D" w:rsidRPr="007A17AE" w:rsidRDefault="0067451D" w:rsidP="0067451D">
      <w:pPr>
        <w:tabs>
          <w:tab w:val="clear" w:pos="567"/>
        </w:tabs>
        <w:autoSpaceDE w:val="0"/>
        <w:autoSpaceDN w:val="0"/>
        <w:adjustRightInd w:val="0"/>
        <w:spacing w:line="240" w:lineRule="auto"/>
        <w:contextualSpacing/>
        <w:rPr>
          <w:rFonts w:eastAsia="TimesNewRoman"/>
          <w:szCs w:val="22"/>
          <w:lang w:eastAsia="lt-LT"/>
        </w:rPr>
      </w:pPr>
    </w:p>
    <w:p w:rsidR="0067451D" w:rsidRPr="007A17AE" w:rsidRDefault="0067451D" w:rsidP="0067451D">
      <w:pPr>
        <w:tabs>
          <w:tab w:val="clear" w:pos="567"/>
        </w:tabs>
        <w:autoSpaceDE w:val="0"/>
        <w:autoSpaceDN w:val="0"/>
        <w:adjustRightInd w:val="0"/>
        <w:spacing w:line="240" w:lineRule="auto"/>
        <w:contextualSpacing/>
        <w:rPr>
          <w:rFonts w:eastAsia="TimesNewRoman"/>
          <w:szCs w:val="22"/>
          <w:lang w:eastAsia="lt-LT"/>
        </w:rPr>
      </w:pPr>
      <w:r w:rsidRPr="007A17AE">
        <w:rPr>
          <w:rFonts w:eastAsia="TimesNewRoman"/>
          <w:szCs w:val="22"/>
          <w:lang w:eastAsia="lt-LT"/>
        </w:rPr>
        <w:t>Jeigu Jūs vartojate ar neseniai vartojote arba Jūsų vaikas vartoja ar neseniai vartojo kitų vaistų arba dėl to nesate tikri, apie tai pasakykite gydytojui arba vaistininkui.</w:t>
      </w:r>
    </w:p>
    <w:p w:rsidR="0067451D" w:rsidRPr="007A17AE" w:rsidRDefault="0067451D" w:rsidP="0067451D">
      <w:pPr>
        <w:tabs>
          <w:tab w:val="clear" w:pos="567"/>
        </w:tabs>
        <w:autoSpaceDE w:val="0"/>
        <w:autoSpaceDN w:val="0"/>
        <w:adjustRightInd w:val="0"/>
        <w:spacing w:line="240" w:lineRule="auto"/>
        <w:contextualSpacing/>
        <w:rPr>
          <w:rFonts w:eastAsia="TimesNewRoman,Bold"/>
          <w:b/>
          <w:bCs/>
          <w:szCs w:val="22"/>
          <w:lang w:eastAsia="lt-LT"/>
        </w:rPr>
      </w:pPr>
    </w:p>
    <w:p w:rsidR="0067451D" w:rsidRPr="007A17AE" w:rsidRDefault="0067451D" w:rsidP="0067451D">
      <w:pPr>
        <w:tabs>
          <w:tab w:val="clear" w:pos="567"/>
        </w:tabs>
        <w:autoSpaceDE w:val="0"/>
        <w:autoSpaceDN w:val="0"/>
        <w:adjustRightInd w:val="0"/>
        <w:spacing w:line="240" w:lineRule="auto"/>
        <w:contextualSpacing/>
        <w:rPr>
          <w:rFonts w:eastAsia="TimesNewRoman,Bold"/>
          <w:b/>
          <w:bCs/>
          <w:szCs w:val="22"/>
          <w:lang w:eastAsia="lt-LT"/>
        </w:rPr>
      </w:pPr>
      <w:r w:rsidRPr="007A17AE">
        <w:rPr>
          <w:rFonts w:eastAsia="TimesNewRoman,Bold"/>
          <w:b/>
          <w:bCs/>
          <w:szCs w:val="22"/>
          <w:lang w:eastAsia="lt-LT"/>
        </w:rPr>
        <w:t>Nėštumas ir žindymo laikotarpis</w:t>
      </w:r>
    </w:p>
    <w:p w:rsidR="0067451D" w:rsidRPr="007A17AE" w:rsidRDefault="0067451D" w:rsidP="0067451D">
      <w:pPr>
        <w:tabs>
          <w:tab w:val="clear" w:pos="567"/>
        </w:tabs>
        <w:autoSpaceDE w:val="0"/>
        <w:autoSpaceDN w:val="0"/>
        <w:adjustRightInd w:val="0"/>
        <w:spacing w:line="240" w:lineRule="auto"/>
        <w:contextualSpacing/>
        <w:rPr>
          <w:rFonts w:eastAsia="TimesNewRoman"/>
          <w:szCs w:val="22"/>
          <w:lang w:eastAsia="lt-LT"/>
        </w:rPr>
      </w:pPr>
      <w:r w:rsidRPr="007A17AE">
        <w:rPr>
          <w:rFonts w:eastAsia="TimesNewRoman"/>
          <w:szCs w:val="22"/>
          <w:lang w:eastAsia="lt-LT"/>
        </w:rPr>
        <w:t xml:space="preserve">Šio vaisto nėštumo metu turi būti nevartojama, išskyrus atvejus, kai neabejotinai būtina. Jeigu esate nėščia, žindote kūdikį, </w:t>
      </w:r>
      <w:r>
        <w:rPr>
          <w:rFonts w:eastAsia="TimesNewRoman"/>
          <w:szCs w:val="22"/>
          <w:lang w:eastAsia="lt-LT"/>
        </w:rPr>
        <w:t xml:space="preserve">manote, kad </w:t>
      </w:r>
      <w:r w:rsidRPr="007A17AE">
        <w:rPr>
          <w:rFonts w:eastAsia="TimesNewRoman"/>
          <w:szCs w:val="22"/>
          <w:lang w:eastAsia="lt-LT"/>
        </w:rPr>
        <w:t>galbūt esate nėščia</w:t>
      </w:r>
      <w:r>
        <w:rPr>
          <w:rFonts w:eastAsia="TimesNewRoman"/>
          <w:szCs w:val="22"/>
          <w:lang w:eastAsia="lt-LT"/>
        </w:rPr>
        <w:t>,</w:t>
      </w:r>
      <w:r w:rsidRPr="007A17AE">
        <w:rPr>
          <w:rFonts w:eastAsia="TimesNewRoman"/>
          <w:szCs w:val="22"/>
          <w:lang w:eastAsia="lt-LT"/>
        </w:rPr>
        <w:t xml:space="preserve"> arba planuojate pastoti, tai prieš vartodama š</w:t>
      </w:r>
      <w:r>
        <w:rPr>
          <w:rFonts w:eastAsia="TimesNewRoman"/>
          <w:szCs w:val="22"/>
          <w:lang w:eastAsia="lt-LT"/>
        </w:rPr>
        <w:t>į</w:t>
      </w:r>
      <w:r w:rsidRPr="007A17AE">
        <w:rPr>
          <w:rFonts w:eastAsia="TimesNewRoman"/>
          <w:szCs w:val="22"/>
          <w:lang w:eastAsia="lt-LT"/>
        </w:rPr>
        <w:t xml:space="preserve"> vaist</w:t>
      </w:r>
      <w:r>
        <w:rPr>
          <w:rFonts w:eastAsia="TimesNewRoman"/>
          <w:szCs w:val="22"/>
          <w:lang w:eastAsia="lt-LT"/>
        </w:rPr>
        <w:t>ą,</w:t>
      </w:r>
      <w:r w:rsidRPr="007A17AE">
        <w:rPr>
          <w:rFonts w:eastAsia="TimesNewRoman"/>
          <w:szCs w:val="22"/>
          <w:lang w:eastAsia="lt-LT"/>
        </w:rPr>
        <w:t xml:space="preserve"> pasitarkite su gydytoju.</w:t>
      </w:r>
    </w:p>
    <w:p w:rsidR="0067451D" w:rsidRPr="007A17AE" w:rsidRDefault="0067451D" w:rsidP="0067451D">
      <w:pPr>
        <w:tabs>
          <w:tab w:val="clear" w:pos="567"/>
        </w:tabs>
        <w:autoSpaceDE w:val="0"/>
        <w:autoSpaceDN w:val="0"/>
        <w:adjustRightInd w:val="0"/>
        <w:spacing w:line="240" w:lineRule="auto"/>
        <w:contextualSpacing/>
        <w:rPr>
          <w:rFonts w:eastAsia="TimesNewRoman"/>
          <w:szCs w:val="22"/>
          <w:lang w:eastAsia="lt-LT"/>
        </w:rPr>
      </w:pPr>
    </w:p>
    <w:p w:rsidR="0067451D" w:rsidRPr="007A17AE" w:rsidRDefault="0067451D" w:rsidP="0067451D">
      <w:pPr>
        <w:tabs>
          <w:tab w:val="clear" w:pos="567"/>
        </w:tabs>
        <w:autoSpaceDE w:val="0"/>
        <w:autoSpaceDN w:val="0"/>
        <w:adjustRightInd w:val="0"/>
        <w:spacing w:line="240" w:lineRule="auto"/>
        <w:contextualSpacing/>
        <w:rPr>
          <w:rFonts w:eastAsia="TimesNewRoman"/>
          <w:szCs w:val="22"/>
          <w:lang w:eastAsia="lt-LT"/>
        </w:rPr>
      </w:pPr>
      <w:r w:rsidRPr="007A17AE">
        <w:rPr>
          <w:rFonts w:eastAsia="TimesNewRoman"/>
          <w:szCs w:val="22"/>
          <w:lang w:eastAsia="lt-LT"/>
        </w:rPr>
        <w:t xml:space="preserve">Informacijos apie apsisaugojimą nuo nėštumo žr. poskyryje „Kiti vaistai ir </w:t>
      </w:r>
      <w:proofErr w:type="spellStart"/>
      <w:r w:rsidRPr="007A17AE">
        <w:rPr>
          <w:rFonts w:eastAsia="TimesNewRoman"/>
          <w:szCs w:val="22"/>
          <w:lang w:eastAsia="lt-LT"/>
        </w:rPr>
        <w:t>Aprepitant</w:t>
      </w:r>
      <w:proofErr w:type="spellEnd"/>
      <w:r w:rsidRPr="007A17AE">
        <w:rPr>
          <w:rFonts w:eastAsia="TimesNewRoman"/>
          <w:szCs w:val="22"/>
          <w:lang w:eastAsia="lt-LT"/>
        </w:rPr>
        <w:t xml:space="preserve"> </w:t>
      </w:r>
      <w:proofErr w:type="spellStart"/>
      <w:r w:rsidRPr="007A17AE">
        <w:rPr>
          <w:rFonts w:eastAsia="TimesNewRoman"/>
          <w:szCs w:val="22"/>
          <w:lang w:eastAsia="lt-LT"/>
        </w:rPr>
        <w:t>Sandoz</w:t>
      </w:r>
      <w:proofErr w:type="spellEnd"/>
      <w:r w:rsidRPr="007A17AE">
        <w:rPr>
          <w:rFonts w:eastAsia="TimesNewRoman"/>
          <w:szCs w:val="22"/>
          <w:lang w:eastAsia="lt-LT"/>
        </w:rPr>
        <w:t>“.</w:t>
      </w:r>
    </w:p>
    <w:p w:rsidR="0067451D" w:rsidRPr="007A17AE" w:rsidRDefault="0067451D" w:rsidP="0067451D">
      <w:pPr>
        <w:pStyle w:val="Default"/>
        <w:contextualSpacing/>
        <w:rPr>
          <w:rFonts w:eastAsia="TimesNewRoman"/>
          <w:sz w:val="22"/>
          <w:szCs w:val="22"/>
        </w:rPr>
      </w:pPr>
    </w:p>
    <w:p w:rsidR="0067451D" w:rsidRPr="007A17AE" w:rsidRDefault="0067451D" w:rsidP="0067451D">
      <w:pPr>
        <w:pStyle w:val="Default"/>
        <w:contextualSpacing/>
        <w:rPr>
          <w:sz w:val="22"/>
          <w:szCs w:val="22"/>
        </w:rPr>
      </w:pPr>
      <w:r w:rsidRPr="007A17AE">
        <w:rPr>
          <w:rFonts w:eastAsia="TimesNewRoman"/>
          <w:sz w:val="22"/>
          <w:szCs w:val="22"/>
        </w:rPr>
        <w:t xml:space="preserve">Nežinoma, ar </w:t>
      </w:r>
      <w:proofErr w:type="spellStart"/>
      <w:r w:rsidRPr="007A17AE">
        <w:rPr>
          <w:rFonts w:eastAsia="TimesNewRoman"/>
          <w:sz w:val="22"/>
          <w:szCs w:val="22"/>
        </w:rPr>
        <w:t>Aprepitant</w:t>
      </w:r>
      <w:proofErr w:type="spellEnd"/>
      <w:r w:rsidRPr="007A17AE">
        <w:rPr>
          <w:rFonts w:eastAsia="TimesNewRoman"/>
          <w:sz w:val="22"/>
          <w:szCs w:val="22"/>
        </w:rPr>
        <w:t xml:space="preserve"> </w:t>
      </w:r>
      <w:proofErr w:type="spellStart"/>
      <w:r w:rsidRPr="007A17AE">
        <w:rPr>
          <w:rFonts w:eastAsia="TimesNewRoman"/>
          <w:sz w:val="22"/>
          <w:szCs w:val="22"/>
        </w:rPr>
        <w:t>Sandoz</w:t>
      </w:r>
      <w:proofErr w:type="spellEnd"/>
      <w:r w:rsidRPr="007A17AE">
        <w:rPr>
          <w:rFonts w:eastAsia="TimesNewRoman"/>
          <w:sz w:val="22"/>
          <w:szCs w:val="22"/>
        </w:rPr>
        <w:t xml:space="preserve"> išskiriamas su motinos pienu, todėl šio vaisto vartojimo metu kūdikio žindyti nerekomenduojama. Prieš pradedant vartoti šio vaisto, svarbu pasakyti gydytojui, jeigu esate žindyvė ar planuojate žindyti kūdikį.</w:t>
      </w:r>
    </w:p>
    <w:p w:rsidR="0067451D" w:rsidRPr="007A17AE" w:rsidRDefault="0067451D" w:rsidP="0067451D">
      <w:pPr>
        <w:pStyle w:val="Default"/>
        <w:contextualSpacing/>
        <w:rPr>
          <w:b/>
          <w:bCs/>
          <w:sz w:val="22"/>
          <w:szCs w:val="22"/>
        </w:rPr>
      </w:pPr>
    </w:p>
    <w:p w:rsidR="0067451D" w:rsidRPr="007A17AE" w:rsidRDefault="0067451D" w:rsidP="0067451D">
      <w:pPr>
        <w:pStyle w:val="Default"/>
        <w:contextualSpacing/>
        <w:rPr>
          <w:sz w:val="22"/>
          <w:szCs w:val="22"/>
        </w:rPr>
      </w:pPr>
      <w:r w:rsidRPr="007A17AE">
        <w:rPr>
          <w:b/>
          <w:bCs/>
          <w:sz w:val="22"/>
          <w:szCs w:val="22"/>
        </w:rPr>
        <w:t xml:space="preserve">Vairavimas ir mechanizmų valdymas </w:t>
      </w:r>
    </w:p>
    <w:p w:rsidR="0067451D" w:rsidRPr="007A17AE" w:rsidRDefault="0067451D" w:rsidP="0067451D">
      <w:pPr>
        <w:pStyle w:val="Default"/>
        <w:contextualSpacing/>
        <w:rPr>
          <w:b/>
          <w:bCs/>
          <w:sz w:val="22"/>
          <w:szCs w:val="22"/>
        </w:rPr>
      </w:pPr>
      <w:r w:rsidRPr="007A17AE">
        <w:rPr>
          <w:sz w:val="22"/>
          <w:szCs w:val="22"/>
        </w:rPr>
        <w:t xml:space="preserve">Turi būti atsižvelgta į tai, kad kai kuriems žmonėms pavartojus </w:t>
      </w:r>
      <w:proofErr w:type="spellStart"/>
      <w:r w:rsidRPr="007A17AE">
        <w:rPr>
          <w:sz w:val="22"/>
          <w:szCs w:val="22"/>
        </w:rPr>
        <w:t>Aprepitant</w:t>
      </w:r>
      <w:proofErr w:type="spellEnd"/>
      <w:r w:rsidRPr="007A17AE">
        <w:rPr>
          <w:sz w:val="22"/>
          <w:szCs w:val="22"/>
        </w:rPr>
        <w:t xml:space="preserve"> </w:t>
      </w:r>
      <w:proofErr w:type="spellStart"/>
      <w:r w:rsidRPr="007A17AE">
        <w:rPr>
          <w:sz w:val="22"/>
          <w:szCs w:val="22"/>
        </w:rPr>
        <w:t>Sandoz</w:t>
      </w:r>
      <w:proofErr w:type="spellEnd"/>
      <w:r w:rsidRPr="007A17AE">
        <w:rPr>
          <w:sz w:val="22"/>
          <w:szCs w:val="22"/>
        </w:rPr>
        <w:t xml:space="preserve">, pasireiškė galvos svaigimas ir mieguistumas. Jeigu Jūs arba Jūsų vaikas jaučiatės apsvaigęs arba mieguistas, venkite vairuoti automobilį, važiuoti dviračiu ir dirbti su mechanizmais ar </w:t>
      </w:r>
      <w:proofErr w:type="spellStart"/>
      <w:r w:rsidRPr="007A17AE">
        <w:rPr>
          <w:sz w:val="22"/>
          <w:szCs w:val="22"/>
        </w:rPr>
        <w:t>įrengimais</w:t>
      </w:r>
      <w:proofErr w:type="spellEnd"/>
      <w:r w:rsidRPr="007A17AE">
        <w:rPr>
          <w:sz w:val="22"/>
          <w:szCs w:val="22"/>
        </w:rPr>
        <w:t xml:space="preserve"> po </w:t>
      </w:r>
      <w:proofErr w:type="spellStart"/>
      <w:r w:rsidRPr="007A17AE">
        <w:rPr>
          <w:sz w:val="22"/>
          <w:szCs w:val="22"/>
        </w:rPr>
        <w:t>Aprepitant</w:t>
      </w:r>
      <w:proofErr w:type="spellEnd"/>
      <w:r w:rsidRPr="007A17AE">
        <w:rPr>
          <w:sz w:val="22"/>
          <w:szCs w:val="22"/>
        </w:rPr>
        <w:t xml:space="preserve"> </w:t>
      </w:r>
      <w:proofErr w:type="spellStart"/>
      <w:r w:rsidRPr="007A17AE">
        <w:rPr>
          <w:sz w:val="22"/>
          <w:szCs w:val="22"/>
        </w:rPr>
        <w:t>Sandoz</w:t>
      </w:r>
      <w:proofErr w:type="spellEnd"/>
      <w:r w:rsidRPr="007A17AE">
        <w:rPr>
          <w:sz w:val="22"/>
          <w:szCs w:val="22"/>
        </w:rPr>
        <w:t xml:space="preserve"> pavartojimo (žr. „Galimas šalutinis poveikis“).</w:t>
      </w:r>
    </w:p>
    <w:p w:rsidR="0067451D" w:rsidRPr="007A17AE" w:rsidRDefault="0067451D" w:rsidP="0067451D">
      <w:pPr>
        <w:pStyle w:val="Default"/>
        <w:contextualSpacing/>
        <w:rPr>
          <w:b/>
          <w:bCs/>
          <w:sz w:val="22"/>
          <w:szCs w:val="22"/>
        </w:rPr>
      </w:pPr>
    </w:p>
    <w:p w:rsidR="0067451D" w:rsidRPr="007A17AE" w:rsidRDefault="0067451D" w:rsidP="0067451D">
      <w:pPr>
        <w:pStyle w:val="Default"/>
        <w:contextualSpacing/>
        <w:rPr>
          <w:sz w:val="22"/>
          <w:szCs w:val="22"/>
        </w:rPr>
      </w:pPr>
      <w:proofErr w:type="spellStart"/>
      <w:r w:rsidRPr="007A17AE">
        <w:rPr>
          <w:b/>
          <w:bCs/>
          <w:sz w:val="22"/>
          <w:szCs w:val="22"/>
        </w:rPr>
        <w:t>Aprepitant</w:t>
      </w:r>
      <w:proofErr w:type="spellEnd"/>
      <w:r w:rsidRPr="007A17AE">
        <w:rPr>
          <w:b/>
          <w:bCs/>
          <w:sz w:val="22"/>
          <w:szCs w:val="22"/>
        </w:rPr>
        <w:t xml:space="preserve"> </w:t>
      </w:r>
      <w:proofErr w:type="spellStart"/>
      <w:r w:rsidRPr="007A17AE">
        <w:rPr>
          <w:b/>
          <w:bCs/>
          <w:sz w:val="22"/>
          <w:szCs w:val="22"/>
        </w:rPr>
        <w:t>Sandoz</w:t>
      </w:r>
      <w:proofErr w:type="spellEnd"/>
      <w:r w:rsidRPr="007A17AE">
        <w:rPr>
          <w:b/>
          <w:bCs/>
          <w:sz w:val="22"/>
          <w:szCs w:val="22"/>
        </w:rPr>
        <w:t xml:space="preserve"> sudėtyje yra sacharozės. 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Cs/>
          <w:szCs w:val="22"/>
        </w:rPr>
      </w:pPr>
      <w:proofErr w:type="spellStart"/>
      <w:r w:rsidRPr="007A17AE">
        <w:rPr>
          <w:szCs w:val="22"/>
        </w:rPr>
        <w:t>Aprepitant</w:t>
      </w:r>
      <w:proofErr w:type="spellEnd"/>
      <w:r w:rsidRPr="007A17AE">
        <w:rPr>
          <w:szCs w:val="22"/>
        </w:rPr>
        <w:t xml:space="preserve"> </w:t>
      </w:r>
      <w:proofErr w:type="spellStart"/>
      <w:r w:rsidRPr="007A17AE">
        <w:rPr>
          <w:szCs w:val="22"/>
        </w:rPr>
        <w:t>Sandoz</w:t>
      </w:r>
      <w:proofErr w:type="spellEnd"/>
      <w:r w:rsidRPr="007A17AE">
        <w:rPr>
          <w:szCs w:val="22"/>
        </w:rPr>
        <w:t xml:space="preserve"> kapsulių sudėtyje yra sacharozės. Jeigu gydytojas Jums arba Jūsų vaikui yra sakęs, kad netoleruojate kokių nors angliavandenių, kreipkitės į jį prieš pradėdami vartoti šį vaistą.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outlineLvl w:val="0"/>
        <w:rPr>
          <w:szCs w:val="22"/>
        </w:rPr>
      </w:pP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</w:p>
    <w:p w:rsidR="0067451D" w:rsidRPr="007A17AE" w:rsidRDefault="0067451D" w:rsidP="0067451D">
      <w:pPr>
        <w:spacing w:line="240" w:lineRule="auto"/>
        <w:ind w:right="-2"/>
        <w:contextualSpacing/>
        <w:rPr>
          <w:b/>
          <w:szCs w:val="22"/>
        </w:rPr>
      </w:pPr>
      <w:r w:rsidRPr="007A17AE">
        <w:rPr>
          <w:b/>
          <w:szCs w:val="22"/>
        </w:rPr>
        <w:t>3.</w:t>
      </w:r>
      <w:r w:rsidRPr="007A17AE">
        <w:rPr>
          <w:b/>
          <w:szCs w:val="22"/>
        </w:rPr>
        <w:tab/>
        <w:t xml:space="preserve">Kaip vartoti </w:t>
      </w:r>
      <w:proofErr w:type="spellStart"/>
      <w:r w:rsidRPr="007A17AE">
        <w:rPr>
          <w:b/>
          <w:szCs w:val="22"/>
        </w:rPr>
        <w:t>Aprepitant</w:t>
      </w:r>
      <w:proofErr w:type="spellEnd"/>
      <w:r w:rsidRPr="007A17AE">
        <w:rPr>
          <w:b/>
          <w:szCs w:val="22"/>
        </w:rPr>
        <w:t xml:space="preserve"> </w:t>
      </w:r>
      <w:proofErr w:type="spellStart"/>
      <w:r w:rsidRPr="007A17AE">
        <w:rPr>
          <w:b/>
          <w:szCs w:val="22"/>
        </w:rPr>
        <w:t>Sandoz</w:t>
      </w:r>
      <w:proofErr w:type="spellEnd"/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  <w:r w:rsidRPr="007A17AE">
        <w:rPr>
          <w:szCs w:val="22"/>
        </w:rPr>
        <w:t>Visada vartokite šį vaistą arba duokite jo vaikui tiksliai kaip nurodė gydytojas, vaistininkas arba slaugytoja</w:t>
      </w:r>
      <w:r>
        <w:rPr>
          <w:szCs w:val="22"/>
        </w:rPr>
        <w:t>s</w:t>
      </w:r>
      <w:r w:rsidRPr="007A17AE">
        <w:rPr>
          <w:szCs w:val="22"/>
        </w:rPr>
        <w:t xml:space="preserve">. Jeigu abejojate, kreipkitės į gydytoją, vaistininką arba slaugytoją. Norėdami apsisaugoti nuo pykinimo ir vėmimo, visada vartokite </w:t>
      </w:r>
      <w:proofErr w:type="spellStart"/>
      <w:r w:rsidRPr="007A17AE">
        <w:rPr>
          <w:szCs w:val="22"/>
        </w:rPr>
        <w:t>Aprepitant</w:t>
      </w:r>
      <w:proofErr w:type="spellEnd"/>
      <w:r w:rsidRPr="007A17AE">
        <w:rPr>
          <w:szCs w:val="22"/>
        </w:rPr>
        <w:t xml:space="preserve"> </w:t>
      </w:r>
      <w:proofErr w:type="spellStart"/>
      <w:r w:rsidRPr="007A17AE">
        <w:rPr>
          <w:szCs w:val="22"/>
        </w:rPr>
        <w:t>Sandoz</w:t>
      </w:r>
      <w:proofErr w:type="spellEnd"/>
      <w:r w:rsidRPr="007A17AE">
        <w:rPr>
          <w:szCs w:val="22"/>
        </w:rPr>
        <w:t xml:space="preserve"> kartu su kitais vaistais. Baigus gydymą </w:t>
      </w:r>
      <w:proofErr w:type="spellStart"/>
      <w:r w:rsidRPr="007A17AE">
        <w:rPr>
          <w:szCs w:val="22"/>
        </w:rPr>
        <w:t>Aprepitant</w:t>
      </w:r>
      <w:proofErr w:type="spellEnd"/>
      <w:r w:rsidRPr="007A17AE">
        <w:rPr>
          <w:szCs w:val="22"/>
        </w:rPr>
        <w:t xml:space="preserve"> </w:t>
      </w:r>
      <w:proofErr w:type="spellStart"/>
      <w:r w:rsidRPr="007A17AE">
        <w:rPr>
          <w:szCs w:val="22"/>
        </w:rPr>
        <w:t>Sandoz</w:t>
      </w:r>
      <w:proofErr w:type="spellEnd"/>
      <w:r w:rsidRPr="007A17AE">
        <w:rPr>
          <w:szCs w:val="22"/>
        </w:rPr>
        <w:t xml:space="preserve">, pykinimo ir vėmimo prevencijai gydytojas gali nurodyti Jums arba Jūsų vaikui toliau vartoti kitų vaistų, įskaitant kortikosteroidus (tokius, kaip </w:t>
      </w:r>
      <w:proofErr w:type="spellStart"/>
      <w:r w:rsidRPr="007A17AE">
        <w:rPr>
          <w:szCs w:val="22"/>
        </w:rPr>
        <w:t>deksametazonas</w:t>
      </w:r>
      <w:proofErr w:type="spellEnd"/>
      <w:r w:rsidRPr="007A17AE">
        <w:rPr>
          <w:szCs w:val="22"/>
        </w:rPr>
        <w:t>) ir 5-HT</w:t>
      </w:r>
      <w:r w:rsidRPr="00F122CC">
        <w:rPr>
          <w:szCs w:val="22"/>
          <w:vertAlign w:val="subscript"/>
        </w:rPr>
        <w:t>3</w:t>
      </w:r>
      <w:r w:rsidRPr="007A17AE">
        <w:rPr>
          <w:szCs w:val="22"/>
        </w:rPr>
        <w:t xml:space="preserve"> antagonistą (tokį, kaip </w:t>
      </w:r>
      <w:proofErr w:type="spellStart"/>
      <w:r w:rsidRPr="007A17AE">
        <w:rPr>
          <w:szCs w:val="22"/>
        </w:rPr>
        <w:t>ondansetronas</w:t>
      </w:r>
      <w:proofErr w:type="spellEnd"/>
      <w:r w:rsidRPr="007A17AE">
        <w:rPr>
          <w:szCs w:val="22"/>
        </w:rPr>
        <w:t>). Jeigu abejojate, kreipkitės į gydytoją, vaistininką arba slaugytoją.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  <w:r w:rsidRPr="007A17AE">
        <w:rPr>
          <w:szCs w:val="22"/>
        </w:rPr>
        <w:t xml:space="preserve">Rekomenduojama geriamoji </w:t>
      </w:r>
      <w:proofErr w:type="spellStart"/>
      <w:r w:rsidRPr="007A17AE">
        <w:rPr>
          <w:szCs w:val="22"/>
        </w:rPr>
        <w:t>Aprepitant</w:t>
      </w:r>
      <w:proofErr w:type="spellEnd"/>
      <w:r w:rsidRPr="007A17AE">
        <w:rPr>
          <w:szCs w:val="22"/>
        </w:rPr>
        <w:t xml:space="preserve"> </w:t>
      </w:r>
      <w:proofErr w:type="spellStart"/>
      <w:r w:rsidRPr="007A17AE">
        <w:rPr>
          <w:szCs w:val="22"/>
        </w:rPr>
        <w:t>Sandoz</w:t>
      </w:r>
      <w:proofErr w:type="spellEnd"/>
      <w:r w:rsidRPr="007A17AE">
        <w:rPr>
          <w:szCs w:val="22"/>
        </w:rPr>
        <w:t xml:space="preserve"> dozė yra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  <w:r w:rsidRPr="007A17AE">
        <w:rPr>
          <w:szCs w:val="22"/>
        </w:rPr>
        <w:t>1-ąją dieną:</w:t>
      </w:r>
    </w:p>
    <w:p w:rsidR="0067451D" w:rsidRPr="007A17AE" w:rsidRDefault="0067451D" w:rsidP="0067451D">
      <w:pPr>
        <w:numPr>
          <w:ilvl w:val="0"/>
          <w:numId w:val="4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 xml:space="preserve">viena </w:t>
      </w:r>
      <w:proofErr w:type="spellStart"/>
      <w:r w:rsidRPr="007A17AE">
        <w:rPr>
          <w:szCs w:val="22"/>
        </w:rPr>
        <w:t>Aprepitant</w:t>
      </w:r>
      <w:proofErr w:type="spellEnd"/>
      <w:r w:rsidRPr="007A17AE">
        <w:rPr>
          <w:szCs w:val="22"/>
        </w:rPr>
        <w:t xml:space="preserve"> </w:t>
      </w:r>
      <w:proofErr w:type="spellStart"/>
      <w:r w:rsidRPr="007A17AE">
        <w:rPr>
          <w:szCs w:val="22"/>
        </w:rPr>
        <w:t>Sandoz</w:t>
      </w:r>
      <w:proofErr w:type="spellEnd"/>
      <w:r w:rsidRPr="007A17AE">
        <w:rPr>
          <w:szCs w:val="22"/>
        </w:rPr>
        <w:t xml:space="preserve"> 125</w:t>
      </w:r>
      <w:r>
        <w:rPr>
          <w:szCs w:val="22"/>
        </w:rPr>
        <w:t> </w:t>
      </w:r>
      <w:r w:rsidRPr="007A17AE">
        <w:rPr>
          <w:szCs w:val="22"/>
        </w:rPr>
        <w:t>mg kapsulė likus 1</w:t>
      </w:r>
      <w:r>
        <w:rPr>
          <w:szCs w:val="22"/>
        </w:rPr>
        <w:t> </w:t>
      </w:r>
      <w:r w:rsidRPr="007A17AE">
        <w:rPr>
          <w:szCs w:val="22"/>
        </w:rPr>
        <w:t>valandai iki Jūsų chemoterapijos kurso pradžios;</w:t>
      </w:r>
    </w:p>
    <w:p w:rsidR="0067451D" w:rsidRPr="007A17AE" w:rsidRDefault="0067451D" w:rsidP="0067451D">
      <w:p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/>
          <w:szCs w:val="22"/>
        </w:rPr>
      </w:pPr>
      <w:r w:rsidRPr="007A17AE">
        <w:rPr>
          <w:b/>
          <w:szCs w:val="22"/>
        </w:rPr>
        <w:t>ir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/>
          <w:szCs w:val="22"/>
        </w:rPr>
      </w:pP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  <w:r w:rsidRPr="007A17AE">
        <w:rPr>
          <w:szCs w:val="22"/>
        </w:rPr>
        <w:t>2-ąją dieną bei 3-ąją dieną:</w:t>
      </w:r>
    </w:p>
    <w:p w:rsidR="0067451D" w:rsidRPr="007A17AE" w:rsidRDefault="0067451D" w:rsidP="0067451D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>viena 80</w:t>
      </w:r>
      <w:r>
        <w:rPr>
          <w:szCs w:val="22"/>
        </w:rPr>
        <w:t> </w:t>
      </w:r>
      <w:r w:rsidRPr="007A17AE">
        <w:rPr>
          <w:szCs w:val="22"/>
        </w:rPr>
        <w:t>mg kapsulė per parą,</w:t>
      </w:r>
    </w:p>
    <w:p w:rsidR="0067451D" w:rsidRPr="007A17AE" w:rsidRDefault="0067451D" w:rsidP="0067451D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 xml:space="preserve">jeigu chemoterapija netaikoma, tai </w:t>
      </w:r>
      <w:proofErr w:type="spellStart"/>
      <w:r w:rsidRPr="007A17AE">
        <w:rPr>
          <w:szCs w:val="22"/>
        </w:rPr>
        <w:t>Aprepitant</w:t>
      </w:r>
      <w:proofErr w:type="spellEnd"/>
      <w:r w:rsidRPr="007A17AE">
        <w:rPr>
          <w:szCs w:val="22"/>
        </w:rPr>
        <w:t xml:space="preserve"> </w:t>
      </w:r>
      <w:proofErr w:type="spellStart"/>
      <w:r w:rsidRPr="007A17AE">
        <w:rPr>
          <w:szCs w:val="22"/>
        </w:rPr>
        <w:t>Sandoz</w:t>
      </w:r>
      <w:proofErr w:type="spellEnd"/>
      <w:r w:rsidRPr="007A17AE">
        <w:rPr>
          <w:szCs w:val="22"/>
        </w:rPr>
        <w:t xml:space="preserve"> geriamas ryte,</w:t>
      </w:r>
    </w:p>
    <w:p w:rsidR="0067451D" w:rsidRPr="007A17AE" w:rsidRDefault="0067451D" w:rsidP="0067451D">
      <w:pPr>
        <w:numPr>
          <w:ilvl w:val="0"/>
          <w:numId w:val="5"/>
        </w:numPr>
        <w:spacing w:line="240" w:lineRule="auto"/>
        <w:ind w:left="567" w:hanging="567"/>
        <w:contextualSpacing/>
        <w:rPr>
          <w:szCs w:val="22"/>
        </w:rPr>
      </w:pPr>
      <w:r w:rsidRPr="007A17AE">
        <w:rPr>
          <w:szCs w:val="22"/>
        </w:rPr>
        <w:t xml:space="preserve">jeigu taikoma chemoterapija, tai </w:t>
      </w:r>
      <w:proofErr w:type="spellStart"/>
      <w:r w:rsidRPr="007A17AE">
        <w:rPr>
          <w:szCs w:val="22"/>
        </w:rPr>
        <w:t>Aprepitant</w:t>
      </w:r>
      <w:proofErr w:type="spellEnd"/>
      <w:r w:rsidRPr="007A17AE">
        <w:rPr>
          <w:szCs w:val="22"/>
        </w:rPr>
        <w:t xml:space="preserve"> </w:t>
      </w:r>
      <w:proofErr w:type="spellStart"/>
      <w:r w:rsidRPr="007A17AE">
        <w:rPr>
          <w:szCs w:val="22"/>
        </w:rPr>
        <w:t>Sandoz</w:t>
      </w:r>
      <w:proofErr w:type="spellEnd"/>
      <w:r w:rsidRPr="007A17AE">
        <w:rPr>
          <w:szCs w:val="22"/>
        </w:rPr>
        <w:t xml:space="preserve"> geriamas likus 1</w:t>
      </w:r>
      <w:r>
        <w:rPr>
          <w:szCs w:val="22"/>
        </w:rPr>
        <w:t> </w:t>
      </w:r>
      <w:r w:rsidRPr="007A17AE">
        <w:rPr>
          <w:szCs w:val="22"/>
        </w:rPr>
        <w:t>valandai iki Jūsų chemoterapijos kurso pradžios;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  <w:proofErr w:type="spellStart"/>
      <w:r w:rsidRPr="007A17AE">
        <w:rPr>
          <w:szCs w:val="22"/>
        </w:rPr>
        <w:t>Aprepitant</w:t>
      </w:r>
      <w:proofErr w:type="spellEnd"/>
      <w:r w:rsidRPr="007A17AE">
        <w:rPr>
          <w:szCs w:val="22"/>
        </w:rPr>
        <w:t xml:space="preserve"> </w:t>
      </w:r>
      <w:proofErr w:type="spellStart"/>
      <w:r w:rsidRPr="007A17AE">
        <w:rPr>
          <w:szCs w:val="22"/>
        </w:rPr>
        <w:t>Sandoz</w:t>
      </w:r>
      <w:proofErr w:type="spellEnd"/>
      <w:r w:rsidRPr="007A17AE">
        <w:rPr>
          <w:szCs w:val="22"/>
        </w:rPr>
        <w:t xml:space="preserve"> galima vartoti valgio metu arba nevalgius. Kapsulę nurykite visą, užgerdami trupučiu skysčio.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/>
          <w:szCs w:val="22"/>
        </w:rPr>
      </w:pPr>
      <w:r w:rsidRPr="007A17AE">
        <w:rPr>
          <w:b/>
          <w:szCs w:val="22"/>
        </w:rPr>
        <w:t xml:space="preserve">Ką daryti pavartojus per didelę </w:t>
      </w:r>
      <w:proofErr w:type="spellStart"/>
      <w:r w:rsidRPr="007A17AE">
        <w:rPr>
          <w:b/>
          <w:szCs w:val="22"/>
        </w:rPr>
        <w:t>Aprepitant</w:t>
      </w:r>
      <w:proofErr w:type="spellEnd"/>
      <w:r w:rsidRPr="007A17AE">
        <w:rPr>
          <w:b/>
          <w:szCs w:val="22"/>
        </w:rPr>
        <w:t xml:space="preserve"> </w:t>
      </w:r>
      <w:proofErr w:type="spellStart"/>
      <w:r w:rsidRPr="007A17AE">
        <w:rPr>
          <w:b/>
          <w:szCs w:val="22"/>
        </w:rPr>
        <w:t>Sandoz</w:t>
      </w:r>
      <w:proofErr w:type="spellEnd"/>
      <w:r w:rsidRPr="007A17AE">
        <w:rPr>
          <w:b/>
          <w:szCs w:val="22"/>
        </w:rPr>
        <w:t xml:space="preserve"> dozę?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  <w:r w:rsidRPr="007A17AE">
        <w:rPr>
          <w:szCs w:val="22"/>
        </w:rPr>
        <w:t>Nevartokite</w:t>
      </w:r>
      <w:r>
        <w:rPr>
          <w:szCs w:val="22"/>
        </w:rPr>
        <w:t xml:space="preserve"> </w:t>
      </w:r>
      <w:r w:rsidRPr="007A17AE">
        <w:rPr>
          <w:szCs w:val="22"/>
        </w:rPr>
        <w:t xml:space="preserve">daugiau </w:t>
      </w:r>
      <w:proofErr w:type="spellStart"/>
      <w:r w:rsidRPr="007A17AE">
        <w:rPr>
          <w:szCs w:val="22"/>
        </w:rPr>
        <w:t>Aprepitant</w:t>
      </w:r>
      <w:proofErr w:type="spellEnd"/>
      <w:r w:rsidRPr="007A17AE">
        <w:rPr>
          <w:szCs w:val="22"/>
        </w:rPr>
        <w:t xml:space="preserve"> </w:t>
      </w:r>
      <w:proofErr w:type="spellStart"/>
      <w:r w:rsidRPr="007A17AE">
        <w:rPr>
          <w:szCs w:val="22"/>
        </w:rPr>
        <w:t>Sandoz</w:t>
      </w:r>
      <w:proofErr w:type="spellEnd"/>
      <w:r w:rsidRPr="007A17AE">
        <w:rPr>
          <w:szCs w:val="22"/>
        </w:rPr>
        <w:t xml:space="preserve"> negu rekomendavo gydytojas. Jei Jūs išgėrėte arba Jūsų vaikas išgėrė per daug kapsulių, nedelsdami kreipkitės į savo gydytoją.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/>
          <w:szCs w:val="22"/>
        </w:rPr>
      </w:pPr>
      <w:r w:rsidRPr="007A17AE">
        <w:rPr>
          <w:b/>
          <w:szCs w:val="22"/>
        </w:rPr>
        <w:t xml:space="preserve">Pamiršus pavartoti </w:t>
      </w:r>
      <w:proofErr w:type="spellStart"/>
      <w:r w:rsidRPr="007A17AE">
        <w:rPr>
          <w:b/>
          <w:szCs w:val="22"/>
        </w:rPr>
        <w:t>Aprepitant</w:t>
      </w:r>
      <w:proofErr w:type="spellEnd"/>
      <w:r w:rsidRPr="007A17AE">
        <w:rPr>
          <w:b/>
          <w:szCs w:val="22"/>
        </w:rPr>
        <w:t xml:space="preserve"> </w:t>
      </w:r>
      <w:proofErr w:type="spellStart"/>
      <w:r w:rsidRPr="007A17AE">
        <w:rPr>
          <w:b/>
          <w:szCs w:val="22"/>
        </w:rPr>
        <w:t>Sandoz</w:t>
      </w:r>
      <w:proofErr w:type="spellEnd"/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  <w:r w:rsidRPr="007A17AE">
        <w:rPr>
          <w:szCs w:val="22"/>
        </w:rPr>
        <w:t>Jei Jūs praleidote arba Jūsų vaikas praleido dozę, kreipkitės patarimo į savo gydytoją.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  <w:r w:rsidRPr="007A17AE">
        <w:rPr>
          <w:szCs w:val="22"/>
        </w:rPr>
        <w:t>Jeigu kiltų daugiau klausimų dėl šio vaisto vartojimo, kreipkitės į gydytoją arba vaistininką.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/>
          <w:szCs w:val="22"/>
        </w:rPr>
      </w:pPr>
      <w:r w:rsidRPr="007A17AE">
        <w:rPr>
          <w:b/>
          <w:szCs w:val="22"/>
        </w:rPr>
        <w:t>4.</w:t>
      </w:r>
      <w:r w:rsidRPr="007A17AE">
        <w:rPr>
          <w:b/>
          <w:szCs w:val="22"/>
        </w:rPr>
        <w:tab/>
        <w:t>Galimas šalutinis poveikis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  <w:r w:rsidRPr="007A17AE">
        <w:rPr>
          <w:szCs w:val="22"/>
        </w:rPr>
        <w:t>Šis vaistas, kaip ir visi kiti, gali sukelti šalutinį poveikį, nors jis pasireiškia ne visiems žmonėms.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/>
          <w:szCs w:val="22"/>
        </w:rPr>
      </w:pP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/>
          <w:szCs w:val="22"/>
        </w:rPr>
      </w:pPr>
      <w:r w:rsidRPr="007A17AE">
        <w:rPr>
          <w:b/>
          <w:szCs w:val="22"/>
        </w:rPr>
        <w:t xml:space="preserve">Pastebėję sau arba savo vaikui pasireiškusį bet kurį iš toliau išvardyto šalutinio poveikio atvejų, kurie gali būti sunkūs, </w:t>
      </w:r>
      <w:proofErr w:type="spellStart"/>
      <w:r w:rsidRPr="007A17AE">
        <w:rPr>
          <w:b/>
          <w:szCs w:val="22"/>
        </w:rPr>
        <w:t>Aprepitant</w:t>
      </w:r>
      <w:proofErr w:type="spellEnd"/>
      <w:r w:rsidRPr="007A17AE">
        <w:rPr>
          <w:b/>
          <w:szCs w:val="22"/>
        </w:rPr>
        <w:t xml:space="preserve"> </w:t>
      </w:r>
      <w:proofErr w:type="spellStart"/>
      <w:r w:rsidRPr="007A17AE">
        <w:rPr>
          <w:b/>
          <w:szCs w:val="22"/>
        </w:rPr>
        <w:t>Sandoz</w:t>
      </w:r>
      <w:proofErr w:type="spellEnd"/>
      <w:r w:rsidRPr="007A17AE">
        <w:rPr>
          <w:b/>
          <w:szCs w:val="22"/>
        </w:rPr>
        <w:t xml:space="preserve"> nevartokite ir nedelsdami kreipkitės į gydytoją, nes Jums arba Jūsų vaikui gali prireikti skubaus gydymo: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  <w:r w:rsidRPr="007A17AE">
        <w:rPr>
          <w:szCs w:val="22"/>
        </w:rPr>
        <w:t>Dilgėlinė, išbėrimas, niežėjimas, pasunkėjęs kvėpavimas ar rijimas (dažnis nežinomas [negali būti apskaičiuotas pagal turimus duomenis]); tai yra alerginės reakcijos požymiai.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</w:p>
    <w:p w:rsidR="0067451D" w:rsidRPr="007A17AE" w:rsidRDefault="0067451D" w:rsidP="0067451D">
      <w:p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  <w:r w:rsidRPr="007A17AE">
        <w:rPr>
          <w:szCs w:val="22"/>
        </w:rPr>
        <w:t>Kitas šalutinis poveikis, apie kurį gauta pranešimų, yra išvardytas žemiau.</w:t>
      </w:r>
    </w:p>
    <w:p w:rsidR="0067451D" w:rsidRPr="007A17AE" w:rsidRDefault="0067451D" w:rsidP="0067451D">
      <w:pPr>
        <w:tabs>
          <w:tab w:val="clear" w:pos="567"/>
        </w:tabs>
        <w:spacing w:line="240" w:lineRule="auto"/>
        <w:ind w:right="-2"/>
        <w:contextualSpacing/>
        <w:rPr>
          <w:b/>
          <w:szCs w:val="22"/>
        </w:rPr>
      </w:pPr>
      <w:r w:rsidRPr="007A17AE">
        <w:rPr>
          <w:b/>
          <w:szCs w:val="22"/>
        </w:rPr>
        <w:t>Dažn</w:t>
      </w:r>
      <w:r>
        <w:rPr>
          <w:b/>
          <w:szCs w:val="22"/>
        </w:rPr>
        <w:t>i</w:t>
      </w:r>
      <w:r w:rsidRPr="007A17AE">
        <w:rPr>
          <w:b/>
          <w:szCs w:val="22"/>
        </w:rPr>
        <w:t xml:space="preserve"> šalutini</w:t>
      </w:r>
      <w:r>
        <w:rPr>
          <w:b/>
          <w:szCs w:val="22"/>
        </w:rPr>
        <w:t>o</w:t>
      </w:r>
      <w:r w:rsidRPr="007A17AE">
        <w:rPr>
          <w:b/>
          <w:szCs w:val="22"/>
        </w:rPr>
        <w:t xml:space="preserve"> poveiki</w:t>
      </w:r>
      <w:r>
        <w:rPr>
          <w:b/>
          <w:szCs w:val="22"/>
        </w:rPr>
        <w:t xml:space="preserve">o </w:t>
      </w:r>
      <w:r w:rsidRPr="004665D6">
        <w:rPr>
          <w:b/>
          <w:bCs/>
        </w:rPr>
        <w:t>reiškiniai</w:t>
      </w:r>
      <w:r w:rsidRPr="007A17AE">
        <w:rPr>
          <w:b/>
          <w:szCs w:val="22"/>
        </w:rPr>
        <w:t xml:space="preserve"> (gali pasireikšti </w:t>
      </w:r>
      <w:r>
        <w:rPr>
          <w:b/>
          <w:szCs w:val="22"/>
        </w:rPr>
        <w:t>reč</w:t>
      </w:r>
      <w:r w:rsidRPr="007A17AE">
        <w:rPr>
          <w:b/>
          <w:szCs w:val="22"/>
        </w:rPr>
        <w:t xml:space="preserve">iau kaip 1 iš 10 </w:t>
      </w:r>
      <w:r>
        <w:rPr>
          <w:b/>
          <w:szCs w:val="22"/>
        </w:rPr>
        <w:t>asmen</w:t>
      </w:r>
      <w:r w:rsidRPr="007A17AE">
        <w:rPr>
          <w:b/>
          <w:szCs w:val="22"/>
        </w:rPr>
        <w:t>ų):</w:t>
      </w:r>
    </w:p>
    <w:p w:rsidR="0067451D" w:rsidRPr="007A17AE" w:rsidRDefault="0067451D" w:rsidP="0067451D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 xml:space="preserve">vidurių užkietėjimas, </w:t>
      </w:r>
      <w:proofErr w:type="spellStart"/>
      <w:r w:rsidRPr="007A17AE">
        <w:rPr>
          <w:szCs w:val="22"/>
        </w:rPr>
        <w:t>nevirškinimas</w:t>
      </w:r>
      <w:proofErr w:type="spellEnd"/>
      <w:r w:rsidRPr="007A17AE">
        <w:rPr>
          <w:szCs w:val="22"/>
        </w:rPr>
        <w:t>;</w:t>
      </w:r>
    </w:p>
    <w:p w:rsidR="0067451D" w:rsidRPr="007A17AE" w:rsidRDefault="0067451D" w:rsidP="0067451D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>galvos skausmas;</w:t>
      </w:r>
    </w:p>
    <w:p w:rsidR="0067451D" w:rsidRPr="007A17AE" w:rsidRDefault="0067451D" w:rsidP="0067451D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>nuovargis;</w:t>
      </w:r>
    </w:p>
    <w:p w:rsidR="0067451D" w:rsidRPr="007A17AE" w:rsidRDefault="0067451D" w:rsidP="0067451D">
      <w:pPr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>apetito praradimas;</w:t>
      </w:r>
    </w:p>
    <w:p w:rsidR="0067451D" w:rsidRPr="007A17AE" w:rsidRDefault="0067451D" w:rsidP="0067451D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>žagsulys;</w:t>
      </w:r>
    </w:p>
    <w:p w:rsidR="0067451D" w:rsidRPr="007A17AE" w:rsidRDefault="0067451D" w:rsidP="0067451D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>padidėjęs kepenų fermentų aktyvumas kraujyje.</w:t>
      </w:r>
    </w:p>
    <w:p w:rsidR="0067451D" w:rsidRPr="007A17AE" w:rsidRDefault="0067451D" w:rsidP="0067451D">
      <w:p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</w:p>
    <w:p w:rsidR="0067451D" w:rsidRPr="007A17AE" w:rsidRDefault="0067451D" w:rsidP="0067451D">
      <w:pPr>
        <w:tabs>
          <w:tab w:val="clear" w:pos="567"/>
        </w:tabs>
        <w:spacing w:line="240" w:lineRule="auto"/>
        <w:ind w:right="-2"/>
        <w:contextualSpacing/>
        <w:rPr>
          <w:b/>
          <w:szCs w:val="22"/>
        </w:rPr>
      </w:pPr>
      <w:r w:rsidRPr="007A17AE">
        <w:rPr>
          <w:b/>
          <w:szCs w:val="22"/>
        </w:rPr>
        <w:t>Nedažn</w:t>
      </w:r>
      <w:r>
        <w:rPr>
          <w:b/>
          <w:szCs w:val="22"/>
        </w:rPr>
        <w:t>i</w:t>
      </w:r>
      <w:r w:rsidRPr="007A17AE">
        <w:rPr>
          <w:b/>
          <w:szCs w:val="22"/>
        </w:rPr>
        <w:t xml:space="preserve"> šalutini</w:t>
      </w:r>
      <w:r>
        <w:rPr>
          <w:b/>
          <w:szCs w:val="22"/>
        </w:rPr>
        <w:t>o</w:t>
      </w:r>
      <w:r w:rsidRPr="007A17AE">
        <w:rPr>
          <w:b/>
          <w:szCs w:val="22"/>
        </w:rPr>
        <w:t xml:space="preserve"> poveiki</w:t>
      </w:r>
      <w:r>
        <w:rPr>
          <w:b/>
          <w:szCs w:val="22"/>
        </w:rPr>
        <w:t>o</w:t>
      </w:r>
      <w:r w:rsidRPr="007A17AE">
        <w:rPr>
          <w:b/>
          <w:szCs w:val="22"/>
        </w:rPr>
        <w:t xml:space="preserve"> </w:t>
      </w:r>
      <w:r w:rsidRPr="004665D6">
        <w:rPr>
          <w:b/>
          <w:bCs/>
        </w:rPr>
        <w:t xml:space="preserve">reiškiniai </w:t>
      </w:r>
      <w:r w:rsidRPr="007A17AE">
        <w:rPr>
          <w:b/>
          <w:szCs w:val="22"/>
        </w:rPr>
        <w:t xml:space="preserve">(gali pasireikšti </w:t>
      </w:r>
      <w:r>
        <w:rPr>
          <w:b/>
          <w:szCs w:val="22"/>
        </w:rPr>
        <w:t>reč</w:t>
      </w:r>
      <w:r w:rsidRPr="007A17AE">
        <w:rPr>
          <w:b/>
          <w:szCs w:val="22"/>
        </w:rPr>
        <w:t xml:space="preserve">iau kaip 1 iš 100 </w:t>
      </w:r>
      <w:r>
        <w:rPr>
          <w:b/>
          <w:szCs w:val="22"/>
        </w:rPr>
        <w:t>asmen</w:t>
      </w:r>
      <w:r w:rsidRPr="007A17AE">
        <w:rPr>
          <w:b/>
          <w:szCs w:val="22"/>
        </w:rPr>
        <w:t>ų):</w:t>
      </w:r>
    </w:p>
    <w:p w:rsidR="0067451D" w:rsidRPr="007A17AE" w:rsidRDefault="0067451D" w:rsidP="0067451D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>svaigulys, mieguistumas;</w:t>
      </w:r>
    </w:p>
    <w:p w:rsidR="0067451D" w:rsidRPr="007A17AE" w:rsidRDefault="0067451D" w:rsidP="0067451D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>spuogai, išbėrimas;</w:t>
      </w:r>
    </w:p>
    <w:p w:rsidR="0067451D" w:rsidRPr="007A17AE" w:rsidRDefault="0067451D" w:rsidP="0067451D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>nerimastingumas;</w:t>
      </w:r>
    </w:p>
    <w:p w:rsidR="0067451D" w:rsidRPr="007A17AE" w:rsidRDefault="0067451D" w:rsidP="0067451D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>raugėjimas, pykinimas, vėmimas, rėmuo, skrandžio skausmas, burnos sausmė, gausus dujų išėjimas;</w:t>
      </w:r>
    </w:p>
    <w:p w:rsidR="0067451D" w:rsidRPr="007A17AE" w:rsidRDefault="0067451D" w:rsidP="0067451D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 xml:space="preserve">padažnėjęs skausmingas arba deginantis </w:t>
      </w:r>
      <w:proofErr w:type="spellStart"/>
      <w:r w:rsidRPr="007A17AE">
        <w:rPr>
          <w:szCs w:val="22"/>
        </w:rPr>
        <w:t>šlapinimasis</w:t>
      </w:r>
      <w:proofErr w:type="spellEnd"/>
      <w:r w:rsidRPr="007A17AE">
        <w:rPr>
          <w:szCs w:val="22"/>
        </w:rPr>
        <w:t>;</w:t>
      </w:r>
    </w:p>
    <w:p w:rsidR="0067451D" w:rsidRPr="007A17AE" w:rsidRDefault="0067451D" w:rsidP="0067451D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>silpnumas, bloga savijauta;</w:t>
      </w:r>
    </w:p>
    <w:p w:rsidR="0067451D" w:rsidRPr="007A17AE" w:rsidRDefault="0067451D" w:rsidP="0067451D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>karščio pylimas arba veido ar odos raudonis;</w:t>
      </w:r>
    </w:p>
    <w:p w:rsidR="0067451D" w:rsidRPr="007A17AE" w:rsidRDefault="0067451D" w:rsidP="0067451D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>greitas ar nereguliarus širdies plakimas;</w:t>
      </w:r>
    </w:p>
    <w:p w:rsidR="0067451D" w:rsidRPr="007A17AE" w:rsidRDefault="0067451D" w:rsidP="0067451D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>karščiavimas su padidėjusiu infekcijos pavojumi, sumažėjęs raudonųjų kraujo kūnelių skaičius kraujyje.</w:t>
      </w:r>
    </w:p>
    <w:p w:rsidR="0067451D" w:rsidRPr="007A17AE" w:rsidRDefault="0067451D" w:rsidP="0067451D">
      <w:p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</w:p>
    <w:p w:rsidR="0067451D" w:rsidRPr="007A17AE" w:rsidRDefault="0067451D" w:rsidP="0067451D">
      <w:pPr>
        <w:tabs>
          <w:tab w:val="clear" w:pos="567"/>
        </w:tabs>
        <w:spacing w:line="240" w:lineRule="auto"/>
        <w:ind w:right="-2"/>
        <w:contextualSpacing/>
        <w:rPr>
          <w:b/>
          <w:szCs w:val="22"/>
        </w:rPr>
      </w:pPr>
      <w:r w:rsidRPr="007A17AE">
        <w:rPr>
          <w:b/>
          <w:szCs w:val="22"/>
        </w:rPr>
        <w:t>Ret</w:t>
      </w:r>
      <w:r>
        <w:rPr>
          <w:b/>
          <w:szCs w:val="22"/>
        </w:rPr>
        <w:t>i</w:t>
      </w:r>
      <w:r w:rsidRPr="007A17AE">
        <w:rPr>
          <w:b/>
          <w:szCs w:val="22"/>
        </w:rPr>
        <w:t xml:space="preserve"> šalutini</w:t>
      </w:r>
      <w:r>
        <w:rPr>
          <w:b/>
          <w:szCs w:val="22"/>
        </w:rPr>
        <w:t>o</w:t>
      </w:r>
      <w:r w:rsidRPr="007A17AE">
        <w:rPr>
          <w:b/>
          <w:szCs w:val="22"/>
        </w:rPr>
        <w:t xml:space="preserve"> poveiki</w:t>
      </w:r>
      <w:r>
        <w:rPr>
          <w:b/>
          <w:szCs w:val="22"/>
        </w:rPr>
        <w:t>o</w:t>
      </w:r>
      <w:r w:rsidRPr="007A17AE">
        <w:rPr>
          <w:b/>
          <w:szCs w:val="22"/>
        </w:rPr>
        <w:t xml:space="preserve"> </w:t>
      </w:r>
      <w:r w:rsidRPr="004665D6">
        <w:rPr>
          <w:b/>
          <w:bCs/>
        </w:rPr>
        <w:t xml:space="preserve">reiškiniai </w:t>
      </w:r>
      <w:r w:rsidRPr="007A17AE">
        <w:rPr>
          <w:b/>
          <w:szCs w:val="22"/>
        </w:rPr>
        <w:t>(gali pasireikšti</w:t>
      </w:r>
      <w:r>
        <w:rPr>
          <w:b/>
          <w:szCs w:val="22"/>
        </w:rPr>
        <w:t xml:space="preserve"> rečiau </w:t>
      </w:r>
      <w:r w:rsidRPr="007A17AE">
        <w:rPr>
          <w:b/>
          <w:szCs w:val="22"/>
        </w:rPr>
        <w:t xml:space="preserve"> kaip 1 iš 1</w:t>
      </w:r>
      <w:r>
        <w:rPr>
          <w:b/>
          <w:szCs w:val="22"/>
        </w:rPr>
        <w:t xml:space="preserve"> </w:t>
      </w:r>
      <w:r w:rsidRPr="007A17AE">
        <w:rPr>
          <w:b/>
          <w:szCs w:val="22"/>
        </w:rPr>
        <w:t xml:space="preserve">000 </w:t>
      </w:r>
      <w:r>
        <w:rPr>
          <w:b/>
          <w:szCs w:val="22"/>
        </w:rPr>
        <w:t>asmen</w:t>
      </w:r>
      <w:r w:rsidRPr="007A17AE">
        <w:rPr>
          <w:b/>
          <w:szCs w:val="22"/>
        </w:rPr>
        <w:t>ų):</w:t>
      </w:r>
    </w:p>
    <w:p w:rsidR="0067451D" w:rsidRPr="007A17AE" w:rsidRDefault="0067451D" w:rsidP="0067451D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>sunkumas mąstyti, energijos stoka, skonio jutimo pakitimas;</w:t>
      </w:r>
    </w:p>
    <w:p w:rsidR="0067451D" w:rsidRPr="007A17AE" w:rsidRDefault="0067451D" w:rsidP="0067451D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 xml:space="preserve">odos jautrumas saulei, padidėjęs prakaitavimas, riebaluota oda, odos žaizdos, niežtintis išbėrimas, </w:t>
      </w:r>
      <w:proofErr w:type="spellStart"/>
      <w:r w:rsidRPr="007A17AE">
        <w:rPr>
          <w:szCs w:val="22"/>
        </w:rPr>
        <w:t>Stivenso</w:t>
      </w:r>
      <w:proofErr w:type="spellEnd"/>
      <w:r w:rsidRPr="007A17AE">
        <w:rPr>
          <w:szCs w:val="22"/>
        </w:rPr>
        <w:t>-Džonsono (</w:t>
      </w:r>
      <w:proofErr w:type="spellStart"/>
      <w:r w:rsidRPr="00F122CC">
        <w:rPr>
          <w:i/>
          <w:szCs w:val="22"/>
        </w:rPr>
        <w:t>Stevens-Johnson</w:t>
      </w:r>
      <w:proofErr w:type="spellEnd"/>
      <w:r w:rsidRPr="007A17AE">
        <w:rPr>
          <w:szCs w:val="22"/>
        </w:rPr>
        <w:t xml:space="preserve">) sindromas ar toksinė epidermio </w:t>
      </w:r>
      <w:proofErr w:type="spellStart"/>
      <w:r w:rsidRPr="007A17AE">
        <w:rPr>
          <w:szCs w:val="22"/>
        </w:rPr>
        <w:t>nekrolizė</w:t>
      </w:r>
      <w:proofErr w:type="spellEnd"/>
      <w:r w:rsidRPr="007A17AE">
        <w:rPr>
          <w:szCs w:val="22"/>
        </w:rPr>
        <w:t xml:space="preserve"> (reta ir sunki odos reakcija);</w:t>
      </w:r>
    </w:p>
    <w:p w:rsidR="0067451D" w:rsidRPr="007A17AE" w:rsidRDefault="0067451D" w:rsidP="0067451D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>euforija (labai didelis laimės pojūtis), orientacijos sutrikimas;</w:t>
      </w:r>
    </w:p>
    <w:p w:rsidR="0067451D" w:rsidRPr="007A17AE" w:rsidRDefault="0067451D" w:rsidP="0067451D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>bakterinė infekcija, grybelinė infekcija;</w:t>
      </w:r>
    </w:p>
    <w:p w:rsidR="0067451D" w:rsidRPr="007A17AE" w:rsidRDefault="0067451D" w:rsidP="0067451D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>sunkus vidurių užkietėjimas, skrandžio opa, plonųjų žarnų ir storosios žarnos uždegimas, opelės burnoje, pilvo pūtimas;</w:t>
      </w:r>
    </w:p>
    <w:p w:rsidR="0067451D" w:rsidRPr="007A17AE" w:rsidRDefault="0067451D" w:rsidP="0067451D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 xml:space="preserve">dažnas </w:t>
      </w:r>
      <w:proofErr w:type="spellStart"/>
      <w:r w:rsidRPr="007A17AE">
        <w:rPr>
          <w:szCs w:val="22"/>
        </w:rPr>
        <w:t>šlapinimasis</w:t>
      </w:r>
      <w:proofErr w:type="spellEnd"/>
      <w:r w:rsidRPr="007A17AE">
        <w:rPr>
          <w:szCs w:val="22"/>
        </w:rPr>
        <w:t>, didesnis nei įprastai šlapimo kiekis, cukraus buvimas šlapime;</w:t>
      </w:r>
    </w:p>
    <w:p w:rsidR="0067451D" w:rsidRPr="007A17AE" w:rsidRDefault="0067451D" w:rsidP="0067451D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>diskomfortas krūtinėje, patinimas, eisenos pakitimas;</w:t>
      </w:r>
    </w:p>
    <w:p w:rsidR="0067451D" w:rsidRPr="007A17AE" w:rsidRDefault="0067451D" w:rsidP="0067451D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>kosulys, gleivės užpakalinėje ryklės sienelėje, ryklės perštėjimas, čiaudulys, gerklės skausmas;</w:t>
      </w:r>
    </w:p>
    <w:p w:rsidR="0067451D" w:rsidRPr="007A17AE" w:rsidRDefault="0067451D" w:rsidP="0067451D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>išskyros iš akių ir akių niežėjimas;</w:t>
      </w:r>
    </w:p>
    <w:p w:rsidR="0067451D" w:rsidRPr="007A17AE" w:rsidRDefault="0067451D" w:rsidP="0067451D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>spengimas ausyse;</w:t>
      </w:r>
    </w:p>
    <w:p w:rsidR="0067451D" w:rsidRPr="007A17AE" w:rsidRDefault="0067451D" w:rsidP="0067451D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>raumenų spazmai, raumenų silpnumas;</w:t>
      </w:r>
    </w:p>
    <w:p w:rsidR="0067451D" w:rsidRPr="007A17AE" w:rsidRDefault="0067451D" w:rsidP="0067451D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>padidėjęs troškulys;</w:t>
      </w:r>
    </w:p>
    <w:p w:rsidR="0067451D" w:rsidRPr="007A17AE" w:rsidRDefault="0067451D" w:rsidP="0067451D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>sulėtėjęs širdies plakimas, širdies ir kraujagyslių liga;</w:t>
      </w:r>
    </w:p>
    <w:p w:rsidR="0067451D" w:rsidRPr="007A17AE" w:rsidRDefault="0067451D" w:rsidP="0067451D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contextualSpacing/>
        <w:rPr>
          <w:szCs w:val="22"/>
        </w:rPr>
      </w:pPr>
      <w:r w:rsidRPr="007A17AE">
        <w:rPr>
          <w:szCs w:val="22"/>
        </w:rPr>
        <w:t>sumažėjęs baltųjų kraujo kūnelių skaičius, sumažėjęs natrio kiekis kraujyje, kūno svorio netekimas.</w:t>
      </w:r>
    </w:p>
    <w:p w:rsidR="0067451D" w:rsidRPr="007A17AE" w:rsidRDefault="0067451D" w:rsidP="0067451D">
      <w:pPr>
        <w:numPr>
          <w:ilvl w:val="12"/>
          <w:numId w:val="0"/>
        </w:numPr>
        <w:spacing w:line="240" w:lineRule="auto"/>
        <w:ind w:right="-29"/>
        <w:contextualSpacing/>
        <w:rPr>
          <w:szCs w:val="22"/>
        </w:rPr>
      </w:pPr>
    </w:p>
    <w:p w:rsidR="0067451D" w:rsidRPr="007A17AE" w:rsidRDefault="0067451D" w:rsidP="0067451D">
      <w:pPr>
        <w:numPr>
          <w:ilvl w:val="12"/>
          <w:numId w:val="0"/>
        </w:numPr>
        <w:spacing w:line="240" w:lineRule="auto"/>
        <w:contextualSpacing/>
        <w:outlineLvl w:val="0"/>
        <w:rPr>
          <w:b/>
          <w:szCs w:val="22"/>
        </w:rPr>
      </w:pPr>
      <w:r w:rsidRPr="007A17AE">
        <w:rPr>
          <w:b/>
          <w:szCs w:val="22"/>
        </w:rPr>
        <w:t>Pranešimas apie šalutinį poveikį</w:t>
      </w:r>
    </w:p>
    <w:p w:rsidR="0067451D" w:rsidRPr="007A17AE" w:rsidRDefault="0067451D" w:rsidP="0067451D">
      <w:pPr>
        <w:pStyle w:val="BodytextAgency"/>
        <w:spacing w:after="0" w:line="240" w:lineRule="auto"/>
        <w:contextualSpacing/>
        <w:rPr>
          <w:rFonts w:ascii="Times New Roman" w:eastAsia="SimSun" w:hAnsi="Times New Roman" w:cs="Times New Roman"/>
          <w:sz w:val="22"/>
          <w:szCs w:val="22"/>
        </w:rPr>
      </w:pPr>
      <w:r w:rsidRPr="007A17AE">
        <w:rPr>
          <w:rFonts w:ascii="Times New Roman" w:eastAsia="SimSun" w:hAnsi="Times New Roman" w:cs="Times New Roman"/>
          <w:sz w:val="22"/>
          <w:szCs w:val="22"/>
        </w:rPr>
        <w:t xml:space="preserve">Jeigu pasireiškė šalutinis poveikis, įskaitant šiame lapelyje nenurodytą, pasakykite gydytojui arba vaistininkui. </w:t>
      </w:r>
      <w:r w:rsidRPr="00DD551C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DD551C">
        <w:rPr>
          <w:rFonts w:ascii="Times New Roman" w:eastAsia="Times New Roman" w:hAnsi="Times New Roman" w:cs="Times New Roman"/>
          <w:sz w:val="22"/>
          <w:szCs w:val="22"/>
          <w:lang w:eastAsia="en-US"/>
        </w:rPr>
        <w:t>NepageidaujamaR@vvkt.lt</w:t>
      </w:r>
      <w:proofErr w:type="spellEnd"/>
      <w:r w:rsidRPr="00DD551C">
        <w:rPr>
          <w:rFonts w:ascii="Times New Roman" w:eastAsia="Times New Roman" w:hAnsi="Times New Roman" w:cs="Times New Roman"/>
          <w:sz w:val="22"/>
          <w:szCs w:val="22"/>
          <w:lang w:eastAsia="en-US"/>
        </w:rPr>
        <w:t>) arba nemokamu telefonu 8 800 73 568.</w:t>
      </w:r>
    </w:p>
    <w:p w:rsidR="0067451D" w:rsidRPr="007A17AE" w:rsidRDefault="0067451D" w:rsidP="0067451D">
      <w:pPr>
        <w:autoSpaceDE w:val="0"/>
        <w:autoSpaceDN w:val="0"/>
        <w:adjustRightInd w:val="0"/>
        <w:spacing w:line="240" w:lineRule="auto"/>
        <w:contextualSpacing/>
        <w:rPr>
          <w:szCs w:val="22"/>
        </w:rPr>
      </w:pPr>
    </w:p>
    <w:p w:rsidR="0067451D" w:rsidRPr="007A17AE" w:rsidRDefault="0067451D" w:rsidP="0067451D">
      <w:pPr>
        <w:autoSpaceDE w:val="0"/>
        <w:autoSpaceDN w:val="0"/>
        <w:adjustRightInd w:val="0"/>
        <w:spacing w:line="240" w:lineRule="auto"/>
        <w:contextualSpacing/>
        <w:rPr>
          <w:szCs w:val="22"/>
        </w:rPr>
      </w:pP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contextualSpacing/>
        <w:rPr>
          <w:b/>
          <w:szCs w:val="22"/>
        </w:rPr>
      </w:pPr>
      <w:r w:rsidRPr="007A17AE">
        <w:rPr>
          <w:b/>
          <w:szCs w:val="22"/>
        </w:rPr>
        <w:t>5.</w:t>
      </w:r>
      <w:r w:rsidRPr="007A17AE">
        <w:rPr>
          <w:b/>
          <w:szCs w:val="22"/>
        </w:rPr>
        <w:tab/>
        <w:t xml:space="preserve">Kaip laikyti </w:t>
      </w:r>
      <w:proofErr w:type="spellStart"/>
      <w:r w:rsidRPr="007A17AE">
        <w:rPr>
          <w:b/>
          <w:szCs w:val="22"/>
        </w:rPr>
        <w:t>Aprepitant</w:t>
      </w:r>
      <w:proofErr w:type="spellEnd"/>
      <w:r w:rsidRPr="007A17AE">
        <w:rPr>
          <w:b/>
          <w:szCs w:val="22"/>
        </w:rPr>
        <w:t xml:space="preserve"> </w:t>
      </w:r>
      <w:proofErr w:type="spellStart"/>
      <w:r w:rsidRPr="007A17AE">
        <w:rPr>
          <w:b/>
          <w:szCs w:val="22"/>
        </w:rPr>
        <w:t>Sandoz</w:t>
      </w:r>
      <w:proofErr w:type="spellEnd"/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  <w:r w:rsidRPr="007A17AE">
        <w:rPr>
          <w:szCs w:val="22"/>
        </w:rPr>
        <w:t>Šį vaistą laikykite vaikams nepastebimoje ir nepasiekiamoje vietoje.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  <w:r w:rsidRPr="007A17AE">
        <w:rPr>
          <w:szCs w:val="22"/>
        </w:rPr>
        <w:t>Ant dėžutės po „EXP“ nurodytam tinkamumo laikui pasibaigus, šio vaisto vartoti negalima. Vaistas tinkamas vartoti iki paskutinės nurodyto mėnesio dienos.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  <w:r w:rsidRPr="007A17AE">
        <w:rPr>
          <w:szCs w:val="22"/>
        </w:rPr>
        <w:t>Šiam vaistui specialių laikymo sąlygų nereikia.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  <w:r w:rsidRPr="007A17AE">
        <w:rPr>
          <w:szCs w:val="22"/>
        </w:rPr>
        <w:t>Neišimkite kapsulės iš jos lizdinės plokštelės, kol nesate pasiruošę jos vartoti.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i/>
          <w:szCs w:val="22"/>
        </w:rPr>
      </w:pPr>
      <w:r w:rsidRPr="007A17AE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</w:p>
    <w:p w:rsidR="0067451D" w:rsidRPr="007A17AE" w:rsidRDefault="0067451D" w:rsidP="0067451D">
      <w:pPr>
        <w:numPr>
          <w:ilvl w:val="12"/>
          <w:numId w:val="0"/>
        </w:numPr>
        <w:spacing w:line="240" w:lineRule="auto"/>
        <w:ind w:right="-2"/>
        <w:contextualSpacing/>
        <w:rPr>
          <w:b/>
          <w:szCs w:val="22"/>
        </w:rPr>
      </w:pPr>
      <w:r w:rsidRPr="007A17AE">
        <w:rPr>
          <w:b/>
          <w:szCs w:val="22"/>
        </w:rPr>
        <w:t>6.</w:t>
      </w:r>
      <w:r w:rsidRPr="007A17AE">
        <w:rPr>
          <w:b/>
          <w:szCs w:val="22"/>
        </w:rPr>
        <w:tab/>
        <w:t>Pakuotės turinys ir kita informacija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rPr>
          <w:szCs w:val="22"/>
        </w:rPr>
      </w:pP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  <w:proofErr w:type="spellStart"/>
      <w:r w:rsidRPr="007A17AE">
        <w:rPr>
          <w:b/>
          <w:szCs w:val="22"/>
        </w:rPr>
        <w:t>Aprepitant</w:t>
      </w:r>
      <w:proofErr w:type="spellEnd"/>
      <w:r w:rsidRPr="007A17AE">
        <w:rPr>
          <w:b/>
          <w:szCs w:val="22"/>
        </w:rPr>
        <w:t xml:space="preserve"> </w:t>
      </w:r>
      <w:proofErr w:type="spellStart"/>
      <w:r w:rsidRPr="007A17AE">
        <w:rPr>
          <w:b/>
          <w:szCs w:val="22"/>
        </w:rPr>
        <w:t>Sandoz</w:t>
      </w:r>
      <w:proofErr w:type="spellEnd"/>
      <w:r w:rsidRPr="007A17AE">
        <w:rPr>
          <w:b/>
          <w:szCs w:val="22"/>
        </w:rPr>
        <w:t xml:space="preserve"> sudėtis </w:t>
      </w:r>
    </w:p>
    <w:p w:rsidR="0067451D" w:rsidRPr="007A17AE" w:rsidRDefault="0067451D" w:rsidP="0067451D">
      <w:pPr>
        <w:numPr>
          <w:ilvl w:val="0"/>
          <w:numId w:val="7"/>
        </w:numPr>
        <w:spacing w:line="240" w:lineRule="auto"/>
        <w:ind w:left="567" w:hanging="567"/>
        <w:contextualSpacing/>
        <w:rPr>
          <w:i/>
        </w:rPr>
      </w:pPr>
      <w:r w:rsidRPr="007A17AE">
        <w:t xml:space="preserve">Veiklioji medžiaga yra </w:t>
      </w:r>
      <w:proofErr w:type="spellStart"/>
      <w:r w:rsidRPr="007A17AE">
        <w:t>aprepitantas</w:t>
      </w:r>
      <w:proofErr w:type="spellEnd"/>
      <w:r w:rsidRPr="007A17AE">
        <w:t>.</w:t>
      </w:r>
    </w:p>
    <w:p w:rsidR="0067451D" w:rsidRPr="007A17AE" w:rsidRDefault="0067451D" w:rsidP="0067451D">
      <w:pPr>
        <w:spacing w:line="240" w:lineRule="auto"/>
        <w:contextualSpacing/>
      </w:pPr>
    </w:p>
    <w:p w:rsidR="0067451D" w:rsidRPr="007A17AE" w:rsidRDefault="0067451D" w:rsidP="0067451D">
      <w:pPr>
        <w:spacing w:line="240" w:lineRule="auto"/>
        <w:contextualSpacing/>
        <w:rPr>
          <w:i/>
        </w:rPr>
      </w:pPr>
      <w:proofErr w:type="spellStart"/>
      <w:r w:rsidRPr="007A17AE">
        <w:rPr>
          <w:i/>
        </w:rPr>
        <w:t>Aprepitant</w:t>
      </w:r>
      <w:proofErr w:type="spellEnd"/>
      <w:r w:rsidRPr="007A17AE">
        <w:rPr>
          <w:i/>
        </w:rPr>
        <w:t xml:space="preserve"> </w:t>
      </w:r>
      <w:proofErr w:type="spellStart"/>
      <w:r w:rsidRPr="007A17AE">
        <w:rPr>
          <w:i/>
        </w:rPr>
        <w:t>Sandoz</w:t>
      </w:r>
      <w:proofErr w:type="spellEnd"/>
      <w:r w:rsidRPr="007A17AE">
        <w:rPr>
          <w:i/>
        </w:rPr>
        <w:t xml:space="preserve"> 125 mg kieto</w:t>
      </w:r>
      <w:r>
        <w:rPr>
          <w:i/>
        </w:rPr>
        <w:t>ji</w:t>
      </w:r>
      <w:r w:rsidRPr="007A17AE">
        <w:rPr>
          <w:i/>
        </w:rPr>
        <w:t xml:space="preserve"> kapsulė</w:t>
      </w:r>
    </w:p>
    <w:p w:rsidR="0067451D" w:rsidRDefault="0067451D" w:rsidP="0067451D">
      <w:pPr>
        <w:spacing w:line="240" w:lineRule="auto"/>
        <w:contextualSpacing/>
      </w:pPr>
      <w:r w:rsidRPr="007A17AE">
        <w:t xml:space="preserve">Kiekvienoje </w:t>
      </w:r>
      <w:r>
        <w:t xml:space="preserve">kietojoje </w:t>
      </w:r>
      <w:r w:rsidRPr="007A17AE">
        <w:t xml:space="preserve">kapsulėje yra 125 mg </w:t>
      </w:r>
      <w:proofErr w:type="spellStart"/>
      <w:r w:rsidRPr="007A17AE">
        <w:t>aprepitanto</w:t>
      </w:r>
      <w:proofErr w:type="spellEnd"/>
      <w:r w:rsidRPr="007A17AE">
        <w:t>.</w:t>
      </w:r>
    </w:p>
    <w:p w:rsidR="0067451D" w:rsidRPr="007A17AE" w:rsidRDefault="0067451D" w:rsidP="0067451D">
      <w:pPr>
        <w:spacing w:line="240" w:lineRule="auto"/>
        <w:contextualSpacing/>
      </w:pPr>
    </w:p>
    <w:p w:rsidR="0067451D" w:rsidRPr="007A17AE" w:rsidRDefault="0067451D" w:rsidP="0067451D">
      <w:pPr>
        <w:spacing w:line="240" w:lineRule="auto"/>
        <w:contextualSpacing/>
        <w:rPr>
          <w:i/>
        </w:rPr>
      </w:pPr>
      <w:proofErr w:type="spellStart"/>
      <w:r w:rsidRPr="007A17AE">
        <w:rPr>
          <w:i/>
        </w:rPr>
        <w:t>Aprepitant</w:t>
      </w:r>
      <w:proofErr w:type="spellEnd"/>
      <w:r w:rsidRPr="007A17AE">
        <w:rPr>
          <w:i/>
        </w:rPr>
        <w:t xml:space="preserve"> </w:t>
      </w:r>
      <w:proofErr w:type="spellStart"/>
      <w:r w:rsidRPr="007A17AE">
        <w:rPr>
          <w:i/>
        </w:rPr>
        <w:t>Sandoz</w:t>
      </w:r>
      <w:proofErr w:type="spellEnd"/>
      <w:r w:rsidRPr="007A17AE">
        <w:rPr>
          <w:i/>
        </w:rPr>
        <w:t xml:space="preserve"> 80 mg kietosios kapsulės</w:t>
      </w:r>
    </w:p>
    <w:p w:rsidR="0067451D" w:rsidRPr="007A17AE" w:rsidRDefault="0067451D" w:rsidP="0067451D">
      <w:pPr>
        <w:spacing w:line="240" w:lineRule="auto"/>
        <w:contextualSpacing/>
      </w:pPr>
      <w:r w:rsidRPr="007A17AE">
        <w:t xml:space="preserve">Kiekvienoje </w:t>
      </w:r>
      <w:r>
        <w:t xml:space="preserve">kietojoje </w:t>
      </w:r>
      <w:r w:rsidRPr="007A17AE">
        <w:t xml:space="preserve">kapsulėje yra 80 mg </w:t>
      </w:r>
      <w:proofErr w:type="spellStart"/>
      <w:r w:rsidRPr="007A17AE">
        <w:t>aprepitanto</w:t>
      </w:r>
      <w:proofErr w:type="spellEnd"/>
      <w:r w:rsidRPr="007A17AE">
        <w:t>.</w:t>
      </w:r>
    </w:p>
    <w:p w:rsidR="0067451D" w:rsidRPr="007A17AE" w:rsidRDefault="0067451D" w:rsidP="0067451D">
      <w:pPr>
        <w:spacing w:line="240" w:lineRule="auto"/>
        <w:contextualSpacing/>
      </w:pPr>
    </w:p>
    <w:p w:rsidR="0067451D" w:rsidRPr="00DD551C" w:rsidRDefault="0067451D" w:rsidP="0067451D">
      <w:pPr>
        <w:pStyle w:val="Sraopastraipa"/>
        <w:numPr>
          <w:ilvl w:val="0"/>
          <w:numId w:val="7"/>
        </w:numPr>
        <w:spacing w:line="240" w:lineRule="auto"/>
        <w:ind w:left="567" w:hanging="567"/>
        <w:jc w:val="left"/>
        <w:rPr>
          <w:lang w:val="lt-LT"/>
        </w:rPr>
      </w:pPr>
      <w:r w:rsidRPr="00710C2F">
        <w:rPr>
          <w:sz w:val="22"/>
          <w:lang w:val="lt-LT"/>
        </w:rPr>
        <w:t>Pagalbinės medžiagos yra</w:t>
      </w:r>
      <w:r w:rsidRPr="00901B3F">
        <w:rPr>
          <w:sz w:val="22"/>
          <w:lang w:val="lt-LT"/>
        </w:rPr>
        <w:t xml:space="preserve">: sacharozė, </w:t>
      </w:r>
      <w:proofErr w:type="spellStart"/>
      <w:r w:rsidRPr="00901B3F">
        <w:rPr>
          <w:sz w:val="22"/>
          <w:lang w:val="lt-LT"/>
        </w:rPr>
        <w:t>mikrokristalinės</w:t>
      </w:r>
      <w:proofErr w:type="spellEnd"/>
      <w:r w:rsidRPr="00901B3F">
        <w:rPr>
          <w:sz w:val="22"/>
          <w:lang w:val="lt-LT"/>
        </w:rPr>
        <w:t xml:space="preserve"> celiuliozės sferos 500 (E460), </w:t>
      </w:r>
      <w:proofErr w:type="spellStart"/>
      <w:r w:rsidRPr="00901B3F">
        <w:rPr>
          <w:sz w:val="22"/>
          <w:lang w:val="lt-LT"/>
        </w:rPr>
        <w:t>hidroksipropilceliuliozė</w:t>
      </w:r>
      <w:proofErr w:type="spellEnd"/>
      <w:r w:rsidRPr="00901B3F">
        <w:rPr>
          <w:sz w:val="22"/>
          <w:lang w:val="lt-LT"/>
        </w:rPr>
        <w:t xml:space="preserve"> (HPC-SL) (E463), natrio </w:t>
      </w:r>
      <w:proofErr w:type="spellStart"/>
      <w:r w:rsidRPr="00901B3F">
        <w:rPr>
          <w:sz w:val="22"/>
          <w:lang w:val="lt-LT"/>
        </w:rPr>
        <w:t>laurilsulfatas</w:t>
      </w:r>
      <w:proofErr w:type="spellEnd"/>
      <w:r w:rsidRPr="00901B3F">
        <w:rPr>
          <w:sz w:val="22"/>
          <w:lang w:val="lt-LT"/>
        </w:rPr>
        <w:t>, želatina, titano dioksidas (E171); 125 mg kietųjų kapsulių sudėtyje taip pat yra raudonojo geležies oksido (E172).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/>
          <w:szCs w:val="22"/>
        </w:rPr>
      </w:pPr>
      <w:proofErr w:type="spellStart"/>
      <w:r w:rsidRPr="007A17AE">
        <w:rPr>
          <w:b/>
          <w:szCs w:val="22"/>
        </w:rPr>
        <w:t>Aprepitant</w:t>
      </w:r>
      <w:proofErr w:type="spellEnd"/>
      <w:r w:rsidRPr="007A17AE">
        <w:rPr>
          <w:b/>
          <w:szCs w:val="22"/>
        </w:rPr>
        <w:t xml:space="preserve"> </w:t>
      </w:r>
      <w:proofErr w:type="spellStart"/>
      <w:r w:rsidRPr="007A17AE">
        <w:rPr>
          <w:b/>
          <w:szCs w:val="22"/>
        </w:rPr>
        <w:t>Sandoz</w:t>
      </w:r>
      <w:proofErr w:type="spellEnd"/>
      <w:r w:rsidRPr="007A17AE">
        <w:rPr>
          <w:b/>
          <w:szCs w:val="22"/>
        </w:rPr>
        <w:t xml:space="preserve"> išvaizda ir kiekis pakuotėje</w:t>
      </w:r>
    </w:p>
    <w:p w:rsidR="0067451D" w:rsidRPr="007A17AE" w:rsidRDefault="0067451D" w:rsidP="0067451D">
      <w:pPr>
        <w:pStyle w:val="Default"/>
        <w:contextualSpacing/>
        <w:rPr>
          <w:sz w:val="22"/>
          <w:szCs w:val="22"/>
        </w:rPr>
      </w:pPr>
    </w:p>
    <w:p w:rsidR="0067451D" w:rsidRPr="007A17AE" w:rsidRDefault="0067451D" w:rsidP="0067451D">
      <w:pPr>
        <w:pStyle w:val="Default"/>
        <w:contextualSpacing/>
        <w:rPr>
          <w:i/>
          <w:sz w:val="22"/>
          <w:szCs w:val="22"/>
        </w:rPr>
      </w:pPr>
      <w:proofErr w:type="spellStart"/>
      <w:r w:rsidRPr="007A17AE">
        <w:rPr>
          <w:i/>
          <w:sz w:val="22"/>
          <w:szCs w:val="22"/>
        </w:rPr>
        <w:t>Aprepitant</w:t>
      </w:r>
      <w:proofErr w:type="spellEnd"/>
      <w:r w:rsidRPr="007A17AE">
        <w:rPr>
          <w:i/>
          <w:sz w:val="22"/>
          <w:szCs w:val="22"/>
        </w:rPr>
        <w:t xml:space="preserve"> </w:t>
      </w:r>
      <w:proofErr w:type="spellStart"/>
      <w:r w:rsidRPr="007A17AE">
        <w:rPr>
          <w:i/>
          <w:sz w:val="22"/>
          <w:szCs w:val="22"/>
        </w:rPr>
        <w:t>Sandoz</w:t>
      </w:r>
      <w:proofErr w:type="spellEnd"/>
      <w:r w:rsidRPr="007A17AE">
        <w:rPr>
          <w:i/>
          <w:sz w:val="22"/>
          <w:szCs w:val="22"/>
        </w:rPr>
        <w:t xml:space="preserve"> 125 mg kieto</w:t>
      </w:r>
      <w:r>
        <w:rPr>
          <w:i/>
          <w:sz w:val="22"/>
          <w:szCs w:val="22"/>
        </w:rPr>
        <w:t>ji</w:t>
      </w:r>
      <w:r w:rsidRPr="007A17AE">
        <w:rPr>
          <w:i/>
          <w:sz w:val="22"/>
          <w:szCs w:val="22"/>
        </w:rPr>
        <w:t xml:space="preserve"> kapsulė</w:t>
      </w:r>
    </w:p>
    <w:p w:rsidR="0067451D" w:rsidRDefault="0067451D" w:rsidP="0067451D">
      <w:pPr>
        <w:pStyle w:val="Default"/>
        <w:contextualSpacing/>
        <w:rPr>
          <w:sz w:val="22"/>
          <w:szCs w:val="22"/>
        </w:rPr>
      </w:pPr>
      <w:r w:rsidRPr="007A17AE">
        <w:rPr>
          <w:sz w:val="22"/>
          <w:szCs w:val="22"/>
        </w:rPr>
        <w:t>Nepermatoma kapsulė, kurios korpusas baltas, o dangtelis rausvas, pripildyta baltų arba beveik baltų granulių.</w:t>
      </w:r>
    </w:p>
    <w:p w:rsidR="0067451D" w:rsidRPr="007A17AE" w:rsidRDefault="0067451D" w:rsidP="0067451D">
      <w:pPr>
        <w:pStyle w:val="Default"/>
        <w:contextualSpacing/>
        <w:rPr>
          <w:sz w:val="22"/>
          <w:szCs w:val="22"/>
        </w:rPr>
      </w:pPr>
    </w:p>
    <w:p w:rsidR="0067451D" w:rsidRPr="007A17AE" w:rsidRDefault="0067451D" w:rsidP="0067451D">
      <w:pPr>
        <w:spacing w:line="240" w:lineRule="auto"/>
        <w:contextualSpacing/>
        <w:rPr>
          <w:i/>
        </w:rPr>
      </w:pPr>
      <w:proofErr w:type="spellStart"/>
      <w:r w:rsidRPr="007A17AE">
        <w:rPr>
          <w:i/>
        </w:rPr>
        <w:t>Aprepitant</w:t>
      </w:r>
      <w:proofErr w:type="spellEnd"/>
      <w:r w:rsidRPr="007A17AE">
        <w:rPr>
          <w:i/>
        </w:rPr>
        <w:t xml:space="preserve"> </w:t>
      </w:r>
      <w:proofErr w:type="spellStart"/>
      <w:r w:rsidRPr="007A17AE">
        <w:rPr>
          <w:i/>
        </w:rPr>
        <w:t>Sandoz</w:t>
      </w:r>
      <w:proofErr w:type="spellEnd"/>
      <w:r w:rsidRPr="007A17AE">
        <w:rPr>
          <w:i/>
        </w:rPr>
        <w:t xml:space="preserve"> 80 mg kietosios kapsulės</w:t>
      </w:r>
    </w:p>
    <w:p w:rsidR="0067451D" w:rsidRPr="007A17AE" w:rsidRDefault="0067451D" w:rsidP="0067451D">
      <w:pPr>
        <w:pStyle w:val="Default"/>
        <w:contextualSpacing/>
        <w:rPr>
          <w:sz w:val="22"/>
          <w:szCs w:val="22"/>
        </w:rPr>
      </w:pPr>
      <w:r w:rsidRPr="007A17AE">
        <w:rPr>
          <w:sz w:val="22"/>
          <w:szCs w:val="22"/>
        </w:rPr>
        <w:t xml:space="preserve">Nepermatoma kapsulė, kurios korpusas ir dangtelis balti, pripildyta baltų arba beveik baltų granulių. </w:t>
      </w:r>
    </w:p>
    <w:p w:rsidR="0067451D" w:rsidRPr="007A17AE" w:rsidRDefault="0067451D" w:rsidP="0067451D">
      <w:pPr>
        <w:pStyle w:val="Default"/>
        <w:contextualSpacing/>
        <w:rPr>
          <w:sz w:val="22"/>
          <w:szCs w:val="22"/>
        </w:rPr>
      </w:pPr>
    </w:p>
    <w:p w:rsidR="0067451D" w:rsidRPr="007A17AE" w:rsidRDefault="0067451D" w:rsidP="0067451D">
      <w:pPr>
        <w:pStyle w:val="Default"/>
        <w:contextualSpacing/>
        <w:rPr>
          <w:sz w:val="22"/>
          <w:szCs w:val="22"/>
        </w:rPr>
      </w:pPr>
      <w:proofErr w:type="spellStart"/>
      <w:r w:rsidRPr="007A17AE">
        <w:rPr>
          <w:sz w:val="22"/>
          <w:szCs w:val="22"/>
        </w:rPr>
        <w:t>Aprepitant</w:t>
      </w:r>
      <w:proofErr w:type="spellEnd"/>
      <w:r w:rsidRPr="007A17AE">
        <w:rPr>
          <w:sz w:val="22"/>
          <w:szCs w:val="22"/>
        </w:rPr>
        <w:t xml:space="preserve"> </w:t>
      </w:r>
      <w:proofErr w:type="spellStart"/>
      <w:r w:rsidRPr="00B12DD0">
        <w:rPr>
          <w:sz w:val="22"/>
          <w:szCs w:val="22"/>
        </w:rPr>
        <w:t>Sandoz</w:t>
      </w:r>
      <w:proofErr w:type="spellEnd"/>
      <w:r w:rsidRPr="00B12DD0">
        <w:rPr>
          <w:sz w:val="22"/>
          <w:szCs w:val="22"/>
        </w:rPr>
        <w:t xml:space="preserve"> 125 mg kietoji kapsulė ir</w:t>
      </w:r>
      <w:r>
        <w:rPr>
          <w:sz w:val="22"/>
          <w:szCs w:val="22"/>
        </w:rPr>
        <w:t xml:space="preserve"> </w:t>
      </w:r>
      <w:proofErr w:type="spellStart"/>
      <w:r w:rsidRPr="00B12DD0">
        <w:rPr>
          <w:sz w:val="22"/>
          <w:szCs w:val="22"/>
        </w:rPr>
        <w:t>Aprepitant</w:t>
      </w:r>
      <w:proofErr w:type="spellEnd"/>
      <w:r w:rsidRPr="00B12DD0">
        <w:rPr>
          <w:sz w:val="22"/>
          <w:szCs w:val="22"/>
        </w:rPr>
        <w:t xml:space="preserve"> </w:t>
      </w:r>
      <w:proofErr w:type="spellStart"/>
      <w:r w:rsidRPr="00B12DD0">
        <w:rPr>
          <w:sz w:val="22"/>
          <w:szCs w:val="22"/>
        </w:rPr>
        <w:t>Sandoz</w:t>
      </w:r>
      <w:proofErr w:type="spellEnd"/>
      <w:r w:rsidRPr="00B12DD0">
        <w:rPr>
          <w:sz w:val="22"/>
          <w:szCs w:val="22"/>
        </w:rPr>
        <w:t xml:space="preserve"> 80 mg kietosios</w:t>
      </w:r>
      <w:r w:rsidRPr="007A17AE">
        <w:rPr>
          <w:sz w:val="22"/>
          <w:szCs w:val="22"/>
        </w:rPr>
        <w:t xml:space="preserve"> kapsulės yra tiekiamos </w:t>
      </w:r>
      <w:r>
        <w:rPr>
          <w:sz w:val="22"/>
          <w:szCs w:val="22"/>
        </w:rPr>
        <w:t>tokioje</w:t>
      </w:r>
      <w:r w:rsidRPr="007A17AE">
        <w:rPr>
          <w:sz w:val="22"/>
          <w:szCs w:val="22"/>
        </w:rPr>
        <w:t xml:space="preserve"> pakuotė</w:t>
      </w:r>
      <w:r>
        <w:rPr>
          <w:sz w:val="22"/>
          <w:szCs w:val="22"/>
        </w:rPr>
        <w:t>je</w:t>
      </w:r>
      <w:r w:rsidRPr="007A17AE">
        <w:rPr>
          <w:sz w:val="22"/>
          <w:szCs w:val="22"/>
        </w:rPr>
        <w:t>:</w:t>
      </w:r>
    </w:p>
    <w:p w:rsidR="0067451D" w:rsidRPr="007A17AE" w:rsidRDefault="0067451D" w:rsidP="0067451D">
      <w:pPr>
        <w:pStyle w:val="Default"/>
        <w:numPr>
          <w:ilvl w:val="0"/>
          <w:numId w:val="8"/>
        </w:numPr>
        <w:ind w:left="567" w:hanging="567"/>
        <w:contextualSpacing/>
        <w:rPr>
          <w:sz w:val="22"/>
          <w:szCs w:val="22"/>
        </w:rPr>
      </w:pPr>
      <w:r>
        <w:rPr>
          <w:sz w:val="22"/>
          <w:szCs w:val="22"/>
        </w:rPr>
        <w:t>t</w:t>
      </w:r>
      <w:r w:rsidRPr="007A17AE">
        <w:rPr>
          <w:sz w:val="22"/>
          <w:szCs w:val="22"/>
        </w:rPr>
        <w:t>rijų dienų gydymo ciklo pakuotė, kurioje yra viena 125 mg kapsulės lizdinė plokštelė ir viena 80 mg kapsulių lizdinė plokštelė.</w:t>
      </w:r>
    </w:p>
    <w:p w:rsidR="0067451D" w:rsidRPr="007A17AE" w:rsidRDefault="0067451D" w:rsidP="0067451D">
      <w:pPr>
        <w:pStyle w:val="Default"/>
        <w:contextualSpacing/>
        <w:rPr>
          <w:sz w:val="22"/>
          <w:szCs w:val="22"/>
        </w:rPr>
      </w:pP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  <w:r w:rsidRPr="007A17AE">
        <w:rPr>
          <w:b/>
          <w:szCs w:val="22"/>
        </w:rPr>
        <w:t>Registruotojas</w:t>
      </w:r>
      <w:r>
        <w:rPr>
          <w:b/>
          <w:szCs w:val="22"/>
        </w:rPr>
        <w:t xml:space="preserve"> ir gamintojas</w:t>
      </w:r>
    </w:p>
    <w:p w:rsidR="0067451D" w:rsidRDefault="0067451D" w:rsidP="0067451D">
      <w:pPr>
        <w:tabs>
          <w:tab w:val="clear" w:pos="567"/>
        </w:tabs>
        <w:spacing w:line="240" w:lineRule="auto"/>
        <w:contextualSpacing/>
        <w:rPr>
          <w:lang w:eastAsia="lt-LT"/>
        </w:rPr>
      </w:pPr>
    </w:p>
    <w:p w:rsidR="0067451D" w:rsidRPr="00B12DD0" w:rsidRDefault="0067451D" w:rsidP="0067451D">
      <w:pPr>
        <w:tabs>
          <w:tab w:val="clear" w:pos="567"/>
        </w:tabs>
        <w:spacing w:line="240" w:lineRule="auto"/>
        <w:contextualSpacing/>
        <w:rPr>
          <w:i/>
          <w:lang w:eastAsia="lt-LT"/>
        </w:rPr>
      </w:pPr>
      <w:r w:rsidRPr="00B12DD0">
        <w:rPr>
          <w:i/>
          <w:lang w:eastAsia="lt-LT"/>
        </w:rPr>
        <w:t>Registruotojas</w:t>
      </w:r>
    </w:p>
    <w:p w:rsidR="0067451D" w:rsidRPr="007A17AE" w:rsidRDefault="0067451D" w:rsidP="0067451D">
      <w:pPr>
        <w:tabs>
          <w:tab w:val="clear" w:pos="567"/>
        </w:tabs>
        <w:spacing w:line="240" w:lineRule="auto"/>
        <w:contextualSpacing/>
        <w:rPr>
          <w:lang w:eastAsia="lt-LT"/>
        </w:rPr>
      </w:pPr>
      <w:proofErr w:type="spellStart"/>
      <w:r w:rsidRPr="007A17AE">
        <w:rPr>
          <w:lang w:eastAsia="lt-LT"/>
        </w:rPr>
        <w:t>Sandoz</w:t>
      </w:r>
      <w:proofErr w:type="spellEnd"/>
      <w:r w:rsidRPr="007A17AE">
        <w:rPr>
          <w:lang w:eastAsia="lt-LT"/>
        </w:rPr>
        <w:t xml:space="preserve"> </w:t>
      </w:r>
      <w:proofErr w:type="spellStart"/>
      <w:r w:rsidRPr="007A17AE">
        <w:rPr>
          <w:lang w:eastAsia="lt-LT"/>
        </w:rPr>
        <w:t>d.d</w:t>
      </w:r>
      <w:proofErr w:type="spellEnd"/>
      <w:r w:rsidRPr="007A17AE">
        <w:rPr>
          <w:lang w:eastAsia="lt-LT"/>
        </w:rPr>
        <w:t>.</w:t>
      </w:r>
    </w:p>
    <w:p w:rsidR="0067451D" w:rsidRPr="007A17AE" w:rsidRDefault="0067451D" w:rsidP="0067451D">
      <w:pPr>
        <w:tabs>
          <w:tab w:val="clear" w:pos="567"/>
        </w:tabs>
        <w:spacing w:line="240" w:lineRule="auto"/>
        <w:contextualSpacing/>
        <w:rPr>
          <w:lang w:eastAsia="lt-LT"/>
        </w:rPr>
      </w:pPr>
      <w:proofErr w:type="spellStart"/>
      <w:r w:rsidRPr="007A17AE">
        <w:rPr>
          <w:lang w:eastAsia="lt-LT"/>
        </w:rPr>
        <w:t>Verovškova</w:t>
      </w:r>
      <w:proofErr w:type="spellEnd"/>
      <w:r w:rsidRPr="007A17AE">
        <w:rPr>
          <w:lang w:eastAsia="lt-LT"/>
        </w:rPr>
        <w:t xml:space="preserve"> 57</w:t>
      </w:r>
    </w:p>
    <w:p w:rsidR="0067451D" w:rsidRPr="007A17AE" w:rsidRDefault="0067451D" w:rsidP="0067451D">
      <w:pPr>
        <w:tabs>
          <w:tab w:val="clear" w:pos="567"/>
        </w:tabs>
        <w:spacing w:line="240" w:lineRule="auto"/>
        <w:contextualSpacing/>
        <w:rPr>
          <w:lang w:eastAsia="lt-LT"/>
        </w:rPr>
      </w:pPr>
      <w:r w:rsidRPr="007A17AE">
        <w:rPr>
          <w:lang w:eastAsia="lt-LT"/>
        </w:rPr>
        <w:t xml:space="preserve">SI-1000 </w:t>
      </w:r>
      <w:proofErr w:type="spellStart"/>
      <w:r w:rsidRPr="007A17AE">
        <w:rPr>
          <w:lang w:eastAsia="lt-LT"/>
        </w:rPr>
        <w:t>Ljubljana</w:t>
      </w:r>
      <w:proofErr w:type="spellEnd"/>
    </w:p>
    <w:p w:rsidR="0067451D" w:rsidRPr="007A17AE" w:rsidRDefault="0067451D" w:rsidP="0067451D">
      <w:pPr>
        <w:tabs>
          <w:tab w:val="clear" w:pos="567"/>
        </w:tabs>
        <w:spacing w:line="240" w:lineRule="auto"/>
        <w:contextualSpacing/>
        <w:rPr>
          <w:lang w:eastAsia="lt-LT"/>
        </w:rPr>
      </w:pPr>
      <w:r w:rsidRPr="007A17AE">
        <w:rPr>
          <w:lang w:eastAsia="lt-LT"/>
        </w:rPr>
        <w:t>Slovėnija</w:t>
      </w: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szCs w:val="22"/>
        </w:rPr>
      </w:pPr>
    </w:p>
    <w:p w:rsidR="0067451D" w:rsidRPr="00B12DD0" w:rsidRDefault="0067451D" w:rsidP="0067451D">
      <w:pPr>
        <w:spacing w:line="240" w:lineRule="auto"/>
        <w:contextualSpacing/>
        <w:rPr>
          <w:i/>
        </w:rPr>
      </w:pPr>
      <w:r w:rsidRPr="00B12DD0">
        <w:rPr>
          <w:i/>
        </w:rPr>
        <w:t>Gamintojas</w:t>
      </w:r>
    </w:p>
    <w:p w:rsidR="0067451D" w:rsidRPr="007A17AE" w:rsidRDefault="0067451D" w:rsidP="0067451D">
      <w:pPr>
        <w:spacing w:line="240" w:lineRule="auto"/>
        <w:contextualSpacing/>
        <w:rPr>
          <w:szCs w:val="22"/>
        </w:rPr>
      </w:pPr>
      <w:proofErr w:type="spellStart"/>
      <w:r w:rsidRPr="007A17AE">
        <w:rPr>
          <w:szCs w:val="22"/>
        </w:rPr>
        <w:t>Rontis</w:t>
      </w:r>
      <w:proofErr w:type="spellEnd"/>
      <w:r w:rsidRPr="007A17AE">
        <w:rPr>
          <w:szCs w:val="22"/>
        </w:rPr>
        <w:t xml:space="preserve"> </w:t>
      </w:r>
      <w:proofErr w:type="spellStart"/>
      <w:r w:rsidRPr="007A17AE">
        <w:rPr>
          <w:szCs w:val="22"/>
        </w:rPr>
        <w:t>Hellas</w:t>
      </w:r>
      <w:proofErr w:type="spellEnd"/>
      <w:r w:rsidRPr="007A17AE">
        <w:rPr>
          <w:szCs w:val="22"/>
        </w:rPr>
        <w:t xml:space="preserve"> </w:t>
      </w:r>
      <w:proofErr w:type="spellStart"/>
      <w:r w:rsidRPr="007A17AE">
        <w:rPr>
          <w:szCs w:val="22"/>
        </w:rPr>
        <w:t>Medical</w:t>
      </w:r>
      <w:proofErr w:type="spellEnd"/>
      <w:r w:rsidRPr="007A17AE">
        <w:rPr>
          <w:szCs w:val="22"/>
        </w:rPr>
        <w:t xml:space="preserve"> </w:t>
      </w:r>
      <w:proofErr w:type="spellStart"/>
      <w:r w:rsidRPr="007A17AE">
        <w:rPr>
          <w:szCs w:val="22"/>
        </w:rPr>
        <w:t>and</w:t>
      </w:r>
      <w:proofErr w:type="spellEnd"/>
      <w:r w:rsidRPr="007A17AE">
        <w:rPr>
          <w:szCs w:val="22"/>
        </w:rPr>
        <w:t xml:space="preserve"> </w:t>
      </w:r>
      <w:proofErr w:type="spellStart"/>
      <w:r w:rsidRPr="007A17AE">
        <w:rPr>
          <w:szCs w:val="22"/>
        </w:rPr>
        <w:t>Pharmaceutical</w:t>
      </w:r>
      <w:proofErr w:type="spellEnd"/>
      <w:r w:rsidRPr="007A17AE">
        <w:rPr>
          <w:szCs w:val="22"/>
        </w:rPr>
        <w:t xml:space="preserve"> </w:t>
      </w:r>
      <w:proofErr w:type="spellStart"/>
      <w:r w:rsidRPr="007A17AE">
        <w:rPr>
          <w:szCs w:val="22"/>
        </w:rPr>
        <w:t>Products</w:t>
      </w:r>
      <w:proofErr w:type="spellEnd"/>
      <w:r w:rsidRPr="007A17AE">
        <w:rPr>
          <w:szCs w:val="22"/>
        </w:rPr>
        <w:t xml:space="preserve"> S.A.</w:t>
      </w:r>
    </w:p>
    <w:p w:rsidR="0067451D" w:rsidRPr="002B568A" w:rsidRDefault="0067451D" w:rsidP="0067451D">
      <w:pPr>
        <w:autoSpaceDE w:val="0"/>
        <w:autoSpaceDN w:val="0"/>
        <w:spacing w:line="240" w:lineRule="auto"/>
        <w:rPr>
          <w:szCs w:val="22"/>
        </w:rPr>
      </w:pPr>
      <w:r w:rsidRPr="002B568A">
        <w:rPr>
          <w:szCs w:val="22"/>
        </w:rPr>
        <w:t xml:space="preserve">P.O. </w:t>
      </w:r>
      <w:proofErr w:type="spellStart"/>
      <w:r w:rsidRPr="002B568A">
        <w:rPr>
          <w:szCs w:val="22"/>
        </w:rPr>
        <w:t>Box</w:t>
      </w:r>
      <w:proofErr w:type="spellEnd"/>
      <w:r w:rsidRPr="002B568A">
        <w:rPr>
          <w:szCs w:val="22"/>
        </w:rPr>
        <w:t xml:space="preserve"> 3012</w:t>
      </w:r>
    </w:p>
    <w:p w:rsidR="0067451D" w:rsidRPr="002B568A" w:rsidRDefault="0067451D" w:rsidP="0067451D">
      <w:pPr>
        <w:autoSpaceDE w:val="0"/>
        <w:autoSpaceDN w:val="0"/>
        <w:spacing w:line="240" w:lineRule="auto"/>
        <w:rPr>
          <w:szCs w:val="22"/>
        </w:rPr>
      </w:pPr>
      <w:proofErr w:type="spellStart"/>
      <w:r w:rsidRPr="002B568A">
        <w:rPr>
          <w:szCs w:val="22"/>
        </w:rPr>
        <w:t>Lari</w:t>
      </w:r>
      <w:r>
        <w:rPr>
          <w:szCs w:val="22"/>
        </w:rPr>
        <w:t>s</w:t>
      </w:r>
      <w:r w:rsidRPr="002B568A">
        <w:rPr>
          <w:szCs w:val="22"/>
        </w:rPr>
        <w:t>sa</w:t>
      </w:r>
      <w:proofErr w:type="spellEnd"/>
      <w:r w:rsidRPr="002B568A">
        <w:rPr>
          <w:szCs w:val="22"/>
        </w:rPr>
        <w:t xml:space="preserve"> </w:t>
      </w:r>
      <w:proofErr w:type="spellStart"/>
      <w:r w:rsidRPr="002B568A">
        <w:rPr>
          <w:szCs w:val="22"/>
        </w:rPr>
        <w:t>Industrial</w:t>
      </w:r>
      <w:proofErr w:type="spellEnd"/>
      <w:r w:rsidRPr="002B568A">
        <w:rPr>
          <w:szCs w:val="22"/>
        </w:rPr>
        <w:t xml:space="preserve"> </w:t>
      </w:r>
      <w:proofErr w:type="spellStart"/>
      <w:r w:rsidRPr="002B568A">
        <w:rPr>
          <w:szCs w:val="22"/>
        </w:rPr>
        <w:t>Area</w:t>
      </w:r>
      <w:proofErr w:type="spellEnd"/>
      <w:r w:rsidRPr="002B568A">
        <w:rPr>
          <w:szCs w:val="22"/>
        </w:rPr>
        <w:t xml:space="preserve"> </w:t>
      </w:r>
    </w:p>
    <w:p w:rsidR="0067451D" w:rsidRPr="002B568A" w:rsidRDefault="0067451D" w:rsidP="0067451D">
      <w:pPr>
        <w:autoSpaceDE w:val="0"/>
        <w:autoSpaceDN w:val="0"/>
        <w:spacing w:line="240" w:lineRule="auto"/>
        <w:rPr>
          <w:szCs w:val="22"/>
        </w:rPr>
      </w:pPr>
      <w:proofErr w:type="spellStart"/>
      <w:r w:rsidRPr="002B568A">
        <w:rPr>
          <w:szCs w:val="22"/>
        </w:rPr>
        <w:t>Laris</w:t>
      </w:r>
      <w:r>
        <w:rPr>
          <w:szCs w:val="22"/>
        </w:rPr>
        <w:t>s</w:t>
      </w:r>
      <w:r w:rsidRPr="002B568A">
        <w:rPr>
          <w:szCs w:val="22"/>
        </w:rPr>
        <w:t>a</w:t>
      </w:r>
      <w:proofErr w:type="spellEnd"/>
      <w:r w:rsidRPr="002B568A">
        <w:rPr>
          <w:szCs w:val="22"/>
        </w:rPr>
        <w:t>, 41</w:t>
      </w:r>
      <w:r>
        <w:rPr>
          <w:szCs w:val="22"/>
        </w:rPr>
        <w:t>500</w:t>
      </w:r>
    </w:p>
    <w:p w:rsidR="0067451D" w:rsidRPr="007A17AE" w:rsidRDefault="0067451D" w:rsidP="0067451D">
      <w:pPr>
        <w:spacing w:line="240" w:lineRule="auto"/>
        <w:contextualSpacing/>
        <w:rPr>
          <w:szCs w:val="22"/>
        </w:rPr>
      </w:pPr>
      <w:r w:rsidRPr="007A17AE">
        <w:rPr>
          <w:szCs w:val="22"/>
        </w:rPr>
        <w:t>Graikija</w:t>
      </w:r>
    </w:p>
    <w:p w:rsidR="0067451D" w:rsidRPr="007A17AE" w:rsidRDefault="0067451D" w:rsidP="0067451D">
      <w:pPr>
        <w:tabs>
          <w:tab w:val="clear" w:pos="567"/>
        </w:tabs>
        <w:spacing w:line="240" w:lineRule="auto"/>
        <w:contextualSpacing/>
        <w:rPr>
          <w:szCs w:val="22"/>
          <w:lang w:eastAsia="lt-LT"/>
        </w:rPr>
      </w:pPr>
    </w:p>
    <w:p w:rsidR="0067451D" w:rsidRPr="007A17AE" w:rsidRDefault="0067451D" w:rsidP="0067451D">
      <w:pPr>
        <w:tabs>
          <w:tab w:val="clear" w:pos="567"/>
        </w:tabs>
        <w:spacing w:line="240" w:lineRule="auto"/>
        <w:contextualSpacing/>
        <w:rPr>
          <w:szCs w:val="22"/>
          <w:lang w:eastAsia="lt-LT"/>
        </w:rPr>
      </w:pPr>
      <w:r w:rsidRPr="007A17AE">
        <w:rPr>
          <w:szCs w:val="22"/>
          <w:lang w:eastAsia="lt-LT"/>
        </w:rPr>
        <w:t>arba</w:t>
      </w:r>
    </w:p>
    <w:p w:rsidR="0067451D" w:rsidRPr="007A17AE" w:rsidRDefault="0067451D" w:rsidP="0067451D">
      <w:pPr>
        <w:tabs>
          <w:tab w:val="clear" w:pos="567"/>
        </w:tabs>
        <w:spacing w:line="240" w:lineRule="auto"/>
        <w:contextualSpacing/>
        <w:rPr>
          <w:szCs w:val="22"/>
          <w:lang w:eastAsia="lt-LT"/>
        </w:rPr>
      </w:pPr>
    </w:p>
    <w:p w:rsidR="0067451D" w:rsidRDefault="0067451D" w:rsidP="0067451D">
      <w:pPr>
        <w:rPr>
          <w:snapToGrid w:val="0"/>
          <w:szCs w:val="22"/>
          <w:lang w:val="nl-NL"/>
        </w:rPr>
      </w:pPr>
      <w:proofErr w:type="spellStart"/>
      <w:r>
        <w:rPr>
          <w:snapToGrid w:val="0"/>
          <w:szCs w:val="22"/>
        </w:rPr>
        <w:t>Lek</w:t>
      </w:r>
      <w:proofErr w:type="spellEnd"/>
      <w:r>
        <w:rPr>
          <w:snapToGrid w:val="0"/>
          <w:szCs w:val="22"/>
        </w:rPr>
        <w:t xml:space="preserve"> </w:t>
      </w:r>
      <w:proofErr w:type="spellStart"/>
      <w:r>
        <w:rPr>
          <w:snapToGrid w:val="0"/>
          <w:szCs w:val="22"/>
        </w:rPr>
        <w:t>Pharmaceuticals</w:t>
      </w:r>
      <w:proofErr w:type="spellEnd"/>
      <w:r>
        <w:rPr>
          <w:snapToGrid w:val="0"/>
          <w:szCs w:val="22"/>
        </w:rPr>
        <w:t xml:space="preserve"> </w:t>
      </w:r>
      <w:proofErr w:type="spellStart"/>
      <w:r>
        <w:rPr>
          <w:snapToGrid w:val="0"/>
          <w:szCs w:val="22"/>
        </w:rPr>
        <w:t>d.d</w:t>
      </w:r>
      <w:proofErr w:type="spellEnd"/>
      <w:r>
        <w:rPr>
          <w:snapToGrid w:val="0"/>
          <w:szCs w:val="22"/>
        </w:rPr>
        <w:t>.</w:t>
      </w:r>
    </w:p>
    <w:p w:rsidR="0067451D" w:rsidRDefault="0067451D" w:rsidP="0067451D">
      <w:pPr>
        <w:rPr>
          <w:snapToGrid w:val="0"/>
          <w:szCs w:val="22"/>
        </w:rPr>
      </w:pPr>
      <w:proofErr w:type="spellStart"/>
      <w:r>
        <w:rPr>
          <w:snapToGrid w:val="0"/>
          <w:szCs w:val="22"/>
        </w:rPr>
        <w:t>Verovškova</w:t>
      </w:r>
      <w:proofErr w:type="spellEnd"/>
      <w:r>
        <w:rPr>
          <w:snapToGrid w:val="0"/>
          <w:szCs w:val="22"/>
        </w:rPr>
        <w:t xml:space="preserve"> </w:t>
      </w:r>
      <w:proofErr w:type="spellStart"/>
      <w:r>
        <w:rPr>
          <w:snapToGrid w:val="0"/>
          <w:szCs w:val="22"/>
        </w:rPr>
        <w:t>ulica</w:t>
      </w:r>
      <w:proofErr w:type="spellEnd"/>
      <w:r>
        <w:rPr>
          <w:snapToGrid w:val="0"/>
          <w:szCs w:val="22"/>
        </w:rPr>
        <w:t xml:space="preserve"> 57 </w:t>
      </w:r>
    </w:p>
    <w:p w:rsidR="0067451D" w:rsidRDefault="0067451D" w:rsidP="0067451D">
      <w:pPr>
        <w:rPr>
          <w:snapToGrid w:val="0"/>
          <w:szCs w:val="22"/>
        </w:rPr>
      </w:pPr>
      <w:r>
        <w:rPr>
          <w:snapToGrid w:val="0"/>
          <w:szCs w:val="22"/>
        </w:rPr>
        <w:t xml:space="preserve">1526, </w:t>
      </w:r>
      <w:proofErr w:type="spellStart"/>
      <w:r>
        <w:rPr>
          <w:snapToGrid w:val="0"/>
          <w:szCs w:val="22"/>
        </w:rPr>
        <w:t>Ljubljana</w:t>
      </w:r>
      <w:proofErr w:type="spellEnd"/>
    </w:p>
    <w:p w:rsidR="0067451D" w:rsidRDefault="0067451D" w:rsidP="0067451D">
      <w:pPr>
        <w:rPr>
          <w:snapToGrid w:val="0"/>
          <w:szCs w:val="22"/>
        </w:rPr>
      </w:pPr>
      <w:r>
        <w:rPr>
          <w:snapToGrid w:val="0"/>
          <w:szCs w:val="22"/>
        </w:rPr>
        <w:t>Slovėnija</w:t>
      </w:r>
    </w:p>
    <w:p w:rsidR="0067451D" w:rsidRPr="007A17AE" w:rsidRDefault="0067451D" w:rsidP="0067451D">
      <w:pPr>
        <w:tabs>
          <w:tab w:val="clear" w:pos="567"/>
        </w:tabs>
        <w:spacing w:line="240" w:lineRule="auto"/>
        <w:contextualSpacing/>
        <w:rPr>
          <w:szCs w:val="22"/>
          <w:lang w:eastAsia="lt-LT"/>
        </w:rPr>
      </w:pPr>
    </w:p>
    <w:p w:rsidR="0067451D" w:rsidRPr="007A17AE" w:rsidRDefault="0067451D" w:rsidP="0067451D">
      <w:pPr>
        <w:tabs>
          <w:tab w:val="clear" w:pos="567"/>
        </w:tabs>
        <w:spacing w:line="240" w:lineRule="auto"/>
        <w:contextualSpacing/>
        <w:rPr>
          <w:szCs w:val="22"/>
          <w:lang w:eastAsia="lt-LT"/>
        </w:rPr>
      </w:pPr>
      <w:r w:rsidRPr="007A17AE">
        <w:rPr>
          <w:szCs w:val="22"/>
          <w:lang w:eastAsia="lt-LT"/>
        </w:rPr>
        <w:t>Jeigu apie šį vaistą norite sužinoti daugiau, kreipkitės į vietinį registruotojo atstovą.</w:t>
      </w:r>
    </w:p>
    <w:p w:rsidR="0067451D" w:rsidRPr="007A17AE" w:rsidRDefault="0067451D" w:rsidP="0067451D">
      <w:pPr>
        <w:tabs>
          <w:tab w:val="clear" w:pos="567"/>
        </w:tabs>
        <w:spacing w:line="240" w:lineRule="auto"/>
        <w:contextualSpacing/>
        <w:rPr>
          <w:szCs w:val="22"/>
          <w:lang w:eastAsia="lt-LT"/>
        </w:rPr>
      </w:pPr>
    </w:p>
    <w:p w:rsidR="0067451D" w:rsidRPr="007A17AE" w:rsidRDefault="0067451D" w:rsidP="0067451D">
      <w:pPr>
        <w:tabs>
          <w:tab w:val="clear" w:pos="567"/>
        </w:tabs>
        <w:spacing w:line="240" w:lineRule="auto"/>
        <w:contextualSpacing/>
        <w:rPr>
          <w:szCs w:val="22"/>
          <w:lang w:eastAsia="lt-LT"/>
        </w:rPr>
      </w:pPr>
      <w:proofErr w:type="spellStart"/>
      <w:r w:rsidRPr="007A17AE">
        <w:rPr>
          <w:bCs/>
          <w:szCs w:val="22"/>
          <w:lang w:eastAsia="lt-LT"/>
        </w:rPr>
        <w:t>Sandoz</w:t>
      </w:r>
      <w:proofErr w:type="spellEnd"/>
      <w:r w:rsidRPr="007A17AE">
        <w:rPr>
          <w:bCs/>
          <w:szCs w:val="22"/>
          <w:lang w:eastAsia="lt-LT"/>
        </w:rPr>
        <w:t xml:space="preserve"> </w:t>
      </w:r>
      <w:proofErr w:type="spellStart"/>
      <w:r w:rsidRPr="007A17AE">
        <w:rPr>
          <w:bCs/>
          <w:szCs w:val="22"/>
          <w:lang w:eastAsia="lt-LT"/>
        </w:rPr>
        <w:t>Pharmaceuticals</w:t>
      </w:r>
      <w:proofErr w:type="spellEnd"/>
      <w:r w:rsidRPr="007A17AE">
        <w:rPr>
          <w:bCs/>
          <w:szCs w:val="22"/>
          <w:lang w:eastAsia="lt-LT"/>
        </w:rPr>
        <w:t xml:space="preserve"> </w:t>
      </w:r>
      <w:proofErr w:type="spellStart"/>
      <w:r w:rsidRPr="007A17AE">
        <w:rPr>
          <w:bCs/>
          <w:szCs w:val="22"/>
          <w:lang w:eastAsia="lt-LT"/>
        </w:rPr>
        <w:t>d.d</w:t>
      </w:r>
      <w:proofErr w:type="spellEnd"/>
      <w:r w:rsidRPr="007A17AE">
        <w:rPr>
          <w:bCs/>
          <w:szCs w:val="22"/>
          <w:lang w:eastAsia="lt-LT"/>
        </w:rPr>
        <w:t>. filialas</w:t>
      </w:r>
    </w:p>
    <w:p w:rsidR="0067451D" w:rsidRPr="007A17AE" w:rsidRDefault="0067451D" w:rsidP="0067451D">
      <w:pPr>
        <w:tabs>
          <w:tab w:val="clear" w:pos="567"/>
        </w:tabs>
        <w:spacing w:line="240" w:lineRule="auto"/>
        <w:contextualSpacing/>
        <w:rPr>
          <w:szCs w:val="22"/>
          <w:lang w:eastAsia="lt-LT"/>
        </w:rPr>
      </w:pPr>
      <w:r w:rsidRPr="007A17AE">
        <w:rPr>
          <w:bCs/>
          <w:szCs w:val="22"/>
          <w:lang w:eastAsia="lt-LT"/>
        </w:rPr>
        <w:t>Tel. +370 5 2636037</w:t>
      </w:r>
    </w:p>
    <w:p w:rsidR="0067451D" w:rsidRPr="007A17AE" w:rsidRDefault="0067451D" w:rsidP="0067451D">
      <w:pPr>
        <w:numPr>
          <w:ilvl w:val="12"/>
          <w:numId w:val="0"/>
        </w:numPr>
        <w:spacing w:line="240" w:lineRule="auto"/>
        <w:ind w:right="-2"/>
        <w:contextualSpacing/>
        <w:rPr>
          <w:snapToGrid w:val="0"/>
        </w:rPr>
      </w:pPr>
    </w:p>
    <w:p w:rsidR="0067451D" w:rsidRDefault="0067451D" w:rsidP="0067451D">
      <w:pPr>
        <w:numPr>
          <w:ilvl w:val="12"/>
          <w:numId w:val="0"/>
        </w:numPr>
        <w:spacing w:line="240" w:lineRule="auto"/>
        <w:ind w:right="-2"/>
        <w:contextualSpacing/>
        <w:rPr>
          <w:snapToGrid w:val="0"/>
        </w:rPr>
      </w:pPr>
      <w:r w:rsidRPr="007A17AE">
        <w:rPr>
          <w:b/>
          <w:snapToGrid w:val="0"/>
        </w:rPr>
        <w:t xml:space="preserve">Šis vaistas </w:t>
      </w:r>
      <w:r w:rsidRPr="00B07EFC">
        <w:rPr>
          <w:b/>
        </w:rPr>
        <w:t xml:space="preserve">Europos ekonominės erdvės </w:t>
      </w:r>
      <w:r w:rsidRPr="007A17AE">
        <w:rPr>
          <w:b/>
          <w:snapToGrid w:val="0"/>
        </w:rPr>
        <w:t xml:space="preserve">valstybėse narėse </w:t>
      </w:r>
      <w:r>
        <w:rPr>
          <w:b/>
          <w:snapToGrid w:val="0"/>
        </w:rPr>
        <w:t xml:space="preserve">ir </w:t>
      </w:r>
      <w:r w:rsidRPr="007F2E2A">
        <w:rPr>
          <w:b/>
        </w:rPr>
        <w:t xml:space="preserve">Jungtinėje Karalystėje (Šiaurės Airijoje) </w:t>
      </w:r>
      <w:r w:rsidRPr="007A17AE">
        <w:rPr>
          <w:b/>
          <w:snapToGrid w:val="0"/>
        </w:rPr>
        <w:t>registruotas tokiais pavadinimais</w:t>
      </w:r>
      <w:r w:rsidRPr="007A17AE">
        <w:rPr>
          <w:snapToGrid w:val="0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67451D" w:rsidTr="001C4B40">
        <w:tc>
          <w:tcPr>
            <w:tcW w:w="4530" w:type="dxa"/>
          </w:tcPr>
          <w:p w:rsidR="0067451D" w:rsidRDefault="0067451D" w:rsidP="001C4B40">
            <w:pPr>
              <w:numPr>
                <w:ilvl w:val="12"/>
                <w:numId w:val="0"/>
              </w:numPr>
              <w:spacing w:line="240" w:lineRule="auto"/>
              <w:ind w:right="-2"/>
              <w:contextualSpacing/>
              <w:rPr>
                <w:snapToGrid w:val="0"/>
              </w:rPr>
            </w:pPr>
            <w:r>
              <w:rPr>
                <w:snapToGrid w:val="0"/>
              </w:rPr>
              <w:t>Austrija, Vengrija, Belgija, Bulgarija, Čekija, Danija, Estija, Italija, Kroatija, Lenkija, Latvija, Lietuva, Nyderlandai, Prancūzija, Rumunija, Slovakija, Slovėnija, Švedija</w:t>
            </w:r>
          </w:p>
          <w:p w:rsidR="0067451D" w:rsidRDefault="0067451D" w:rsidP="001C4B40">
            <w:pPr>
              <w:numPr>
                <w:ilvl w:val="12"/>
                <w:numId w:val="0"/>
              </w:numPr>
              <w:spacing w:line="240" w:lineRule="auto"/>
              <w:ind w:right="-2"/>
              <w:contextualSpacing/>
              <w:rPr>
                <w:snapToGrid w:val="0"/>
              </w:rPr>
            </w:pPr>
          </w:p>
        </w:tc>
        <w:tc>
          <w:tcPr>
            <w:tcW w:w="4531" w:type="dxa"/>
          </w:tcPr>
          <w:p w:rsidR="0067451D" w:rsidRDefault="0067451D" w:rsidP="001C4B40">
            <w:pPr>
              <w:numPr>
                <w:ilvl w:val="12"/>
                <w:numId w:val="0"/>
              </w:numPr>
              <w:spacing w:line="240" w:lineRule="auto"/>
              <w:ind w:right="-2"/>
              <w:contextualSpacing/>
              <w:rPr>
                <w:snapToGrid w:val="0"/>
              </w:rPr>
            </w:pPr>
            <w:proofErr w:type="spellStart"/>
            <w:r w:rsidRPr="007A17AE">
              <w:rPr>
                <w:szCs w:val="22"/>
              </w:rPr>
              <w:t>Aprepitant</w:t>
            </w:r>
            <w:proofErr w:type="spellEnd"/>
            <w:r w:rsidRPr="007A17AE">
              <w:rPr>
                <w:szCs w:val="22"/>
              </w:rPr>
              <w:t xml:space="preserve"> </w:t>
            </w:r>
            <w:proofErr w:type="spellStart"/>
            <w:r w:rsidRPr="007A17AE">
              <w:rPr>
                <w:szCs w:val="22"/>
              </w:rPr>
              <w:t>Sandoz</w:t>
            </w:r>
            <w:proofErr w:type="spellEnd"/>
          </w:p>
        </w:tc>
      </w:tr>
      <w:tr w:rsidR="0067451D" w:rsidTr="001C4B40">
        <w:tc>
          <w:tcPr>
            <w:tcW w:w="4530" w:type="dxa"/>
          </w:tcPr>
          <w:p w:rsidR="0067451D" w:rsidRDefault="0067451D" w:rsidP="001C4B40">
            <w:pPr>
              <w:numPr>
                <w:ilvl w:val="12"/>
                <w:numId w:val="0"/>
              </w:numPr>
              <w:spacing w:line="240" w:lineRule="auto"/>
              <w:ind w:right="-2"/>
              <w:contextualSpacing/>
              <w:rPr>
                <w:snapToGrid w:val="0"/>
              </w:rPr>
            </w:pPr>
            <w:r>
              <w:rPr>
                <w:snapToGrid w:val="0"/>
              </w:rPr>
              <w:t>Vokietija</w:t>
            </w:r>
          </w:p>
        </w:tc>
        <w:tc>
          <w:tcPr>
            <w:tcW w:w="4531" w:type="dxa"/>
          </w:tcPr>
          <w:p w:rsidR="0067451D" w:rsidRDefault="0067451D" w:rsidP="001C4B40">
            <w:pPr>
              <w:numPr>
                <w:ilvl w:val="12"/>
                <w:numId w:val="0"/>
              </w:numPr>
              <w:spacing w:line="240" w:lineRule="auto"/>
              <w:ind w:right="-2"/>
              <w:contextualSpacing/>
              <w:rPr>
                <w:snapToGrid w:val="0"/>
              </w:rPr>
            </w:pPr>
            <w:proofErr w:type="spellStart"/>
            <w:r w:rsidRPr="007A17AE">
              <w:rPr>
                <w:szCs w:val="22"/>
              </w:rPr>
              <w:t>Aprepitant</w:t>
            </w:r>
            <w:proofErr w:type="spellEnd"/>
            <w:r w:rsidRPr="007A17AE">
              <w:rPr>
                <w:szCs w:val="22"/>
              </w:rPr>
              <w:t xml:space="preserve"> HEXAL</w:t>
            </w:r>
          </w:p>
        </w:tc>
      </w:tr>
      <w:tr w:rsidR="0067451D" w:rsidTr="001C4B40">
        <w:tc>
          <w:tcPr>
            <w:tcW w:w="4530" w:type="dxa"/>
          </w:tcPr>
          <w:p w:rsidR="0067451D" w:rsidRDefault="0067451D" w:rsidP="001C4B40">
            <w:pPr>
              <w:numPr>
                <w:ilvl w:val="12"/>
                <w:numId w:val="0"/>
              </w:numPr>
              <w:spacing w:line="240" w:lineRule="auto"/>
              <w:ind w:right="-2"/>
              <w:contextualSpacing/>
              <w:rPr>
                <w:snapToGrid w:val="0"/>
              </w:rPr>
            </w:pPr>
            <w:r w:rsidRPr="007A17AE">
              <w:rPr>
                <w:szCs w:val="22"/>
              </w:rPr>
              <w:t>Jungtinė Karalystė</w:t>
            </w:r>
          </w:p>
        </w:tc>
        <w:tc>
          <w:tcPr>
            <w:tcW w:w="4531" w:type="dxa"/>
          </w:tcPr>
          <w:p w:rsidR="0067451D" w:rsidRDefault="0067451D" w:rsidP="001C4B40">
            <w:pPr>
              <w:numPr>
                <w:ilvl w:val="12"/>
                <w:numId w:val="0"/>
              </w:numPr>
              <w:spacing w:line="240" w:lineRule="auto"/>
              <w:ind w:right="-2"/>
              <w:contextualSpacing/>
              <w:rPr>
                <w:snapToGrid w:val="0"/>
              </w:rPr>
            </w:pPr>
            <w:proofErr w:type="spellStart"/>
            <w:r w:rsidRPr="007A17AE">
              <w:rPr>
                <w:szCs w:val="22"/>
              </w:rPr>
              <w:t>Aprepitant</w:t>
            </w:r>
            <w:proofErr w:type="spellEnd"/>
          </w:p>
        </w:tc>
      </w:tr>
    </w:tbl>
    <w:p w:rsidR="0067451D" w:rsidRPr="007A17AE" w:rsidRDefault="0067451D" w:rsidP="0067451D">
      <w:pPr>
        <w:numPr>
          <w:ilvl w:val="12"/>
          <w:numId w:val="0"/>
        </w:numPr>
        <w:spacing w:line="240" w:lineRule="auto"/>
        <w:ind w:right="-2"/>
        <w:contextualSpacing/>
        <w:rPr>
          <w:snapToGrid w:val="0"/>
        </w:rPr>
      </w:pPr>
    </w:p>
    <w:p w:rsidR="0067451D" w:rsidRPr="007A17AE" w:rsidRDefault="0067451D" w:rsidP="006745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contextualSpacing/>
        <w:rPr>
          <w:b/>
          <w:snapToGrid w:val="0"/>
        </w:rPr>
      </w:pPr>
      <w:r w:rsidRPr="007A17AE">
        <w:rPr>
          <w:b/>
          <w:snapToGrid w:val="0"/>
        </w:rPr>
        <w:t xml:space="preserve">Šis pakuotės lapelis paskutinį kartą peržiūrėtas </w:t>
      </w:r>
      <w:r>
        <w:rPr>
          <w:b/>
          <w:snapToGrid w:val="0"/>
        </w:rPr>
        <w:t>2024-04-25.</w:t>
      </w:r>
    </w:p>
    <w:p w:rsidR="0067451D" w:rsidRPr="007A17AE" w:rsidRDefault="0067451D" w:rsidP="0067451D">
      <w:pPr>
        <w:numPr>
          <w:ilvl w:val="12"/>
          <w:numId w:val="0"/>
        </w:numPr>
        <w:spacing w:line="240" w:lineRule="auto"/>
        <w:ind w:right="-2"/>
        <w:contextualSpacing/>
        <w:rPr>
          <w:i/>
          <w:snapToGrid w:val="0"/>
          <w:szCs w:val="24"/>
        </w:rPr>
      </w:pPr>
    </w:p>
    <w:p w:rsidR="0067451D" w:rsidRPr="007A17AE" w:rsidRDefault="0067451D" w:rsidP="0067451D">
      <w:pPr>
        <w:numPr>
          <w:ilvl w:val="12"/>
          <w:numId w:val="0"/>
        </w:numPr>
        <w:spacing w:line="240" w:lineRule="auto"/>
        <w:ind w:right="-2"/>
        <w:contextualSpacing/>
        <w:rPr>
          <w:snapToGrid w:val="0"/>
          <w:szCs w:val="24"/>
        </w:rPr>
      </w:pPr>
      <w:r w:rsidRPr="007A17AE">
        <w:rPr>
          <w:snapToGrid w:val="0"/>
        </w:rPr>
        <w:t xml:space="preserve">Išsami informacija apie šį </w:t>
      </w:r>
      <w:r w:rsidRPr="007A17AE">
        <w:rPr>
          <w:snapToGrid w:val="0"/>
          <w:szCs w:val="24"/>
        </w:rPr>
        <w:t>vaistą</w:t>
      </w:r>
      <w:r w:rsidRPr="007A17AE">
        <w:rPr>
          <w:snapToGrid w:val="0"/>
        </w:rPr>
        <w:t xml:space="preserve"> pateikiama Valstybinės vaistų kontrolės tarnybos prie Lietuvos Respublikos sveikatos apsaugos ministerijos tinklalapyje</w:t>
      </w:r>
      <w:r w:rsidRPr="007A17AE">
        <w:rPr>
          <w:i/>
          <w:snapToGrid w:val="0"/>
          <w:szCs w:val="24"/>
        </w:rPr>
        <w:t xml:space="preserve"> </w:t>
      </w:r>
      <w:hyperlink r:id="rId5" w:history="1">
        <w:r w:rsidRPr="007A17AE">
          <w:rPr>
            <w:rFonts w:eastAsia="SimSun"/>
            <w:snapToGrid w:val="0"/>
            <w:color w:val="0000FF"/>
            <w:u w:val="single"/>
          </w:rPr>
          <w:t>http://www.vvkt.lt/</w:t>
        </w:r>
      </w:hyperlink>
      <w:r w:rsidRPr="007A17AE">
        <w:rPr>
          <w:snapToGrid w:val="0"/>
        </w:rPr>
        <w:t>.</w:t>
      </w:r>
    </w:p>
    <w:p w:rsidR="00BA6577" w:rsidRDefault="00BA6577">
      <w:bookmarkStart w:id="0" w:name="_GoBack"/>
      <w:bookmarkEnd w:id="0"/>
    </w:p>
    <w:sectPr w:rsidR="00BA6577" w:rsidSect="00D358F2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831C73"/>
    <w:multiLevelType w:val="hybridMultilevel"/>
    <w:tmpl w:val="0D4695E6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166DA"/>
    <w:multiLevelType w:val="hybridMultilevel"/>
    <w:tmpl w:val="0EF29A0A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94E8B"/>
    <w:multiLevelType w:val="hybridMultilevel"/>
    <w:tmpl w:val="C3AAC204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01516"/>
    <w:multiLevelType w:val="hybridMultilevel"/>
    <w:tmpl w:val="5B30BAA8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67F0"/>
    <w:multiLevelType w:val="hybridMultilevel"/>
    <w:tmpl w:val="7B48E830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734E4"/>
    <w:multiLevelType w:val="hybridMultilevel"/>
    <w:tmpl w:val="F2181D86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60917"/>
    <w:multiLevelType w:val="hybridMultilevel"/>
    <w:tmpl w:val="AEDA5A26"/>
    <w:lvl w:ilvl="0" w:tplc="03E47A94">
      <w:numFmt w:val="bullet"/>
      <w:lvlText w:val="-"/>
      <w:lvlJc w:val="left"/>
      <w:pPr>
        <w:ind w:left="1636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1D"/>
    <w:rsid w:val="00072F85"/>
    <w:rsid w:val="00181364"/>
    <w:rsid w:val="00305C48"/>
    <w:rsid w:val="003362C6"/>
    <w:rsid w:val="0067451D"/>
    <w:rsid w:val="00BA6577"/>
    <w:rsid w:val="00C30905"/>
    <w:rsid w:val="00D358F2"/>
    <w:rsid w:val="00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B4AB8-3BC5-4D26-9BD6-B7DEF51E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7451D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Agency">
    <w:name w:val="Body text (Agency)"/>
    <w:basedOn w:val="prastasis"/>
    <w:link w:val="BodytextAgencyChar"/>
    <w:rsid w:val="0067451D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67451D"/>
    <w:rPr>
      <w:rFonts w:ascii="Verdana" w:eastAsia="Verdana" w:hAnsi="Verdana" w:cs="Verdana"/>
      <w:sz w:val="18"/>
      <w:szCs w:val="18"/>
      <w:lang w:eastAsia="en-GB"/>
    </w:rPr>
  </w:style>
  <w:style w:type="paragraph" w:styleId="Sraopastraipa">
    <w:name w:val="List Paragraph"/>
    <w:basedOn w:val="prastasis"/>
    <w:uiPriority w:val="34"/>
    <w:qFormat/>
    <w:rsid w:val="0067451D"/>
    <w:pPr>
      <w:tabs>
        <w:tab w:val="clear" w:pos="567"/>
      </w:tabs>
      <w:spacing w:after="240" w:line="276" w:lineRule="auto"/>
      <w:ind w:left="720"/>
      <w:contextualSpacing/>
      <w:jc w:val="both"/>
    </w:pPr>
    <w:rPr>
      <w:rFonts w:eastAsia="Calibri"/>
      <w:sz w:val="24"/>
      <w:lang w:val="en-US"/>
    </w:rPr>
  </w:style>
  <w:style w:type="paragraph" w:customStyle="1" w:styleId="Default">
    <w:name w:val="Default"/>
    <w:rsid w:val="0067451D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lt-LT"/>
    </w:rPr>
  </w:style>
  <w:style w:type="table" w:styleId="Lentelstinklelis">
    <w:name w:val="Table Grid"/>
    <w:basedOn w:val="prastojilentel"/>
    <w:rsid w:val="0067451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9135</Words>
  <Characters>5207</Characters>
  <Application>Microsoft Office Word</Application>
  <DocSecurity>0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8</vt:i4>
      </vt:variant>
    </vt:vector>
  </HeadingPairs>
  <TitlesOfParts>
    <vt:vector size="9" baseType="lpstr">
      <vt:lpstr/>
      <vt:lpstr>Pakuotės lapelis: informacija vartotojui</vt:lpstr>
      <vt:lpstr>Apie ką rašoma šiame lapelyje?</vt:lpstr>
      <vt:lpstr/>
      <vt:lpstr/>
      <vt:lpstr>Aprepitant Sandoz vartoti draudžiama:</vt:lpstr>
      <vt:lpstr>Įspėjimai ir atsargumo priemonės </vt:lpstr>
      <vt:lpstr/>
      <vt:lpstr>Pranešimas apie šalutinį poveikį</vt:lpstr>
    </vt:vector>
  </TitlesOfParts>
  <Company/>
  <LinksUpToDate>false</LinksUpToDate>
  <CharactersWithSpaces>14314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2024-05-13T08:43:00Z</dcterms:created>
  <dcterms:modified xsi:type="dcterms:W3CDTF">2024-05-13T08:44:00Z</dcterms:modified>
</cp:coreProperties>
</file>