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ADA4" w14:textId="77777777" w:rsidR="007E37A3" w:rsidRDefault="007E37A3" w:rsidP="007E37A3">
      <w:pPr>
        <w:spacing w:after="0" w:line="240" w:lineRule="auto"/>
        <w:rPr>
          <w:rFonts w:ascii="Times New Roman" w:eastAsia="Times New Roman" w:hAnsi="Times New Roman"/>
          <w:sz w:val="24"/>
          <w:szCs w:val="24"/>
        </w:rPr>
      </w:pPr>
    </w:p>
    <w:p w14:paraId="2AE72FDE" w14:textId="77777777" w:rsidR="007E37A3" w:rsidRDefault="007E37A3" w:rsidP="007E37A3">
      <w:pPr>
        <w:spacing w:after="0" w:line="240" w:lineRule="auto"/>
        <w:rPr>
          <w:rFonts w:ascii="Times New Roman" w:eastAsia="Times New Roman" w:hAnsi="Times New Roman"/>
          <w:sz w:val="24"/>
          <w:szCs w:val="24"/>
        </w:rPr>
      </w:pPr>
    </w:p>
    <w:p w14:paraId="02240F79" w14:textId="77777777" w:rsidR="007E37A3" w:rsidRDefault="007E37A3" w:rsidP="007E37A3">
      <w:pPr>
        <w:spacing w:after="0" w:line="240" w:lineRule="auto"/>
        <w:rPr>
          <w:rFonts w:ascii="Times New Roman" w:eastAsia="Times New Roman" w:hAnsi="Times New Roman"/>
          <w:sz w:val="24"/>
          <w:szCs w:val="24"/>
        </w:rPr>
      </w:pPr>
    </w:p>
    <w:p w14:paraId="3C7254CC" w14:textId="77777777" w:rsidR="007E37A3" w:rsidRDefault="007E37A3" w:rsidP="007E37A3">
      <w:pPr>
        <w:spacing w:after="0" w:line="240" w:lineRule="auto"/>
        <w:rPr>
          <w:rFonts w:ascii="Times New Roman" w:eastAsia="Times New Roman" w:hAnsi="Times New Roman"/>
          <w:sz w:val="24"/>
          <w:szCs w:val="24"/>
        </w:rPr>
      </w:pPr>
    </w:p>
    <w:p w14:paraId="092BE6AA" w14:textId="77777777" w:rsidR="007E37A3" w:rsidRDefault="007E37A3" w:rsidP="007E37A3">
      <w:pPr>
        <w:spacing w:after="0" w:line="240" w:lineRule="auto"/>
        <w:rPr>
          <w:rFonts w:ascii="Times New Roman" w:eastAsia="Times New Roman" w:hAnsi="Times New Roman"/>
          <w:sz w:val="24"/>
          <w:szCs w:val="24"/>
        </w:rPr>
      </w:pPr>
    </w:p>
    <w:p w14:paraId="743CB5FC" w14:textId="77777777" w:rsidR="007E37A3" w:rsidRDefault="007E37A3" w:rsidP="007E37A3">
      <w:pPr>
        <w:spacing w:after="0" w:line="240" w:lineRule="auto"/>
        <w:rPr>
          <w:rFonts w:ascii="Times New Roman" w:eastAsia="Times New Roman" w:hAnsi="Times New Roman"/>
          <w:sz w:val="24"/>
          <w:szCs w:val="24"/>
        </w:rPr>
      </w:pPr>
    </w:p>
    <w:p w14:paraId="581E8785" w14:textId="77777777" w:rsidR="007E37A3" w:rsidRDefault="007E37A3" w:rsidP="007E37A3">
      <w:pPr>
        <w:spacing w:after="0" w:line="240" w:lineRule="auto"/>
        <w:rPr>
          <w:rFonts w:ascii="Times New Roman" w:eastAsia="Times New Roman" w:hAnsi="Times New Roman"/>
          <w:sz w:val="24"/>
          <w:szCs w:val="24"/>
        </w:rPr>
      </w:pPr>
    </w:p>
    <w:p w14:paraId="2641E6A4" w14:textId="77777777" w:rsidR="007E37A3" w:rsidRDefault="007E37A3" w:rsidP="007E37A3">
      <w:pPr>
        <w:spacing w:after="0" w:line="240" w:lineRule="auto"/>
        <w:rPr>
          <w:rFonts w:ascii="Times New Roman" w:eastAsia="Times New Roman" w:hAnsi="Times New Roman"/>
          <w:sz w:val="24"/>
          <w:szCs w:val="24"/>
        </w:rPr>
      </w:pPr>
    </w:p>
    <w:p w14:paraId="4939D594" w14:textId="77777777" w:rsidR="007E37A3" w:rsidRDefault="007E37A3" w:rsidP="007E37A3">
      <w:pPr>
        <w:spacing w:after="0" w:line="240" w:lineRule="auto"/>
        <w:rPr>
          <w:rFonts w:ascii="Times New Roman" w:eastAsia="Times New Roman" w:hAnsi="Times New Roman"/>
          <w:sz w:val="24"/>
          <w:szCs w:val="24"/>
        </w:rPr>
      </w:pPr>
    </w:p>
    <w:p w14:paraId="4AC36ADA" w14:textId="77777777" w:rsidR="007E37A3" w:rsidRDefault="007E37A3" w:rsidP="007E37A3">
      <w:pPr>
        <w:spacing w:after="0" w:line="240" w:lineRule="auto"/>
        <w:rPr>
          <w:rFonts w:ascii="Times New Roman" w:eastAsia="Times New Roman" w:hAnsi="Times New Roman"/>
          <w:sz w:val="24"/>
          <w:szCs w:val="24"/>
        </w:rPr>
      </w:pPr>
    </w:p>
    <w:p w14:paraId="45E7101A" w14:textId="77777777" w:rsidR="007E37A3" w:rsidRDefault="007E37A3" w:rsidP="007E37A3">
      <w:pPr>
        <w:tabs>
          <w:tab w:val="left" w:pos="426"/>
        </w:tabs>
        <w:spacing w:after="0" w:line="240" w:lineRule="auto"/>
        <w:rPr>
          <w:rFonts w:ascii="Times New Roman" w:eastAsia="Arial Unicode MS" w:hAnsi="Times New Roman"/>
          <w:bCs/>
          <w:noProof/>
          <w:color w:val="000000"/>
        </w:rPr>
      </w:pPr>
    </w:p>
    <w:p w14:paraId="4C61864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469C4B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8AC4F4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56B77B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6DBB40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595DAD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0F843D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F4F669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420C19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7AFCA4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DEFA20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D2845E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D0E9AD0"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bookmarkStart w:id="0" w:name="_Toc129243221"/>
      <w:bookmarkStart w:id="1" w:name="_Toc129243096"/>
      <w:r>
        <w:rPr>
          <w:rFonts w:ascii="Times New Roman" w:eastAsia="Times New Roman" w:hAnsi="Times New Roman"/>
          <w:b/>
          <w:caps/>
        </w:rPr>
        <w:t>I PRIEDAS</w:t>
      </w:r>
      <w:bookmarkEnd w:id="0"/>
      <w:bookmarkEnd w:id="1"/>
      <w:r>
        <w:rPr>
          <w:rFonts w:ascii="Times New Roman" w:eastAsia="Times New Roman" w:hAnsi="Times New Roman"/>
          <w:b/>
          <w:caps/>
        </w:rPr>
        <w:t xml:space="preserve"> </w:t>
      </w:r>
    </w:p>
    <w:p w14:paraId="64560CF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43CD6EB"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bookmarkStart w:id="2" w:name="_Toc129243222"/>
      <w:bookmarkStart w:id="3" w:name="_Toc129243097"/>
      <w:r>
        <w:rPr>
          <w:rFonts w:ascii="Times New Roman" w:eastAsia="Times New Roman" w:hAnsi="Times New Roman"/>
          <w:b/>
          <w:caps/>
        </w:rPr>
        <w:t>PREPARATO CHARAKTERISTIKŲ SANTRAUKA</w:t>
      </w:r>
      <w:bookmarkEnd w:id="2"/>
      <w:bookmarkEnd w:id="3"/>
    </w:p>
    <w:p w14:paraId="3D0DD821"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br w:type="page"/>
      </w:r>
      <w:bookmarkStart w:id="4" w:name="_Toc129243223"/>
      <w:bookmarkStart w:id="5" w:name="_Toc129243098"/>
      <w:r>
        <w:rPr>
          <w:rFonts w:ascii="Times New Roman" w:eastAsia="Times New Roman" w:hAnsi="Times New Roman"/>
          <w:b/>
        </w:rPr>
        <w:lastRenderedPageBreak/>
        <w:t>1.</w:t>
      </w:r>
      <w:r>
        <w:rPr>
          <w:rFonts w:ascii="Times New Roman" w:eastAsia="Times New Roman" w:hAnsi="Times New Roman"/>
          <w:b/>
        </w:rPr>
        <w:tab/>
        <w:t>VAISTINIO PREPARATO PAVADINIMAS</w:t>
      </w:r>
      <w:bookmarkEnd w:id="4"/>
      <w:bookmarkEnd w:id="5"/>
    </w:p>
    <w:p w14:paraId="57292CE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1AC554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Feneit 25 mg plėvele dengtos tabletės </w:t>
      </w:r>
    </w:p>
    <w:p w14:paraId="2B4FBFC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D7D50B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B8D8BDD"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6" w:name="_Toc129243224"/>
      <w:bookmarkStart w:id="7" w:name="_Toc129243099"/>
      <w:r>
        <w:rPr>
          <w:rFonts w:ascii="Times New Roman" w:eastAsia="Times New Roman" w:hAnsi="Times New Roman"/>
          <w:b/>
        </w:rPr>
        <w:t>2.</w:t>
      </w:r>
      <w:r>
        <w:rPr>
          <w:rFonts w:ascii="Times New Roman" w:eastAsia="Times New Roman" w:hAnsi="Times New Roman"/>
          <w:b/>
        </w:rPr>
        <w:tab/>
        <w:t>KOKYBINĖ IR KIEKYBINĖ SUDĖTIS</w:t>
      </w:r>
      <w:bookmarkEnd w:id="6"/>
      <w:bookmarkEnd w:id="7"/>
    </w:p>
    <w:p w14:paraId="403B76E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44D38AF" w14:textId="77777777" w:rsidR="007E37A3" w:rsidRDefault="007E37A3" w:rsidP="007E37A3">
      <w:pPr>
        <w:pStyle w:val="BTEMEASMCA"/>
        <w:tabs>
          <w:tab w:val="left" w:pos="567"/>
        </w:tabs>
        <w:rPr>
          <w:noProof w:val="0"/>
        </w:rPr>
      </w:pPr>
      <w:r>
        <w:rPr>
          <w:bCs w:val="0"/>
          <w:noProof w:val="0"/>
        </w:rPr>
        <w:t xml:space="preserve">Vienoje plėvele dengtoje tabletėje yra </w:t>
      </w:r>
      <w:r>
        <w:rPr>
          <w:noProof w:val="0"/>
        </w:rPr>
        <w:t>36,9 mg deksketoprofeno trometamolio, atitinkančio 25 mg deksketoprofeno.</w:t>
      </w:r>
    </w:p>
    <w:p w14:paraId="6184775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1E29E9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Visos pagalbinės medžiagos išvardytos 6.1 skyriuje.</w:t>
      </w:r>
    </w:p>
    <w:p w14:paraId="5DEBE9B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E71F4E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4CD69E8"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8" w:name="_Toc129243225"/>
      <w:bookmarkStart w:id="9" w:name="_Toc129243100"/>
      <w:r>
        <w:rPr>
          <w:rFonts w:ascii="Times New Roman" w:eastAsia="Times New Roman" w:hAnsi="Times New Roman"/>
          <w:b/>
        </w:rPr>
        <w:t>3.</w:t>
      </w:r>
      <w:r>
        <w:rPr>
          <w:rFonts w:ascii="Times New Roman" w:eastAsia="Times New Roman" w:hAnsi="Times New Roman"/>
          <w:b/>
        </w:rPr>
        <w:tab/>
        <w:t>FARMACINĖ FORMA</w:t>
      </w:r>
      <w:bookmarkEnd w:id="8"/>
      <w:bookmarkEnd w:id="9"/>
    </w:p>
    <w:p w14:paraId="4764CC4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0FCFE2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Plėvele dengta tabletė.</w:t>
      </w:r>
    </w:p>
    <w:p w14:paraId="04AF19E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Baltos, apvalios apie 9 mm skersmens plėvele dengtos tabletės su vagele abiejose pusėse. </w:t>
      </w:r>
    </w:p>
    <w:p w14:paraId="4C807BF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Tabletę galima padalyti į lygias dozes. </w:t>
      </w:r>
    </w:p>
    <w:p w14:paraId="781FC28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5764D7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86D6D3"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10" w:name="_Toc129243226"/>
      <w:bookmarkStart w:id="11" w:name="_Toc129243101"/>
      <w:r>
        <w:rPr>
          <w:rFonts w:ascii="Times New Roman" w:eastAsia="Times New Roman" w:hAnsi="Times New Roman"/>
          <w:b/>
        </w:rPr>
        <w:t>4.</w:t>
      </w:r>
      <w:r>
        <w:rPr>
          <w:rFonts w:ascii="Times New Roman" w:eastAsia="Times New Roman" w:hAnsi="Times New Roman"/>
          <w:b/>
        </w:rPr>
        <w:tab/>
        <w:t>KLINIKINĖ INFORMACIJA</w:t>
      </w:r>
      <w:bookmarkEnd w:id="10"/>
      <w:bookmarkEnd w:id="11"/>
    </w:p>
    <w:p w14:paraId="0DEC3B9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AB6C8A7"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227"/>
      <w:bookmarkStart w:id="13" w:name="_Toc129243102"/>
      <w:r>
        <w:rPr>
          <w:rFonts w:ascii="Times New Roman" w:eastAsia="Times New Roman" w:hAnsi="Times New Roman"/>
          <w:b/>
          <w:kern w:val="28"/>
        </w:rPr>
        <w:t>4.1</w:t>
      </w:r>
      <w:r>
        <w:rPr>
          <w:rFonts w:ascii="Times New Roman" w:eastAsia="Times New Roman" w:hAnsi="Times New Roman"/>
          <w:b/>
          <w:kern w:val="28"/>
        </w:rPr>
        <w:tab/>
        <w:t>Terapinės indikacijos</w:t>
      </w:r>
      <w:bookmarkEnd w:id="12"/>
      <w:bookmarkEnd w:id="13"/>
    </w:p>
    <w:p w14:paraId="113C7C5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87C09D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Silpno ir vidutinio stiprumo raumenų, kaulų, mėnesinių bei dantų skausmo malšinimas.</w:t>
      </w:r>
    </w:p>
    <w:p w14:paraId="2992B2A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BDCB54A"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228"/>
      <w:bookmarkStart w:id="15" w:name="_Toc129243103"/>
      <w:r>
        <w:rPr>
          <w:rFonts w:ascii="Times New Roman" w:eastAsia="Times New Roman" w:hAnsi="Times New Roman"/>
          <w:b/>
          <w:kern w:val="28"/>
        </w:rPr>
        <w:t>4.2</w:t>
      </w:r>
      <w:r>
        <w:rPr>
          <w:rFonts w:ascii="Times New Roman" w:eastAsia="Times New Roman" w:hAnsi="Times New Roman"/>
          <w:b/>
          <w:kern w:val="28"/>
        </w:rPr>
        <w:tab/>
        <w:t>Dozavimas ir vartojimo metodas</w:t>
      </w:r>
      <w:bookmarkEnd w:id="14"/>
      <w:bookmarkEnd w:id="15"/>
    </w:p>
    <w:p w14:paraId="5D23C50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04B7697"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Dozavimas</w:t>
      </w:r>
    </w:p>
    <w:p w14:paraId="2A1143C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3627A6A"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Suaugusieji</w:t>
      </w:r>
    </w:p>
    <w:p w14:paraId="23FF332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Atsižvelgiant į skausmo priežastis ir intensyvumą, dažniausiai patariama vartoti po 12,5 mg kas 4-6 val. arba po 25 mg kas 8 valandos. Visa paros dozė neturi būti didesnė kaip 75 mg. </w:t>
      </w:r>
    </w:p>
    <w:p w14:paraId="10599EA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Nepageidaujamas poveikis gali sumažėti vartojant mažiausią veiksmingą dozę trumpiausią laiką, būtiną simptomų kontrolei (žr. 4.4 skyrių).</w:t>
      </w:r>
    </w:p>
    <w:p w14:paraId="59285DC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netinka ilgam vartojimui ir gydymas apribojamas laikotarpiu, kol yra ligos simptomų.</w:t>
      </w:r>
      <w:r>
        <w:rPr>
          <w:rFonts w:ascii="Times New Roman" w:eastAsia="Arial Unicode MS" w:hAnsi="Times New Roman"/>
          <w:bCs/>
          <w:color w:val="000000"/>
        </w:rPr>
        <w:br/>
      </w:r>
    </w:p>
    <w:p w14:paraId="7CA3B2AD"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Vaikų populiacija</w:t>
      </w:r>
    </w:p>
    <w:p w14:paraId="2F0A86F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nebuvo tiriamas su vaikais ir paaugliais, todėl Feneit saugumas ir veiksmingumas vaikams ir paaugliams neištirti. Šiuo vaistiniu preparatu vaikai ir paaugliai neturėtų būti gydomi.</w:t>
      </w:r>
      <w:r>
        <w:rPr>
          <w:rFonts w:ascii="Times New Roman" w:eastAsia="Arial Unicode MS" w:hAnsi="Times New Roman"/>
          <w:bCs/>
          <w:color w:val="000000"/>
        </w:rPr>
        <w:br/>
      </w:r>
    </w:p>
    <w:p w14:paraId="41E79B3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i/>
          <w:color w:val="000000"/>
        </w:rPr>
        <w:t>Senyviems pacientams</w:t>
      </w:r>
      <w:r>
        <w:rPr>
          <w:rFonts w:ascii="Times New Roman" w:eastAsia="Arial Unicode MS" w:hAnsi="Times New Roman"/>
          <w:bCs/>
          <w:color w:val="000000"/>
        </w:rPr>
        <w:br/>
        <w:t>Senyviems pacientams patariama gydymą pradėti mažiausia vaistinio preparato doze (paros dozė - 50 mg). Jeigu vaistas gerai toleruojamas, dozę galima didinti iki bendrose rekomendacijose nurodomų dozių.</w:t>
      </w:r>
      <w:r>
        <w:rPr>
          <w:rFonts w:ascii="Times New Roman" w:eastAsia="Arial Unicode MS" w:hAnsi="Times New Roman"/>
          <w:bCs/>
          <w:color w:val="000000"/>
        </w:rPr>
        <w:br/>
      </w:r>
    </w:p>
    <w:p w14:paraId="6D39D09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i/>
          <w:color w:val="000000"/>
        </w:rPr>
        <w:t>Pacientams, kurių kepenų funkcija sutrikusi</w:t>
      </w:r>
      <w:r>
        <w:rPr>
          <w:rFonts w:ascii="Times New Roman" w:eastAsia="Arial Unicode MS" w:hAnsi="Times New Roman"/>
          <w:bCs/>
          <w:color w:val="000000"/>
        </w:rPr>
        <w:br/>
        <w:t>Pacientams, kuriems nustatytas lengvas arba vidutinio sunkumo kepenų funkcijos sutrikimas, gydymo pradžioje vaistinio preparato reikia skirti mažesnę dozę (paros dozė - 50 mg) ir atidžiai stebėti jų būklę. Esant sunkiam kepenų funkcijos sutrikimui, Feneit vartoti draudžiama.</w:t>
      </w:r>
      <w:r>
        <w:rPr>
          <w:rFonts w:ascii="Times New Roman" w:eastAsia="Arial Unicode MS" w:hAnsi="Times New Roman"/>
          <w:bCs/>
          <w:color w:val="000000"/>
        </w:rPr>
        <w:br/>
      </w:r>
    </w:p>
    <w:p w14:paraId="5E03FB4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i/>
          <w:color w:val="000000"/>
        </w:rPr>
        <w:t>Pacientams, kurių inkstų funkcija sutrikusi</w:t>
      </w:r>
      <w:r>
        <w:rPr>
          <w:rFonts w:ascii="Times New Roman" w:eastAsia="Arial Unicode MS" w:hAnsi="Times New Roman"/>
          <w:bCs/>
          <w:color w:val="000000"/>
        </w:rPr>
        <w:br/>
        <w:t xml:space="preserve">Pacientams, kuriems lengvai sutrikusi inkstų funkcija (kreatinino klirensas 60-89 ml/min.) (žr. 4.4 skyrių), </w:t>
      </w:r>
      <w:r>
        <w:rPr>
          <w:rFonts w:ascii="Times New Roman" w:eastAsia="Arial Unicode MS" w:hAnsi="Times New Roman"/>
          <w:bCs/>
          <w:color w:val="000000"/>
        </w:rPr>
        <w:lastRenderedPageBreak/>
        <w:t xml:space="preserve">gydymo pradžioje skiriama 50 mg per parą. Esant vidutinio sunkumo ir sunkiam inkstų funkcijos sutrikimui (kreatinino klirensas </w:t>
      </w:r>
      <w:r>
        <w:rPr>
          <w:rFonts w:ascii="Times New Roman" w:eastAsia="Arial Unicode MS" w:hAnsi="Times New Roman"/>
          <w:color w:val="000000"/>
        </w:rPr>
        <w:t>≤</w:t>
      </w:r>
      <w:r>
        <w:rPr>
          <w:rFonts w:ascii="Times New Roman" w:eastAsia="Arial Unicode MS" w:hAnsi="Times New Roman"/>
          <w:bCs/>
          <w:color w:val="000000"/>
        </w:rPr>
        <w:t>59 ml/min.) (žr. 4.3 skyrių), Feneit vartoti draudžiama.</w:t>
      </w:r>
    </w:p>
    <w:p w14:paraId="59CAFB0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B0E070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u w:val="single"/>
        </w:rPr>
        <w:t>Vartojimo metodas</w:t>
      </w:r>
    </w:p>
    <w:p w14:paraId="4430613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Vartoti per burną. Tabletė turi būti nuryjama, užsigeriant pakankamu skysčių kiekiu (pvz. viena stiklinė vandens). Vartojant kartu su maistu, mažėja vaistinio preparato absorbcija (žr. sk. Farmakokinetinės savybės), todėl, esant ūminiam skausmui, patariama vaisto išgerti bent 30 minučių prieš valgį.</w:t>
      </w:r>
      <w:r>
        <w:rPr>
          <w:rFonts w:ascii="Times New Roman" w:eastAsia="Arial Unicode MS" w:hAnsi="Times New Roman"/>
          <w:bCs/>
          <w:color w:val="000000"/>
        </w:rPr>
        <w:br/>
      </w:r>
    </w:p>
    <w:p w14:paraId="0F0DAA36"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229"/>
      <w:bookmarkStart w:id="17" w:name="_Toc129243104"/>
      <w:r>
        <w:rPr>
          <w:rFonts w:ascii="Times New Roman" w:eastAsia="Times New Roman" w:hAnsi="Times New Roman"/>
          <w:b/>
          <w:kern w:val="28"/>
        </w:rPr>
        <w:t>4.3</w:t>
      </w:r>
      <w:r>
        <w:rPr>
          <w:rFonts w:ascii="Times New Roman" w:eastAsia="Times New Roman" w:hAnsi="Times New Roman"/>
          <w:b/>
          <w:kern w:val="28"/>
        </w:rPr>
        <w:tab/>
        <w:t>Kontraindikacijos</w:t>
      </w:r>
      <w:bookmarkEnd w:id="16"/>
      <w:bookmarkEnd w:id="17"/>
    </w:p>
    <w:p w14:paraId="1A47947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71656B7" w14:textId="77777777" w:rsidR="007E37A3" w:rsidRDefault="007E37A3" w:rsidP="007E37A3">
      <w:pPr>
        <w:tabs>
          <w:tab w:val="left" w:pos="426"/>
        </w:tabs>
        <w:spacing w:after="0" w:line="240" w:lineRule="auto"/>
        <w:rPr>
          <w:rFonts w:ascii="Times New Roman" w:eastAsia="Arial Unicode MS" w:hAnsi="Times New Roman"/>
          <w:bCs/>
          <w:color w:val="000000"/>
        </w:rPr>
      </w:pPr>
      <w:bookmarkStart w:id="18" w:name="_Toc129243230"/>
      <w:bookmarkStart w:id="19" w:name="_Toc129243105"/>
      <w:r>
        <w:rPr>
          <w:rFonts w:ascii="Times New Roman" w:eastAsia="Arial Unicode MS" w:hAnsi="Times New Roman"/>
          <w:bCs/>
          <w:color w:val="000000"/>
        </w:rPr>
        <w:t xml:space="preserve">Padidėjęs jautrumas veikliajai arba bet kuriai 6.1 skyriuje nurodytai pagalbinei medžiagai, </w:t>
      </w:r>
    </w:p>
    <w:p w14:paraId="3F09960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Padidėjęs jautrumas kitiems nesteroidiniams vaistiniams preparatams nuo uždegimo (NVPNU).</w:t>
      </w:r>
      <w:r>
        <w:rPr>
          <w:rFonts w:ascii="Times New Roman" w:eastAsia="Arial Unicode MS" w:hAnsi="Times New Roman"/>
          <w:bCs/>
          <w:color w:val="000000"/>
        </w:rPr>
        <w:br/>
        <w:t>Pacientų, kuriems panašaus poveikio medžiagos (pvz., acetilsalicilo rūgštis ar kiti NVPNU) sukelia astmos priepuolius, bronchų spazmą, ūminį rinitą, nosies polipų susidarymą, dilgėlinę ar angioneurozinę edemą, gydymas.</w:t>
      </w:r>
    </w:p>
    <w:p w14:paraId="6DCC70F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Žinomos fotojautrumo ir fototoksiškumo reakcijos, buvusios gydant ketoprofenu ar fibratais.</w:t>
      </w:r>
    </w:p>
    <w:p w14:paraId="5715997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Buvęs virškinimo trakto kraujavimas arba perforacija, susiję su NVPNU vartojimu.</w:t>
      </w:r>
      <w:r>
        <w:rPr>
          <w:rFonts w:ascii="Times New Roman" w:eastAsia="Arial Unicode MS" w:hAnsi="Times New Roman"/>
          <w:bCs/>
          <w:color w:val="000000"/>
        </w:rPr>
        <w:br/>
        <w:t>Pepsinė skrandžio ir žarnyno opa.</w:t>
      </w:r>
    </w:p>
    <w:p w14:paraId="72ACD12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Esamas virškinimo trakto kraujavimas, išopėjimas ar perforacija.</w:t>
      </w:r>
    </w:p>
    <w:p w14:paraId="6ADFBE9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Lėtinė dispepsija.</w:t>
      </w:r>
    </w:p>
    <w:p w14:paraId="249FC4B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Nustatytas bet koks aktyvus kraujavimas arba kraujavimo sutrikimas.</w:t>
      </w:r>
      <w:r>
        <w:rPr>
          <w:rFonts w:ascii="Times New Roman" w:eastAsia="Arial Unicode MS" w:hAnsi="Times New Roman"/>
          <w:bCs/>
          <w:color w:val="000000"/>
        </w:rPr>
        <w:br/>
        <w:t>Krono liga ar opinis kolitas.</w:t>
      </w:r>
      <w:r>
        <w:rPr>
          <w:rFonts w:ascii="Times New Roman" w:eastAsia="Arial Unicode MS" w:hAnsi="Times New Roman"/>
          <w:bCs/>
          <w:color w:val="000000"/>
        </w:rPr>
        <w:br/>
        <w:t>Sunkus širdies nepakankamumas.</w:t>
      </w:r>
      <w:r>
        <w:rPr>
          <w:rFonts w:ascii="Times New Roman" w:eastAsia="Arial Unicode MS" w:hAnsi="Times New Roman"/>
          <w:bCs/>
          <w:color w:val="000000"/>
        </w:rPr>
        <w:br/>
        <w:t>Vidutinio sunkumo arba sunkus inkstų funkcijos sutrikimas (kreatinino klirensas ≤59 ml/min.).</w:t>
      </w:r>
      <w:r>
        <w:rPr>
          <w:rFonts w:ascii="Times New Roman" w:eastAsia="Arial Unicode MS" w:hAnsi="Times New Roman"/>
          <w:bCs/>
          <w:color w:val="000000"/>
        </w:rPr>
        <w:br/>
        <w:t>Sunkus kepenų funkcijos sutrikimas (10-15 balų pagal Child-Pugh klasifikaciją).</w:t>
      </w:r>
      <w:r>
        <w:rPr>
          <w:rFonts w:ascii="Times New Roman" w:eastAsia="Arial Unicode MS" w:hAnsi="Times New Roman"/>
          <w:bCs/>
          <w:color w:val="000000"/>
        </w:rPr>
        <w:br/>
        <w:t>Hemoraginė diatezė ar kiti kraujo krešumo sutrikimai.</w:t>
      </w:r>
    </w:p>
    <w:p w14:paraId="204B08F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Sunki dehidratacija (sukelta vėmimo, viduriavimo ar nepakankamo kiekio skysčių vartojimo).</w:t>
      </w:r>
      <w:r>
        <w:rPr>
          <w:rFonts w:ascii="Times New Roman" w:eastAsia="Arial Unicode MS" w:hAnsi="Times New Roman"/>
          <w:bCs/>
          <w:color w:val="000000"/>
        </w:rPr>
        <w:br/>
        <w:t>Trečias nėštumo trimestras ir žindymo laikotarpis (žr. 4.6 skyrių).</w:t>
      </w:r>
      <w:r>
        <w:rPr>
          <w:rFonts w:ascii="Times New Roman" w:eastAsia="Arial Unicode MS" w:hAnsi="Times New Roman"/>
          <w:bCs/>
          <w:color w:val="000000"/>
        </w:rPr>
        <w:br/>
      </w:r>
    </w:p>
    <w:p w14:paraId="79A47739"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r>
        <w:rPr>
          <w:rFonts w:ascii="Times New Roman" w:eastAsia="Times New Roman" w:hAnsi="Times New Roman"/>
          <w:b/>
          <w:kern w:val="28"/>
        </w:rPr>
        <w:t>4.4</w:t>
      </w:r>
      <w:r>
        <w:rPr>
          <w:rFonts w:ascii="Times New Roman" w:eastAsia="Times New Roman" w:hAnsi="Times New Roman"/>
          <w:b/>
          <w:kern w:val="28"/>
        </w:rPr>
        <w:tab/>
        <w:t>Specialūs įspėjimai ir atsargumo priemonės</w:t>
      </w:r>
      <w:bookmarkEnd w:id="18"/>
      <w:bookmarkEnd w:id="19"/>
    </w:p>
    <w:p w14:paraId="357EB11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br/>
        <w:t>Atsargiai vaistinio preparato reikia skirti pacientams, kurie anamnezėje nurodo alergines reakcijas arba ligas.</w:t>
      </w:r>
    </w:p>
    <w:p w14:paraId="585C315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Reikia vengti vartoti kartu su kitais NVPNU, įskaitant ciklooksigenazės-2 selektyviuosius inhibitorius.</w:t>
      </w:r>
    </w:p>
    <w:p w14:paraId="63DDD81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0B772A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28B7108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2027918"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Virškinimo trakto saugumas</w:t>
      </w:r>
    </w:p>
    <w:p w14:paraId="03EC43F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Kraujavimas iš virškinimo trakto, išopėjimas ir perforacija, galintys sukelti mirtį, su įspėjamaisiais simptomais arba be jų, nesant anamnezės apie sunkius virškinimo trakto pažeidimus, pasitaikė bet kuriuo metu vartojant visų NVPNU. Jei virškinimo trakto kraujavimas ar išopėjimas atsiranda vartojant Feneit, gydymą reikia nutraukti.</w:t>
      </w:r>
    </w:p>
    <w:p w14:paraId="19F8480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Kraujavimo iš virškinimo trakto, išopėjimo ir perforacijos rizika padidėja, kai vartojamos didesnės NVPNU dozės, kai pacientai anamnezėje nurodo buvusią opą, ypač jei ji komplikavosi kraujavimu arba perforacija (žr. 4.3  skyrių), bei senyviems pacientams.</w:t>
      </w:r>
    </w:p>
    <w:p w14:paraId="64F0F51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Senyviems pacientams dažniau pasitaiko NVPNU nepageidaujamos reakcijos, ypač virškinimo trakto kraujavimas ir perforacija, galintys sukelti mirtį (žr. 4.2 skyrių). Šiuos pacientus reikia gydyti mažiausia tinkama vaistinio preparato doze.</w:t>
      </w:r>
    </w:p>
    <w:p w14:paraId="0AF7291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6EFC72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Kaip ir kitų NVPNU atvejais, reikia išsiaiškinti anamnezės duomenis apie ezofagitą, gastritą ir (arba) pepsinę opą, kad prieš deksketoprofeno trometamolio vartojimo pradžią būtų užtikrintas šių sutrikimų </w:t>
      </w:r>
      <w:r>
        <w:rPr>
          <w:rFonts w:ascii="Times New Roman" w:eastAsia="Arial Unicode MS" w:hAnsi="Times New Roman"/>
          <w:bCs/>
          <w:color w:val="000000"/>
        </w:rPr>
        <w:lastRenderedPageBreak/>
        <w:t>gydymas. Pacientus, kuriems nustatyti virškinimo trakto pažeidimų simptomai arba virškinimo trakto ligos, reikia stebėti dėl virškinimo sutrikimų, ypač dėl kraujavimo iš virškinimo trakto.</w:t>
      </w:r>
    </w:p>
    <w:p w14:paraId="77B8B3D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3D7CBD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Atsargiai NVPNU reikia skirti vartoti pacientams, kurie anamnezėje nurodo virškinimo trakto ligas (opinį kolitą, Krono ligą), nes jos gali paūmėti (žr. 4.8 skyrių).</w:t>
      </w:r>
    </w:p>
    <w:p w14:paraId="08B3F2D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A76EB2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Reikia spręsti, ar nereikia šiems pacientams taip pat vartojantiems nedidelių acetilsalicilo rūgšties dozių ar kitų vaistinių preparatų, galinčių padidinti virškinimo trakto pažeidimų riziką (žr. 4.5 skyrių) skirti kartu vartoti virškinimo traktą apsaugančių vaistinių preparatų (pvz., mizoprostolio ar protonų siurblio inhibitorių).</w:t>
      </w:r>
    </w:p>
    <w:p w14:paraId="3F273B7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Pacientai, kuriems buvo virškinimo trakto pažeidimų, ypač senyvi, turi pranešti apie bet kokius neįprastus simptomus pilve (ypač – kraujavimą iš virškinimo trakto), ypatingai gydymo pradžioje.</w:t>
      </w:r>
    </w:p>
    <w:p w14:paraId="5F20FC0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F7264E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Atsargumo reikia laikytis, kai kartu vartojami vaistiniai preparatai, galintys padidinti išopėjimo ir kraujavimo riziką, pvz., geriamieji kortikosteroidai, krešumą mažinantis vaistinis preparatas varfarinas, selektyvieji serotonino reabsorbcijos inhibitoriai arba kiti antitrombocitiniai vaistiniai preparatai, pvz.; acetilsalicilo rūgštis (žr. 4.5 skyrių).</w:t>
      </w:r>
    </w:p>
    <w:p w14:paraId="3296A8A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8D0A5E5" w14:textId="77777777" w:rsidR="007E37A3" w:rsidRDefault="007E37A3" w:rsidP="007E37A3">
      <w:pPr>
        <w:tabs>
          <w:tab w:val="left" w:pos="0"/>
        </w:tabs>
        <w:spacing w:after="0" w:line="240" w:lineRule="auto"/>
        <w:rPr>
          <w:rFonts w:ascii="Times New Roman" w:eastAsia="Times New Roman" w:hAnsi="Times New Roman"/>
          <w:i/>
        </w:rPr>
      </w:pPr>
      <w:r>
        <w:rPr>
          <w:rFonts w:ascii="Times New Roman" w:eastAsia="Times New Roman" w:hAnsi="Times New Roman"/>
          <w:i/>
        </w:rPr>
        <w:t>Inkstų funkcijos saugumas</w:t>
      </w:r>
    </w:p>
    <w:p w14:paraId="577927DE" w14:textId="77777777" w:rsidR="007E37A3" w:rsidRDefault="007E37A3" w:rsidP="007E37A3">
      <w:pPr>
        <w:tabs>
          <w:tab w:val="left" w:pos="0"/>
        </w:tabs>
        <w:spacing w:after="0" w:line="240" w:lineRule="auto"/>
        <w:rPr>
          <w:rFonts w:ascii="Times New Roman" w:eastAsia="Times New Roman" w:hAnsi="Times New Roman"/>
        </w:rPr>
      </w:pPr>
      <w:r>
        <w:rPr>
          <w:rFonts w:ascii="Times New Roman" w:eastAsia="Times New Roman" w:hAnsi="Times New Roman"/>
        </w:rPr>
        <w:t xml:space="preserve">Atsargumo privalu laikytis pacientams, kurių inkstų funkcija yra sutrikusi. Šiems pacientams NVPNU vartojimas gali sukelti inkstų nepakankamumą, skysčių susilaikymą organizme ir patinimus. Dėl padidėjusios inkstų toksinio pažeidimo rizikos atsargumo taip pat reikia laikytis diuretikų vartojantiems pacientams arba pacientams, kuriems galima hipovolemija. </w:t>
      </w:r>
    </w:p>
    <w:p w14:paraId="5DFB5C2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Siekiant apsaugoti nuo skysčių netekimo ir su šiuo pokyčiu susijusio stipresnio toksinio poveikio inkstams, būtina užtikrinti pakankamą skysčių vartojimą.</w:t>
      </w:r>
    </w:p>
    <w:p w14:paraId="0F0AD1E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br/>
        <w:t>Gydant šiuo vaistiniu preparatu, kaip ir kitais NVPNU, kraujo plazmoje gali padidėti urėjos ir kreatinino kiekis. Kaip ir kitų prostaglandinų sintezės inhibitorių vartojimo atvejais, gali būti neigiamas poveikis inkstams: glomerulonefritas, intersticinis nefritas, inkstų papilų nekrozė, nefrozinis sindromas ir ūminis inkstų nepakankamumas.</w:t>
      </w:r>
    </w:p>
    <w:p w14:paraId="2D2287C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0C0558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Senyviems pacientams inkstų funkcijos sutrikimas pasitaiko dažniau (žr. 4.2 skyrių)</w:t>
      </w:r>
      <w:r>
        <w:rPr>
          <w:rFonts w:ascii="Times New Roman" w:hAnsi="Times New Roman"/>
          <w:color w:val="000000"/>
        </w:rPr>
        <w:t>.</w:t>
      </w:r>
    </w:p>
    <w:p w14:paraId="0D9E13A2" w14:textId="77777777" w:rsidR="007E37A3" w:rsidRDefault="007E37A3" w:rsidP="007E37A3">
      <w:pPr>
        <w:tabs>
          <w:tab w:val="left" w:pos="0"/>
        </w:tabs>
        <w:spacing w:after="0" w:line="240" w:lineRule="auto"/>
        <w:rPr>
          <w:rFonts w:ascii="Times New Roman" w:eastAsia="Times New Roman" w:hAnsi="Times New Roman"/>
          <w:i/>
        </w:rPr>
      </w:pPr>
      <w:r>
        <w:rPr>
          <w:rFonts w:ascii="Times New Roman" w:eastAsia="Times New Roman" w:hAnsi="Times New Roman"/>
          <w:i/>
          <w:sz w:val="24"/>
          <w:szCs w:val="24"/>
        </w:rPr>
        <w:br/>
      </w:r>
      <w:r>
        <w:rPr>
          <w:rFonts w:ascii="Times New Roman" w:eastAsia="Times New Roman" w:hAnsi="Times New Roman"/>
          <w:i/>
        </w:rPr>
        <w:t>Kepenų funkcijos saugumas</w:t>
      </w:r>
    </w:p>
    <w:p w14:paraId="0463DD6F" w14:textId="77777777" w:rsidR="007E37A3" w:rsidRDefault="007E37A3" w:rsidP="007E37A3">
      <w:pPr>
        <w:tabs>
          <w:tab w:val="left" w:pos="0"/>
        </w:tabs>
        <w:spacing w:after="0" w:line="288" w:lineRule="auto"/>
        <w:rPr>
          <w:rFonts w:ascii="Times New Roman" w:eastAsia="Times New Roman" w:hAnsi="Times New Roman"/>
          <w:sz w:val="24"/>
          <w:szCs w:val="24"/>
        </w:rPr>
      </w:pPr>
      <w:r>
        <w:rPr>
          <w:rFonts w:ascii="Times New Roman" w:eastAsia="Times New Roman" w:hAnsi="Times New Roman"/>
        </w:rPr>
        <w:t>Esant sutrikusiai kepenų funkcijai būtina laikytis atsargumo</w:t>
      </w:r>
      <w:r>
        <w:rPr>
          <w:rFonts w:ascii="Times New Roman" w:eastAsia="Times New Roman" w:hAnsi="Times New Roman"/>
          <w:snapToGrid w:val="0"/>
          <w:sz w:val="24"/>
          <w:szCs w:val="24"/>
          <w:lang w:eastAsia="it-IT"/>
        </w:rPr>
        <w:t>.</w:t>
      </w:r>
    </w:p>
    <w:p w14:paraId="0632ABE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Kaip būdinga ir kitiems NVPNU, galimi neintensyvūs laikini kai kurių kepenų funkcijos rodiklių kiekio pakitimai, taip pat gali padidėti AST (aspartataminotransferazės) ir ALT (alaninaminotranferazės) aktyvumas kraujo plazmoje. Jei jie padidėja žymiai, gydymą šiuo vaistiniu preparatu reikia nutraukti.</w:t>
      </w:r>
    </w:p>
    <w:p w14:paraId="60F9F98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0E5F7B2" w14:textId="77777777" w:rsidR="007E37A3" w:rsidRDefault="007E37A3" w:rsidP="007E37A3">
      <w:pPr>
        <w:tabs>
          <w:tab w:val="left" w:pos="0"/>
        </w:tabs>
        <w:spacing w:after="0" w:line="288" w:lineRule="auto"/>
        <w:rPr>
          <w:rFonts w:ascii="Times New Roman" w:hAnsi="Times New Roman"/>
          <w:b/>
          <w:u w:val="single"/>
        </w:rPr>
      </w:pPr>
      <w:r>
        <w:rPr>
          <w:rFonts w:ascii="Times New Roman" w:eastAsia="Times New Roman" w:hAnsi="Times New Roman"/>
        </w:rPr>
        <w:t>Senyviems pacientams kepenų funkcijos sutrikimas pasitaiko dažniau (žr. 4.2 skyrių)</w:t>
      </w:r>
      <w:r>
        <w:rPr>
          <w:rFonts w:ascii="Times New Roman" w:hAnsi="Times New Roman"/>
          <w:color w:val="000000"/>
        </w:rPr>
        <w:t>.</w:t>
      </w:r>
    </w:p>
    <w:p w14:paraId="415C5117" w14:textId="77777777" w:rsidR="007E37A3" w:rsidRDefault="007E37A3" w:rsidP="007E37A3">
      <w:pPr>
        <w:tabs>
          <w:tab w:val="left" w:pos="0"/>
        </w:tabs>
        <w:spacing w:after="0" w:line="288" w:lineRule="auto"/>
        <w:rPr>
          <w:rFonts w:ascii="Times New Roman" w:hAnsi="Times New Roman"/>
          <w:b/>
          <w:highlight w:val="yellow"/>
          <w:u w:val="single"/>
        </w:rPr>
      </w:pPr>
    </w:p>
    <w:p w14:paraId="0D9FA8B7" w14:textId="77777777" w:rsidR="007E37A3" w:rsidRDefault="007E37A3" w:rsidP="007E37A3">
      <w:pPr>
        <w:spacing w:after="0" w:line="240" w:lineRule="auto"/>
        <w:rPr>
          <w:rFonts w:ascii="Times New Roman" w:eastAsia="Times New Roman" w:hAnsi="Times New Roman"/>
          <w:i/>
          <w:lang w:eastAsia="lt-LT"/>
        </w:rPr>
      </w:pPr>
      <w:r>
        <w:rPr>
          <w:rFonts w:ascii="Times New Roman" w:eastAsia="Times New Roman" w:hAnsi="Times New Roman"/>
          <w:i/>
          <w:lang w:eastAsia="lt-LT"/>
        </w:rPr>
        <w:t>Širdies bei galvos smegenų kraujagyslių saugumas</w:t>
      </w:r>
    </w:p>
    <w:p w14:paraId="4118214A" w14:textId="77777777" w:rsidR="007E37A3" w:rsidRDefault="007E37A3" w:rsidP="007E37A3">
      <w:pPr>
        <w:tabs>
          <w:tab w:val="left" w:pos="426"/>
        </w:tabs>
        <w:spacing w:after="0" w:line="240" w:lineRule="auto"/>
        <w:rPr>
          <w:rFonts w:ascii="Times New Roman" w:eastAsia="Arial Unicode MS" w:hAnsi="Times New Roman"/>
          <w:bCs/>
          <w:snapToGrid w:val="0"/>
          <w:color w:val="000000"/>
          <w:lang w:eastAsia="it-IT"/>
        </w:rPr>
      </w:pPr>
      <w:r>
        <w:rPr>
          <w:rFonts w:ascii="Times New Roman" w:hAnsi="Times New Roman"/>
        </w:rPr>
        <w:t>Pacientus, kuriems jau buvo padidėjęs kraujospūdis ir (arba) pasireiškę lengvi ar vidutinio sunkumo širdies nepakankamumo reiškiniai, gydymosi NVPNU metu, reikia konsultuoti ir tinkamai stebėti dėl galimo skysčių susilaikymo ir edemos, susijusios su NVPNU vartojimu.</w:t>
      </w:r>
    </w:p>
    <w:p w14:paraId="55C1DF2F" w14:textId="77777777" w:rsidR="007E37A3" w:rsidRDefault="007E37A3" w:rsidP="007E37A3">
      <w:pPr>
        <w:tabs>
          <w:tab w:val="left" w:pos="426"/>
        </w:tabs>
        <w:spacing w:after="0" w:line="240" w:lineRule="auto"/>
        <w:rPr>
          <w:rFonts w:ascii="Times New Roman" w:eastAsia="Arial Unicode MS" w:hAnsi="Times New Roman"/>
          <w:bCs/>
          <w:color w:val="000000"/>
          <w:lang w:eastAsia="lt-LT"/>
        </w:rPr>
      </w:pPr>
    </w:p>
    <w:p w14:paraId="099BFCF9" w14:textId="77777777" w:rsidR="007E37A3" w:rsidRDefault="007E37A3" w:rsidP="007E37A3">
      <w:pPr>
        <w:tabs>
          <w:tab w:val="left" w:pos="426"/>
        </w:tabs>
        <w:spacing w:after="0" w:line="240" w:lineRule="auto"/>
        <w:rPr>
          <w:rFonts w:ascii="Times New Roman" w:hAnsi="Times New Roman"/>
        </w:rPr>
      </w:pPr>
      <w:r>
        <w:rPr>
          <w:rFonts w:ascii="Times New Roman" w:hAnsi="Times New Roman"/>
        </w:rPr>
        <w:t xml:space="preserve">Klinikiniai tyrimai ir epidemiologiniai duomenys patvirtina, kad kai kurių NVPNU vartojimas (ypač didelėmis dozėmis ilgą laiką) gali būti susijęs su nedideliu arterijų trombozės reiškinių (pvz., miokardo infarkto arba insulto) rizikos padidėjimu. Duomenų, paneigiančių tokį </w:t>
      </w:r>
      <w:r>
        <w:rPr>
          <w:rFonts w:ascii="Times New Roman" w:eastAsia="Arial Unicode MS" w:hAnsi="Times New Roman"/>
          <w:bCs/>
          <w:color w:val="000000"/>
          <w:lang w:eastAsia="lt-LT"/>
        </w:rPr>
        <w:t>deksketoprofeno trometamolio</w:t>
      </w:r>
      <w:r>
        <w:rPr>
          <w:rFonts w:ascii="Times New Roman" w:hAnsi="Times New Roman"/>
        </w:rPr>
        <w:t xml:space="preserve"> keliamą pavojų, nepakanka.</w:t>
      </w:r>
    </w:p>
    <w:p w14:paraId="40448957" w14:textId="77777777" w:rsidR="007E37A3" w:rsidRDefault="007E37A3" w:rsidP="007E37A3">
      <w:pPr>
        <w:tabs>
          <w:tab w:val="left" w:pos="426"/>
        </w:tabs>
        <w:spacing w:after="0" w:line="240" w:lineRule="auto"/>
        <w:rPr>
          <w:rFonts w:ascii="Times New Roman" w:eastAsia="Arial Unicode MS" w:hAnsi="Times New Roman"/>
          <w:bCs/>
          <w:color w:val="000000"/>
          <w:lang w:eastAsia="lt-LT"/>
        </w:rPr>
      </w:pPr>
    </w:p>
    <w:p w14:paraId="2055A0E1" w14:textId="77777777" w:rsidR="007E37A3" w:rsidRDefault="007E37A3" w:rsidP="007E37A3">
      <w:pPr>
        <w:tabs>
          <w:tab w:val="left" w:pos="0"/>
        </w:tabs>
        <w:spacing w:after="0" w:line="240" w:lineRule="auto"/>
        <w:rPr>
          <w:rFonts w:ascii="Times New Roman" w:eastAsia="Times New Roman" w:hAnsi="Times New Roman"/>
          <w:snapToGrid w:val="0"/>
          <w:lang w:eastAsia="it-IT"/>
        </w:rPr>
      </w:pPr>
      <w:r>
        <w:rPr>
          <w:rFonts w:ascii="Times New Roman" w:hAnsi="Times New Roman"/>
        </w:rPr>
        <w:lastRenderedPageBreak/>
        <w:t xml:space="preserve">Pacientus, kuriems yra negydytas padidėjęs kraujospūdis, stazinis širdies nepakankamumas, nustatyta išeminė širdies liga, periferinių arterijų liga ir (arba) galvos smegenų kraujagyslių liga, </w:t>
      </w:r>
      <w:r>
        <w:rPr>
          <w:rFonts w:ascii="Times New Roman" w:eastAsia="Times New Roman" w:hAnsi="Times New Roman"/>
        </w:rPr>
        <w:t>deksketoprofeno trometamoliu</w:t>
      </w:r>
      <w:r>
        <w:rPr>
          <w:rFonts w:ascii="Times New Roman" w:hAnsi="Times New Roman"/>
        </w:rPr>
        <w:t xml:space="preserve">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10099C27" w14:textId="77777777" w:rsidR="007E37A3" w:rsidRDefault="007E37A3" w:rsidP="007E37A3">
      <w:pPr>
        <w:tabs>
          <w:tab w:val="left" w:pos="567"/>
        </w:tabs>
        <w:spacing w:after="0" w:line="240" w:lineRule="auto"/>
        <w:ind w:left="567"/>
        <w:rPr>
          <w:rFonts w:ascii="Times New Roman" w:eastAsia="Times New Roman" w:hAnsi="Times New Roman"/>
          <w:snapToGrid w:val="0"/>
          <w:lang w:eastAsia="it-IT"/>
        </w:rPr>
      </w:pPr>
    </w:p>
    <w:p w14:paraId="5BB8316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Dėl to, kad slopina prostaglandinų sintezę, visi neselektyvieji NVPNU gali slopinti trombocitų agregaciją ir sukelti kraujavimo laiko pailgėjimą.Todėl deksketoprofeno trometamolio nerekomenduojama vartoti pacientams, kurie gydomi kitais hemostazę trikdančiais vaistiniais preparatais, pvz., varfarinu arba kitais kumarinų grupės vaistiniais preparatais (žr. 4.5 skyrių)</w:t>
      </w:r>
      <w:r>
        <w:rPr>
          <w:rFonts w:ascii="Times New Roman" w:eastAsia="Arial Unicode MS" w:hAnsi="Times New Roman"/>
          <w:bCs/>
          <w:snapToGrid w:val="0"/>
          <w:color w:val="000000"/>
          <w:lang w:eastAsia="it-IT"/>
        </w:rPr>
        <w:t>.</w:t>
      </w:r>
    </w:p>
    <w:p w14:paraId="444CF15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D3B98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Senyvi pacientai dažniau serga širdies ir kraujagyslių sistemos sutrikimais (žr. 4.2 skyrių).</w:t>
      </w:r>
    </w:p>
    <w:p w14:paraId="138038F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9174BC7" w14:textId="77777777" w:rsidR="007E37A3" w:rsidRDefault="007E37A3" w:rsidP="007E37A3">
      <w:pPr>
        <w:tabs>
          <w:tab w:val="left" w:pos="426"/>
          <w:tab w:val="left" w:pos="1695"/>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Odos reakcijos</w:t>
      </w:r>
      <w:r>
        <w:rPr>
          <w:rFonts w:ascii="Times New Roman" w:eastAsia="Arial Unicode MS" w:hAnsi="Times New Roman"/>
          <w:bCs/>
          <w:i/>
          <w:color w:val="000000"/>
        </w:rPr>
        <w:tab/>
      </w:r>
    </w:p>
    <w:p w14:paraId="4DC2F386" w14:textId="77777777" w:rsidR="007E37A3" w:rsidRDefault="007E37A3" w:rsidP="007E37A3">
      <w:pPr>
        <w:tabs>
          <w:tab w:val="left" w:pos="426"/>
        </w:tabs>
        <w:spacing w:after="0" w:line="240" w:lineRule="auto"/>
        <w:rPr>
          <w:rFonts w:ascii="Times New Roman" w:eastAsia="Arial Unicode MS" w:hAnsi="Times New Roman"/>
          <w:bCs/>
          <w:color w:val="000000"/>
          <w:vertAlign w:val="superscript"/>
        </w:rPr>
      </w:pPr>
      <w:r>
        <w:rPr>
          <w:rFonts w:ascii="Times New Roman" w:eastAsia="Arial Unicode MS" w:hAnsi="Times New Roman"/>
          <w:bCs/>
          <w:color w:val="000000"/>
        </w:rPr>
        <w:t>Vartojant NVPNU labai retai pasitaikė sunkios odos reakcijos, kai kurios galinčios sukelti paciento mirtį, pvz., eksfoliacinis dermatitas, Stivenso-Džonsono (</w:t>
      </w:r>
      <w:r>
        <w:rPr>
          <w:rFonts w:ascii="Times New Roman" w:eastAsia="Arial Unicode MS" w:hAnsi="Times New Roman"/>
          <w:bCs/>
          <w:i/>
          <w:iCs/>
          <w:color w:val="000000"/>
        </w:rPr>
        <w:t>Stevens-Johnson</w:t>
      </w:r>
      <w:r>
        <w:rPr>
          <w:rFonts w:ascii="Times New Roman" w:eastAsia="Arial Unicode MS" w:hAnsi="Times New Roman"/>
          <w:bCs/>
          <w:color w:val="000000"/>
        </w:rPr>
        <w:t>) sindromas, toksinė epidermio nekrolizė (žr. 4.8 skyrių). Didžiausias šių reakcijų pavojus pacientams gresia gydymosi pradžioje: dažniausiai šios reakcijos atsiranda pirmą vaistinio preparato vartojimo mėnesį. Feneit vartojimą reikia nutraukti atsiradus pirmiems odos išbėrimo, gleivinių pažeidimo ar kitiems padidėjusio jautrumo požymiams.</w:t>
      </w:r>
    </w:p>
    <w:p w14:paraId="4B053A8A" w14:textId="77777777" w:rsidR="007E37A3" w:rsidRDefault="007E37A3" w:rsidP="007E37A3">
      <w:pPr>
        <w:tabs>
          <w:tab w:val="left" w:pos="426"/>
        </w:tabs>
        <w:spacing w:after="0" w:line="240" w:lineRule="auto"/>
        <w:rPr>
          <w:rFonts w:ascii="Times New Roman" w:eastAsia="Arial Unicode MS" w:hAnsi="Times New Roman"/>
          <w:bCs/>
          <w:i/>
          <w:color w:val="000000"/>
        </w:rPr>
      </w:pPr>
    </w:p>
    <w:p w14:paraId="22A39853" w14:textId="77777777" w:rsidR="007E37A3" w:rsidRDefault="007E37A3" w:rsidP="007E37A3">
      <w:pPr>
        <w:tabs>
          <w:tab w:val="left" w:pos="0"/>
        </w:tabs>
        <w:spacing w:after="0" w:line="240" w:lineRule="auto"/>
        <w:rPr>
          <w:rFonts w:ascii="Times New Roman" w:eastAsia="Times New Roman" w:hAnsi="Times New Roman"/>
          <w:i/>
          <w:snapToGrid w:val="0"/>
          <w:lang w:eastAsia="it-IT"/>
        </w:rPr>
      </w:pPr>
      <w:r>
        <w:rPr>
          <w:rFonts w:ascii="Times New Roman" w:eastAsia="Times New Roman" w:hAnsi="Times New Roman"/>
          <w:i/>
          <w:snapToGrid w:val="0"/>
          <w:lang w:eastAsia="it-IT"/>
        </w:rPr>
        <w:t>Kita informacija</w:t>
      </w:r>
    </w:p>
    <w:p w14:paraId="791779F9" w14:textId="77777777" w:rsidR="007E37A3" w:rsidRDefault="007E37A3" w:rsidP="007E37A3">
      <w:pPr>
        <w:tabs>
          <w:tab w:val="left" w:pos="0"/>
        </w:tabs>
        <w:spacing w:after="0" w:line="240" w:lineRule="auto"/>
        <w:rPr>
          <w:rFonts w:ascii="Times New Roman" w:eastAsia="Times New Roman" w:hAnsi="Times New Roman"/>
          <w:snapToGrid w:val="0"/>
          <w:lang w:eastAsia="it-IT"/>
        </w:rPr>
      </w:pPr>
      <w:r>
        <w:rPr>
          <w:rFonts w:ascii="Times New Roman" w:eastAsia="Times New Roman" w:hAnsi="Times New Roman"/>
          <w:snapToGrid w:val="0"/>
          <w:lang w:eastAsia="it-IT"/>
        </w:rPr>
        <w:t>Ypatingo atsargumo reikia laikytis pacientams:</w:t>
      </w:r>
    </w:p>
    <w:p w14:paraId="14AF2CC9" w14:textId="77777777" w:rsidR="007E37A3" w:rsidRDefault="007E37A3" w:rsidP="007E37A3">
      <w:pPr>
        <w:numPr>
          <w:ilvl w:val="0"/>
          <w:numId w:val="2"/>
        </w:numPr>
        <w:tabs>
          <w:tab w:val="left" w:pos="426"/>
        </w:tabs>
        <w:spacing w:after="0" w:line="240" w:lineRule="auto"/>
        <w:rPr>
          <w:rFonts w:ascii="Times New Roman" w:eastAsia="Arial Unicode MS" w:hAnsi="Times New Roman"/>
          <w:bCs/>
          <w:snapToGrid w:val="0"/>
          <w:color w:val="000000"/>
          <w:lang w:eastAsia="it-IT"/>
        </w:rPr>
      </w:pPr>
      <w:r>
        <w:rPr>
          <w:rFonts w:ascii="Times New Roman" w:eastAsia="Arial Unicode MS" w:hAnsi="Times New Roman"/>
          <w:bCs/>
          <w:snapToGrid w:val="0"/>
          <w:color w:val="000000"/>
          <w:lang w:eastAsia="it-IT"/>
        </w:rPr>
        <w:t>sergantiems paveldima porfirino metabolizmo sutrikimo liga (pvz., ūmia protarpine porfirija);</w:t>
      </w:r>
    </w:p>
    <w:p w14:paraId="1F55E114" w14:textId="77777777" w:rsidR="007E37A3" w:rsidRDefault="007E37A3" w:rsidP="007E37A3">
      <w:pPr>
        <w:numPr>
          <w:ilvl w:val="0"/>
          <w:numId w:val="2"/>
        </w:numPr>
        <w:tabs>
          <w:tab w:val="left" w:pos="426"/>
        </w:tabs>
        <w:spacing w:after="0" w:line="240" w:lineRule="auto"/>
        <w:rPr>
          <w:rFonts w:ascii="Times New Roman" w:eastAsia="Arial Unicode MS" w:hAnsi="Times New Roman"/>
          <w:bCs/>
          <w:snapToGrid w:val="0"/>
          <w:color w:val="000000"/>
          <w:lang w:eastAsia="it-IT"/>
        </w:rPr>
      </w:pPr>
      <w:r>
        <w:rPr>
          <w:rFonts w:ascii="Times New Roman" w:eastAsia="Arial Unicode MS" w:hAnsi="Times New Roman"/>
          <w:bCs/>
          <w:snapToGrid w:val="0"/>
          <w:color w:val="000000"/>
          <w:lang w:eastAsia="it-IT"/>
        </w:rPr>
        <w:t>netekusiems skysčių (dehidracija);</w:t>
      </w:r>
    </w:p>
    <w:p w14:paraId="3CA88FBC" w14:textId="77777777" w:rsidR="007E37A3" w:rsidRDefault="007E37A3" w:rsidP="007E37A3">
      <w:pPr>
        <w:numPr>
          <w:ilvl w:val="0"/>
          <w:numId w:val="2"/>
        </w:numPr>
        <w:tabs>
          <w:tab w:val="left" w:pos="426"/>
        </w:tabs>
        <w:spacing w:after="0" w:line="240" w:lineRule="auto"/>
        <w:rPr>
          <w:rFonts w:ascii="Times New Roman" w:eastAsia="Arial Unicode MS" w:hAnsi="Times New Roman"/>
          <w:bCs/>
          <w:snapToGrid w:val="0"/>
          <w:color w:val="000000"/>
          <w:lang w:eastAsia="it-IT"/>
        </w:rPr>
      </w:pPr>
      <w:r>
        <w:rPr>
          <w:rFonts w:ascii="Times New Roman" w:eastAsia="Arial Unicode MS" w:hAnsi="Times New Roman"/>
          <w:bCs/>
          <w:snapToGrid w:val="0"/>
          <w:color w:val="000000"/>
          <w:lang w:eastAsia="it-IT"/>
        </w:rPr>
        <w:t>pirmosiomis dienomis po didelių chirurginių operacijų.</w:t>
      </w:r>
    </w:p>
    <w:p w14:paraId="299F067A" w14:textId="77777777" w:rsidR="007E37A3" w:rsidRDefault="007E37A3" w:rsidP="007E37A3">
      <w:pPr>
        <w:tabs>
          <w:tab w:val="left" w:pos="426"/>
        </w:tabs>
        <w:spacing w:after="0" w:line="240" w:lineRule="auto"/>
        <w:ind w:firstLine="360"/>
        <w:rPr>
          <w:rFonts w:ascii="Times New Roman" w:eastAsia="Arial Unicode MS" w:hAnsi="Times New Roman"/>
          <w:bCs/>
          <w:snapToGrid w:val="0"/>
          <w:color w:val="000000"/>
          <w:lang w:eastAsia="it-IT"/>
        </w:rPr>
      </w:pPr>
    </w:p>
    <w:p w14:paraId="54C82E5E" w14:textId="77777777" w:rsidR="007E37A3" w:rsidRDefault="007E37A3" w:rsidP="007E37A3">
      <w:pPr>
        <w:tabs>
          <w:tab w:val="left" w:pos="426"/>
        </w:tabs>
        <w:spacing w:after="0" w:line="240" w:lineRule="auto"/>
        <w:rPr>
          <w:rFonts w:ascii="Times New Roman" w:eastAsia="Arial Unicode MS" w:hAnsi="Times New Roman"/>
          <w:bCs/>
          <w:snapToGrid w:val="0"/>
          <w:color w:val="000000"/>
          <w:lang w:eastAsia="it-IT"/>
        </w:rPr>
      </w:pPr>
      <w:r>
        <w:rPr>
          <w:rFonts w:ascii="Times New Roman" w:eastAsia="Arial Unicode MS" w:hAnsi="Times New Roman"/>
          <w:bCs/>
          <w:snapToGrid w:val="0"/>
          <w:color w:val="000000"/>
          <w:lang w:eastAsia="it-IT"/>
        </w:rPr>
        <w:t>Jeigu gydytojas nusprendžia, kad deksketoprofeno trometamolio būtina vartoti ilgai, reguliariai reikia tikrinti kepenų, inkstų funkcijas ir kraujo ląstelių kiekį.</w:t>
      </w:r>
    </w:p>
    <w:p w14:paraId="1EA7A0E5" w14:textId="77777777" w:rsidR="007E37A3" w:rsidRDefault="007E37A3" w:rsidP="007E37A3">
      <w:pPr>
        <w:spacing w:after="0" w:line="240" w:lineRule="auto"/>
        <w:rPr>
          <w:rFonts w:ascii="Times New Roman" w:eastAsia="Times New Roman" w:hAnsi="Times New Roman"/>
          <w:bCs/>
        </w:rPr>
      </w:pPr>
    </w:p>
    <w:p w14:paraId="1FD43561" w14:textId="77777777" w:rsidR="007E37A3" w:rsidRDefault="007E37A3" w:rsidP="007E37A3">
      <w:pPr>
        <w:tabs>
          <w:tab w:val="left" w:pos="0"/>
        </w:tabs>
        <w:spacing w:after="0" w:line="240" w:lineRule="auto"/>
        <w:rPr>
          <w:rFonts w:ascii="Times New Roman" w:hAnsi="Times New Roman"/>
          <w:highlight w:val="yellow"/>
        </w:rPr>
      </w:pPr>
      <w:r>
        <w:rPr>
          <w:rFonts w:ascii="Times New Roman" w:eastAsia="Times New Roman" w:hAnsi="Times New Roman"/>
          <w:bCs/>
        </w:rPr>
        <w:t>Labai retai pastebėta sunkių padidėjusio jautrumo reakcijų (pvz., anafilaksinis šokas). Po Feneit pavartojimo atsiradus pirmiems sunkių padidėjusio jautrumo reakcijų požymiams, jo vartojimą reikia nutraukti. Sveikatos priežiūros specialistai, atsižvelgdami į simptomus, turi taikyti visas reikalingas gydymo priemones</w:t>
      </w:r>
      <w:r>
        <w:rPr>
          <w:rFonts w:ascii="Times New Roman" w:hAnsi="Times New Roman"/>
        </w:rPr>
        <w:t>.</w:t>
      </w:r>
    </w:p>
    <w:p w14:paraId="2B1088F4" w14:textId="77777777" w:rsidR="007E37A3" w:rsidRDefault="007E37A3" w:rsidP="007E37A3">
      <w:pPr>
        <w:tabs>
          <w:tab w:val="left" w:pos="0"/>
        </w:tabs>
        <w:spacing w:after="0" w:line="240" w:lineRule="auto"/>
        <w:rPr>
          <w:rFonts w:ascii="Times New Roman" w:hAnsi="Times New Roman"/>
          <w:highlight w:val="yellow"/>
        </w:rPr>
      </w:pPr>
    </w:p>
    <w:p w14:paraId="3462D3C1" w14:textId="77777777" w:rsidR="007E37A3" w:rsidRDefault="007E37A3" w:rsidP="007E37A3">
      <w:pPr>
        <w:spacing w:after="0" w:line="240" w:lineRule="auto"/>
        <w:rPr>
          <w:rFonts w:ascii="Times New Roman" w:eastAsia="Times New Roman" w:hAnsi="Times New Roman"/>
          <w:bCs/>
        </w:rPr>
      </w:pPr>
      <w:r>
        <w:rPr>
          <w:rFonts w:ascii="Times New Roman" w:eastAsia="Times New Roman" w:hAnsi="Times New Roman"/>
          <w:bCs/>
        </w:rPr>
        <w:t xml:space="preserve">Pacientams, kuriems yra astma kartu su lėtiniu rinitu, lėtiniu sinusitu ir /arba nosies polipais,  vartojantiems acetilsalicilo rūgšties ir (arba) NVPNU, yra didesnė alerginių reakcijų rizika nei likusiai populiacijos daliai. </w:t>
      </w:r>
    </w:p>
    <w:p w14:paraId="4E626828" w14:textId="77777777" w:rsidR="007E37A3" w:rsidRDefault="007E37A3" w:rsidP="007E37A3">
      <w:pPr>
        <w:spacing w:after="0" w:line="240" w:lineRule="auto"/>
        <w:rPr>
          <w:rFonts w:ascii="Times New Roman" w:eastAsia="Times New Roman" w:hAnsi="Times New Roman"/>
          <w:bCs/>
        </w:rPr>
      </w:pPr>
    </w:p>
    <w:p w14:paraId="3042A697" w14:textId="77777777" w:rsidR="007E37A3" w:rsidRDefault="007E37A3" w:rsidP="007E37A3">
      <w:pPr>
        <w:tabs>
          <w:tab w:val="left" w:pos="0"/>
        </w:tabs>
        <w:spacing w:after="0" w:line="240" w:lineRule="auto"/>
        <w:rPr>
          <w:rFonts w:ascii="Times New Roman" w:eastAsia="Times New Roman" w:hAnsi="Times New Roman"/>
          <w:snapToGrid w:val="0"/>
          <w:szCs w:val="24"/>
          <w:highlight w:val="yellow"/>
          <w:lang w:eastAsia="it-IT"/>
        </w:rPr>
      </w:pPr>
      <w:r>
        <w:rPr>
          <w:rFonts w:ascii="Times New Roman" w:eastAsia="Times New Roman" w:hAnsi="Times New Roman"/>
          <w:bCs/>
        </w:rPr>
        <w:t>Šio vaistinio preparato vartojimas gali sukelti astmos arba bronchų spazmo priepuolius, ypač tiems asmenims, kurie jautrūs acetilsalicilo rūgščiai arba NVPNU (žr. 4.3 skyrių)</w:t>
      </w:r>
      <w:r>
        <w:rPr>
          <w:rFonts w:ascii="Times New Roman" w:eastAsia="Times New Roman" w:hAnsi="Times New Roman"/>
          <w:snapToGrid w:val="0"/>
          <w:szCs w:val="24"/>
          <w:lang w:eastAsia="it-IT"/>
        </w:rPr>
        <w:t>.</w:t>
      </w:r>
    </w:p>
    <w:p w14:paraId="07FDC374" w14:textId="77777777" w:rsidR="007E37A3" w:rsidRDefault="007E37A3" w:rsidP="007E37A3">
      <w:pPr>
        <w:tabs>
          <w:tab w:val="left" w:pos="0"/>
        </w:tabs>
        <w:spacing w:after="0" w:line="240" w:lineRule="auto"/>
        <w:rPr>
          <w:rFonts w:ascii="Times New Roman" w:eastAsia="Times New Roman" w:hAnsi="Times New Roman"/>
          <w:snapToGrid w:val="0"/>
          <w:szCs w:val="24"/>
          <w:highlight w:val="yellow"/>
          <w:lang w:eastAsia="it-IT"/>
        </w:rPr>
      </w:pPr>
    </w:p>
    <w:p w14:paraId="2D3FEF64" w14:textId="77777777" w:rsidR="007E37A3" w:rsidRDefault="007E37A3" w:rsidP="007E37A3">
      <w:pPr>
        <w:tabs>
          <w:tab w:val="left" w:pos="0"/>
        </w:tabs>
        <w:spacing w:after="0" w:line="240" w:lineRule="auto"/>
        <w:rPr>
          <w:rFonts w:ascii="Times New Roman" w:eastAsia="Times New Roman" w:hAnsi="Times New Roman"/>
          <w:snapToGrid w:val="0"/>
          <w:highlight w:val="yellow"/>
          <w:lang w:eastAsia="it-IT"/>
        </w:rPr>
      </w:pPr>
      <w:r>
        <w:rPr>
          <w:rFonts w:ascii="Times New Roman" w:eastAsia="Times New Roman" w:hAnsi="Times New Roman"/>
          <w:bCs/>
        </w:rPr>
        <w:t xml:space="preserve">Feneit </w:t>
      </w:r>
      <w:r>
        <w:rPr>
          <w:rFonts w:ascii="Times New Roman" w:eastAsia="Times New Roman" w:hAnsi="Times New Roman"/>
          <w:snapToGrid w:val="0"/>
          <w:lang w:eastAsia="it-IT"/>
        </w:rPr>
        <w:t>reikia atsargiai vartoti pacientams, kuriems nustatyti kraujodaros sutrikimai, sisteminė raudonoji vilkligė arba mišri jungiamojo audinio liga.</w:t>
      </w:r>
    </w:p>
    <w:p w14:paraId="08CF964A" w14:textId="77777777" w:rsidR="007E37A3" w:rsidRDefault="007E37A3" w:rsidP="007E37A3">
      <w:pPr>
        <w:tabs>
          <w:tab w:val="left" w:pos="567"/>
        </w:tabs>
        <w:spacing w:after="0" w:line="240" w:lineRule="auto"/>
        <w:ind w:left="567"/>
        <w:rPr>
          <w:rFonts w:ascii="Times New Roman" w:eastAsia="Times New Roman" w:hAnsi="Times New Roman"/>
          <w:snapToGrid w:val="0"/>
          <w:highlight w:val="yellow"/>
          <w:lang w:eastAsia="it-IT"/>
        </w:rPr>
      </w:pPr>
    </w:p>
    <w:p w14:paraId="1EC548E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Gretutinių infekcijų simptomų maskavimas</w:t>
      </w:r>
    </w:p>
    <w:p w14:paraId="1189E231" w14:textId="77777777" w:rsidR="007E37A3" w:rsidRDefault="007E37A3" w:rsidP="007E37A3">
      <w:pPr>
        <w:pStyle w:val="BTEMEASMCA"/>
      </w:pPr>
      <w:r>
        <w:t>Kaip ir kiti NVPNU, deksketoprofenas gali slėpti infekcinių ligų požymius</w:t>
      </w:r>
      <w:r>
        <w:rPr>
          <w:snapToGrid w:val="0"/>
          <w:lang w:eastAsia="it-IT"/>
        </w:rPr>
        <w:t>.</w:t>
      </w:r>
      <w:r>
        <w:rPr>
          <w:bCs w:val="0"/>
          <w:snapToGrid w:val="0"/>
          <w:lang w:eastAsia="it-IT"/>
        </w:rPr>
        <w:t xml:space="preserve"> </w:t>
      </w:r>
      <w:r>
        <w:t>Dėl to gali būti vėluojama pradėti tinkamą gydymą, o tai gali pabloginti infekcijos gydymo rezultatus. Tokių atvejų nustatyta gydant bakterinę visuomenėje įgytą pneumoniją ir bakterines vėjaraupių komplikacijas. Kai šio vaistinio preparato skiriama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1B72E57" w14:textId="77777777" w:rsidR="007E37A3" w:rsidRDefault="007E37A3" w:rsidP="007E37A3">
      <w:pPr>
        <w:tabs>
          <w:tab w:val="left" w:pos="426"/>
        </w:tabs>
        <w:spacing w:after="0" w:line="240" w:lineRule="auto"/>
        <w:rPr>
          <w:rFonts w:ascii="Times New Roman" w:eastAsia="Arial Unicode MS" w:hAnsi="Times New Roman"/>
          <w:bCs/>
          <w:noProof/>
          <w:color w:val="000000"/>
        </w:rPr>
      </w:pPr>
    </w:p>
    <w:p w14:paraId="1B79B6D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Theme="minorHAnsi" w:hAnsi="Times New Roman"/>
          <w:snapToGrid w:val="0"/>
          <w:lang w:eastAsia="it-IT"/>
        </w:rPr>
        <w:lastRenderedPageBreak/>
        <w:t>Išimtiniais atvejais sunkių odos ir minkštųjų audinių infekcinių komplikacijų priežastimi gali būti vėjaraupiai. Iki šiol sukauptais duomenimis NVPNU reikšmės šių komplikacijų susidarymui paneigti negalima, todėl sergant vėjaraupiais reikia nurodyti vengti vartoti Feneit</w:t>
      </w:r>
    </w:p>
    <w:p w14:paraId="2767497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07A3664"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Vaikų populiacija</w:t>
      </w:r>
    </w:p>
    <w:p w14:paraId="2B85843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Vaistinio preparato saugumas vaikams neištirtas.</w:t>
      </w:r>
    </w:p>
    <w:p w14:paraId="32BBE355" w14:textId="77777777" w:rsidR="00CE5406" w:rsidRDefault="00CE5406" w:rsidP="007E37A3">
      <w:pPr>
        <w:tabs>
          <w:tab w:val="left" w:pos="426"/>
        </w:tabs>
        <w:spacing w:after="0" w:line="240" w:lineRule="auto"/>
        <w:rPr>
          <w:rFonts w:ascii="Times New Roman" w:eastAsia="Arial Unicode MS" w:hAnsi="Times New Roman"/>
          <w:bCs/>
          <w:color w:val="000000"/>
        </w:rPr>
      </w:pPr>
    </w:p>
    <w:p w14:paraId="28A8C224" w14:textId="77777777" w:rsidR="00CE5406" w:rsidRPr="000A316B" w:rsidRDefault="00CE5406" w:rsidP="00CE5406">
      <w:pPr>
        <w:tabs>
          <w:tab w:val="left" w:pos="426"/>
        </w:tabs>
        <w:spacing w:after="0" w:line="240" w:lineRule="auto"/>
        <w:rPr>
          <w:rFonts w:ascii="Times New Roman" w:hAnsi="Times New Roman"/>
          <w:color w:val="000000"/>
          <w:u w:val="single"/>
        </w:rPr>
      </w:pPr>
      <w:r w:rsidRPr="000A316B">
        <w:rPr>
          <w:rFonts w:ascii="Times New Roman" w:hAnsi="Times New Roman"/>
          <w:color w:val="000000"/>
          <w:u w:val="single"/>
        </w:rPr>
        <w:t xml:space="preserve">Kardiovaskulinis ir </w:t>
      </w:r>
      <w:proofErr w:type="spellStart"/>
      <w:r w:rsidRPr="000A316B">
        <w:rPr>
          <w:rFonts w:ascii="Times New Roman" w:hAnsi="Times New Roman"/>
          <w:color w:val="000000"/>
          <w:u w:val="single"/>
        </w:rPr>
        <w:t>cerebrovaskulinis</w:t>
      </w:r>
      <w:proofErr w:type="spellEnd"/>
      <w:r w:rsidRPr="000A316B">
        <w:rPr>
          <w:rFonts w:ascii="Times New Roman" w:hAnsi="Times New Roman"/>
          <w:color w:val="000000"/>
          <w:u w:val="single"/>
        </w:rPr>
        <w:t xml:space="preserve"> poveikis</w:t>
      </w:r>
    </w:p>
    <w:p w14:paraId="6D2C99D2" w14:textId="77777777" w:rsidR="00CE5406" w:rsidRDefault="00CE5406" w:rsidP="00CE5406">
      <w:pPr>
        <w:tabs>
          <w:tab w:val="left" w:pos="426"/>
        </w:tabs>
        <w:spacing w:after="0" w:line="240" w:lineRule="auto"/>
        <w:rPr>
          <w:rFonts w:ascii="Times New Roman" w:hAnsi="Times New Roman"/>
          <w:color w:val="000000"/>
        </w:rPr>
      </w:pPr>
      <w:r w:rsidRPr="00E62D9F">
        <w:rPr>
          <w:rFonts w:ascii="Times New Roman" w:hAnsi="Times New Roman"/>
          <w:color w:val="000000"/>
        </w:rPr>
        <w:t xml:space="preserve">Buvo pranešta apie pacientams, gydytiems </w:t>
      </w:r>
      <w:proofErr w:type="spellStart"/>
      <w:r w:rsidRPr="00E62D9F">
        <w:rPr>
          <w:rFonts w:ascii="Times New Roman" w:hAnsi="Times New Roman"/>
          <w:color w:val="000000"/>
        </w:rPr>
        <w:t>deksketoprofenu</w:t>
      </w:r>
      <w:proofErr w:type="spellEnd"/>
      <w:r w:rsidRPr="00E62D9F">
        <w:rPr>
          <w:rFonts w:ascii="Times New Roman" w:hAnsi="Times New Roman"/>
          <w:color w:val="000000"/>
        </w:rPr>
        <w:t xml:space="preserve">, pasireiškusio </w:t>
      </w:r>
      <w:proofErr w:type="spellStart"/>
      <w:r w:rsidRPr="00E62D9F">
        <w:rPr>
          <w:rFonts w:ascii="Times New Roman" w:hAnsi="Times New Roman"/>
          <w:color w:val="000000"/>
        </w:rPr>
        <w:t>Kounis</w:t>
      </w:r>
      <w:proofErr w:type="spellEnd"/>
      <w:r w:rsidRPr="00E62D9F">
        <w:rPr>
          <w:rFonts w:ascii="Times New Roman" w:hAnsi="Times New Roman"/>
          <w:color w:val="000000"/>
        </w:rPr>
        <w:t xml:space="preserve"> sindromo atvejus. </w:t>
      </w:r>
      <w:proofErr w:type="spellStart"/>
      <w:r w:rsidRPr="00E62D9F">
        <w:rPr>
          <w:rFonts w:ascii="Times New Roman" w:hAnsi="Times New Roman"/>
          <w:color w:val="000000"/>
        </w:rPr>
        <w:t>Kounis</w:t>
      </w:r>
      <w:proofErr w:type="spellEnd"/>
      <w:r w:rsidRPr="00E62D9F">
        <w:rPr>
          <w:rFonts w:ascii="Times New Roman" w:hAnsi="Times New Roman"/>
          <w:color w:val="000000"/>
        </w:rPr>
        <w:t xml:space="preserve"> sindromas apibrėžiamas kaip antriniai kardiovaskuliniai simptomai, atsirandantys dėl alerginės ar padidėjusio jautrumo reakcijos, susijusios su vainikinių arterijų susiaurėjimu ir galinčios sukelti miokardo infarktą.</w:t>
      </w:r>
    </w:p>
    <w:p w14:paraId="54E131CD" w14:textId="77777777" w:rsidR="00CE5406" w:rsidRDefault="00CE5406" w:rsidP="007E37A3">
      <w:pPr>
        <w:tabs>
          <w:tab w:val="left" w:pos="426"/>
        </w:tabs>
        <w:spacing w:after="0" w:line="240" w:lineRule="auto"/>
        <w:rPr>
          <w:rFonts w:ascii="Times New Roman" w:eastAsia="Arial Unicode MS" w:hAnsi="Times New Roman"/>
          <w:bCs/>
          <w:color w:val="000000"/>
        </w:rPr>
      </w:pPr>
    </w:p>
    <w:p w14:paraId="3C2D8B9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A52063D"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20" w:name="_Toc129243231"/>
      <w:bookmarkStart w:id="21" w:name="_Toc129243106"/>
      <w:r>
        <w:rPr>
          <w:rFonts w:ascii="Times New Roman" w:eastAsia="Times New Roman" w:hAnsi="Times New Roman"/>
          <w:b/>
          <w:kern w:val="28"/>
        </w:rPr>
        <w:t>4.5</w:t>
      </w:r>
      <w:r>
        <w:rPr>
          <w:rFonts w:ascii="Times New Roman" w:eastAsia="Times New Roman" w:hAnsi="Times New Roman"/>
          <w:b/>
          <w:kern w:val="28"/>
        </w:rPr>
        <w:tab/>
        <w:t>Sąveika su kitais vaistiniais preparatais ir kitokia sąveika</w:t>
      </w:r>
      <w:bookmarkEnd w:id="20"/>
      <w:bookmarkEnd w:id="21"/>
    </w:p>
    <w:p w14:paraId="77C623D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7597BC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Nesteroidiniams vaistiniams preparatams nuo uždegimo būdingos tokios sąveikos.</w:t>
      </w:r>
      <w:r>
        <w:rPr>
          <w:rFonts w:ascii="Times New Roman" w:eastAsia="Arial Unicode MS" w:hAnsi="Times New Roman"/>
          <w:bCs/>
          <w:color w:val="000000"/>
        </w:rPr>
        <w:br/>
      </w:r>
    </w:p>
    <w:p w14:paraId="0EEE02D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color w:val="000000"/>
          <w:u w:val="single"/>
        </w:rPr>
        <w:t>Nerekomenduotinas vaistinio preparato derinimas:</w:t>
      </w:r>
      <w:r>
        <w:rPr>
          <w:rFonts w:ascii="Times New Roman" w:eastAsia="Arial Unicode MS" w:hAnsi="Times New Roman"/>
          <w:color w:val="000000"/>
          <w:u w:val="single"/>
        </w:rPr>
        <w:br/>
      </w:r>
      <w:r>
        <w:rPr>
          <w:rFonts w:ascii="Times New Roman" w:eastAsia="Arial Unicode MS" w:hAnsi="Times New Roman"/>
          <w:bCs/>
          <w:color w:val="000000"/>
        </w:rPr>
        <w:t xml:space="preserve">-     su kitais NVNU, įskaitant ciklooksigenazės-2 selektyviuosius inhibitorius ir  salicilatus (≥ 3 g per parą): toks derinys dėl sinerginio poveikio gali turėti įtakos opų susidarymui skrandyje ir žarnyne, kraujavimui; </w:t>
      </w:r>
      <w:r>
        <w:rPr>
          <w:rFonts w:ascii="Times New Roman" w:eastAsia="Arial Unicode MS" w:hAnsi="Times New Roman"/>
          <w:bCs/>
          <w:color w:val="000000"/>
        </w:rPr>
        <w:br/>
        <w:t>-     su antikoaguliantais: NVPNU gali sustiprinti tokių antikoaguliantų, kaip varfarinas (žr. 4.4 skyrių) poveikį, nes deksketoprofenas stipriai jungiasi su kraujo plazmos baltymais, slopina trombocitų veiklą ir pažeidžia skrandžio ir žarnyno gleivinę. Jeigu derinio negalima išvengti, pacientą reikia atidžiai stebėti, kontroliuoti atliekant kraujo laboratorinius tyrimus;</w:t>
      </w:r>
    </w:p>
    <w:p w14:paraId="5BF0D15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su heparinais: padidėja kraujavimo pavojus (dėl to, kad slopina trombocitų veiklą ir pažeidžia skrandžio bei dvylikapirštės žarnos gleivinę). Jeigu derinio negalima išvengti, pacientą reikia atidžiai stebėti, kontroliuoti atliekant kraujo tyrimus;</w:t>
      </w:r>
    </w:p>
    <w:p w14:paraId="409CF15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su kortikosteroidais: padidėja virškinimo trakto išopėjimo arba kraujavimo pavojus (žr. 4.4 skyrių);</w:t>
      </w:r>
    </w:p>
    <w:p w14:paraId="5FE4846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su ličiu (aprašytas su keliais NVPNU): NVPNU didina kraujo plazmoje ličio koncentraciją, kuri gali padidėti iki toksinės (sumažėja ličio išsiskyrimas pro inkstus); pradėjus gydymą deksketoprofenu, keičiant  jo dozes ir nutraukus gydymą, reikia nustatyti ličio kiekį kraujo plazmoje;</w:t>
      </w:r>
      <w:r>
        <w:rPr>
          <w:rFonts w:ascii="Times New Roman" w:eastAsia="Arial Unicode MS" w:hAnsi="Times New Roman"/>
          <w:bCs/>
          <w:color w:val="000000"/>
        </w:rPr>
        <w:br/>
        <w:t>-     su metotreksatu: jei jis vartojamas 15 mg per savaitę ar didesne doze: padidėja metotreksato toksinis poveikis kraujo sistemai, nes vartojant vaistinių preparatų nuo uždegimo sumažėja metotreksato inkstų klirensas;</w:t>
      </w:r>
      <w:r>
        <w:rPr>
          <w:rFonts w:ascii="Times New Roman" w:eastAsia="Arial Unicode MS" w:hAnsi="Times New Roman"/>
          <w:bCs/>
          <w:color w:val="000000"/>
        </w:rPr>
        <w:br/>
        <w:t>-     su hidantoinais ir sulfamidais: gali padidėti šių vaistinių preparatų toksinis poveikis.</w:t>
      </w:r>
      <w:r>
        <w:rPr>
          <w:rFonts w:ascii="Times New Roman" w:eastAsia="Arial Unicode MS" w:hAnsi="Times New Roman"/>
          <w:bCs/>
          <w:color w:val="000000"/>
        </w:rPr>
        <w:br/>
      </w:r>
    </w:p>
    <w:p w14:paraId="5CB85AC7" w14:textId="77777777" w:rsidR="007E37A3" w:rsidRDefault="007E37A3" w:rsidP="007E37A3">
      <w:pPr>
        <w:spacing w:after="0" w:line="240" w:lineRule="auto"/>
        <w:rPr>
          <w:rFonts w:ascii="Times New Roman" w:eastAsia="Times New Roman" w:hAnsi="Times New Roman"/>
          <w:bCs/>
        </w:rPr>
      </w:pPr>
      <w:r>
        <w:rPr>
          <w:rFonts w:ascii="Times New Roman" w:eastAsia="Times New Roman" w:hAnsi="Times New Roman"/>
          <w:bCs/>
          <w:u w:val="single"/>
        </w:rPr>
        <w:t>Galima derinti laikantis atsargumo:</w:t>
      </w:r>
      <w:r>
        <w:rPr>
          <w:rFonts w:ascii="Times New Roman" w:eastAsia="Times New Roman" w:hAnsi="Times New Roman"/>
          <w:bCs/>
          <w:u w:val="single"/>
        </w:rPr>
        <w:br/>
      </w:r>
      <w:r>
        <w:rPr>
          <w:rFonts w:ascii="Times New Roman" w:eastAsia="Times New Roman" w:hAnsi="Times New Roman"/>
          <w:bCs/>
        </w:rPr>
        <w:t xml:space="preserve">-    su diuretikais, angiotenziną konvertuojančio fermento (AKF) inhibitoriais, aminoglikozidų grupės antibiotikais ir angiotenzino II receptorių blokatoriais: deksketoprofenas gali sumažinti diuretikų ir antihipertenzinių vaistinių preparatų poveikį. Kai kuriems pacientams su sutrikusia inkstų funkcija (pvz., pacientams, kurių organizme yra sumažėjęs skysčių kiekis arba senyviems pacientams su sutrikusia inkstų funkcija) gydant vienu metu vaistiniais preparatais, kurie slopina ciklooksigenazę ir AKF inhibitoriais, angiotenzino II receptorių blokatoriais arba aminoglikozidų grupės antibiotikais, galima dar labiau sustiprinti inkstų funkcijos pažeidimus, kurie dažniausiai yra laikino pobūdžio pakitimai. Tais atvejais, kai kartu skiriama deksketoprofeno ir diuretikų, būtina įsitikinti, ar pacientui skiriama pakankamai skysčių, o pradėjus gydymą šiuo vaistiniu preparatu - kontroliuoti inkstų funkciją (žr. 4.4 skyrių); </w:t>
      </w:r>
      <w:r>
        <w:rPr>
          <w:rFonts w:ascii="Times New Roman" w:eastAsia="Times New Roman" w:hAnsi="Times New Roman"/>
          <w:bCs/>
        </w:rPr>
        <w:br/>
        <w:t>-     su metotreksatu, kai metotreksato vartojama nedidelėmis dozėmis – mažiau negu 15 mg per savaitę: padidėja metotreksato toksinis poveikis kraujo sistemai, nes vartojant vaistinių preparatų nuo uždegimo sumažėja metotreksato inkstų klirensas; pradėjus gydymą tokiu deriniu,  kraujo ląstelių kiekį reikia tirti kartą per savaitę pirmosiomis gydymo savaitėmis; senyvus pacientus ir pacientus, kuriems nustatyta nežymių inkstų funkcijos sutrikimų, reikia stebėti itin atidžiai;</w:t>
      </w:r>
      <w:r>
        <w:rPr>
          <w:rFonts w:ascii="Times New Roman" w:eastAsia="Times New Roman" w:hAnsi="Times New Roman"/>
          <w:bCs/>
        </w:rPr>
        <w:br/>
      </w:r>
      <w:r>
        <w:rPr>
          <w:rFonts w:ascii="Times New Roman" w:eastAsia="Times New Roman" w:hAnsi="Times New Roman"/>
          <w:bCs/>
        </w:rPr>
        <w:lastRenderedPageBreak/>
        <w:t>-    su pentoksifilinu: padidėja kraujavimų rizika; pacientus reikia stebėti atidžiau ir dažniau tirti kraujavimo laiko trukmę;</w:t>
      </w:r>
      <w:r>
        <w:rPr>
          <w:rFonts w:ascii="Times New Roman" w:eastAsia="Times New Roman" w:hAnsi="Times New Roman"/>
          <w:bCs/>
        </w:rPr>
        <w:br/>
        <w:t>-    su zidovudinu: dėl poveikio retikulocitams gali būti toksinis poveikis raudonųjų kraujo ląstelių gamybai, pasireiškiantis sunkia anemija praėjus vienai savaitei po gydymo NVPNU pradžios; praėjus vienai-dviem savaitėms po gydymo NVPNU pradžios reikia nustatyti visų kraujo ląstelių ir retikulocitų kiekį;</w:t>
      </w:r>
      <w:r>
        <w:rPr>
          <w:rFonts w:ascii="Times New Roman" w:eastAsia="Times New Roman" w:hAnsi="Times New Roman"/>
          <w:bCs/>
        </w:rPr>
        <w:br/>
        <w:t>-    su sulfonilurėjos vaistiniais preparatais: NVPNU gali sustiprinti hipoglikeminį sulfonilurėjos vaistinių preparatų poveikį, išstumdami juos iš jungčių su kraujo plazmos baltymais.</w:t>
      </w:r>
      <w:r>
        <w:rPr>
          <w:rFonts w:ascii="Times New Roman" w:eastAsia="Times New Roman" w:hAnsi="Times New Roman"/>
          <w:bCs/>
        </w:rPr>
        <w:br/>
      </w:r>
    </w:p>
    <w:p w14:paraId="277F6BB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color w:val="000000"/>
          <w:u w:val="single"/>
        </w:rPr>
        <w:t>Vaistinių preparatų deriniai, į kuriuos reikia atkreipti dėmesį</w:t>
      </w:r>
      <w:r>
        <w:rPr>
          <w:rFonts w:ascii="Times New Roman" w:eastAsia="Arial Unicode MS" w:hAnsi="Times New Roman"/>
          <w:color w:val="000000"/>
          <w:u w:val="single"/>
        </w:rPr>
        <w:br/>
      </w:r>
      <w:r>
        <w:rPr>
          <w:rFonts w:ascii="Times New Roman" w:eastAsia="Arial Unicode MS" w:hAnsi="Times New Roman"/>
          <w:bCs/>
          <w:color w:val="000000"/>
        </w:rPr>
        <w:t>-     beta adrenoreceptorių blokatoriai: gydymas NVPNU gali sumažinti šių vaistinių preparatų antihipertenzinį poveikį, nes slopinama prostaglandinų sintezė;</w:t>
      </w:r>
      <w:r>
        <w:rPr>
          <w:rFonts w:ascii="Times New Roman" w:eastAsia="Arial Unicode MS" w:hAnsi="Times New Roman"/>
          <w:bCs/>
          <w:color w:val="000000"/>
        </w:rPr>
        <w:br/>
        <w:t>-     ciklosporinas ir takrolimuzas: veikdami per prostaglandinus, NVPNU gali sustiprinti nefrotoksinį poveikį. Derinant ir skiriant gydymą šiais vaistiniais preparatais, reikia tirti inkstų funkciją;</w:t>
      </w:r>
      <w:r>
        <w:rPr>
          <w:rFonts w:ascii="Times New Roman" w:eastAsia="Arial Unicode MS" w:hAnsi="Times New Roman"/>
          <w:bCs/>
          <w:color w:val="000000"/>
        </w:rPr>
        <w:br/>
        <w:t>-     trombolitikai: padidėja kraujavimo rizika;</w:t>
      </w:r>
    </w:p>
    <w:p w14:paraId="5E53589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antitrombocitiniai vaistiniai preparatai ir selektyvieji serotonino reabsorbcijos inhibitoriai (SSRI): padidėja kraujavimo iš virškinimo trakto pavojus (žr. 4.4 skyrių);</w:t>
      </w:r>
      <w:r>
        <w:rPr>
          <w:rFonts w:ascii="Times New Roman" w:eastAsia="Arial Unicode MS" w:hAnsi="Times New Roman"/>
          <w:bCs/>
          <w:color w:val="000000"/>
        </w:rPr>
        <w:br/>
        <w:t>-     probenecidas: gali padidėti deksketoprofeno koncentracija kraujo plazmoje; ši sąveika susidaro dėl sekrecijos slopinimo inkstų kanalėliuose bei gliukuronizacijos slopinimo kepenyse, todėl gali prireikti koreguoti deksketoprofeno dozę;</w:t>
      </w:r>
    </w:p>
    <w:p w14:paraId="3E7B6DC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širdies glikozidai: NVNU gali padidinti širdies glikozidų koncentraciją kraujyje;</w:t>
      </w:r>
    </w:p>
    <w:p w14:paraId="202F56F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mifepristonas: yra teorinė galimybė, kad prostaglandinų sintetazės inhibitoriai gali pakeisti mifepristono veiksmingumą. Riboti duomenys rodo, kad NVPNU vartojimas prostaglandino vartojimo dieną neturi neigiamos įtakos mifepristono ar prostaglandino poveikiui gimdos kaklelio subrendimui ar gimdos susitraukimams ir nesumažina medicininio nėštumo nutraukimo klinikinio veiksmingumo;</w:t>
      </w:r>
    </w:p>
    <w:p w14:paraId="53281C3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chinolonų grupės antibiotikai: tyrimų su gyvūnais duomenys rodo, kad didelės chinolonų dozės derinyje su NVPNU gali padidinti traukulių atsiradimo pavojų.</w:t>
      </w:r>
    </w:p>
    <w:p w14:paraId="44D0608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tenofoviras: vartojimas kartu su NVPNU gali padidinti šlapalo azoto plazmoje ir kreatinino koncentracijas, todėl reikia stebėti inkstų funkciją, kad būtų galima kontroliuoti galimą sinerginį poveikį inkstų funkcijai; </w:t>
      </w:r>
    </w:p>
    <w:p w14:paraId="0914B58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deferasiroksas: kartu vartojant su NVPNU, gali padidėti toksiškumo virškinimo traktui rizika. Kai deferasiroksas yra derinamas su šiais vaistiniais preparatais, būtina atidi klinikinė stebėsena;</w:t>
      </w:r>
    </w:p>
    <w:p w14:paraId="7A84A74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pemetreksedas: kartu vartojant su NVPNU, pemetreksedo eliminacija gali būti mažesnė, todėl reikia atsargumo skiriant didesnes NVPNU dozes. Pacientams, kuriems yra lengvas arba vidutinio sunkumo inkstų nepakankamumas (kreatinino klirensas 45-79 ml / min.), NVPNU skyrimas kartu su pemetreksedu turi būti vengiamas 2 dienas prieš ir 2 dienas po pemetreksedo vartojimo.</w:t>
      </w:r>
      <w:r>
        <w:rPr>
          <w:rFonts w:ascii="Times New Roman" w:eastAsia="Arial Unicode MS" w:hAnsi="Times New Roman"/>
          <w:bCs/>
          <w:color w:val="000000"/>
        </w:rPr>
        <w:br/>
      </w:r>
    </w:p>
    <w:p w14:paraId="4E122137"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22" w:name="_Toc129243232"/>
      <w:bookmarkStart w:id="23" w:name="_Toc129243107"/>
      <w:r>
        <w:rPr>
          <w:rFonts w:ascii="Times New Roman" w:eastAsia="Times New Roman" w:hAnsi="Times New Roman"/>
          <w:b/>
          <w:kern w:val="28"/>
        </w:rPr>
        <w:t>4.6</w:t>
      </w:r>
      <w:r>
        <w:rPr>
          <w:rFonts w:ascii="Times New Roman" w:eastAsia="Times New Roman" w:hAnsi="Times New Roman"/>
          <w:b/>
          <w:kern w:val="28"/>
        </w:rPr>
        <w:tab/>
        <w:t>Vaisingumas, nėštumo ir žindymo laikotarpis</w:t>
      </w:r>
      <w:bookmarkEnd w:id="22"/>
      <w:bookmarkEnd w:id="23"/>
    </w:p>
    <w:p w14:paraId="28910D54" w14:textId="77777777" w:rsidR="007E37A3" w:rsidRDefault="007E37A3" w:rsidP="007E37A3">
      <w:pPr>
        <w:spacing w:after="0" w:line="240" w:lineRule="auto"/>
        <w:rPr>
          <w:rFonts w:ascii="Times New Roman" w:eastAsia="Times New Roman" w:hAnsi="Times New Roman"/>
          <w:szCs w:val="20"/>
          <w:lang w:eastAsia="lt-LT"/>
        </w:rPr>
      </w:pPr>
    </w:p>
    <w:p w14:paraId="5FB91AE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Feneit draudžiama vartoti nėštumo trečiojo trimestro ir žindymo laikotarpiais (žr. 4.3 skyrių). </w:t>
      </w:r>
    </w:p>
    <w:p w14:paraId="5B4992B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08D5F6D" w14:textId="77777777" w:rsidR="007E37A3" w:rsidRDefault="007E37A3" w:rsidP="007E37A3">
      <w:pPr>
        <w:tabs>
          <w:tab w:val="left" w:pos="426"/>
        </w:tabs>
        <w:spacing w:after="0" w:line="240" w:lineRule="auto"/>
        <w:rPr>
          <w:rFonts w:ascii="Times New Roman" w:hAnsi="Times New Roman"/>
          <w:color w:val="000000"/>
          <w:u w:val="single"/>
        </w:rPr>
      </w:pPr>
      <w:r>
        <w:rPr>
          <w:rFonts w:ascii="Times New Roman" w:hAnsi="Times New Roman"/>
          <w:color w:val="000000"/>
          <w:u w:val="single"/>
        </w:rPr>
        <w:t>Nėštumas</w:t>
      </w:r>
    </w:p>
    <w:p w14:paraId="3A92AB3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Prostaglandinų sintezės slopinimas gali neigiamai veikti nėštumo eigą ir (arba) embriono arba vaisiaus vystymąsi. Epidemiologinių tyrimų duomenys rodo, kad, vartojant prostaglandinų sintezės inhibitorių ankstyvuoju nėštumo laikotarpiu, padidėja persileidimo, širdies vystymosi sutrikimų ir pilvo priekinės sienos  nesuaugimo pavojus. Širdies vystymosi sutrikimų rizika padidėjo apytikriai nuo mažiau kaip 1% iki 1,5%. Manoma, kad rizika didėja priklausomai nuo dozės ir vartojimo trukmės. Gyvūnams duodant prostaglandinų sintezės inhibitorių įrodyta, kad padažnėjo embriono žūtis iki implantacijos ir po jos, embriono ir vaisiaus letališkumas. Be to, duodant prostaglandinų sintezės inhibitorių organogenezės laikotarpiu,padažnėja įvairių vystymosi sutrikimų, įskaitant širdies ir kraujagyslių defektus, pavojus. Tačiau tyrimais su gyvūnais deksketoprofeno trometamolio toksinio poveikio reprodukcijai nenustatyta (žr. 5.3 skyrių). </w:t>
      </w:r>
    </w:p>
    <w:p w14:paraId="27C050C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7E7A14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Nuo 20-osios nėštumo savaitės vartojamas deksketoprofenas gali sukelti oligohidramnioną sutrikus vaisiaus inkstų funkcijai. Jis gali pasireikšti vos pradėjus gydymą ir paprastai išnyksta nutraukus gydymą. Pirmąjį ir antrąjį nėštumo trimestrą Feneit vartoti negalima, nebent tai būtų neabejotinai būtina. Jei deksketoprofeną moteris vartoja bandydama pastoti arba pirmojo ir antrojo nėštumo trimestro metu, dozė turi būti kuo mažesnė, o gydymo trukmė – kuo trumpesnė. Jei po 20-os gestacinės savaitės kelias paras vartojamas Feneit reikia apsvarstyti antenatalinės oligohidramniono stebėsenos galimybę. Nustačius oligohidramnioną, gydymą Feneit reikia nutraukti.</w:t>
      </w:r>
    </w:p>
    <w:p w14:paraId="2C24245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19248B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Prostaglandinų sintezės inhibitoriai, vartojami paskutiniuosius tris nėštumo mėnesius, vaisiui gali sukelti:</w:t>
      </w:r>
    </w:p>
    <w:p w14:paraId="63FC4FA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toksinį poveikį širdžiai ir plaučiams (priešlaikinį arterinio latako užsidarymą ir plaučių hipertenziją);</w:t>
      </w:r>
    </w:p>
    <w:p w14:paraId="6189665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inkstų funkcijos sutrikimą, netgi inkstų nepakankamumą ir oligohidramnioną (žr. pirmiau).</w:t>
      </w:r>
    </w:p>
    <w:p w14:paraId="6F28937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2AD1C7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Vartojant nėštumo pabaigoje motinai ir naujagimiui gali sukelti:</w:t>
      </w:r>
    </w:p>
    <w:p w14:paraId="462A90F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vartojant netgi mažiausiomis dozėmis - kraujavimo laiko pailgėjimą, trombocitų agregacijos sutrikimą;</w:t>
      </w:r>
    </w:p>
    <w:p w14:paraId="6A09593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gimdos susitraukimų slopinimą ir dėl to vėluojantį arba užsitęsusį gimdymą.</w:t>
      </w:r>
    </w:p>
    <w:p w14:paraId="03B03D8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B35B791" w14:textId="77777777" w:rsidR="007E37A3" w:rsidRDefault="007E37A3" w:rsidP="007E37A3">
      <w:pPr>
        <w:tabs>
          <w:tab w:val="left" w:pos="426"/>
        </w:tabs>
        <w:spacing w:after="0" w:line="240" w:lineRule="auto"/>
        <w:rPr>
          <w:rFonts w:ascii="Times New Roman" w:hAnsi="Times New Roman"/>
          <w:color w:val="000000"/>
          <w:u w:val="single"/>
        </w:rPr>
      </w:pPr>
      <w:r>
        <w:rPr>
          <w:rFonts w:ascii="Times New Roman" w:hAnsi="Times New Roman"/>
          <w:color w:val="000000"/>
          <w:u w:val="single"/>
        </w:rPr>
        <w:t>Žindymas</w:t>
      </w:r>
    </w:p>
    <w:p w14:paraId="76D006B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Nenustatyta, ar deksketoprofeno išsiskiria į žindyvės pieną. Žindymo metu Feneit vartoti draudžiama (žr. PCS 4.3 sk.)</w:t>
      </w:r>
    </w:p>
    <w:p w14:paraId="259FBBC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BF2CA61" w14:textId="77777777" w:rsidR="007E37A3" w:rsidRDefault="007E37A3" w:rsidP="007E37A3">
      <w:pPr>
        <w:tabs>
          <w:tab w:val="left" w:pos="426"/>
        </w:tabs>
        <w:spacing w:after="0" w:line="240" w:lineRule="auto"/>
        <w:rPr>
          <w:rFonts w:ascii="Times New Roman" w:hAnsi="Times New Roman"/>
          <w:color w:val="000000"/>
          <w:u w:val="single"/>
        </w:rPr>
      </w:pPr>
      <w:r>
        <w:rPr>
          <w:rFonts w:ascii="Times New Roman" w:hAnsi="Times New Roman"/>
          <w:color w:val="000000"/>
          <w:u w:val="single"/>
        </w:rPr>
        <w:t>Vaisingumas</w:t>
      </w:r>
    </w:p>
    <w:p w14:paraId="2C4AE15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Kaip ir kitų NVPNU, deksketoprofeno trometamolio vartojimas gali sutrikdyti moterų vaisingumą, jo nepatariama vartoti norinčioms pastoti moterims. Moterims, kurioms sunku pastoti, gydomoms dėl nevaisingumo, deksketoprofeno trometamolio vartojimą reikėtų nutraukti. </w:t>
      </w:r>
      <w:r>
        <w:rPr>
          <w:rFonts w:ascii="Times New Roman" w:eastAsia="Arial Unicode MS" w:hAnsi="Times New Roman"/>
          <w:bCs/>
          <w:color w:val="000000"/>
        </w:rPr>
        <w:br/>
      </w:r>
    </w:p>
    <w:p w14:paraId="4FB3112E"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24" w:name="_Toc129243233"/>
      <w:bookmarkStart w:id="25" w:name="_Toc129243108"/>
      <w:r>
        <w:rPr>
          <w:rFonts w:ascii="Times New Roman" w:eastAsia="Times New Roman" w:hAnsi="Times New Roman"/>
          <w:b/>
          <w:kern w:val="28"/>
        </w:rPr>
        <w:t>4.7</w:t>
      </w:r>
      <w:r>
        <w:rPr>
          <w:rFonts w:ascii="Times New Roman" w:eastAsia="Times New Roman" w:hAnsi="Times New Roman"/>
          <w:b/>
          <w:kern w:val="28"/>
        </w:rPr>
        <w:tab/>
        <w:t>Poveikis gebėjimui vairuoti ir valdyti mechanizmus</w:t>
      </w:r>
      <w:bookmarkEnd w:id="24"/>
      <w:bookmarkEnd w:id="25"/>
    </w:p>
    <w:p w14:paraId="23A6FE5C" w14:textId="77777777" w:rsidR="007E37A3" w:rsidRDefault="007E37A3" w:rsidP="007E37A3">
      <w:pPr>
        <w:spacing w:after="0" w:line="240" w:lineRule="auto"/>
        <w:rPr>
          <w:rFonts w:ascii="Times New Roman" w:eastAsia="Times New Roman" w:hAnsi="Times New Roman"/>
          <w:szCs w:val="20"/>
          <w:lang w:eastAsia="lt-LT"/>
        </w:rPr>
      </w:pPr>
    </w:p>
    <w:p w14:paraId="5878D16F" w14:textId="77777777" w:rsidR="007E37A3" w:rsidRDefault="007E37A3" w:rsidP="007E37A3">
      <w:pPr>
        <w:tabs>
          <w:tab w:val="left" w:pos="567"/>
        </w:tabs>
        <w:spacing w:after="0" w:line="240" w:lineRule="auto"/>
        <w:rPr>
          <w:rFonts w:ascii="Times New Roman" w:eastAsia="Times New Roman" w:hAnsi="Times New Roman"/>
          <w:color w:val="000000"/>
          <w:szCs w:val="20"/>
          <w:lang w:eastAsia="lt-LT"/>
        </w:rPr>
      </w:pPr>
      <w:r>
        <w:rPr>
          <w:rFonts w:ascii="Times New Roman" w:hAnsi="Times New Roman"/>
          <w:szCs w:val="24"/>
        </w:rPr>
        <w:t>Feneit gali sukelti nepageidaujamą poveikį, pvz., galvos svaigimą, regos sutrikimus ar mieguistumą. Tokiais atvejais gali sumažėti sugebėjimas reaguoti ir gebėjimas aktyviai dalyvauti kelių eisme ir valdyti mašinas.</w:t>
      </w:r>
      <w:r>
        <w:rPr>
          <w:rFonts w:ascii="Times New Roman" w:eastAsia="Times New Roman" w:hAnsi="Times New Roman"/>
        </w:rPr>
        <w:t>.</w:t>
      </w:r>
      <w:r>
        <w:rPr>
          <w:rFonts w:ascii="Times New Roman" w:eastAsia="Times New Roman" w:hAnsi="Times New Roman"/>
          <w:color w:val="000000"/>
          <w:szCs w:val="20"/>
          <w:lang w:eastAsia="lt-LT"/>
        </w:rPr>
        <w:t xml:space="preserve"> </w:t>
      </w:r>
    </w:p>
    <w:p w14:paraId="2E076A2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D7FA03F"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26" w:name="_Toc129243234"/>
      <w:bookmarkStart w:id="27" w:name="_Toc129243109"/>
      <w:r>
        <w:rPr>
          <w:rFonts w:ascii="Times New Roman" w:eastAsia="Times New Roman" w:hAnsi="Times New Roman"/>
          <w:b/>
          <w:kern w:val="28"/>
        </w:rPr>
        <w:t>4.8</w:t>
      </w:r>
      <w:r>
        <w:rPr>
          <w:rFonts w:ascii="Times New Roman" w:eastAsia="Times New Roman" w:hAnsi="Times New Roman"/>
          <w:b/>
          <w:kern w:val="28"/>
        </w:rPr>
        <w:tab/>
        <w:t>Nepageidaujamas poveikis</w:t>
      </w:r>
      <w:bookmarkEnd w:id="26"/>
      <w:bookmarkEnd w:id="27"/>
    </w:p>
    <w:p w14:paraId="5433816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F92C35"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Nepageidaujamos reakcijos, pastebėtos klinikinių tyrimų metu</w:t>
      </w:r>
    </w:p>
    <w:p w14:paraId="3021BF8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Nepageidaujamo poveikio dažnis apibūdinamas taip: </w:t>
      </w:r>
      <w:r>
        <w:rPr>
          <w:rFonts w:ascii="Times New Roman" w:hAnsi="Times New Roman"/>
        </w:rPr>
        <w:t>labai dažnas (≥ 1/10), dažnas (nuo ≥ 1/100 iki &lt; 1/10), nedažnas (nuo ≥ 1/1 000 iki &lt; 1/100), retas (nuo ≥ 1/10 000 iki &lt; 1/1 000), labai retas (&lt; 1/10 000) ir nežinomas (negali būti apskaičiuotas pagal turimus duomenis)</w:t>
      </w:r>
    </w:p>
    <w:p w14:paraId="19BD6275" w14:textId="77777777" w:rsidR="007E37A3" w:rsidRDefault="007E37A3" w:rsidP="007E37A3">
      <w:pPr>
        <w:tabs>
          <w:tab w:val="left" w:pos="426"/>
        </w:tabs>
        <w:spacing w:after="0" w:line="240" w:lineRule="auto"/>
        <w:rPr>
          <w:rFonts w:ascii="Times New Roman" w:eastAsia="Arial Unicode MS" w:hAnsi="Times New Roman"/>
          <w:bCs/>
          <w:color w:val="0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59"/>
        <w:gridCol w:w="1560"/>
        <w:gridCol w:w="1559"/>
        <w:gridCol w:w="1843"/>
        <w:gridCol w:w="1559"/>
      </w:tblGrid>
      <w:tr w:rsidR="00C147B7" w:rsidRPr="00F3148F" w14:paraId="3D162934"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36AB73DC"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Organų sistemų klasė</w:t>
            </w:r>
          </w:p>
        </w:tc>
        <w:tc>
          <w:tcPr>
            <w:tcW w:w="1559" w:type="dxa"/>
            <w:tcBorders>
              <w:top w:val="single" w:sz="4" w:space="0" w:color="auto"/>
              <w:left w:val="single" w:sz="4" w:space="0" w:color="auto"/>
              <w:bottom w:val="single" w:sz="4" w:space="0" w:color="auto"/>
              <w:right w:val="single" w:sz="4" w:space="0" w:color="auto"/>
            </w:tcBorders>
            <w:hideMark/>
          </w:tcPr>
          <w:p w14:paraId="6A888CEC"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 xml:space="preserve">Dažnas </w:t>
            </w:r>
            <w:r>
              <w:rPr>
                <w:rFonts w:ascii="Times New Roman" w:hAnsi="Times New Roman"/>
                <w:color w:val="000000"/>
              </w:rPr>
              <w:br/>
              <w:t xml:space="preserve">(nuo </w:t>
            </w:r>
            <w:r>
              <w:rPr>
                <w:rFonts w:ascii="Times New Roman" w:hAnsi="Times New Roman"/>
              </w:rPr>
              <w:sym w:font="Symbol" w:char="F0B3"/>
            </w:r>
            <w:r>
              <w:rPr>
                <w:rFonts w:ascii="Times New Roman" w:hAnsi="Times New Roman"/>
                <w:color w:val="000000"/>
              </w:rPr>
              <w:t>1/100 iki</w:t>
            </w:r>
            <w:r>
              <w:rPr>
                <w:rFonts w:ascii="Times New Roman" w:hAnsi="Times New Roman"/>
              </w:rPr>
              <w:t xml:space="preserve"> &lt;1/10)</w:t>
            </w:r>
          </w:p>
        </w:tc>
        <w:tc>
          <w:tcPr>
            <w:tcW w:w="1560" w:type="dxa"/>
            <w:tcBorders>
              <w:top w:val="single" w:sz="4" w:space="0" w:color="auto"/>
              <w:left w:val="single" w:sz="4" w:space="0" w:color="auto"/>
              <w:bottom w:val="single" w:sz="4" w:space="0" w:color="auto"/>
              <w:right w:val="single" w:sz="4" w:space="0" w:color="auto"/>
            </w:tcBorders>
            <w:hideMark/>
          </w:tcPr>
          <w:p w14:paraId="139316F3" w14:textId="4B424BD9"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 xml:space="preserve">Nedažnas </w:t>
            </w:r>
            <w:r>
              <w:rPr>
                <w:rFonts w:ascii="Times New Roman" w:hAnsi="Times New Roman"/>
                <w:color w:val="000000"/>
              </w:rPr>
              <w:br/>
              <w:t xml:space="preserve">(nuo </w:t>
            </w:r>
            <w:r>
              <w:rPr>
                <w:rFonts w:ascii="Times New Roman" w:hAnsi="Times New Roman"/>
                <w:color w:val="000000"/>
              </w:rPr>
              <w:sym w:font="Symbol" w:char="F0B3"/>
            </w:r>
            <w:r>
              <w:rPr>
                <w:rFonts w:ascii="Times New Roman" w:hAnsi="Times New Roman"/>
                <w:color w:val="000000"/>
              </w:rPr>
              <w:t>1/1 000 iki &lt;1/100)</w:t>
            </w:r>
          </w:p>
        </w:tc>
        <w:tc>
          <w:tcPr>
            <w:tcW w:w="1559" w:type="dxa"/>
            <w:tcBorders>
              <w:top w:val="single" w:sz="4" w:space="0" w:color="auto"/>
              <w:left w:val="single" w:sz="4" w:space="0" w:color="auto"/>
              <w:bottom w:val="single" w:sz="4" w:space="0" w:color="auto"/>
              <w:right w:val="single" w:sz="4" w:space="0" w:color="auto"/>
            </w:tcBorders>
            <w:hideMark/>
          </w:tcPr>
          <w:p w14:paraId="0CE41A42" w14:textId="7DF80E6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 xml:space="preserve">Retas </w:t>
            </w:r>
            <w:r>
              <w:rPr>
                <w:rFonts w:ascii="Times New Roman" w:hAnsi="Times New Roman"/>
                <w:color w:val="000000"/>
              </w:rPr>
              <w:br/>
              <w:t xml:space="preserve">(nuo </w:t>
            </w:r>
            <w:r>
              <w:rPr>
                <w:rFonts w:ascii="Times New Roman" w:hAnsi="Times New Roman"/>
                <w:color w:val="000000"/>
              </w:rPr>
              <w:sym w:font="Symbol" w:char="F0B3"/>
            </w:r>
            <w:r>
              <w:rPr>
                <w:rFonts w:ascii="Times New Roman" w:hAnsi="Times New Roman"/>
                <w:color w:val="000000"/>
              </w:rPr>
              <w:t>1/10 000 iki &lt;1/1 000)</w:t>
            </w:r>
          </w:p>
        </w:tc>
        <w:tc>
          <w:tcPr>
            <w:tcW w:w="1843" w:type="dxa"/>
            <w:tcBorders>
              <w:top w:val="single" w:sz="4" w:space="0" w:color="auto"/>
              <w:left w:val="single" w:sz="4" w:space="0" w:color="auto"/>
              <w:bottom w:val="single" w:sz="4" w:space="0" w:color="auto"/>
              <w:right w:val="single" w:sz="4" w:space="0" w:color="auto"/>
            </w:tcBorders>
            <w:hideMark/>
          </w:tcPr>
          <w:p w14:paraId="25D00F60" w14:textId="2388EFA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 xml:space="preserve">Labai retas (&lt;1/10 000), tarp jų pavieniai atvejai </w:t>
            </w:r>
          </w:p>
        </w:tc>
        <w:tc>
          <w:tcPr>
            <w:tcW w:w="1559" w:type="dxa"/>
            <w:tcBorders>
              <w:top w:val="single" w:sz="4" w:space="0" w:color="auto"/>
              <w:left w:val="single" w:sz="4" w:space="0" w:color="auto"/>
              <w:bottom w:val="single" w:sz="4" w:space="0" w:color="auto"/>
              <w:right w:val="single" w:sz="4" w:space="0" w:color="auto"/>
            </w:tcBorders>
          </w:tcPr>
          <w:p w14:paraId="39EA8E99"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N</w:t>
            </w:r>
            <w:r w:rsidRPr="00E62D9F">
              <w:rPr>
                <w:rFonts w:ascii="Times New Roman" w:hAnsi="Times New Roman"/>
                <w:color w:val="000000"/>
              </w:rPr>
              <w:t>ežinomas (negali būti apskaičiuotas pagal turimus duomenis)</w:t>
            </w:r>
          </w:p>
        </w:tc>
      </w:tr>
      <w:tr w:rsidR="00C147B7" w14:paraId="5BBCC94D"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59C8CAE2"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Kraujo ir limfinės sistemos sutrikimai</w:t>
            </w:r>
          </w:p>
        </w:tc>
        <w:tc>
          <w:tcPr>
            <w:tcW w:w="1559" w:type="dxa"/>
            <w:tcBorders>
              <w:top w:val="single" w:sz="4" w:space="0" w:color="auto"/>
              <w:left w:val="single" w:sz="4" w:space="0" w:color="auto"/>
              <w:bottom w:val="single" w:sz="4" w:space="0" w:color="auto"/>
              <w:right w:val="single" w:sz="4" w:space="0" w:color="auto"/>
            </w:tcBorders>
          </w:tcPr>
          <w:p w14:paraId="071C28A1"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E4F6AE0"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7C3EAAB" w14:textId="77777777" w:rsidR="00CE5406" w:rsidRDefault="00CE5406" w:rsidP="000A316B">
            <w:pPr>
              <w:tabs>
                <w:tab w:val="left" w:pos="426"/>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14:paraId="220E6D0D"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Neutropenija, trombocitopenija</w:t>
            </w:r>
          </w:p>
        </w:tc>
        <w:tc>
          <w:tcPr>
            <w:tcW w:w="1559" w:type="dxa"/>
            <w:tcBorders>
              <w:top w:val="single" w:sz="4" w:space="0" w:color="auto"/>
              <w:left w:val="single" w:sz="4" w:space="0" w:color="auto"/>
              <w:bottom w:val="single" w:sz="4" w:space="0" w:color="auto"/>
              <w:right w:val="single" w:sz="4" w:space="0" w:color="auto"/>
            </w:tcBorders>
          </w:tcPr>
          <w:p w14:paraId="1E7A57C7" w14:textId="77777777" w:rsidR="00CE5406" w:rsidRDefault="00CE5406" w:rsidP="000A316B">
            <w:pPr>
              <w:tabs>
                <w:tab w:val="left" w:pos="426"/>
              </w:tabs>
              <w:spacing w:after="0" w:line="240" w:lineRule="auto"/>
              <w:rPr>
                <w:rFonts w:ascii="Times New Roman" w:hAnsi="Times New Roman"/>
                <w:color w:val="000000"/>
              </w:rPr>
            </w:pPr>
          </w:p>
        </w:tc>
      </w:tr>
      <w:tr w:rsidR="00C147B7" w:rsidRPr="00F3148F" w14:paraId="1E775062"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74BD7F0D"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Imuninės sistemos sutrikimai</w:t>
            </w:r>
          </w:p>
        </w:tc>
        <w:tc>
          <w:tcPr>
            <w:tcW w:w="1559" w:type="dxa"/>
            <w:tcBorders>
              <w:top w:val="single" w:sz="4" w:space="0" w:color="auto"/>
              <w:left w:val="single" w:sz="4" w:space="0" w:color="auto"/>
              <w:bottom w:val="single" w:sz="4" w:space="0" w:color="auto"/>
              <w:right w:val="single" w:sz="4" w:space="0" w:color="auto"/>
            </w:tcBorders>
          </w:tcPr>
          <w:p w14:paraId="24C0121B"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77835D5D"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05A1A489"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Gerklų edema</w:t>
            </w:r>
          </w:p>
        </w:tc>
        <w:tc>
          <w:tcPr>
            <w:tcW w:w="1843" w:type="dxa"/>
            <w:tcBorders>
              <w:top w:val="single" w:sz="4" w:space="0" w:color="auto"/>
              <w:left w:val="single" w:sz="4" w:space="0" w:color="auto"/>
              <w:bottom w:val="single" w:sz="4" w:space="0" w:color="auto"/>
              <w:right w:val="single" w:sz="4" w:space="0" w:color="auto"/>
            </w:tcBorders>
            <w:hideMark/>
          </w:tcPr>
          <w:p w14:paraId="2531D70A"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Anafilaksinės reakcijos, įskaitant anafilaksinį šoką</w:t>
            </w:r>
          </w:p>
        </w:tc>
        <w:tc>
          <w:tcPr>
            <w:tcW w:w="1559" w:type="dxa"/>
            <w:tcBorders>
              <w:top w:val="single" w:sz="4" w:space="0" w:color="auto"/>
              <w:left w:val="single" w:sz="4" w:space="0" w:color="auto"/>
              <w:bottom w:val="single" w:sz="4" w:space="0" w:color="auto"/>
              <w:right w:val="single" w:sz="4" w:space="0" w:color="auto"/>
            </w:tcBorders>
          </w:tcPr>
          <w:p w14:paraId="0413681D" w14:textId="77777777" w:rsidR="00CE5406" w:rsidRDefault="00CE5406" w:rsidP="000A316B">
            <w:pPr>
              <w:tabs>
                <w:tab w:val="left" w:pos="426"/>
              </w:tabs>
              <w:spacing w:after="0" w:line="240" w:lineRule="auto"/>
              <w:rPr>
                <w:rFonts w:ascii="Times New Roman" w:hAnsi="Times New Roman"/>
                <w:color w:val="000000"/>
              </w:rPr>
            </w:pPr>
          </w:p>
        </w:tc>
      </w:tr>
      <w:tr w:rsidR="00C147B7" w14:paraId="61D4B4C5"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15FD14EC"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lastRenderedPageBreak/>
              <w:t>Metabolizmo ir mitybos sutrikimai</w:t>
            </w:r>
          </w:p>
        </w:tc>
        <w:tc>
          <w:tcPr>
            <w:tcW w:w="1559" w:type="dxa"/>
            <w:tcBorders>
              <w:top w:val="single" w:sz="4" w:space="0" w:color="auto"/>
              <w:left w:val="single" w:sz="4" w:space="0" w:color="auto"/>
              <w:bottom w:val="single" w:sz="4" w:space="0" w:color="auto"/>
              <w:right w:val="single" w:sz="4" w:space="0" w:color="auto"/>
            </w:tcBorders>
          </w:tcPr>
          <w:p w14:paraId="29185882"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608449A"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263C8577"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Anoreksija</w:t>
            </w:r>
          </w:p>
        </w:tc>
        <w:tc>
          <w:tcPr>
            <w:tcW w:w="1843" w:type="dxa"/>
            <w:tcBorders>
              <w:top w:val="single" w:sz="4" w:space="0" w:color="auto"/>
              <w:left w:val="single" w:sz="4" w:space="0" w:color="auto"/>
              <w:bottom w:val="single" w:sz="4" w:space="0" w:color="auto"/>
              <w:right w:val="single" w:sz="4" w:space="0" w:color="auto"/>
            </w:tcBorders>
          </w:tcPr>
          <w:p w14:paraId="7AD8DE93"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CDF9E04" w14:textId="77777777" w:rsidR="00CE5406" w:rsidRDefault="00CE5406" w:rsidP="000A316B">
            <w:pPr>
              <w:tabs>
                <w:tab w:val="left" w:pos="426"/>
              </w:tabs>
              <w:spacing w:after="0" w:line="240" w:lineRule="auto"/>
              <w:rPr>
                <w:rFonts w:ascii="Times New Roman" w:hAnsi="Times New Roman"/>
                <w:color w:val="000000"/>
              </w:rPr>
            </w:pPr>
          </w:p>
        </w:tc>
      </w:tr>
      <w:tr w:rsidR="00C147B7" w14:paraId="059C24E4"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69112142"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Psichikos sutrikimai</w:t>
            </w:r>
          </w:p>
        </w:tc>
        <w:tc>
          <w:tcPr>
            <w:tcW w:w="1559" w:type="dxa"/>
            <w:tcBorders>
              <w:top w:val="single" w:sz="4" w:space="0" w:color="auto"/>
              <w:left w:val="single" w:sz="4" w:space="0" w:color="auto"/>
              <w:bottom w:val="single" w:sz="4" w:space="0" w:color="auto"/>
              <w:right w:val="single" w:sz="4" w:space="0" w:color="auto"/>
            </w:tcBorders>
          </w:tcPr>
          <w:p w14:paraId="5135D736"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198E2496"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Miego sutrikimai, nerimas</w:t>
            </w:r>
          </w:p>
        </w:tc>
        <w:tc>
          <w:tcPr>
            <w:tcW w:w="1559" w:type="dxa"/>
            <w:tcBorders>
              <w:top w:val="single" w:sz="4" w:space="0" w:color="auto"/>
              <w:left w:val="single" w:sz="4" w:space="0" w:color="auto"/>
              <w:bottom w:val="single" w:sz="4" w:space="0" w:color="auto"/>
              <w:right w:val="single" w:sz="4" w:space="0" w:color="auto"/>
            </w:tcBorders>
          </w:tcPr>
          <w:p w14:paraId="7D1E4C88" w14:textId="77777777" w:rsidR="00CE5406" w:rsidRDefault="00CE5406" w:rsidP="000A316B">
            <w:pPr>
              <w:tabs>
                <w:tab w:val="left" w:pos="426"/>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0E6AE689"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61AC340" w14:textId="77777777" w:rsidR="00CE5406" w:rsidRDefault="00CE5406" w:rsidP="000A316B">
            <w:pPr>
              <w:tabs>
                <w:tab w:val="left" w:pos="426"/>
              </w:tabs>
              <w:spacing w:after="0" w:line="240" w:lineRule="auto"/>
              <w:rPr>
                <w:rFonts w:ascii="Times New Roman" w:hAnsi="Times New Roman"/>
                <w:color w:val="000000"/>
              </w:rPr>
            </w:pPr>
          </w:p>
        </w:tc>
      </w:tr>
      <w:tr w:rsidR="00C147B7" w14:paraId="269FF4B5"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026FFB17"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Nervų sistemos sutrikimai</w:t>
            </w:r>
          </w:p>
        </w:tc>
        <w:tc>
          <w:tcPr>
            <w:tcW w:w="1559" w:type="dxa"/>
            <w:tcBorders>
              <w:top w:val="single" w:sz="4" w:space="0" w:color="auto"/>
              <w:left w:val="single" w:sz="4" w:space="0" w:color="auto"/>
              <w:bottom w:val="single" w:sz="4" w:space="0" w:color="auto"/>
              <w:right w:val="single" w:sz="4" w:space="0" w:color="auto"/>
            </w:tcBorders>
          </w:tcPr>
          <w:p w14:paraId="1D00519D"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3047A69E"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Galvos skausmas,</w:t>
            </w:r>
          </w:p>
          <w:p w14:paraId="47CFB6D1"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svaigulys, mieguistumas</w:t>
            </w:r>
          </w:p>
        </w:tc>
        <w:tc>
          <w:tcPr>
            <w:tcW w:w="1559" w:type="dxa"/>
            <w:tcBorders>
              <w:top w:val="single" w:sz="4" w:space="0" w:color="auto"/>
              <w:left w:val="single" w:sz="4" w:space="0" w:color="auto"/>
              <w:bottom w:val="single" w:sz="4" w:space="0" w:color="auto"/>
              <w:right w:val="single" w:sz="4" w:space="0" w:color="auto"/>
            </w:tcBorders>
            <w:hideMark/>
          </w:tcPr>
          <w:p w14:paraId="06A54B58"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Parestezija, apalpimas</w:t>
            </w:r>
          </w:p>
        </w:tc>
        <w:tc>
          <w:tcPr>
            <w:tcW w:w="1843" w:type="dxa"/>
            <w:tcBorders>
              <w:top w:val="single" w:sz="4" w:space="0" w:color="auto"/>
              <w:left w:val="single" w:sz="4" w:space="0" w:color="auto"/>
              <w:bottom w:val="single" w:sz="4" w:space="0" w:color="auto"/>
              <w:right w:val="single" w:sz="4" w:space="0" w:color="auto"/>
            </w:tcBorders>
          </w:tcPr>
          <w:p w14:paraId="0E48132A"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E13DB77" w14:textId="77777777" w:rsidR="00CE5406" w:rsidRDefault="00CE5406" w:rsidP="000A316B">
            <w:pPr>
              <w:tabs>
                <w:tab w:val="left" w:pos="426"/>
              </w:tabs>
              <w:spacing w:after="0" w:line="240" w:lineRule="auto"/>
              <w:rPr>
                <w:rFonts w:ascii="Times New Roman" w:hAnsi="Times New Roman"/>
                <w:color w:val="000000"/>
              </w:rPr>
            </w:pPr>
          </w:p>
        </w:tc>
      </w:tr>
      <w:tr w:rsidR="00C147B7" w14:paraId="7DB9910E"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13A50E8A"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Akių sutrikimai</w:t>
            </w:r>
          </w:p>
        </w:tc>
        <w:tc>
          <w:tcPr>
            <w:tcW w:w="1559" w:type="dxa"/>
            <w:tcBorders>
              <w:top w:val="single" w:sz="4" w:space="0" w:color="auto"/>
              <w:left w:val="single" w:sz="4" w:space="0" w:color="auto"/>
              <w:bottom w:val="single" w:sz="4" w:space="0" w:color="auto"/>
              <w:right w:val="single" w:sz="4" w:space="0" w:color="auto"/>
            </w:tcBorders>
          </w:tcPr>
          <w:p w14:paraId="3E2B8C5D"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7B4A986"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8D83612" w14:textId="77777777" w:rsidR="00CE5406" w:rsidRDefault="00CE5406" w:rsidP="000A316B">
            <w:pPr>
              <w:tabs>
                <w:tab w:val="left" w:pos="426"/>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14:paraId="799F39CF"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Sutrikęs regėjimas</w:t>
            </w:r>
          </w:p>
        </w:tc>
        <w:tc>
          <w:tcPr>
            <w:tcW w:w="1559" w:type="dxa"/>
            <w:tcBorders>
              <w:top w:val="single" w:sz="4" w:space="0" w:color="auto"/>
              <w:left w:val="single" w:sz="4" w:space="0" w:color="auto"/>
              <w:bottom w:val="single" w:sz="4" w:space="0" w:color="auto"/>
              <w:right w:val="single" w:sz="4" w:space="0" w:color="auto"/>
            </w:tcBorders>
          </w:tcPr>
          <w:p w14:paraId="6C79C244" w14:textId="77777777" w:rsidR="00CE5406" w:rsidRDefault="00CE5406" w:rsidP="000A316B">
            <w:pPr>
              <w:tabs>
                <w:tab w:val="left" w:pos="426"/>
              </w:tabs>
              <w:spacing w:after="0" w:line="240" w:lineRule="auto"/>
              <w:rPr>
                <w:rFonts w:ascii="Times New Roman" w:hAnsi="Times New Roman"/>
                <w:color w:val="000000"/>
              </w:rPr>
            </w:pPr>
          </w:p>
        </w:tc>
      </w:tr>
      <w:tr w:rsidR="00C147B7" w14:paraId="2C8DC0CA"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30C06157"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Ausų ir labirinto sutrikimai</w:t>
            </w:r>
          </w:p>
        </w:tc>
        <w:tc>
          <w:tcPr>
            <w:tcW w:w="1559" w:type="dxa"/>
            <w:tcBorders>
              <w:top w:val="single" w:sz="4" w:space="0" w:color="auto"/>
              <w:left w:val="single" w:sz="4" w:space="0" w:color="auto"/>
              <w:bottom w:val="single" w:sz="4" w:space="0" w:color="auto"/>
              <w:right w:val="single" w:sz="4" w:space="0" w:color="auto"/>
            </w:tcBorders>
          </w:tcPr>
          <w:p w14:paraId="5F631CC5"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7853AD6B"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Galvos svaigimas (</w:t>
            </w:r>
            <w:r>
              <w:rPr>
                <w:rFonts w:ascii="Times New Roman" w:hAnsi="Times New Roman"/>
                <w:i/>
                <w:color w:val="000000"/>
              </w:rPr>
              <w:t>vertigo</w:t>
            </w:r>
            <w:r>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tcPr>
          <w:p w14:paraId="3D30EBBD" w14:textId="77777777" w:rsidR="00CE5406" w:rsidRDefault="00CE5406" w:rsidP="000A316B">
            <w:pPr>
              <w:tabs>
                <w:tab w:val="left" w:pos="426"/>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14:paraId="18D093E5"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Ūžesys ausyse</w:t>
            </w:r>
          </w:p>
        </w:tc>
        <w:tc>
          <w:tcPr>
            <w:tcW w:w="1559" w:type="dxa"/>
            <w:tcBorders>
              <w:top w:val="single" w:sz="4" w:space="0" w:color="auto"/>
              <w:left w:val="single" w:sz="4" w:space="0" w:color="auto"/>
              <w:bottom w:val="single" w:sz="4" w:space="0" w:color="auto"/>
              <w:right w:val="single" w:sz="4" w:space="0" w:color="auto"/>
            </w:tcBorders>
          </w:tcPr>
          <w:p w14:paraId="14C670B1" w14:textId="77777777" w:rsidR="00CE5406" w:rsidRDefault="00CE5406" w:rsidP="000A316B">
            <w:pPr>
              <w:tabs>
                <w:tab w:val="left" w:pos="426"/>
              </w:tabs>
              <w:spacing w:after="0" w:line="240" w:lineRule="auto"/>
              <w:rPr>
                <w:rFonts w:ascii="Times New Roman" w:hAnsi="Times New Roman"/>
                <w:color w:val="000000"/>
              </w:rPr>
            </w:pPr>
          </w:p>
        </w:tc>
      </w:tr>
      <w:tr w:rsidR="00C147B7" w14:paraId="17A79335"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2B1F0BD0"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Širdies sutrikimai</w:t>
            </w:r>
          </w:p>
        </w:tc>
        <w:tc>
          <w:tcPr>
            <w:tcW w:w="1559" w:type="dxa"/>
            <w:tcBorders>
              <w:top w:val="single" w:sz="4" w:space="0" w:color="auto"/>
              <w:left w:val="single" w:sz="4" w:space="0" w:color="auto"/>
              <w:bottom w:val="single" w:sz="4" w:space="0" w:color="auto"/>
              <w:right w:val="single" w:sz="4" w:space="0" w:color="auto"/>
            </w:tcBorders>
          </w:tcPr>
          <w:p w14:paraId="6114EB86"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7A9C6006"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Palpitacija</w:t>
            </w:r>
          </w:p>
        </w:tc>
        <w:tc>
          <w:tcPr>
            <w:tcW w:w="1559" w:type="dxa"/>
            <w:tcBorders>
              <w:top w:val="single" w:sz="4" w:space="0" w:color="auto"/>
              <w:left w:val="single" w:sz="4" w:space="0" w:color="auto"/>
              <w:bottom w:val="single" w:sz="4" w:space="0" w:color="auto"/>
              <w:right w:val="single" w:sz="4" w:space="0" w:color="auto"/>
            </w:tcBorders>
          </w:tcPr>
          <w:p w14:paraId="5C1CB90B" w14:textId="77777777" w:rsidR="00CE5406" w:rsidRDefault="00CE5406" w:rsidP="000A316B">
            <w:pPr>
              <w:tabs>
                <w:tab w:val="left" w:pos="426"/>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14:paraId="54F3C65E"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Tachikardija</w:t>
            </w:r>
          </w:p>
        </w:tc>
        <w:tc>
          <w:tcPr>
            <w:tcW w:w="1559" w:type="dxa"/>
            <w:tcBorders>
              <w:top w:val="single" w:sz="4" w:space="0" w:color="auto"/>
              <w:left w:val="single" w:sz="4" w:space="0" w:color="auto"/>
              <w:bottom w:val="single" w:sz="4" w:space="0" w:color="auto"/>
              <w:right w:val="single" w:sz="4" w:space="0" w:color="auto"/>
            </w:tcBorders>
          </w:tcPr>
          <w:p w14:paraId="270DE927" w14:textId="77777777" w:rsidR="00CE5406" w:rsidRDefault="00CE5406" w:rsidP="000A316B">
            <w:pPr>
              <w:tabs>
                <w:tab w:val="left" w:pos="426"/>
              </w:tabs>
              <w:spacing w:after="0" w:line="240" w:lineRule="auto"/>
              <w:rPr>
                <w:rFonts w:ascii="Times New Roman" w:hAnsi="Times New Roman"/>
                <w:color w:val="000000"/>
              </w:rPr>
            </w:pPr>
            <w:proofErr w:type="spellStart"/>
            <w:r w:rsidRPr="000A316B">
              <w:rPr>
                <w:rFonts w:ascii="Times New Roman" w:hAnsi="Times New Roman"/>
                <w:i/>
                <w:iCs/>
                <w:color w:val="000000"/>
              </w:rPr>
              <w:t>Kounis</w:t>
            </w:r>
            <w:proofErr w:type="spellEnd"/>
            <w:r>
              <w:rPr>
                <w:rFonts w:ascii="Times New Roman" w:hAnsi="Times New Roman"/>
                <w:color w:val="000000"/>
              </w:rPr>
              <w:t xml:space="preserve"> </w:t>
            </w:r>
            <w:r w:rsidRPr="00E62D9F">
              <w:rPr>
                <w:rFonts w:ascii="Times New Roman" w:hAnsi="Times New Roman"/>
                <w:color w:val="000000"/>
              </w:rPr>
              <w:t>sindromas</w:t>
            </w:r>
          </w:p>
        </w:tc>
      </w:tr>
      <w:tr w:rsidR="00C147B7" w14:paraId="03A56C2F"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7C5A4339"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Kraujagyslių sutrikimai</w:t>
            </w:r>
          </w:p>
        </w:tc>
        <w:tc>
          <w:tcPr>
            <w:tcW w:w="1559" w:type="dxa"/>
            <w:tcBorders>
              <w:top w:val="single" w:sz="4" w:space="0" w:color="auto"/>
              <w:left w:val="single" w:sz="4" w:space="0" w:color="auto"/>
              <w:bottom w:val="single" w:sz="4" w:space="0" w:color="auto"/>
              <w:right w:val="single" w:sz="4" w:space="0" w:color="auto"/>
            </w:tcBorders>
          </w:tcPr>
          <w:p w14:paraId="2DD1E7C1"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68B4AF4D"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Nukaitimas (raudonis)</w:t>
            </w:r>
          </w:p>
        </w:tc>
        <w:tc>
          <w:tcPr>
            <w:tcW w:w="1559" w:type="dxa"/>
            <w:tcBorders>
              <w:top w:val="single" w:sz="4" w:space="0" w:color="auto"/>
              <w:left w:val="single" w:sz="4" w:space="0" w:color="auto"/>
              <w:bottom w:val="single" w:sz="4" w:space="0" w:color="auto"/>
              <w:right w:val="single" w:sz="4" w:space="0" w:color="auto"/>
            </w:tcBorders>
            <w:hideMark/>
          </w:tcPr>
          <w:p w14:paraId="76B61528"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Hipertenzija</w:t>
            </w:r>
          </w:p>
        </w:tc>
        <w:tc>
          <w:tcPr>
            <w:tcW w:w="1843" w:type="dxa"/>
            <w:tcBorders>
              <w:top w:val="single" w:sz="4" w:space="0" w:color="auto"/>
              <w:left w:val="single" w:sz="4" w:space="0" w:color="auto"/>
              <w:bottom w:val="single" w:sz="4" w:space="0" w:color="auto"/>
              <w:right w:val="single" w:sz="4" w:space="0" w:color="auto"/>
            </w:tcBorders>
            <w:hideMark/>
          </w:tcPr>
          <w:p w14:paraId="425686DC"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Hipotenzija</w:t>
            </w:r>
          </w:p>
        </w:tc>
        <w:tc>
          <w:tcPr>
            <w:tcW w:w="1559" w:type="dxa"/>
            <w:tcBorders>
              <w:top w:val="single" w:sz="4" w:space="0" w:color="auto"/>
              <w:left w:val="single" w:sz="4" w:space="0" w:color="auto"/>
              <w:bottom w:val="single" w:sz="4" w:space="0" w:color="auto"/>
              <w:right w:val="single" w:sz="4" w:space="0" w:color="auto"/>
            </w:tcBorders>
          </w:tcPr>
          <w:p w14:paraId="0C806BFC" w14:textId="77777777" w:rsidR="00CE5406" w:rsidRDefault="00CE5406" w:rsidP="000A316B">
            <w:pPr>
              <w:tabs>
                <w:tab w:val="left" w:pos="426"/>
              </w:tabs>
              <w:spacing w:after="0" w:line="240" w:lineRule="auto"/>
              <w:rPr>
                <w:rFonts w:ascii="Times New Roman" w:hAnsi="Times New Roman"/>
                <w:color w:val="000000"/>
              </w:rPr>
            </w:pPr>
          </w:p>
        </w:tc>
      </w:tr>
      <w:tr w:rsidR="00C147B7" w14:paraId="16FB2359"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6DEBA0D7"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Kvėpavimo sistemos, krūtinės ląstos ir tarpuplaučio sutrikimai</w:t>
            </w:r>
          </w:p>
        </w:tc>
        <w:tc>
          <w:tcPr>
            <w:tcW w:w="1559" w:type="dxa"/>
            <w:tcBorders>
              <w:top w:val="single" w:sz="4" w:space="0" w:color="auto"/>
              <w:left w:val="single" w:sz="4" w:space="0" w:color="auto"/>
              <w:bottom w:val="single" w:sz="4" w:space="0" w:color="auto"/>
              <w:right w:val="single" w:sz="4" w:space="0" w:color="auto"/>
            </w:tcBorders>
          </w:tcPr>
          <w:p w14:paraId="03865CE2"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4A5F87B"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7E3A713A"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Suretėjęs kvėpavimas</w:t>
            </w:r>
          </w:p>
        </w:tc>
        <w:tc>
          <w:tcPr>
            <w:tcW w:w="1843" w:type="dxa"/>
            <w:tcBorders>
              <w:top w:val="single" w:sz="4" w:space="0" w:color="auto"/>
              <w:left w:val="single" w:sz="4" w:space="0" w:color="auto"/>
              <w:bottom w:val="single" w:sz="4" w:space="0" w:color="auto"/>
              <w:right w:val="single" w:sz="4" w:space="0" w:color="auto"/>
            </w:tcBorders>
            <w:hideMark/>
          </w:tcPr>
          <w:p w14:paraId="2316C984"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Bronchų spazmas, dusulys</w:t>
            </w:r>
          </w:p>
        </w:tc>
        <w:tc>
          <w:tcPr>
            <w:tcW w:w="1559" w:type="dxa"/>
            <w:tcBorders>
              <w:top w:val="single" w:sz="4" w:space="0" w:color="auto"/>
              <w:left w:val="single" w:sz="4" w:space="0" w:color="auto"/>
              <w:bottom w:val="single" w:sz="4" w:space="0" w:color="auto"/>
              <w:right w:val="single" w:sz="4" w:space="0" w:color="auto"/>
            </w:tcBorders>
          </w:tcPr>
          <w:p w14:paraId="3C3D81C7" w14:textId="77777777" w:rsidR="00CE5406" w:rsidRDefault="00CE5406" w:rsidP="000A316B">
            <w:pPr>
              <w:tabs>
                <w:tab w:val="left" w:pos="426"/>
              </w:tabs>
              <w:spacing w:after="0" w:line="240" w:lineRule="auto"/>
              <w:rPr>
                <w:rFonts w:ascii="Times New Roman" w:hAnsi="Times New Roman"/>
                <w:color w:val="000000"/>
              </w:rPr>
            </w:pPr>
          </w:p>
        </w:tc>
      </w:tr>
      <w:tr w:rsidR="00C147B7" w14:paraId="54D2151C"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42F50B46"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Virškinimo trakto sutrikimai</w:t>
            </w:r>
          </w:p>
        </w:tc>
        <w:tc>
          <w:tcPr>
            <w:tcW w:w="1559" w:type="dxa"/>
            <w:tcBorders>
              <w:top w:val="single" w:sz="4" w:space="0" w:color="auto"/>
              <w:left w:val="single" w:sz="4" w:space="0" w:color="auto"/>
              <w:bottom w:val="single" w:sz="4" w:space="0" w:color="auto"/>
              <w:right w:val="single" w:sz="4" w:space="0" w:color="auto"/>
            </w:tcBorders>
            <w:hideMark/>
          </w:tcPr>
          <w:p w14:paraId="4DBE5166"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Pykinimas ir (arba) vėmimas, pilvo skausmas, viduriavimas, dispepsija</w:t>
            </w:r>
          </w:p>
        </w:tc>
        <w:tc>
          <w:tcPr>
            <w:tcW w:w="1560" w:type="dxa"/>
            <w:tcBorders>
              <w:top w:val="single" w:sz="4" w:space="0" w:color="auto"/>
              <w:left w:val="single" w:sz="4" w:space="0" w:color="auto"/>
              <w:bottom w:val="single" w:sz="4" w:space="0" w:color="auto"/>
              <w:right w:val="single" w:sz="4" w:space="0" w:color="auto"/>
            </w:tcBorders>
            <w:hideMark/>
          </w:tcPr>
          <w:p w14:paraId="19458F26"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Gastritas, vidurių užkietėjimas, burnos gleivinės džiūvimas, vidurių pūtimas</w:t>
            </w:r>
          </w:p>
        </w:tc>
        <w:tc>
          <w:tcPr>
            <w:tcW w:w="1559" w:type="dxa"/>
            <w:tcBorders>
              <w:top w:val="single" w:sz="4" w:space="0" w:color="auto"/>
              <w:left w:val="single" w:sz="4" w:space="0" w:color="auto"/>
              <w:bottom w:val="single" w:sz="4" w:space="0" w:color="auto"/>
              <w:right w:val="single" w:sz="4" w:space="0" w:color="auto"/>
            </w:tcBorders>
            <w:hideMark/>
          </w:tcPr>
          <w:p w14:paraId="1C915729"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Pepsinė opa, kraujavimas iš opos arba opos perforacija (žr. 4.4 skyrių)</w:t>
            </w:r>
          </w:p>
        </w:tc>
        <w:tc>
          <w:tcPr>
            <w:tcW w:w="1843" w:type="dxa"/>
            <w:tcBorders>
              <w:top w:val="single" w:sz="4" w:space="0" w:color="auto"/>
              <w:left w:val="single" w:sz="4" w:space="0" w:color="auto"/>
              <w:bottom w:val="single" w:sz="4" w:space="0" w:color="auto"/>
              <w:right w:val="single" w:sz="4" w:space="0" w:color="auto"/>
            </w:tcBorders>
            <w:hideMark/>
          </w:tcPr>
          <w:p w14:paraId="0EC975C5"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Pankreatitas</w:t>
            </w:r>
          </w:p>
        </w:tc>
        <w:tc>
          <w:tcPr>
            <w:tcW w:w="1559" w:type="dxa"/>
            <w:tcBorders>
              <w:top w:val="single" w:sz="4" w:space="0" w:color="auto"/>
              <w:left w:val="single" w:sz="4" w:space="0" w:color="auto"/>
              <w:bottom w:val="single" w:sz="4" w:space="0" w:color="auto"/>
              <w:right w:val="single" w:sz="4" w:space="0" w:color="auto"/>
            </w:tcBorders>
          </w:tcPr>
          <w:p w14:paraId="61B7D10B" w14:textId="77777777" w:rsidR="00CE5406" w:rsidRDefault="00CE5406" w:rsidP="000A316B">
            <w:pPr>
              <w:tabs>
                <w:tab w:val="left" w:pos="426"/>
              </w:tabs>
              <w:spacing w:after="0" w:line="240" w:lineRule="auto"/>
              <w:rPr>
                <w:rFonts w:ascii="Times New Roman" w:hAnsi="Times New Roman"/>
                <w:color w:val="000000"/>
              </w:rPr>
            </w:pPr>
          </w:p>
        </w:tc>
      </w:tr>
      <w:tr w:rsidR="00C147B7" w14:paraId="07162A0E"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7715BAF1"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Kepenų, tulžies pūslės ir latakų sutrikimai</w:t>
            </w:r>
          </w:p>
        </w:tc>
        <w:tc>
          <w:tcPr>
            <w:tcW w:w="1559" w:type="dxa"/>
            <w:tcBorders>
              <w:top w:val="single" w:sz="4" w:space="0" w:color="auto"/>
              <w:left w:val="single" w:sz="4" w:space="0" w:color="auto"/>
              <w:bottom w:val="single" w:sz="4" w:space="0" w:color="auto"/>
              <w:right w:val="single" w:sz="4" w:space="0" w:color="auto"/>
            </w:tcBorders>
          </w:tcPr>
          <w:p w14:paraId="17B1A411"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14EFE50A"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52326156"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Kepenų ląstelių pažeidimas</w:t>
            </w:r>
          </w:p>
        </w:tc>
        <w:tc>
          <w:tcPr>
            <w:tcW w:w="1843" w:type="dxa"/>
            <w:tcBorders>
              <w:top w:val="single" w:sz="4" w:space="0" w:color="auto"/>
              <w:left w:val="single" w:sz="4" w:space="0" w:color="auto"/>
              <w:bottom w:val="single" w:sz="4" w:space="0" w:color="auto"/>
              <w:right w:val="single" w:sz="4" w:space="0" w:color="auto"/>
            </w:tcBorders>
            <w:hideMark/>
          </w:tcPr>
          <w:p w14:paraId="71CCFCA0" w14:textId="77777777" w:rsidR="00CE5406" w:rsidRDefault="00CE5406" w:rsidP="000A316B">
            <w:pPr>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00484E7" w14:textId="77777777" w:rsidR="00CE5406" w:rsidRDefault="00CE5406" w:rsidP="000A316B">
            <w:pPr>
              <w:rPr>
                <w:rFonts w:ascii="Times New Roman" w:hAnsi="Times New Roman"/>
                <w:color w:val="000000"/>
              </w:rPr>
            </w:pPr>
          </w:p>
        </w:tc>
      </w:tr>
      <w:tr w:rsidR="00C147B7" w:rsidRPr="00F3148F" w14:paraId="65EFDB49"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3E002CE8"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Odos ir poodinio audinio sutrikimai</w:t>
            </w:r>
          </w:p>
        </w:tc>
        <w:tc>
          <w:tcPr>
            <w:tcW w:w="1559" w:type="dxa"/>
            <w:tcBorders>
              <w:top w:val="single" w:sz="4" w:space="0" w:color="auto"/>
              <w:left w:val="single" w:sz="4" w:space="0" w:color="auto"/>
              <w:bottom w:val="single" w:sz="4" w:space="0" w:color="auto"/>
              <w:right w:val="single" w:sz="4" w:space="0" w:color="auto"/>
            </w:tcBorders>
          </w:tcPr>
          <w:p w14:paraId="27C78764"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2CA1C944"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Išbėrimas</w:t>
            </w:r>
          </w:p>
        </w:tc>
        <w:tc>
          <w:tcPr>
            <w:tcW w:w="1559" w:type="dxa"/>
            <w:tcBorders>
              <w:top w:val="single" w:sz="4" w:space="0" w:color="auto"/>
              <w:left w:val="single" w:sz="4" w:space="0" w:color="auto"/>
              <w:bottom w:val="single" w:sz="4" w:space="0" w:color="auto"/>
              <w:right w:val="single" w:sz="4" w:space="0" w:color="auto"/>
            </w:tcBorders>
            <w:hideMark/>
          </w:tcPr>
          <w:p w14:paraId="55B3098C"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Dilgėlinė, spuogai, padidėjęs prakaitavimas</w:t>
            </w:r>
          </w:p>
        </w:tc>
        <w:tc>
          <w:tcPr>
            <w:tcW w:w="1843" w:type="dxa"/>
            <w:tcBorders>
              <w:top w:val="single" w:sz="4" w:space="0" w:color="auto"/>
              <w:left w:val="single" w:sz="4" w:space="0" w:color="auto"/>
              <w:bottom w:val="single" w:sz="4" w:space="0" w:color="auto"/>
              <w:right w:val="single" w:sz="4" w:space="0" w:color="auto"/>
            </w:tcBorders>
            <w:hideMark/>
          </w:tcPr>
          <w:p w14:paraId="50822383" w14:textId="1214FD1F" w:rsidR="00CE5406" w:rsidRDefault="00CE5406" w:rsidP="000A316B">
            <w:pPr>
              <w:tabs>
                <w:tab w:val="left" w:pos="426"/>
              </w:tabs>
              <w:spacing w:after="0" w:line="240" w:lineRule="auto"/>
              <w:rPr>
                <w:rFonts w:ascii="Times New Roman" w:hAnsi="Times New Roman"/>
                <w:color w:val="000000"/>
              </w:rPr>
            </w:pPr>
            <w:bookmarkStart w:id="28" w:name="_Hlk121926629"/>
            <w:r w:rsidRPr="00CC2D9B">
              <w:rPr>
                <w:rFonts w:ascii="Times New Roman" w:hAnsi="Times New Roman"/>
                <w:color w:val="000000"/>
                <w:shd w:val="clear" w:color="auto" w:fill="FFFFFF"/>
              </w:rPr>
              <w:t>Stivenso-Džonsono (</w:t>
            </w:r>
            <w:r w:rsidRPr="00CC2D9B">
              <w:rPr>
                <w:rStyle w:val="resultoftext"/>
              </w:rPr>
              <w:t>Stevens</w:t>
            </w:r>
            <w:r w:rsidRPr="00CC2D9B">
              <w:rPr>
                <w:rFonts w:ascii="Times New Roman" w:hAnsi="Times New Roman"/>
                <w:i/>
                <w:color w:val="000000"/>
                <w:shd w:val="clear" w:color="auto" w:fill="FFFFFF"/>
              </w:rPr>
              <w:t>-Johnson</w:t>
            </w:r>
            <w:r w:rsidRPr="00CC2D9B">
              <w:rPr>
                <w:rFonts w:ascii="Times New Roman" w:hAnsi="Times New Roman"/>
                <w:color w:val="000000"/>
                <w:shd w:val="clear" w:color="auto" w:fill="FFFFFF"/>
              </w:rPr>
              <w:t xml:space="preserve">) </w:t>
            </w:r>
            <w:bookmarkEnd w:id="28"/>
            <w:r>
              <w:rPr>
                <w:rFonts w:ascii="Times New Roman" w:hAnsi="Times New Roman"/>
                <w:color w:val="000000"/>
              </w:rPr>
              <w:t xml:space="preserve">sindromas, toksinė epidermio </w:t>
            </w:r>
            <w:proofErr w:type="spellStart"/>
            <w:r>
              <w:rPr>
                <w:rFonts w:ascii="Times New Roman" w:hAnsi="Times New Roman"/>
                <w:color w:val="000000"/>
              </w:rPr>
              <w:t>nekrolizė</w:t>
            </w:r>
            <w:proofErr w:type="spellEnd"/>
            <w:r w:rsidR="007E37A3">
              <w:rPr>
                <w:rFonts w:ascii="Times New Roman" w:eastAsia="Arial Unicode MS" w:hAnsi="Times New Roman"/>
                <w:bCs/>
                <w:color w:val="000000"/>
                <w:lang w:eastAsia="lt-LT"/>
              </w:rPr>
              <w:t xml:space="preserve"> - </w:t>
            </w:r>
            <w:proofErr w:type="spellStart"/>
            <w:r w:rsidRPr="00CC2D9B">
              <w:rPr>
                <w:rFonts w:ascii="Times New Roman" w:hAnsi="Times New Roman"/>
                <w:color w:val="000000"/>
                <w:shd w:val="clear" w:color="auto" w:fill="FFFFFF"/>
              </w:rPr>
              <w:t>Lajelio</w:t>
            </w:r>
            <w:proofErr w:type="spellEnd"/>
            <w:r w:rsidRPr="00CC2D9B">
              <w:rPr>
                <w:rFonts w:ascii="Times New Roman" w:hAnsi="Times New Roman"/>
                <w:color w:val="000000"/>
                <w:shd w:val="clear" w:color="auto" w:fill="FFFFFF"/>
              </w:rPr>
              <w:t xml:space="preserve"> (</w:t>
            </w:r>
            <w:proofErr w:type="spellStart"/>
            <w:r w:rsidRPr="00CC2D9B">
              <w:rPr>
                <w:rFonts w:ascii="Times New Roman" w:hAnsi="Times New Roman"/>
                <w:i/>
                <w:color w:val="000000"/>
                <w:shd w:val="clear" w:color="auto" w:fill="FFFFFF"/>
              </w:rPr>
              <w:t>Lyell</w:t>
            </w:r>
            <w:proofErr w:type="spellEnd"/>
            <w:r>
              <w:rPr>
                <w:rFonts w:ascii="Times New Roman" w:hAnsi="Times New Roman"/>
                <w:color w:val="000000"/>
                <w:shd w:val="clear" w:color="auto" w:fill="FFFFFF"/>
              </w:rPr>
              <w:t>)</w:t>
            </w:r>
            <w:r>
              <w:rPr>
                <w:rFonts w:ascii="Times New Roman" w:hAnsi="Times New Roman"/>
                <w:color w:val="000000"/>
              </w:rPr>
              <w:t xml:space="preserve"> sindromas), </w:t>
            </w:r>
            <w:proofErr w:type="spellStart"/>
            <w:r>
              <w:rPr>
                <w:rFonts w:ascii="Times New Roman" w:hAnsi="Times New Roman"/>
                <w:color w:val="000000"/>
              </w:rPr>
              <w:t>angioneurozinė</w:t>
            </w:r>
            <w:proofErr w:type="spellEnd"/>
            <w:r>
              <w:rPr>
                <w:rFonts w:ascii="Times New Roman" w:hAnsi="Times New Roman"/>
                <w:color w:val="000000"/>
              </w:rPr>
              <w:t xml:space="preserve"> edema, veido edema, padidėjęs jautrumas šviesai, niežulys</w:t>
            </w:r>
          </w:p>
        </w:tc>
        <w:tc>
          <w:tcPr>
            <w:tcW w:w="1559" w:type="dxa"/>
            <w:tcBorders>
              <w:top w:val="single" w:sz="4" w:space="0" w:color="auto"/>
              <w:left w:val="single" w:sz="4" w:space="0" w:color="auto"/>
              <w:bottom w:val="single" w:sz="4" w:space="0" w:color="auto"/>
              <w:right w:val="single" w:sz="4" w:space="0" w:color="auto"/>
            </w:tcBorders>
          </w:tcPr>
          <w:p w14:paraId="2B9948C2" w14:textId="77777777" w:rsidR="00CE5406" w:rsidRDefault="00CE5406" w:rsidP="000A316B">
            <w:pPr>
              <w:tabs>
                <w:tab w:val="left" w:pos="426"/>
              </w:tabs>
              <w:spacing w:after="0" w:line="240" w:lineRule="auto"/>
              <w:rPr>
                <w:rFonts w:ascii="Times New Roman" w:hAnsi="Times New Roman"/>
                <w:color w:val="000000"/>
                <w:shd w:val="clear" w:color="auto" w:fill="FFFFFF"/>
              </w:rPr>
            </w:pPr>
            <w:r w:rsidRPr="00E62D9F">
              <w:rPr>
                <w:rFonts w:ascii="Times New Roman" w:hAnsi="Times New Roman"/>
                <w:color w:val="000000"/>
                <w:shd w:val="clear" w:color="auto" w:fill="FFFFFF"/>
              </w:rPr>
              <w:t>Vaisto sukeltas lokalus odos bėrimas</w:t>
            </w:r>
          </w:p>
        </w:tc>
      </w:tr>
      <w:tr w:rsidR="00C147B7" w14:paraId="569DD360"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4F619EA8"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Skeleto, raumenų  ir jungiamojo audinio sutrikimai</w:t>
            </w:r>
          </w:p>
        </w:tc>
        <w:tc>
          <w:tcPr>
            <w:tcW w:w="1559" w:type="dxa"/>
            <w:tcBorders>
              <w:top w:val="single" w:sz="4" w:space="0" w:color="auto"/>
              <w:left w:val="single" w:sz="4" w:space="0" w:color="auto"/>
              <w:bottom w:val="single" w:sz="4" w:space="0" w:color="auto"/>
              <w:right w:val="single" w:sz="4" w:space="0" w:color="auto"/>
            </w:tcBorders>
          </w:tcPr>
          <w:p w14:paraId="6F10842C"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67AB7076"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37064F09"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Nugaros skausmas</w:t>
            </w:r>
          </w:p>
        </w:tc>
        <w:tc>
          <w:tcPr>
            <w:tcW w:w="1843" w:type="dxa"/>
            <w:tcBorders>
              <w:top w:val="single" w:sz="4" w:space="0" w:color="auto"/>
              <w:left w:val="single" w:sz="4" w:space="0" w:color="auto"/>
              <w:bottom w:val="single" w:sz="4" w:space="0" w:color="auto"/>
              <w:right w:val="single" w:sz="4" w:space="0" w:color="auto"/>
            </w:tcBorders>
          </w:tcPr>
          <w:p w14:paraId="0812E2E4"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796F767" w14:textId="77777777" w:rsidR="00CE5406" w:rsidRDefault="00CE5406" w:rsidP="000A316B">
            <w:pPr>
              <w:tabs>
                <w:tab w:val="left" w:pos="426"/>
              </w:tabs>
              <w:spacing w:after="0" w:line="240" w:lineRule="auto"/>
              <w:rPr>
                <w:rFonts w:ascii="Times New Roman" w:hAnsi="Times New Roman"/>
                <w:color w:val="000000"/>
              </w:rPr>
            </w:pPr>
          </w:p>
        </w:tc>
      </w:tr>
      <w:tr w:rsidR="00C147B7" w14:paraId="09EFED44"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2D94216E"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lastRenderedPageBreak/>
              <w:t>Inkstų ir šlapimo takų sutrikimai</w:t>
            </w:r>
          </w:p>
        </w:tc>
        <w:tc>
          <w:tcPr>
            <w:tcW w:w="1559" w:type="dxa"/>
            <w:tcBorders>
              <w:top w:val="single" w:sz="4" w:space="0" w:color="auto"/>
              <w:left w:val="single" w:sz="4" w:space="0" w:color="auto"/>
              <w:bottom w:val="single" w:sz="4" w:space="0" w:color="auto"/>
              <w:right w:val="single" w:sz="4" w:space="0" w:color="auto"/>
            </w:tcBorders>
          </w:tcPr>
          <w:p w14:paraId="26D342B1"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11B24FF4"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00B1FA58"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Ūminis inkstų nepakankamumas, poliurija</w:t>
            </w:r>
          </w:p>
        </w:tc>
        <w:tc>
          <w:tcPr>
            <w:tcW w:w="1843" w:type="dxa"/>
            <w:tcBorders>
              <w:top w:val="single" w:sz="4" w:space="0" w:color="auto"/>
              <w:left w:val="single" w:sz="4" w:space="0" w:color="auto"/>
              <w:bottom w:val="single" w:sz="4" w:space="0" w:color="auto"/>
              <w:right w:val="single" w:sz="4" w:space="0" w:color="auto"/>
            </w:tcBorders>
            <w:hideMark/>
          </w:tcPr>
          <w:p w14:paraId="46DDA602"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Nefritas arba nefrozinis sindromas</w:t>
            </w:r>
          </w:p>
        </w:tc>
        <w:tc>
          <w:tcPr>
            <w:tcW w:w="1559" w:type="dxa"/>
            <w:tcBorders>
              <w:top w:val="single" w:sz="4" w:space="0" w:color="auto"/>
              <w:left w:val="single" w:sz="4" w:space="0" w:color="auto"/>
              <w:bottom w:val="single" w:sz="4" w:space="0" w:color="auto"/>
              <w:right w:val="single" w:sz="4" w:space="0" w:color="auto"/>
            </w:tcBorders>
          </w:tcPr>
          <w:p w14:paraId="403682BA" w14:textId="77777777" w:rsidR="00CE5406" w:rsidRDefault="00CE5406" w:rsidP="000A316B">
            <w:pPr>
              <w:tabs>
                <w:tab w:val="left" w:pos="426"/>
              </w:tabs>
              <w:spacing w:after="0" w:line="240" w:lineRule="auto"/>
              <w:rPr>
                <w:rFonts w:ascii="Times New Roman" w:hAnsi="Times New Roman"/>
                <w:color w:val="000000"/>
              </w:rPr>
            </w:pPr>
          </w:p>
        </w:tc>
      </w:tr>
      <w:tr w:rsidR="00C147B7" w:rsidRPr="00F3148F" w14:paraId="0EADF981"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2D881945"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Lytinės sistemos ir krūties sutrikimai</w:t>
            </w:r>
          </w:p>
        </w:tc>
        <w:tc>
          <w:tcPr>
            <w:tcW w:w="1559" w:type="dxa"/>
            <w:tcBorders>
              <w:top w:val="single" w:sz="4" w:space="0" w:color="auto"/>
              <w:left w:val="single" w:sz="4" w:space="0" w:color="auto"/>
              <w:bottom w:val="single" w:sz="4" w:space="0" w:color="auto"/>
              <w:right w:val="single" w:sz="4" w:space="0" w:color="auto"/>
            </w:tcBorders>
          </w:tcPr>
          <w:p w14:paraId="593E4A06"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45AABFD7"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428E7804"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Moterims: menstruacijų sutrikimai, vyrams: prostatos ligos</w:t>
            </w:r>
          </w:p>
        </w:tc>
        <w:tc>
          <w:tcPr>
            <w:tcW w:w="1843" w:type="dxa"/>
            <w:tcBorders>
              <w:top w:val="single" w:sz="4" w:space="0" w:color="auto"/>
              <w:left w:val="single" w:sz="4" w:space="0" w:color="auto"/>
              <w:bottom w:val="single" w:sz="4" w:space="0" w:color="auto"/>
              <w:right w:val="single" w:sz="4" w:space="0" w:color="auto"/>
            </w:tcBorders>
          </w:tcPr>
          <w:p w14:paraId="6E9F1448"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7D9FE66" w14:textId="77777777" w:rsidR="00CE5406" w:rsidRDefault="00CE5406" w:rsidP="000A316B">
            <w:pPr>
              <w:tabs>
                <w:tab w:val="left" w:pos="426"/>
              </w:tabs>
              <w:spacing w:after="0" w:line="240" w:lineRule="auto"/>
              <w:rPr>
                <w:rFonts w:ascii="Times New Roman" w:hAnsi="Times New Roman"/>
                <w:color w:val="000000"/>
              </w:rPr>
            </w:pPr>
          </w:p>
        </w:tc>
      </w:tr>
      <w:tr w:rsidR="00C147B7" w14:paraId="7CE7C14F"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1EB76424"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tcPr>
          <w:p w14:paraId="7C897BFC"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hideMark/>
          </w:tcPr>
          <w:p w14:paraId="41667A9E" w14:textId="2D9B3D58"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 xml:space="preserve">Nuovargis, skausmas, </w:t>
            </w:r>
            <w:proofErr w:type="spellStart"/>
            <w:r>
              <w:rPr>
                <w:rFonts w:ascii="Times New Roman" w:hAnsi="Times New Roman"/>
                <w:color w:val="000000"/>
              </w:rPr>
              <w:t>astenija</w:t>
            </w:r>
            <w:proofErr w:type="spellEnd"/>
            <w:r>
              <w:rPr>
                <w:rFonts w:ascii="Times New Roman" w:hAnsi="Times New Roman"/>
                <w:color w:val="000000"/>
              </w:rPr>
              <w:t>, sustingimas, negalavimas</w:t>
            </w:r>
          </w:p>
        </w:tc>
        <w:tc>
          <w:tcPr>
            <w:tcW w:w="1559" w:type="dxa"/>
            <w:tcBorders>
              <w:top w:val="single" w:sz="4" w:space="0" w:color="auto"/>
              <w:left w:val="single" w:sz="4" w:space="0" w:color="auto"/>
              <w:bottom w:val="single" w:sz="4" w:space="0" w:color="auto"/>
              <w:right w:val="single" w:sz="4" w:space="0" w:color="auto"/>
            </w:tcBorders>
            <w:hideMark/>
          </w:tcPr>
          <w:p w14:paraId="137AD3D8"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Periferinė edema</w:t>
            </w:r>
          </w:p>
        </w:tc>
        <w:tc>
          <w:tcPr>
            <w:tcW w:w="1843" w:type="dxa"/>
            <w:tcBorders>
              <w:top w:val="single" w:sz="4" w:space="0" w:color="auto"/>
              <w:left w:val="single" w:sz="4" w:space="0" w:color="auto"/>
              <w:bottom w:val="single" w:sz="4" w:space="0" w:color="auto"/>
              <w:right w:val="single" w:sz="4" w:space="0" w:color="auto"/>
            </w:tcBorders>
          </w:tcPr>
          <w:p w14:paraId="6A1DD424"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5605EA5" w14:textId="77777777" w:rsidR="00CE5406" w:rsidRDefault="00CE5406" w:rsidP="000A316B">
            <w:pPr>
              <w:tabs>
                <w:tab w:val="left" w:pos="426"/>
              </w:tabs>
              <w:spacing w:after="0" w:line="240" w:lineRule="auto"/>
              <w:rPr>
                <w:rFonts w:ascii="Times New Roman" w:hAnsi="Times New Roman"/>
                <w:color w:val="000000"/>
              </w:rPr>
            </w:pPr>
          </w:p>
        </w:tc>
      </w:tr>
      <w:tr w:rsidR="00C147B7" w:rsidRPr="00F3148F" w14:paraId="4EB5A842" w14:textId="77777777" w:rsidTr="00CE5406">
        <w:tc>
          <w:tcPr>
            <w:tcW w:w="1838" w:type="dxa"/>
            <w:tcBorders>
              <w:top w:val="single" w:sz="4" w:space="0" w:color="auto"/>
              <w:left w:val="single" w:sz="4" w:space="0" w:color="auto"/>
              <w:bottom w:val="single" w:sz="4" w:space="0" w:color="auto"/>
              <w:right w:val="single" w:sz="4" w:space="0" w:color="auto"/>
            </w:tcBorders>
            <w:hideMark/>
          </w:tcPr>
          <w:p w14:paraId="15EAA1EF"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Tyrimai</w:t>
            </w:r>
          </w:p>
        </w:tc>
        <w:tc>
          <w:tcPr>
            <w:tcW w:w="1559" w:type="dxa"/>
            <w:tcBorders>
              <w:top w:val="single" w:sz="4" w:space="0" w:color="auto"/>
              <w:left w:val="single" w:sz="4" w:space="0" w:color="auto"/>
              <w:bottom w:val="single" w:sz="4" w:space="0" w:color="auto"/>
              <w:right w:val="single" w:sz="4" w:space="0" w:color="auto"/>
            </w:tcBorders>
          </w:tcPr>
          <w:p w14:paraId="65530D36" w14:textId="77777777" w:rsidR="00CE5406" w:rsidRDefault="00CE5406" w:rsidP="000A316B">
            <w:pPr>
              <w:tabs>
                <w:tab w:val="left" w:pos="426"/>
              </w:tabs>
              <w:spacing w:after="0" w:line="240" w:lineRule="auto"/>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E2EC415"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23252FF3" w14:textId="77777777" w:rsidR="00CE5406" w:rsidRDefault="00CE5406" w:rsidP="000A316B">
            <w:pPr>
              <w:tabs>
                <w:tab w:val="left" w:pos="426"/>
              </w:tabs>
              <w:spacing w:after="0" w:line="240" w:lineRule="auto"/>
              <w:rPr>
                <w:rFonts w:ascii="Times New Roman" w:hAnsi="Times New Roman"/>
                <w:color w:val="000000"/>
              </w:rPr>
            </w:pPr>
            <w:r>
              <w:rPr>
                <w:rFonts w:ascii="Times New Roman" w:hAnsi="Times New Roman"/>
                <w:color w:val="000000"/>
              </w:rPr>
              <w:t>Kepenų funkcijos rodiklių aktyvumo pokyčiai</w:t>
            </w:r>
          </w:p>
        </w:tc>
        <w:tc>
          <w:tcPr>
            <w:tcW w:w="1843" w:type="dxa"/>
            <w:tcBorders>
              <w:top w:val="single" w:sz="4" w:space="0" w:color="auto"/>
              <w:left w:val="single" w:sz="4" w:space="0" w:color="auto"/>
              <w:bottom w:val="single" w:sz="4" w:space="0" w:color="auto"/>
              <w:right w:val="single" w:sz="4" w:space="0" w:color="auto"/>
            </w:tcBorders>
          </w:tcPr>
          <w:p w14:paraId="64AD3A58" w14:textId="77777777" w:rsidR="00CE5406" w:rsidRDefault="00CE5406" w:rsidP="000A316B">
            <w:pPr>
              <w:tabs>
                <w:tab w:val="left" w:pos="426"/>
              </w:tabs>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4A41D3B" w14:textId="77777777" w:rsidR="00CE5406" w:rsidRDefault="00CE5406" w:rsidP="000A316B">
            <w:pPr>
              <w:tabs>
                <w:tab w:val="left" w:pos="426"/>
              </w:tabs>
              <w:spacing w:after="0" w:line="240" w:lineRule="auto"/>
              <w:rPr>
                <w:rFonts w:ascii="Times New Roman" w:hAnsi="Times New Roman"/>
                <w:color w:val="000000"/>
              </w:rPr>
            </w:pPr>
          </w:p>
        </w:tc>
      </w:tr>
    </w:tbl>
    <w:p w14:paraId="488D1EE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E6AB5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Virškinimo traktas: dažniausiai stebėti nepageidaujami reiškiniai yra susiję su virškinimo traktu. Gali būti pepsinė 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 Pasitaikė su NVPNU vartojimu susijusi edema, hipertenzija ir širdies nepakankamumas. </w:t>
      </w:r>
    </w:p>
    <w:p w14:paraId="7448811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Be to, būna ir kitų požymių, kurie pasitaiko vartojant kitus NVPNU - aseptinis meningitas, dažniau pasitaikantis sergantiesiems sistemine raudonaja vilklige ar mišriomis jungiamojo audinio ligomis, kraujo reakcijos (purpura, aplazinė ir hemolizinė anemija, retai - agranulocitozė ar čiulpų hipoplazija), pūslelinės reakcijos įskaitant </w:t>
      </w:r>
      <w:r>
        <w:rPr>
          <w:rFonts w:ascii="Times New Roman" w:eastAsia="Arial Unicode MS" w:hAnsi="Times New Roman"/>
          <w:bCs/>
          <w:i/>
          <w:color w:val="000000"/>
        </w:rPr>
        <w:t xml:space="preserve">Stivenso-Džonsono (Stevens-Johnson) </w:t>
      </w:r>
      <w:r>
        <w:rPr>
          <w:rFonts w:ascii="Times New Roman" w:eastAsia="Arial Unicode MS" w:hAnsi="Times New Roman"/>
          <w:bCs/>
          <w:iCs/>
          <w:color w:val="000000"/>
        </w:rPr>
        <w:t>sindromą ir toksinę epidermio nekrolizę</w:t>
      </w:r>
      <w:r>
        <w:rPr>
          <w:rFonts w:ascii="Times New Roman" w:eastAsia="Arial Unicode MS" w:hAnsi="Times New Roman"/>
          <w:bCs/>
          <w:i/>
          <w:color w:val="000000"/>
        </w:rPr>
        <w:t>- Lajelio (Lyell) sindromą</w:t>
      </w:r>
      <w:r>
        <w:rPr>
          <w:rFonts w:ascii="Times New Roman" w:eastAsia="Arial Unicode MS" w:hAnsi="Times New Roman"/>
          <w:bCs/>
          <w:color w:val="000000"/>
        </w:rPr>
        <w:t xml:space="preserve"> (labai retai).</w:t>
      </w:r>
    </w:p>
    <w:p w14:paraId="1C8C868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11AD9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Klinikiniai tyrimai ir epidemiologiniai duomenys rodo, kad kai kurių NVPNU vartojimas (ypač didelėmis dozėmis ir ilgai), gali būti susijęs su nedideliu arterijų trombozės reiškinių (pvz., miokardo infarkto arba insulto) rizikos padidėjimu (žr. 4.4 skyrių).</w:t>
      </w:r>
    </w:p>
    <w:p w14:paraId="7F3DCE8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127F160" w14:textId="77777777" w:rsidR="007E37A3" w:rsidRDefault="007E37A3" w:rsidP="007E37A3">
      <w:pPr>
        <w:autoSpaceDE w:val="0"/>
        <w:autoSpaceDN w:val="0"/>
        <w:adjustRightInd w:val="0"/>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Pranešimas apie įtariamas nepageidaujamas reakcijas</w:t>
      </w:r>
    </w:p>
    <w:p w14:paraId="016A510C" w14:textId="370D172F" w:rsidR="00CE5406" w:rsidRDefault="00CE5406" w:rsidP="007E37A3">
      <w:pPr>
        <w:tabs>
          <w:tab w:val="left" w:pos="426"/>
        </w:tabs>
        <w:spacing w:after="0" w:line="240" w:lineRule="auto"/>
        <w:rPr>
          <w:rFonts w:ascii="Times New Roman" w:eastAsia="Arial Unicode MS" w:hAnsi="Times New Roman"/>
          <w:bCs/>
          <w:color w:val="000000"/>
        </w:rPr>
      </w:pPr>
      <w:r w:rsidRPr="00E62D9F">
        <w:rPr>
          <w:rFonts w:ascii="Times New Roman" w:hAnsi="Times New Roman"/>
          <w:color w:val="00000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D114A4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B5B943C"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29" w:name="_Toc129243235"/>
      <w:bookmarkStart w:id="30" w:name="_Toc129243110"/>
      <w:r>
        <w:rPr>
          <w:rFonts w:ascii="Times New Roman" w:eastAsia="Times New Roman" w:hAnsi="Times New Roman"/>
          <w:b/>
          <w:kern w:val="28"/>
        </w:rPr>
        <w:t>4.9</w:t>
      </w:r>
      <w:r>
        <w:rPr>
          <w:rFonts w:ascii="Times New Roman" w:eastAsia="Times New Roman" w:hAnsi="Times New Roman"/>
          <w:b/>
          <w:kern w:val="28"/>
        </w:rPr>
        <w:tab/>
        <w:t>Perdozavimas</w:t>
      </w:r>
      <w:bookmarkEnd w:id="29"/>
      <w:bookmarkEnd w:id="30"/>
    </w:p>
    <w:p w14:paraId="535280B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F219C5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Simptomai, atsirandantys perdozavus vaistinio preparato, nežinomi. Panašūs vaistiniai preparatai sukelia virškinimo trakto (vėmimas, apetito stoka, pilvo skausmas) ir neurologinių (mieguistumas, galvos svaigimas, orientacijos sutrikimas, galvos skausmas) sutrikimų. </w:t>
      </w:r>
    </w:p>
    <w:p w14:paraId="6776981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Tais atvejais, kai atsitiktinai išgeriama per daug vaistinio preparato, įvertinus paciento būklę, reikia nedelsiant  pradėti simptominį gydymą. Vienos valandos laikotarpyje būtina duoti aktyvintos anglies, jeigu suaugusysis arba vaikas išgėrė daugiau nei 5 mg/kg kūno svorio vaistinio preparato. </w:t>
      </w:r>
      <w:r>
        <w:rPr>
          <w:rFonts w:ascii="Times New Roman" w:eastAsia="Arial Unicode MS" w:hAnsi="Times New Roman"/>
          <w:bCs/>
          <w:color w:val="000000"/>
        </w:rPr>
        <w:br/>
      </w:r>
    </w:p>
    <w:p w14:paraId="4BB624F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Deksketoprofeno trometamolį galima pašalinti dializuojant.</w:t>
      </w:r>
      <w:r>
        <w:rPr>
          <w:rFonts w:ascii="Times New Roman" w:eastAsia="Arial Unicode MS" w:hAnsi="Times New Roman"/>
          <w:bCs/>
          <w:color w:val="000000"/>
        </w:rPr>
        <w:br/>
      </w:r>
    </w:p>
    <w:p w14:paraId="25B5EE4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F83EB7E"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31" w:name="_Toc129243236"/>
      <w:bookmarkStart w:id="32" w:name="_Toc129243111"/>
      <w:r>
        <w:rPr>
          <w:rFonts w:ascii="Times New Roman" w:eastAsia="Times New Roman" w:hAnsi="Times New Roman"/>
          <w:b/>
        </w:rPr>
        <w:t>5.</w:t>
      </w:r>
      <w:r>
        <w:rPr>
          <w:rFonts w:ascii="Times New Roman" w:eastAsia="Times New Roman" w:hAnsi="Times New Roman"/>
          <w:b/>
        </w:rPr>
        <w:tab/>
        <w:t>FARMAKOLOGINĖS SAVYBĖS</w:t>
      </w:r>
      <w:bookmarkEnd w:id="31"/>
      <w:bookmarkEnd w:id="32"/>
    </w:p>
    <w:p w14:paraId="12EE33B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742BF62"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33" w:name="_Toc129243237"/>
      <w:bookmarkStart w:id="34" w:name="_Toc129243112"/>
      <w:r>
        <w:rPr>
          <w:rFonts w:ascii="Times New Roman" w:eastAsia="Times New Roman" w:hAnsi="Times New Roman"/>
          <w:b/>
          <w:kern w:val="28"/>
        </w:rPr>
        <w:t>5.1</w:t>
      </w:r>
      <w:r>
        <w:rPr>
          <w:rFonts w:ascii="Times New Roman" w:eastAsia="Times New Roman" w:hAnsi="Times New Roman"/>
          <w:b/>
          <w:kern w:val="28"/>
        </w:rPr>
        <w:tab/>
        <w:t>Farmakodinaminės savybės</w:t>
      </w:r>
      <w:bookmarkEnd w:id="33"/>
      <w:bookmarkEnd w:id="34"/>
    </w:p>
    <w:p w14:paraId="36B4EC8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5E25C9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Farmakoterapinė grupė – nesteroidiniai vaistai nuo uždegimo, ATC kodas – M01AE17</w:t>
      </w:r>
    </w:p>
    <w:p w14:paraId="6807087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b/>
      </w:r>
    </w:p>
    <w:p w14:paraId="70DD720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Deksketoprofeno trometamolis yra S-(+)-2-(3-benzoilfenil)propiono rūgšties trometamino druska. Vaistinis preparatas malšina skausmą, pasižymi uždegimą slopinančiu poveikiu, mažina temperatūrą.</w:t>
      </w:r>
    </w:p>
    <w:p w14:paraId="7A6BA55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EB21887"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 xml:space="preserve">Veikimo mechanizmas </w:t>
      </w:r>
    </w:p>
    <w:p w14:paraId="6163AF8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NVPNU veikimo mechanizmas susijęs su prostaglandinų sintezės sumažėjimu dėl ciklooksigenazės slopinimo. Konkrečiai, slopinamas arachidono rūgšties virsmas cikliniais endoperoksidais, PGG</w:t>
      </w:r>
      <w:r>
        <w:rPr>
          <w:rFonts w:ascii="Times New Roman" w:eastAsia="Arial Unicode MS" w:hAnsi="Times New Roman"/>
          <w:bCs/>
          <w:color w:val="000000"/>
          <w:vertAlign w:val="subscript"/>
        </w:rPr>
        <w:t>2</w:t>
      </w:r>
      <w:r>
        <w:rPr>
          <w:rFonts w:ascii="Times New Roman" w:eastAsia="Arial Unicode MS" w:hAnsi="Times New Roman"/>
          <w:bCs/>
          <w:color w:val="000000"/>
        </w:rPr>
        <w:t xml:space="preserve"> ir PGH</w:t>
      </w:r>
      <w:r>
        <w:rPr>
          <w:rFonts w:ascii="Times New Roman" w:eastAsia="Arial Unicode MS" w:hAnsi="Times New Roman"/>
          <w:bCs/>
          <w:color w:val="000000"/>
          <w:vertAlign w:val="subscript"/>
        </w:rPr>
        <w:t>2</w:t>
      </w:r>
      <w:r>
        <w:rPr>
          <w:rFonts w:ascii="Times New Roman" w:eastAsia="Arial Unicode MS" w:hAnsi="Times New Roman"/>
          <w:bCs/>
          <w:color w:val="000000"/>
        </w:rPr>
        <w:t>, iš kurių susidaro prostaglandinai PGE</w:t>
      </w:r>
      <w:r>
        <w:rPr>
          <w:rFonts w:ascii="Times New Roman" w:eastAsia="Arial Unicode MS" w:hAnsi="Times New Roman"/>
          <w:bCs/>
          <w:color w:val="000000"/>
          <w:vertAlign w:val="subscript"/>
        </w:rPr>
        <w:t>1</w:t>
      </w:r>
      <w:r>
        <w:rPr>
          <w:rFonts w:ascii="Times New Roman" w:eastAsia="Arial Unicode MS" w:hAnsi="Times New Roman"/>
          <w:bCs/>
          <w:color w:val="000000"/>
        </w:rPr>
        <w:t>, PGE</w:t>
      </w:r>
      <w:r>
        <w:rPr>
          <w:rFonts w:ascii="Times New Roman" w:eastAsia="Arial Unicode MS" w:hAnsi="Times New Roman"/>
          <w:bCs/>
          <w:color w:val="000000"/>
          <w:vertAlign w:val="subscript"/>
        </w:rPr>
        <w:t>2</w:t>
      </w:r>
      <w:r>
        <w:rPr>
          <w:rFonts w:ascii="Times New Roman" w:eastAsia="Arial Unicode MS" w:hAnsi="Times New Roman"/>
          <w:bCs/>
          <w:color w:val="000000"/>
        </w:rPr>
        <w:t>, PGF</w:t>
      </w:r>
      <w:r>
        <w:rPr>
          <w:rFonts w:ascii="Times New Roman" w:eastAsia="Arial Unicode MS" w:hAnsi="Times New Roman"/>
          <w:bCs/>
          <w:color w:val="000000"/>
          <w:vertAlign w:val="subscript"/>
        </w:rPr>
        <w:t>2</w:t>
      </w:r>
      <w:r>
        <w:rPr>
          <w:rFonts w:ascii="Bookman Old Style" w:eastAsia="Arial Unicode MS" w:hAnsi="Bookman Old Style"/>
          <w:bCs/>
          <w:color w:val="000000"/>
          <w:vertAlign w:val="subscript"/>
        </w:rPr>
        <w:t></w:t>
      </w:r>
      <w:r>
        <w:rPr>
          <w:rFonts w:ascii="Times New Roman" w:eastAsia="Arial Unicode MS" w:hAnsi="Times New Roman"/>
          <w:bCs/>
          <w:color w:val="000000"/>
        </w:rPr>
        <w:t xml:space="preserve"> ir PGD</w:t>
      </w:r>
      <w:r>
        <w:rPr>
          <w:rFonts w:ascii="Times New Roman" w:eastAsia="Arial Unicode MS" w:hAnsi="Times New Roman"/>
          <w:bCs/>
          <w:color w:val="000000"/>
          <w:vertAlign w:val="subscript"/>
        </w:rPr>
        <w:t>2</w:t>
      </w:r>
      <w:r>
        <w:rPr>
          <w:rFonts w:ascii="Times New Roman" w:eastAsia="Arial Unicode MS" w:hAnsi="Times New Roman"/>
          <w:bCs/>
          <w:color w:val="000000"/>
        </w:rPr>
        <w:t>, prostaciklinas PGI</w:t>
      </w:r>
      <w:r>
        <w:rPr>
          <w:rFonts w:ascii="Times New Roman" w:eastAsia="Arial Unicode MS" w:hAnsi="Times New Roman"/>
          <w:bCs/>
          <w:color w:val="000000"/>
          <w:vertAlign w:val="subscript"/>
        </w:rPr>
        <w:t>2</w:t>
      </w:r>
      <w:r>
        <w:rPr>
          <w:rFonts w:ascii="Times New Roman" w:eastAsia="Arial Unicode MS" w:hAnsi="Times New Roman"/>
          <w:bCs/>
          <w:color w:val="000000"/>
        </w:rPr>
        <w:t xml:space="preserve"> ir tromboksanai (TxA</w:t>
      </w:r>
      <w:r>
        <w:rPr>
          <w:rFonts w:ascii="Times New Roman" w:eastAsia="Arial Unicode MS" w:hAnsi="Times New Roman"/>
          <w:bCs/>
          <w:color w:val="000000"/>
          <w:vertAlign w:val="subscript"/>
        </w:rPr>
        <w:t>2</w:t>
      </w:r>
      <w:r>
        <w:rPr>
          <w:rFonts w:ascii="Times New Roman" w:eastAsia="Arial Unicode MS" w:hAnsi="Times New Roman"/>
          <w:bCs/>
          <w:color w:val="000000"/>
        </w:rPr>
        <w:t xml:space="preserve"> ir TxB</w:t>
      </w:r>
      <w:r>
        <w:rPr>
          <w:rFonts w:ascii="Times New Roman" w:eastAsia="Arial Unicode MS" w:hAnsi="Times New Roman"/>
          <w:bCs/>
          <w:color w:val="000000"/>
          <w:vertAlign w:val="subscript"/>
        </w:rPr>
        <w:t>2</w:t>
      </w:r>
      <w:r>
        <w:rPr>
          <w:rFonts w:ascii="Times New Roman" w:eastAsia="Arial Unicode MS" w:hAnsi="Times New Roman"/>
          <w:bCs/>
          <w:color w:val="000000"/>
        </w:rPr>
        <w:t>). Be to, prostaglandinų sintezės slopinimas gali turėti įtakos ir tokiems uždegimo mediatoriams kaip kininai, tokiu būdu tiesioginį poveikį papildydamas netiesioginiu.</w:t>
      </w:r>
    </w:p>
    <w:p w14:paraId="4850FE7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63F1F2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u w:val="single"/>
        </w:rPr>
        <w:t>Farmakodinaminis poveikis</w:t>
      </w:r>
      <w:r>
        <w:rPr>
          <w:rFonts w:ascii="Times New Roman" w:eastAsia="Arial Unicode MS" w:hAnsi="Times New Roman"/>
          <w:bCs/>
          <w:color w:val="000000"/>
        </w:rPr>
        <w:br/>
        <w:t>Tyrimuose su gyvūnais bei žmonių stebėjimais nustatytas deksketoprofeno slopinantis poveikis COX-1 ir COX-2 aktyvumui.</w:t>
      </w:r>
    </w:p>
    <w:p w14:paraId="1E9BFC8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133B88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u w:val="single"/>
        </w:rPr>
        <w:t>Klinikinis veiksmingumas ir saugumas</w:t>
      </w:r>
      <w:r>
        <w:rPr>
          <w:rFonts w:ascii="Times New Roman" w:eastAsia="Arial Unicode MS" w:hAnsi="Times New Roman"/>
          <w:bCs/>
          <w:color w:val="000000"/>
        </w:rPr>
        <w:br/>
        <w:t>Atlikus klinikinių tyrimų su įvairiais skausmo modeliais, nustatytas deksketoprofeno trometamolio skausmą malšinantis poveikis. Kai kuriose tyrimų grupėse skausmą malšinantis poveikis prasidėjo praėjus 30 minučių po vaistinio preparato pavartojimo. Skausmą malšinantis poveikis trunka 4-6 valandas.</w:t>
      </w:r>
      <w:r>
        <w:rPr>
          <w:rFonts w:ascii="Times New Roman" w:eastAsia="Arial Unicode MS" w:hAnsi="Times New Roman"/>
          <w:bCs/>
          <w:color w:val="000000"/>
        </w:rPr>
        <w:br/>
      </w:r>
    </w:p>
    <w:p w14:paraId="183C26E9"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35" w:name="_Toc129243238"/>
      <w:bookmarkStart w:id="36" w:name="_Toc129243113"/>
      <w:r>
        <w:rPr>
          <w:rFonts w:ascii="Times New Roman" w:eastAsia="Times New Roman" w:hAnsi="Times New Roman"/>
          <w:b/>
          <w:kern w:val="28"/>
        </w:rPr>
        <w:t>5.2</w:t>
      </w:r>
      <w:r>
        <w:rPr>
          <w:rFonts w:ascii="Times New Roman" w:eastAsia="Times New Roman" w:hAnsi="Times New Roman"/>
          <w:b/>
          <w:kern w:val="28"/>
        </w:rPr>
        <w:tab/>
        <w:t>Farmakokinetinės savybės</w:t>
      </w:r>
      <w:bookmarkEnd w:id="35"/>
      <w:bookmarkEnd w:id="36"/>
    </w:p>
    <w:p w14:paraId="56AD6DC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58F016"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Absorbcija</w:t>
      </w:r>
    </w:p>
    <w:p w14:paraId="2CFF6DC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Išgėrus deksketoprofeno trometamolio, maksimali koncentracija (angl. C</w:t>
      </w:r>
      <w:r>
        <w:rPr>
          <w:rFonts w:ascii="Times New Roman" w:eastAsia="Arial Unicode MS" w:hAnsi="Times New Roman"/>
          <w:bCs/>
          <w:color w:val="000000"/>
          <w:vertAlign w:val="subscript"/>
        </w:rPr>
        <w:t>max</w:t>
      </w:r>
      <w:r>
        <w:rPr>
          <w:rFonts w:ascii="Times New Roman" w:eastAsia="Arial Unicode MS" w:hAnsi="Times New Roman"/>
          <w:bCs/>
          <w:color w:val="000000"/>
        </w:rPr>
        <w:t>) žmogaus kraujo plazmoje atsiranda maždaug po 30 min (po 15-60 min).</w:t>
      </w:r>
    </w:p>
    <w:p w14:paraId="5E2474A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vaistinio preparato vartojama valgymo metu, plotas po koncentracijos kraujo plazmoje priklausomai nuo laiko kreive (angl AUC) nesikeičia, bet C</w:t>
      </w:r>
      <w:r>
        <w:rPr>
          <w:rFonts w:ascii="Times New Roman" w:eastAsia="Arial Unicode MS" w:hAnsi="Times New Roman"/>
          <w:bCs/>
          <w:color w:val="000000"/>
          <w:vertAlign w:val="subscript"/>
        </w:rPr>
        <w:t>max</w:t>
      </w:r>
      <w:r>
        <w:rPr>
          <w:rFonts w:ascii="Times New Roman" w:eastAsia="Arial Unicode MS" w:hAnsi="Times New Roman"/>
          <w:bCs/>
          <w:color w:val="000000"/>
        </w:rPr>
        <w:t xml:space="preserve"> sumažėja ir absorbcija sulėtėja (padidėja t</w:t>
      </w:r>
      <w:r>
        <w:rPr>
          <w:rFonts w:ascii="Times New Roman" w:eastAsia="Arial Unicode MS" w:hAnsi="Times New Roman"/>
          <w:bCs/>
          <w:color w:val="000000"/>
          <w:vertAlign w:val="subscript"/>
        </w:rPr>
        <w:t>max</w:t>
      </w:r>
      <w:r>
        <w:rPr>
          <w:rFonts w:ascii="Times New Roman" w:eastAsia="Arial Unicode MS" w:hAnsi="Times New Roman"/>
          <w:bCs/>
          <w:color w:val="000000"/>
        </w:rPr>
        <w:t xml:space="preserve">). </w:t>
      </w:r>
    </w:p>
    <w:p w14:paraId="379C8F2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C2B91A6"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Pasiskirstymas</w:t>
      </w:r>
    </w:p>
    <w:p w14:paraId="7E7F4AA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Deksketoprofeno trometamolio pusinio pasiskirstymo ir pusinės eliminacijos laikas yra atitinkamai 0,35 ir 1,65 valandos. Kaip ir kitiems vaistiniams preparatams, kurie stipriai susijungia su kraujo plazmos baltymais (99%), pasiskirstymo tūrio vidurkis yra mažesnis nei 0,25 l/kg.</w:t>
      </w:r>
    </w:p>
    <w:p w14:paraId="7460794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Daugkartinių dozių farmakokinetikos tyrimais nustatyta, kad po paskutinės vaistinio preparato dozės pavartojimo AUC yra toks pat, kaip ir po vienkartinės dozės, Vadinasi, vaistinio preparato kaupimasis  organizme nevyksta. </w:t>
      </w:r>
    </w:p>
    <w:p w14:paraId="3418ABA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17CDA17" w14:textId="77777777" w:rsidR="007E37A3" w:rsidRDefault="007E37A3" w:rsidP="007E37A3">
      <w:pPr>
        <w:tabs>
          <w:tab w:val="left" w:pos="426"/>
        </w:tabs>
        <w:spacing w:after="0" w:line="240" w:lineRule="auto"/>
        <w:rPr>
          <w:rFonts w:ascii="Times New Roman" w:eastAsia="Arial Unicode MS" w:hAnsi="Times New Roman"/>
          <w:bCs/>
          <w:color w:val="000000"/>
          <w:u w:val="single"/>
        </w:rPr>
      </w:pPr>
      <w:r>
        <w:rPr>
          <w:rFonts w:ascii="Times New Roman" w:eastAsia="Arial Unicode MS" w:hAnsi="Times New Roman"/>
          <w:bCs/>
          <w:color w:val="000000"/>
          <w:u w:val="single"/>
        </w:rPr>
        <w:t>Biotransformacija ir eliminacija</w:t>
      </w:r>
    </w:p>
    <w:p w14:paraId="1DC76A5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Išgėrus deksketoprofeno trometamolio, šlapime randamas tik S-(+) enantiomeras, įrodantis, kad žmogaus organizme R-(-) enantiomero nesusidaro. Deksketoprofeno svarbiausias pašalinimo iš organizmo kelias yra gliukuronizacija ir išsiskyrimas su šlapimu.</w:t>
      </w:r>
      <w:r>
        <w:rPr>
          <w:rFonts w:ascii="Times New Roman" w:eastAsia="Arial Unicode MS" w:hAnsi="Times New Roman"/>
          <w:bCs/>
          <w:color w:val="000000"/>
        </w:rPr>
        <w:br/>
      </w:r>
    </w:p>
    <w:p w14:paraId="0647581C"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37" w:name="_Toc129243239"/>
      <w:bookmarkStart w:id="38" w:name="_Toc129243114"/>
      <w:r>
        <w:rPr>
          <w:rFonts w:ascii="Times New Roman" w:eastAsia="Times New Roman" w:hAnsi="Times New Roman"/>
          <w:b/>
          <w:kern w:val="28"/>
        </w:rPr>
        <w:t>5.3</w:t>
      </w:r>
      <w:r>
        <w:rPr>
          <w:rFonts w:ascii="Times New Roman" w:eastAsia="Times New Roman" w:hAnsi="Times New Roman"/>
          <w:b/>
          <w:kern w:val="28"/>
        </w:rPr>
        <w:tab/>
        <w:t>Ikiklinikinių saugumo tyrimų duomenys</w:t>
      </w:r>
      <w:bookmarkEnd w:id="37"/>
      <w:bookmarkEnd w:id="38"/>
    </w:p>
    <w:p w14:paraId="7A0BEF1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6E0BCD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Įprastų farmakologinio saugumo, genotoksiškumo, imunofarmakologijos neklinikinių tyrimų duomenys specifinio pavojaus žmogui nerodo. Lėtinio toksiškumo tyrimų, atliktų su pelėmis ir beždžionėmis metu </w:t>
      </w:r>
      <w:r>
        <w:rPr>
          <w:rFonts w:ascii="Times New Roman" w:eastAsia="Arial Unicode MS" w:hAnsi="Times New Roman"/>
          <w:bCs/>
          <w:color w:val="000000"/>
        </w:rPr>
        <w:lastRenderedPageBreak/>
        <w:t>nustatyta, kad 2 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 kartų didesnėms už didžiausią rekomenduojamą žmogui dozėmis.</w:t>
      </w:r>
    </w:p>
    <w:p w14:paraId="66B982C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Galimo kancerogeniškumo tyrimų su gyvūnais nėra.</w:t>
      </w:r>
    </w:p>
    <w:p w14:paraId="75DC1EF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Kaip buvo nustatyta visai farmakologinei NVNU klasei, deksketoprofeno trometamolis gali įtakoti gyvūnų embriono/vaisiaus išgyvenamumo pokyčius, tiek netiesiogiai – dėl toksinio poveikio į nėščios motinos virškinamąjį traktą, tiek tiesiogiai – veikdamas vaisiaus vystymąsi.</w:t>
      </w:r>
    </w:p>
    <w:p w14:paraId="189C7C1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651452A"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39" w:name="_Toc129243240"/>
      <w:bookmarkStart w:id="40" w:name="_Toc129243115"/>
      <w:r>
        <w:rPr>
          <w:rFonts w:ascii="Times New Roman" w:eastAsia="Times New Roman" w:hAnsi="Times New Roman"/>
          <w:b/>
        </w:rPr>
        <w:t>6.</w:t>
      </w:r>
      <w:r>
        <w:rPr>
          <w:rFonts w:ascii="Times New Roman" w:eastAsia="Times New Roman" w:hAnsi="Times New Roman"/>
          <w:b/>
        </w:rPr>
        <w:tab/>
        <w:t>FARMACINĖ INFORMACIJA</w:t>
      </w:r>
      <w:bookmarkEnd w:id="39"/>
      <w:bookmarkEnd w:id="40"/>
    </w:p>
    <w:p w14:paraId="36D728B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740A5E6"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41" w:name="_Toc129243241"/>
      <w:bookmarkStart w:id="42" w:name="_Toc129243116"/>
      <w:r>
        <w:rPr>
          <w:rFonts w:ascii="Times New Roman" w:eastAsia="Times New Roman" w:hAnsi="Times New Roman"/>
          <w:b/>
          <w:kern w:val="28"/>
        </w:rPr>
        <w:t>6.1</w:t>
      </w:r>
      <w:r>
        <w:rPr>
          <w:rFonts w:ascii="Times New Roman" w:eastAsia="Times New Roman" w:hAnsi="Times New Roman"/>
          <w:b/>
          <w:kern w:val="28"/>
        </w:rPr>
        <w:tab/>
        <w:t>Pagalbinių medžiagų sąrašas</w:t>
      </w:r>
      <w:bookmarkEnd w:id="41"/>
      <w:bookmarkEnd w:id="42"/>
    </w:p>
    <w:p w14:paraId="06297114" w14:textId="77777777" w:rsidR="007E37A3" w:rsidRDefault="007E37A3" w:rsidP="007E37A3">
      <w:pPr>
        <w:spacing w:after="0" w:line="240" w:lineRule="auto"/>
        <w:rPr>
          <w:rFonts w:ascii="Times New Roman" w:eastAsia="Times New Roman" w:hAnsi="Times New Roman"/>
          <w:color w:val="000000"/>
          <w:szCs w:val="20"/>
          <w:lang w:eastAsia="lt-LT"/>
        </w:rPr>
      </w:pPr>
    </w:p>
    <w:p w14:paraId="7EE3BDF1" w14:textId="77777777" w:rsidR="007E37A3" w:rsidRDefault="007E37A3" w:rsidP="007E37A3">
      <w:pPr>
        <w:spacing w:after="0" w:line="240" w:lineRule="auto"/>
        <w:rPr>
          <w:rFonts w:ascii="Times New Roman" w:eastAsia="Times New Roman" w:hAnsi="Times New Roman"/>
          <w:i/>
          <w:color w:val="000000"/>
          <w:szCs w:val="20"/>
          <w:lang w:eastAsia="lt-LT"/>
        </w:rPr>
      </w:pPr>
      <w:r>
        <w:rPr>
          <w:rFonts w:ascii="Times New Roman" w:eastAsia="Times New Roman" w:hAnsi="Times New Roman"/>
          <w:i/>
          <w:color w:val="000000"/>
          <w:szCs w:val="20"/>
          <w:lang w:eastAsia="lt-LT"/>
        </w:rPr>
        <w:t>Tablečių šerdis</w:t>
      </w:r>
    </w:p>
    <w:p w14:paraId="01FAB0CE" w14:textId="77777777" w:rsidR="007E37A3" w:rsidRDefault="007E37A3" w:rsidP="007E37A3">
      <w:pPr>
        <w:tabs>
          <w:tab w:val="left" w:pos="426"/>
          <w:tab w:val="left" w:pos="2700"/>
        </w:tabs>
        <w:spacing w:after="0" w:line="240" w:lineRule="auto"/>
        <w:rPr>
          <w:rFonts w:ascii="Times New Roman" w:eastAsia="Arial Unicode MS" w:hAnsi="Times New Roman"/>
          <w:bCs/>
          <w:color w:val="000000"/>
        </w:rPr>
      </w:pPr>
      <w:r>
        <w:rPr>
          <w:rFonts w:ascii="Times New Roman" w:eastAsia="Arial Unicode MS" w:hAnsi="Times New Roman"/>
          <w:bCs/>
          <w:color w:val="000000"/>
        </w:rPr>
        <w:t>Mikrokristalinė celiuliozė</w:t>
      </w:r>
    </w:p>
    <w:p w14:paraId="095D71D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Kukurūzų krakmolas</w:t>
      </w:r>
    </w:p>
    <w:p w14:paraId="60E4A530" w14:textId="77777777" w:rsidR="007E37A3" w:rsidRDefault="007E37A3" w:rsidP="007E37A3">
      <w:pPr>
        <w:tabs>
          <w:tab w:val="left" w:pos="426"/>
          <w:tab w:val="left" w:pos="2700"/>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Pregelifikuotas kukurūzų krakmolas</w:t>
      </w:r>
    </w:p>
    <w:p w14:paraId="3EA204B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Hidroksipropilceliuliozė</w:t>
      </w:r>
    </w:p>
    <w:p w14:paraId="689C76D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Magnio stearatas</w:t>
      </w:r>
    </w:p>
    <w:p w14:paraId="5587E81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9DF162A"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Tablečių plėvelė</w:t>
      </w:r>
    </w:p>
    <w:p w14:paraId="5E622D5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Hipromeliozė</w:t>
      </w:r>
    </w:p>
    <w:p w14:paraId="7773160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Titano dioksidas (E 171)</w:t>
      </w:r>
    </w:p>
    <w:p w14:paraId="15213B8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Makrogolis 400</w:t>
      </w:r>
    </w:p>
    <w:p w14:paraId="36F55F0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E4B0666"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43" w:name="_Toc129243242"/>
      <w:bookmarkStart w:id="44" w:name="_Toc129243117"/>
      <w:r>
        <w:rPr>
          <w:rFonts w:ascii="Times New Roman" w:eastAsia="Times New Roman" w:hAnsi="Times New Roman"/>
          <w:b/>
          <w:kern w:val="28"/>
        </w:rPr>
        <w:t>6.2</w:t>
      </w:r>
      <w:r>
        <w:rPr>
          <w:rFonts w:ascii="Times New Roman" w:eastAsia="Times New Roman" w:hAnsi="Times New Roman"/>
          <w:b/>
          <w:kern w:val="28"/>
        </w:rPr>
        <w:tab/>
        <w:t>Nesuderinamumas</w:t>
      </w:r>
      <w:bookmarkEnd w:id="43"/>
      <w:bookmarkEnd w:id="44"/>
    </w:p>
    <w:p w14:paraId="1F41711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C9D3B5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Duomenys nebūtini.</w:t>
      </w:r>
    </w:p>
    <w:p w14:paraId="26F9DE8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ADAD927"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45" w:name="_Toc129243243"/>
      <w:bookmarkStart w:id="46" w:name="_Toc129243118"/>
      <w:r>
        <w:rPr>
          <w:rFonts w:ascii="Times New Roman" w:eastAsia="Times New Roman" w:hAnsi="Times New Roman"/>
          <w:b/>
          <w:kern w:val="28"/>
        </w:rPr>
        <w:t>6.3</w:t>
      </w:r>
      <w:r>
        <w:rPr>
          <w:rFonts w:ascii="Times New Roman" w:eastAsia="Times New Roman" w:hAnsi="Times New Roman"/>
          <w:b/>
          <w:kern w:val="28"/>
        </w:rPr>
        <w:tab/>
        <w:t>Tinkamumo laikas</w:t>
      </w:r>
      <w:bookmarkEnd w:id="45"/>
      <w:bookmarkEnd w:id="46"/>
    </w:p>
    <w:p w14:paraId="18C98D8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7473E2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PVC/PVDC/Al lizdinės plokštelės</w:t>
      </w:r>
    </w:p>
    <w:p w14:paraId="532803E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2 metai.</w:t>
      </w:r>
    </w:p>
    <w:p w14:paraId="412BB04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416866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PA/Al/PVC/Al lizdinės plokštelės</w:t>
      </w:r>
    </w:p>
    <w:p w14:paraId="2F3026B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5 metai.</w:t>
      </w:r>
    </w:p>
    <w:p w14:paraId="654A24E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75A2E1"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47" w:name="_Toc129243244"/>
      <w:bookmarkStart w:id="48" w:name="_Toc129243119"/>
      <w:r>
        <w:rPr>
          <w:rFonts w:ascii="Times New Roman" w:eastAsia="Times New Roman" w:hAnsi="Times New Roman"/>
          <w:b/>
          <w:kern w:val="28"/>
        </w:rPr>
        <w:t>6.4</w:t>
      </w:r>
      <w:r>
        <w:rPr>
          <w:rFonts w:ascii="Times New Roman" w:eastAsia="Times New Roman" w:hAnsi="Times New Roman"/>
          <w:b/>
          <w:kern w:val="28"/>
        </w:rPr>
        <w:tab/>
        <w:t>Specialios laikymo sąlygos</w:t>
      </w:r>
      <w:bookmarkEnd w:id="47"/>
      <w:bookmarkEnd w:id="48"/>
    </w:p>
    <w:p w14:paraId="03F6751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0F6EE0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PVC/PVDC/Al lizdinės plokštelės</w:t>
      </w:r>
    </w:p>
    <w:p w14:paraId="3C15D03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Laikyti ne aukštesnėje kaip 25 </w:t>
      </w:r>
      <w:r>
        <w:rPr>
          <w:rFonts w:ascii="Times New Roman" w:eastAsia="Arial Unicode MS" w:hAnsi="Times New Roman"/>
          <w:bCs/>
          <w:color w:val="000000"/>
        </w:rPr>
        <w:sym w:font="Symbol" w:char="F0B0"/>
      </w:r>
      <w:r>
        <w:rPr>
          <w:rFonts w:ascii="Times New Roman" w:eastAsia="Arial Unicode MS" w:hAnsi="Times New Roman"/>
          <w:bCs/>
          <w:color w:val="000000"/>
        </w:rPr>
        <w:t xml:space="preserve">C temperatūroje. </w:t>
      </w:r>
    </w:p>
    <w:p w14:paraId="2BE0BF3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15866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PA/Al/PVC/Al lizdinės plokštelės</w:t>
      </w:r>
    </w:p>
    <w:p w14:paraId="1CD16E2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Laikyti ne aukštesnėje kaip 30 </w:t>
      </w:r>
      <w:r>
        <w:rPr>
          <w:rFonts w:ascii="Times New Roman" w:eastAsia="Arial Unicode MS" w:hAnsi="Times New Roman"/>
          <w:bCs/>
          <w:color w:val="000000"/>
        </w:rPr>
        <w:sym w:font="Symbol" w:char="F0B0"/>
      </w:r>
      <w:r>
        <w:rPr>
          <w:rFonts w:ascii="Times New Roman" w:eastAsia="Arial Unicode MS" w:hAnsi="Times New Roman"/>
          <w:bCs/>
          <w:color w:val="000000"/>
        </w:rPr>
        <w:t xml:space="preserve">C temperatūroje. </w:t>
      </w:r>
    </w:p>
    <w:p w14:paraId="297B1D5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32075C7"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49" w:name="_Toc129243245"/>
      <w:bookmarkStart w:id="50" w:name="_Toc129243120"/>
      <w:r>
        <w:rPr>
          <w:rFonts w:ascii="Times New Roman" w:eastAsia="Times New Roman" w:hAnsi="Times New Roman"/>
          <w:b/>
          <w:kern w:val="28"/>
        </w:rPr>
        <w:t>6.5</w:t>
      </w:r>
      <w:r>
        <w:rPr>
          <w:rFonts w:ascii="Times New Roman" w:eastAsia="Times New Roman" w:hAnsi="Times New Roman"/>
          <w:b/>
          <w:kern w:val="28"/>
        </w:rPr>
        <w:tab/>
        <w:t>Talpyklės pobūdis ir jos turinys</w:t>
      </w:r>
      <w:bookmarkEnd w:id="49"/>
      <w:bookmarkEnd w:id="50"/>
    </w:p>
    <w:p w14:paraId="3F534CD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9B72C77"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Tabletės supakuotos PVC/PVDC/Al arba PA/Al/PVC/Al lizdinėse plokštelėse. </w:t>
      </w:r>
    </w:p>
    <w:p w14:paraId="0331CE1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Times New Roman" w:hAnsi="Times New Roman"/>
          <w:szCs w:val="20"/>
          <w:lang w:eastAsia="lt-LT"/>
        </w:rPr>
        <w:t>Lizdinėje plokštelėje yra 10 plėvele dengtų tablečių. Kartoninėje dėžutėje yra dvi lizdinės plokštelės, t.y., 20 plėvele dengtų tablečių.</w:t>
      </w:r>
    </w:p>
    <w:p w14:paraId="28BB06F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A0712B1" w14:textId="77777777" w:rsidR="007E37A3" w:rsidRDefault="007E37A3" w:rsidP="007E37A3">
      <w:pPr>
        <w:keepNext/>
        <w:keepLines/>
        <w:tabs>
          <w:tab w:val="left" w:pos="567"/>
        </w:tabs>
        <w:spacing w:after="0" w:line="240" w:lineRule="auto"/>
        <w:ind w:left="567" w:hanging="567"/>
        <w:outlineLvl w:val="2"/>
        <w:rPr>
          <w:rFonts w:ascii="Times New Roman" w:eastAsia="Times New Roman" w:hAnsi="Times New Roman"/>
          <w:b/>
          <w:kern w:val="28"/>
        </w:rPr>
      </w:pPr>
      <w:bookmarkStart w:id="51" w:name="_Toc129243246"/>
      <w:bookmarkStart w:id="52" w:name="_Toc129243121"/>
      <w:r>
        <w:rPr>
          <w:rFonts w:ascii="Times New Roman" w:eastAsia="Times New Roman" w:hAnsi="Times New Roman"/>
          <w:b/>
          <w:kern w:val="28"/>
        </w:rPr>
        <w:lastRenderedPageBreak/>
        <w:t>6.6</w:t>
      </w:r>
      <w:r>
        <w:rPr>
          <w:rFonts w:ascii="Times New Roman" w:eastAsia="Times New Roman" w:hAnsi="Times New Roman"/>
          <w:b/>
          <w:kern w:val="28"/>
        </w:rPr>
        <w:tab/>
        <w:t xml:space="preserve">Specialūs reikalavimai atliekoms tvarkyti </w:t>
      </w:r>
      <w:bookmarkEnd w:id="51"/>
      <w:bookmarkEnd w:id="52"/>
    </w:p>
    <w:p w14:paraId="6C64DC6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469306A"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napToGrid w:val="0"/>
          <w:szCs w:val="20"/>
          <w:lang w:eastAsia="lt-LT"/>
        </w:rPr>
        <w:t>Nesuvartotą vaistinį preparatą ar atliekas reikia tvarkyti laikantis vietinių reikalavimų</w:t>
      </w:r>
      <w:r>
        <w:rPr>
          <w:rFonts w:ascii="Times New Roman" w:eastAsia="Times New Roman" w:hAnsi="Times New Roman"/>
          <w:snapToGrid w:val="0"/>
          <w:szCs w:val="20"/>
          <w:lang w:eastAsia="it-IT"/>
        </w:rPr>
        <w:t>.</w:t>
      </w:r>
    </w:p>
    <w:p w14:paraId="0273453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B33792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0BB4754"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53" w:name="_Toc129243247"/>
      <w:bookmarkStart w:id="54" w:name="_Toc129243122"/>
      <w:r>
        <w:rPr>
          <w:rFonts w:ascii="Times New Roman" w:eastAsia="Times New Roman" w:hAnsi="Times New Roman"/>
          <w:b/>
        </w:rPr>
        <w:t>7.</w:t>
      </w:r>
      <w:r>
        <w:rPr>
          <w:rFonts w:ascii="Times New Roman" w:eastAsia="Times New Roman" w:hAnsi="Times New Roman"/>
          <w:b/>
        </w:rPr>
        <w:tab/>
      </w:r>
      <w:bookmarkEnd w:id="53"/>
      <w:bookmarkEnd w:id="54"/>
      <w:r>
        <w:rPr>
          <w:rFonts w:ascii="Times New Roman" w:eastAsia="Times New Roman" w:hAnsi="Times New Roman"/>
          <w:b/>
        </w:rPr>
        <w:t>REGISTRUOTOJAS</w:t>
      </w:r>
    </w:p>
    <w:p w14:paraId="4BAC258D" w14:textId="77777777" w:rsidR="007E37A3" w:rsidRDefault="007E37A3" w:rsidP="007E37A3">
      <w:pPr>
        <w:tabs>
          <w:tab w:val="left" w:pos="567"/>
        </w:tabs>
        <w:spacing w:after="0" w:line="240" w:lineRule="auto"/>
        <w:rPr>
          <w:rFonts w:ascii="Times New Roman" w:eastAsia="Times New Roman" w:hAnsi="Times New Roman"/>
          <w:szCs w:val="24"/>
        </w:rPr>
      </w:pPr>
    </w:p>
    <w:p w14:paraId="2629695E" w14:textId="77777777" w:rsidR="007E37A3" w:rsidRDefault="007E37A3" w:rsidP="007E37A3">
      <w:pPr>
        <w:tabs>
          <w:tab w:val="left" w:pos="567"/>
        </w:tabs>
        <w:autoSpaceDE w:val="0"/>
        <w:autoSpaceDN w:val="0"/>
        <w:adjustRightInd w:val="0"/>
        <w:spacing w:after="0" w:line="240" w:lineRule="auto"/>
        <w:rPr>
          <w:rFonts w:ascii="Times New Roman" w:hAnsi="Times New Roman"/>
        </w:rPr>
      </w:pPr>
      <w:r>
        <w:rPr>
          <w:rFonts w:ascii="Times New Roman" w:hAnsi="Times New Roman"/>
        </w:rPr>
        <w:t>SIA Ingen Pharma</w:t>
      </w:r>
    </w:p>
    <w:p w14:paraId="1DBBF824" w14:textId="77777777" w:rsidR="007E37A3" w:rsidRDefault="007E37A3" w:rsidP="007E37A3">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Kārļa Ulmaņa gatve 119, Mārupe </w:t>
      </w:r>
    </w:p>
    <w:p w14:paraId="4F2B515F"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LV-2167, Rīga</w:t>
      </w:r>
    </w:p>
    <w:p w14:paraId="4BDD909D"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Latvija</w:t>
      </w:r>
    </w:p>
    <w:p w14:paraId="0E01AE7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18F572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3109040"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55" w:name="_Toc129243248"/>
      <w:bookmarkStart w:id="56" w:name="_Toc129243123"/>
      <w:r>
        <w:rPr>
          <w:rFonts w:ascii="Times New Roman" w:eastAsia="Times New Roman" w:hAnsi="Times New Roman"/>
          <w:b/>
        </w:rPr>
        <w:t>8.</w:t>
      </w:r>
      <w:r>
        <w:rPr>
          <w:rFonts w:ascii="Times New Roman" w:eastAsia="Times New Roman" w:hAnsi="Times New Roman"/>
          <w:b/>
        </w:rPr>
        <w:tab/>
        <w:t>REGISTRACIJOS PAŽYMĖJIMO NUMERIS</w:t>
      </w:r>
      <w:bookmarkEnd w:id="55"/>
      <w:bookmarkEnd w:id="56"/>
      <w:r>
        <w:rPr>
          <w:rFonts w:ascii="Times New Roman" w:eastAsia="Times New Roman" w:hAnsi="Times New Roman"/>
          <w:b/>
        </w:rPr>
        <w:t xml:space="preserve"> (-IAI)</w:t>
      </w:r>
    </w:p>
    <w:p w14:paraId="4D7AA99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5C7C9A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LT/1/17/4154/002</w:t>
      </w:r>
    </w:p>
    <w:p w14:paraId="0C8F414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EC7997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A56E97A"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57" w:name="_Toc129243249"/>
      <w:bookmarkStart w:id="58" w:name="_Toc129243124"/>
      <w:r>
        <w:rPr>
          <w:rFonts w:ascii="Times New Roman" w:eastAsia="Times New Roman" w:hAnsi="Times New Roman"/>
          <w:b/>
        </w:rPr>
        <w:t>9.</w:t>
      </w:r>
      <w:r>
        <w:rPr>
          <w:rFonts w:ascii="Times New Roman" w:eastAsia="Times New Roman" w:hAnsi="Times New Roman"/>
          <w:b/>
        </w:rPr>
        <w:tab/>
        <w:t>REGISTRAVIMO / PERREGISTRAVIMO DATA</w:t>
      </w:r>
      <w:bookmarkEnd w:id="57"/>
      <w:bookmarkEnd w:id="58"/>
    </w:p>
    <w:p w14:paraId="7347F4B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A83F303" w14:textId="77777777" w:rsidR="007E37A3" w:rsidRDefault="007E37A3" w:rsidP="007E37A3">
      <w:pPr>
        <w:spacing w:after="0" w:line="240" w:lineRule="auto"/>
        <w:ind w:left="567" w:hanging="567"/>
        <w:rPr>
          <w:rFonts w:ascii="Times New Roman" w:hAnsi="Times New Roman"/>
        </w:rPr>
      </w:pPr>
      <w:r>
        <w:rPr>
          <w:rFonts w:ascii="Times New Roman" w:eastAsia="Arial Unicode MS" w:hAnsi="Times New Roman"/>
          <w:bCs/>
          <w:color w:val="000000"/>
        </w:rPr>
        <w:t xml:space="preserve">Registravimo data </w:t>
      </w:r>
      <w:r>
        <w:rPr>
          <w:rFonts w:ascii="Times New Roman" w:hAnsi="Times New Roman"/>
        </w:rPr>
        <w:t>2017 m. spalio 16 d.</w:t>
      </w:r>
    </w:p>
    <w:p w14:paraId="230E8E89" w14:textId="77777777" w:rsidR="007E37A3" w:rsidRDefault="007E37A3" w:rsidP="007E37A3">
      <w:pPr>
        <w:spacing w:after="0" w:line="240" w:lineRule="auto"/>
        <w:rPr>
          <w:rFonts w:ascii="Times New Roman" w:eastAsia="Times New Roman" w:hAnsi="Times New Roman"/>
          <w:snapToGrid w:val="0"/>
        </w:rPr>
      </w:pPr>
      <w:r>
        <w:rPr>
          <w:rFonts w:ascii="Times New Roman" w:eastAsia="Times New Roman" w:hAnsi="Times New Roman"/>
          <w:snapToGrid w:val="0"/>
        </w:rPr>
        <w:t>Paskutinio perregistravimo data 2023 m. sausio 5 d.</w:t>
      </w:r>
    </w:p>
    <w:p w14:paraId="007EEC7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041A09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0BB80A7"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59" w:name="_Toc129243250"/>
      <w:bookmarkStart w:id="60" w:name="_Toc129243125"/>
      <w:r>
        <w:rPr>
          <w:rFonts w:ascii="Times New Roman" w:eastAsia="Times New Roman" w:hAnsi="Times New Roman"/>
          <w:b/>
        </w:rPr>
        <w:t>10.</w:t>
      </w:r>
      <w:r>
        <w:rPr>
          <w:rFonts w:ascii="Times New Roman" w:eastAsia="Times New Roman" w:hAnsi="Times New Roman"/>
          <w:b/>
        </w:rPr>
        <w:tab/>
        <w:t>TEKSTO PERŽIŪROS DATA</w:t>
      </w:r>
      <w:bookmarkEnd w:id="59"/>
      <w:bookmarkEnd w:id="60"/>
    </w:p>
    <w:p w14:paraId="04434EF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4794D95" w14:textId="6B47A62D" w:rsidR="007E37A3" w:rsidRDefault="00CC2D9B" w:rsidP="007E37A3">
      <w:pPr>
        <w:tabs>
          <w:tab w:val="left" w:pos="426"/>
        </w:tabs>
        <w:spacing w:after="0" w:line="240" w:lineRule="auto"/>
        <w:rPr>
          <w:rFonts w:ascii="Times New Roman" w:hAnsi="Times New Roman"/>
        </w:rPr>
      </w:pPr>
      <w:r>
        <w:rPr>
          <w:rFonts w:ascii="Times New Roman" w:hAnsi="Times New Roman"/>
        </w:rPr>
        <w:t>2025 m. gruodžio 30 d.</w:t>
      </w:r>
    </w:p>
    <w:p w14:paraId="1C6A2EA5" w14:textId="77777777" w:rsidR="00CC2D9B" w:rsidRDefault="00CC2D9B" w:rsidP="007E37A3">
      <w:pPr>
        <w:tabs>
          <w:tab w:val="left" w:pos="426"/>
        </w:tabs>
        <w:spacing w:after="0" w:line="240" w:lineRule="auto"/>
        <w:rPr>
          <w:rFonts w:ascii="Times New Roman" w:eastAsia="Arial Unicode MS" w:hAnsi="Times New Roman"/>
          <w:bCs/>
          <w:color w:val="000000"/>
        </w:rPr>
      </w:pPr>
    </w:p>
    <w:p w14:paraId="26151ED7" w14:textId="42D0FECF" w:rsidR="007E37A3" w:rsidRPr="00CC2D9B" w:rsidRDefault="007E37A3" w:rsidP="00CC2D9B">
      <w:pPr>
        <w:tabs>
          <w:tab w:val="left" w:pos="426"/>
        </w:tabs>
        <w:spacing w:after="0" w:line="240" w:lineRule="auto"/>
        <w:rPr>
          <w:rFonts w:ascii="Times New Roman" w:hAnsi="Times New Roman"/>
          <w:color w:val="000000"/>
        </w:rPr>
      </w:pPr>
      <w:r>
        <w:rPr>
          <w:rFonts w:ascii="Times New Roman" w:eastAsia="Arial Unicode MS" w:hAnsi="Times New Roman"/>
          <w:bCs/>
          <w:color w:val="000000"/>
        </w:rPr>
        <w:t>Išsami informacija apie šį vaistinį preparatą pateikiama Valstybinės vaistų kontrolės tarnybos prie Lietuvos Respublikos  sveikatos apsaugos ministerijos tinklalapyje</w:t>
      </w:r>
      <w:r>
        <w:rPr>
          <w:rFonts w:ascii="Times New Roman" w:eastAsia="Arial Unicode MS" w:hAnsi="Times New Roman"/>
          <w:bCs/>
          <w:i/>
          <w:iCs/>
          <w:color w:val="000000"/>
        </w:rPr>
        <w:t xml:space="preserve"> </w:t>
      </w:r>
      <w:r w:rsidR="00FC481C" w:rsidRPr="00FC481C">
        <w:rPr>
          <w:rFonts w:ascii="Times New Roman" w:eastAsia="Arial Unicode MS" w:hAnsi="Times New Roman"/>
          <w:bCs/>
        </w:rPr>
        <w:t>https://vvkt.lrv.lt/lt/.</w:t>
      </w:r>
    </w:p>
    <w:p w14:paraId="134CEBCF" w14:textId="77777777" w:rsidR="007E37A3" w:rsidRPr="00CC2D9B" w:rsidRDefault="007E37A3" w:rsidP="00CC2D9B">
      <w:pPr>
        <w:tabs>
          <w:tab w:val="left" w:pos="426"/>
        </w:tabs>
        <w:spacing w:after="0" w:line="240" w:lineRule="auto"/>
        <w:rPr>
          <w:rFonts w:ascii="Times New Roman" w:hAnsi="Times New Roman"/>
          <w:color w:val="000000"/>
        </w:rPr>
      </w:pPr>
    </w:p>
    <w:p w14:paraId="08FF258A" w14:textId="77777777" w:rsidR="007E37A3" w:rsidRPr="00CC2D9B" w:rsidRDefault="007E37A3" w:rsidP="00CC2D9B">
      <w:pPr>
        <w:tabs>
          <w:tab w:val="left" w:pos="426"/>
        </w:tabs>
        <w:spacing w:after="0" w:line="240" w:lineRule="auto"/>
        <w:rPr>
          <w:rFonts w:ascii="Times New Roman" w:hAnsi="Times New Roman"/>
          <w:color w:val="000000"/>
        </w:rPr>
      </w:pPr>
    </w:p>
    <w:p w14:paraId="3F4FE198" w14:textId="77777777" w:rsidR="007E37A3" w:rsidRPr="00CC2D9B" w:rsidRDefault="007E37A3" w:rsidP="00CC2D9B">
      <w:pPr>
        <w:tabs>
          <w:tab w:val="left" w:pos="426"/>
        </w:tabs>
        <w:spacing w:after="0" w:line="240" w:lineRule="auto"/>
        <w:rPr>
          <w:rFonts w:ascii="Times New Roman" w:hAnsi="Times New Roman"/>
          <w:color w:val="000000"/>
        </w:rPr>
      </w:pPr>
    </w:p>
    <w:p w14:paraId="768E627A" w14:textId="77777777" w:rsidR="007E37A3" w:rsidRPr="00CC2D9B" w:rsidRDefault="007E37A3" w:rsidP="00CC2D9B">
      <w:pPr>
        <w:tabs>
          <w:tab w:val="left" w:pos="426"/>
        </w:tabs>
        <w:spacing w:after="0" w:line="240" w:lineRule="auto"/>
        <w:rPr>
          <w:rFonts w:ascii="Times New Roman" w:hAnsi="Times New Roman"/>
          <w:color w:val="000000"/>
        </w:rPr>
      </w:pPr>
    </w:p>
    <w:p w14:paraId="4F64CF7D" w14:textId="77777777" w:rsidR="007E37A3" w:rsidRPr="00CC2D9B" w:rsidRDefault="007E37A3" w:rsidP="00CC2D9B">
      <w:pPr>
        <w:tabs>
          <w:tab w:val="left" w:pos="426"/>
        </w:tabs>
        <w:spacing w:after="0" w:line="240" w:lineRule="auto"/>
        <w:rPr>
          <w:rFonts w:ascii="Times New Roman" w:hAnsi="Times New Roman"/>
          <w:color w:val="000000"/>
        </w:rPr>
      </w:pPr>
    </w:p>
    <w:p w14:paraId="6978E146" w14:textId="77777777" w:rsidR="007E37A3" w:rsidRPr="00CC2D9B" w:rsidRDefault="007E37A3" w:rsidP="00CC2D9B">
      <w:pPr>
        <w:tabs>
          <w:tab w:val="left" w:pos="426"/>
        </w:tabs>
        <w:spacing w:after="0" w:line="240" w:lineRule="auto"/>
        <w:rPr>
          <w:rFonts w:ascii="Times New Roman" w:hAnsi="Times New Roman"/>
          <w:color w:val="000000"/>
        </w:rPr>
      </w:pPr>
    </w:p>
    <w:p w14:paraId="5D6725BA" w14:textId="77777777" w:rsidR="007E37A3" w:rsidRPr="00CC2D9B" w:rsidRDefault="007E37A3" w:rsidP="00CC2D9B">
      <w:pPr>
        <w:tabs>
          <w:tab w:val="left" w:pos="426"/>
        </w:tabs>
        <w:spacing w:after="0" w:line="240" w:lineRule="auto"/>
        <w:rPr>
          <w:rFonts w:ascii="Times New Roman" w:hAnsi="Times New Roman"/>
          <w:color w:val="000000"/>
        </w:rPr>
      </w:pPr>
    </w:p>
    <w:p w14:paraId="591F2E9B" w14:textId="77777777" w:rsidR="007E37A3" w:rsidRPr="00CC2D9B" w:rsidRDefault="007E37A3" w:rsidP="00CC2D9B">
      <w:pPr>
        <w:tabs>
          <w:tab w:val="left" w:pos="426"/>
        </w:tabs>
        <w:spacing w:after="0" w:line="240" w:lineRule="auto"/>
        <w:rPr>
          <w:rFonts w:ascii="Times New Roman" w:hAnsi="Times New Roman"/>
          <w:color w:val="000000"/>
        </w:rPr>
      </w:pPr>
    </w:p>
    <w:p w14:paraId="1C4BC894" w14:textId="77777777" w:rsidR="007E37A3" w:rsidRPr="00CC2D9B" w:rsidRDefault="007E37A3" w:rsidP="00CC2D9B">
      <w:pPr>
        <w:tabs>
          <w:tab w:val="left" w:pos="426"/>
        </w:tabs>
        <w:spacing w:after="0" w:line="240" w:lineRule="auto"/>
        <w:rPr>
          <w:rFonts w:ascii="Times New Roman" w:hAnsi="Times New Roman"/>
          <w:color w:val="000000"/>
        </w:rPr>
      </w:pPr>
    </w:p>
    <w:p w14:paraId="225A8832" w14:textId="77777777" w:rsidR="007E37A3" w:rsidRPr="00CC2D9B" w:rsidRDefault="007E37A3" w:rsidP="00CC2D9B">
      <w:pPr>
        <w:tabs>
          <w:tab w:val="left" w:pos="426"/>
        </w:tabs>
        <w:spacing w:after="0" w:line="240" w:lineRule="auto"/>
        <w:rPr>
          <w:rFonts w:ascii="Times New Roman" w:hAnsi="Times New Roman"/>
          <w:color w:val="000000"/>
        </w:rPr>
      </w:pPr>
    </w:p>
    <w:p w14:paraId="0627A302"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bookmarkStart w:id="61" w:name="_Toc129243253"/>
      <w:bookmarkStart w:id="62" w:name="_Toc129243128"/>
    </w:p>
    <w:p w14:paraId="39A54A16"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1517F6FA"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536A8526"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3882E2B7"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10404D24"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0DDC1C92"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5040D33F"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61F4F94B"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0E0C912F"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132A70DF"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5E38E8B6"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5644273F"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69D56C59"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16F8A3A5"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40AE1DCA"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54892622"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156A27AA"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6D8EA765"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0CFF8723"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2F18EF3E" w14:textId="77777777" w:rsidR="00615977" w:rsidRDefault="00615977" w:rsidP="007E37A3">
      <w:pPr>
        <w:tabs>
          <w:tab w:val="left" w:pos="567"/>
        </w:tabs>
        <w:spacing w:after="0" w:line="240" w:lineRule="auto"/>
        <w:ind w:left="567" w:hanging="567"/>
        <w:jc w:val="center"/>
        <w:outlineLvl w:val="0"/>
        <w:rPr>
          <w:rFonts w:ascii="Times New Roman" w:eastAsia="Times New Roman" w:hAnsi="Times New Roman"/>
          <w:b/>
          <w:caps/>
        </w:rPr>
      </w:pPr>
    </w:p>
    <w:p w14:paraId="6E181023" w14:textId="77777777" w:rsidR="00CE5406" w:rsidRDefault="00CE5406" w:rsidP="007E37A3">
      <w:pPr>
        <w:tabs>
          <w:tab w:val="left" w:pos="567"/>
        </w:tabs>
        <w:spacing w:after="0" w:line="240" w:lineRule="auto"/>
        <w:ind w:left="567" w:hanging="567"/>
        <w:jc w:val="center"/>
        <w:outlineLvl w:val="0"/>
        <w:rPr>
          <w:rFonts w:ascii="Times New Roman" w:eastAsia="Times New Roman" w:hAnsi="Times New Roman"/>
          <w:b/>
          <w:caps/>
        </w:rPr>
      </w:pPr>
    </w:p>
    <w:p w14:paraId="3BA723BC" w14:textId="77777777" w:rsidR="00CE5406" w:rsidRDefault="00CE5406" w:rsidP="007E37A3">
      <w:pPr>
        <w:tabs>
          <w:tab w:val="left" w:pos="567"/>
        </w:tabs>
        <w:spacing w:after="0" w:line="240" w:lineRule="auto"/>
        <w:ind w:left="567" w:hanging="567"/>
        <w:jc w:val="center"/>
        <w:outlineLvl w:val="0"/>
        <w:rPr>
          <w:rFonts w:ascii="Times New Roman" w:eastAsia="Times New Roman" w:hAnsi="Times New Roman"/>
          <w:b/>
          <w:caps/>
        </w:rPr>
      </w:pPr>
    </w:p>
    <w:p w14:paraId="496B4652"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40EA98F4"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6340E57A"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47C0A591"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4567375B"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1CC1A565"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3B8D7145"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5E1A82C6"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406BE8F7" w14:textId="77777777" w:rsidR="0042220F" w:rsidRDefault="0042220F" w:rsidP="007E37A3">
      <w:pPr>
        <w:tabs>
          <w:tab w:val="left" w:pos="567"/>
        </w:tabs>
        <w:spacing w:after="0" w:line="240" w:lineRule="auto"/>
        <w:ind w:left="567" w:hanging="567"/>
        <w:jc w:val="center"/>
        <w:outlineLvl w:val="0"/>
        <w:rPr>
          <w:rFonts w:ascii="Times New Roman" w:eastAsia="Times New Roman" w:hAnsi="Times New Roman"/>
          <w:b/>
          <w:caps/>
        </w:rPr>
      </w:pPr>
    </w:p>
    <w:p w14:paraId="615C63FB" w14:textId="3A17DC51"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II PRIEDAS</w:t>
      </w:r>
      <w:bookmarkEnd w:id="61"/>
      <w:bookmarkEnd w:id="62"/>
    </w:p>
    <w:p w14:paraId="30747884"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7F401BBE"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REGISTRACIJOS SĄLYGOS</w:t>
      </w:r>
    </w:p>
    <w:p w14:paraId="5975464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315EE2F" w14:textId="77777777" w:rsidR="007E37A3" w:rsidRDefault="007E37A3" w:rsidP="007E37A3">
      <w:pPr>
        <w:tabs>
          <w:tab w:val="left" w:pos="1701"/>
        </w:tabs>
        <w:spacing w:after="0" w:line="240" w:lineRule="auto"/>
        <w:ind w:left="1701" w:hanging="567"/>
        <w:rPr>
          <w:rFonts w:ascii="Times New Roman" w:eastAsia="Times New Roman" w:hAnsi="Times New Roman" w:cs="Tahoma"/>
          <w:b/>
          <w:highlight w:val="yellow"/>
        </w:rPr>
      </w:pPr>
      <w:r>
        <w:rPr>
          <w:rFonts w:ascii="Times New Roman" w:eastAsia="Times New Roman" w:hAnsi="Times New Roman" w:cs="Tahoma"/>
          <w:b/>
        </w:rPr>
        <w:t>A.</w:t>
      </w:r>
      <w:r>
        <w:rPr>
          <w:rFonts w:ascii="Times New Roman" w:eastAsia="Times New Roman" w:hAnsi="Times New Roman" w:cs="Tahoma"/>
          <w:b/>
        </w:rPr>
        <w:tab/>
        <w:t>GAMINTOJAS (-AI), ATSAKINGAS (-I) UŽ SERIJŲ IŠLEIDIMĄ</w:t>
      </w:r>
    </w:p>
    <w:p w14:paraId="7B5F331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E39395B" w14:textId="77777777" w:rsidR="007E37A3" w:rsidRDefault="007E37A3" w:rsidP="007E37A3">
      <w:pPr>
        <w:tabs>
          <w:tab w:val="left" w:pos="1701"/>
        </w:tabs>
        <w:spacing w:after="0" w:line="240" w:lineRule="auto"/>
        <w:ind w:left="1701" w:hanging="567"/>
        <w:rPr>
          <w:rFonts w:ascii="Times New Roman" w:eastAsia="Times New Roman" w:hAnsi="Times New Roman" w:cs="Tahoma"/>
          <w:b/>
        </w:rPr>
      </w:pPr>
      <w:r>
        <w:rPr>
          <w:rFonts w:ascii="Times New Roman" w:eastAsia="Times New Roman" w:hAnsi="Times New Roman" w:cs="Tahoma"/>
          <w:b/>
        </w:rPr>
        <w:t>B.</w:t>
      </w:r>
      <w:r>
        <w:rPr>
          <w:rFonts w:ascii="Times New Roman" w:eastAsia="Times New Roman" w:hAnsi="Times New Roman" w:cs="Tahoma"/>
          <w:b/>
        </w:rPr>
        <w:tab/>
        <w:t>TIEKIMO IR VARTOJIMO SĄLYGOS AR APRIBOJIMAI</w:t>
      </w:r>
    </w:p>
    <w:p w14:paraId="445A23A9" w14:textId="77777777" w:rsidR="007E37A3" w:rsidRDefault="007E37A3" w:rsidP="007E37A3">
      <w:pPr>
        <w:tabs>
          <w:tab w:val="left" w:pos="1701"/>
        </w:tabs>
        <w:spacing w:after="0" w:line="240" w:lineRule="auto"/>
        <w:ind w:left="1701" w:hanging="567"/>
        <w:rPr>
          <w:rFonts w:ascii="Times New Roman" w:eastAsia="Times New Roman" w:hAnsi="Times New Roman" w:cs="Tahoma"/>
          <w:b/>
        </w:rPr>
      </w:pPr>
    </w:p>
    <w:p w14:paraId="5116EECC" w14:textId="77777777" w:rsidR="007E37A3" w:rsidRDefault="007E37A3" w:rsidP="007E37A3">
      <w:pPr>
        <w:tabs>
          <w:tab w:val="left" w:pos="1701"/>
        </w:tabs>
        <w:spacing w:after="0" w:line="240" w:lineRule="auto"/>
        <w:ind w:left="1701" w:hanging="567"/>
        <w:rPr>
          <w:rFonts w:ascii="Times New Roman" w:eastAsia="Times New Roman" w:hAnsi="Times New Roman" w:cs="Tahoma"/>
          <w:b/>
        </w:rPr>
      </w:pPr>
    </w:p>
    <w:p w14:paraId="77D3F13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8DA5E92" w14:textId="77777777" w:rsidR="007E37A3" w:rsidRDefault="007E37A3" w:rsidP="007E37A3">
      <w:pPr>
        <w:tabs>
          <w:tab w:val="left" w:pos="1701"/>
        </w:tabs>
        <w:spacing w:after="0" w:line="240" w:lineRule="auto"/>
        <w:ind w:left="1701" w:hanging="567"/>
        <w:rPr>
          <w:rFonts w:ascii="Times New Roman" w:eastAsia="Times New Roman" w:hAnsi="Times New Roman" w:cs="Tahoma"/>
          <w:b/>
        </w:rPr>
      </w:pPr>
    </w:p>
    <w:p w14:paraId="0C6ABD84"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14:paraId="75F5267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8D0FE2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u w:val="single"/>
        </w:rPr>
        <w:t>Gamintojo (-ų), atsakingo (-ų) už serijų išleidimą, pavadinimas (-ai) ir adresas (-ai)</w:t>
      </w:r>
    </w:p>
    <w:p w14:paraId="64B2885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026371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Toll Manufacturing Services, S.L.</w:t>
      </w:r>
    </w:p>
    <w:p w14:paraId="451C6F5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c/Aragoneses, 2</w:t>
      </w:r>
    </w:p>
    <w:p w14:paraId="6EE8D58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28108 Madrid, </w:t>
      </w:r>
    </w:p>
    <w:p w14:paraId="7554128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35579C5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D155A3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arba</w:t>
      </w:r>
    </w:p>
    <w:p w14:paraId="3733F5E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F6DA90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Kern Pharma, S.L.</w:t>
      </w:r>
    </w:p>
    <w:p w14:paraId="0CF9A8D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Pol. Ind. Colon II, C/Venus, 72</w:t>
      </w:r>
    </w:p>
    <w:p w14:paraId="60CFF8C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08228 Terrasa</w:t>
      </w:r>
    </w:p>
    <w:p w14:paraId="2587E9F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(Barcelona) Ispanija</w:t>
      </w:r>
    </w:p>
    <w:p w14:paraId="6A27BCB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17F885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arba</w:t>
      </w:r>
    </w:p>
    <w:p w14:paraId="649ED6A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C9DF5C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Laboratorios Medicamentos Internacionales, S.A.</w:t>
      </w:r>
    </w:p>
    <w:p w14:paraId="12EB7C3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C/Solana 26, Torrejon de Ardoz,</w:t>
      </w:r>
    </w:p>
    <w:p w14:paraId="6F09DD9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28850 Madrid</w:t>
      </w:r>
    </w:p>
    <w:p w14:paraId="6885E05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5DC51D12" w14:textId="77777777" w:rsidR="00426CEE" w:rsidRDefault="00426CEE" w:rsidP="007E37A3">
      <w:pPr>
        <w:tabs>
          <w:tab w:val="left" w:pos="426"/>
        </w:tabs>
        <w:spacing w:after="0" w:line="240" w:lineRule="auto"/>
        <w:rPr>
          <w:rFonts w:ascii="Times New Roman" w:eastAsia="Arial Unicode MS" w:hAnsi="Times New Roman"/>
          <w:bCs/>
          <w:color w:val="000000"/>
        </w:rPr>
      </w:pPr>
    </w:p>
    <w:p w14:paraId="20785F27" w14:textId="1E58C335" w:rsidR="00426CEE" w:rsidRDefault="00426CEE"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arba</w:t>
      </w:r>
    </w:p>
    <w:p w14:paraId="25511513" w14:textId="77777777" w:rsidR="00426CEE" w:rsidRDefault="00426CEE" w:rsidP="007E37A3">
      <w:pPr>
        <w:tabs>
          <w:tab w:val="left" w:pos="426"/>
        </w:tabs>
        <w:spacing w:after="0" w:line="240" w:lineRule="auto"/>
        <w:rPr>
          <w:rFonts w:ascii="Times New Roman" w:eastAsia="Arial Unicode MS" w:hAnsi="Times New Roman"/>
          <w:bCs/>
          <w:color w:val="000000"/>
        </w:rPr>
      </w:pPr>
    </w:p>
    <w:p w14:paraId="62E197C7" w14:textId="37FCF8CE" w:rsidR="00426CEE" w:rsidRDefault="00426CEE"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Farmalider, S.A.</w:t>
      </w:r>
    </w:p>
    <w:p w14:paraId="4750FC4A" w14:textId="098913EF" w:rsidR="00426CEE" w:rsidRPr="00426CEE" w:rsidRDefault="00426CEE" w:rsidP="00426CEE">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w:t>
      </w:r>
      <w:r w:rsidRPr="00426CEE">
        <w:rPr>
          <w:rFonts w:ascii="Times New Roman" w:eastAsia="Arial Unicode MS" w:hAnsi="Times New Roman"/>
          <w:bCs/>
          <w:color w:val="000000"/>
        </w:rPr>
        <w:t>/Aragoneses Nº2</w:t>
      </w:r>
    </w:p>
    <w:p w14:paraId="7096021F" w14:textId="77777777" w:rsidR="00426CEE" w:rsidRDefault="00426CEE" w:rsidP="00426CEE">
      <w:pPr>
        <w:tabs>
          <w:tab w:val="left" w:pos="426"/>
        </w:tabs>
        <w:spacing w:after="0" w:line="240" w:lineRule="auto"/>
        <w:rPr>
          <w:rFonts w:ascii="Times New Roman" w:eastAsia="Arial Unicode MS" w:hAnsi="Times New Roman"/>
          <w:bCs/>
          <w:color w:val="000000"/>
        </w:rPr>
      </w:pPr>
      <w:r w:rsidRPr="00426CEE">
        <w:rPr>
          <w:rFonts w:ascii="Times New Roman" w:eastAsia="Arial Unicode MS" w:hAnsi="Times New Roman"/>
          <w:bCs/>
          <w:color w:val="000000"/>
        </w:rPr>
        <w:t xml:space="preserve">Alcobendas </w:t>
      </w:r>
    </w:p>
    <w:p w14:paraId="61870E36" w14:textId="705A33B6" w:rsidR="00426CEE" w:rsidRDefault="00426CEE" w:rsidP="00426CEE">
      <w:pPr>
        <w:tabs>
          <w:tab w:val="left" w:pos="426"/>
        </w:tabs>
        <w:spacing w:after="0" w:line="240" w:lineRule="auto"/>
        <w:rPr>
          <w:rFonts w:ascii="Times New Roman" w:eastAsia="Arial Unicode MS" w:hAnsi="Times New Roman"/>
          <w:bCs/>
          <w:color w:val="000000"/>
        </w:rPr>
      </w:pPr>
      <w:r w:rsidRPr="00426CEE">
        <w:rPr>
          <w:rFonts w:ascii="Times New Roman" w:eastAsia="Arial Unicode MS" w:hAnsi="Times New Roman"/>
          <w:bCs/>
          <w:color w:val="000000"/>
        </w:rPr>
        <w:t>28108 Madrid</w:t>
      </w:r>
    </w:p>
    <w:p w14:paraId="6A114035" w14:textId="12BD5D61" w:rsidR="00426CEE" w:rsidRDefault="00426CEE" w:rsidP="00426CEE">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72FD1DC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36C853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Su pakuote pateikiamame lapelyje nurodomas gamintojo, atsakingo už konkrečios serijos išleidimą, pavadinimas ir adresas.</w:t>
      </w:r>
    </w:p>
    <w:p w14:paraId="254000C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36A8BC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9809DE4"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63" w:name="_Toc129243254"/>
      <w:bookmarkStart w:id="64" w:name="_Toc129243129"/>
      <w:r>
        <w:rPr>
          <w:rFonts w:ascii="Times New Roman" w:eastAsia="Times New Roman" w:hAnsi="Times New Roman"/>
          <w:b/>
        </w:rPr>
        <w:t>B.</w:t>
      </w:r>
      <w:r>
        <w:rPr>
          <w:rFonts w:ascii="Times New Roman" w:eastAsia="Times New Roman" w:hAnsi="Times New Roman"/>
          <w:b/>
        </w:rPr>
        <w:tab/>
        <w:t>TIEKIMO IR VARTOJIMO SĄLYGOS AR APRIBOJIMAI</w:t>
      </w:r>
      <w:bookmarkEnd w:id="63"/>
      <w:bookmarkEnd w:id="64"/>
    </w:p>
    <w:p w14:paraId="66361CC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4FBD0A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Receptinis vaistinis preparatas.</w:t>
      </w:r>
    </w:p>
    <w:p w14:paraId="0B81150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21160E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FBF34D8" w14:textId="77777777" w:rsidR="007E37A3" w:rsidRDefault="007E37A3" w:rsidP="007E37A3">
      <w:pPr>
        <w:spacing w:after="0" w:line="240" w:lineRule="auto"/>
        <w:rPr>
          <w:rFonts w:ascii="Times New Roman" w:eastAsia="Times New Roman" w:hAnsi="Times New Roman"/>
          <w:b/>
          <w:szCs w:val="20"/>
          <w:lang w:eastAsia="lt-LT"/>
        </w:rPr>
      </w:pPr>
    </w:p>
    <w:p w14:paraId="055AFB7E" w14:textId="77777777" w:rsidR="007E37A3" w:rsidRDefault="007E37A3" w:rsidP="007E37A3">
      <w:pPr>
        <w:spacing w:after="0" w:line="240" w:lineRule="auto"/>
        <w:jc w:val="center"/>
        <w:rPr>
          <w:rFonts w:ascii="Times New Roman" w:eastAsia="Times New Roman" w:hAnsi="Times New Roman"/>
          <w:b/>
          <w:szCs w:val="24"/>
        </w:rPr>
      </w:pPr>
    </w:p>
    <w:p w14:paraId="0E6ECD05" w14:textId="77777777" w:rsidR="007E37A3" w:rsidRDefault="007E37A3" w:rsidP="007E37A3">
      <w:pPr>
        <w:spacing w:after="0" w:line="240" w:lineRule="auto"/>
        <w:jc w:val="center"/>
        <w:rPr>
          <w:rFonts w:ascii="Times New Roman" w:eastAsia="Times New Roman" w:hAnsi="Times New Roman"/>
          <w:b/>
          <w:szCs w:val="24"/>
        </w:rPr>
      </w:pPr>
    </w:p>
    <w:p w14:paraId="4BBBEDCA" w14:textId="77777777" w:rsidR="007E37A3" w:rsidRDefault="007E37A3" w:rsidP="007E37A3">
      <w:pPr>
        <w:spacing w:after="0" w:line="240" w:lineRule="auto"/>
        <w:jc w:val="center"/>
        <w:rPr>
          <w:rFonts w:ascii="Times New Roman" w:eastAsia="Times New Roman" w:hAnsi="Times New Roman"/>
          <w:b/>
          <w:szCs w:val="24"/>
        </w:rPr>
      </w:pPr>
    </w:p>
    <w:p w14:paraId="039E4856" w14:textId="77777777" w:rsidR="007E37A3" w:rsidRDefault="007E37A3" w:rsidP="007E37A3">
      <w:pPr>
        <w:spacing w:after="0" w:line="240" w:lineRule="auto"/>
        <w:jc w:val="center"/>
        <w:rPr>
          <w:rFonts w:ascii="Times New Roman" w:eastAsia="Times New Roman" w:hAnsi="Times New Roman"/>
          <w:b/>
          <w:szCs w:val="24"/>
        </w:rPr>
      </w:pPr>
    </w:p>
    <w:p w14:paraId="6A49B892" w14:textId="77777777" w:rsidR="007E37A3" w:rsidRDefault="007E37A3" w:rsidP="007E37A3">
      <w:pPr>
        <w:spacing w:after="0" w:line="240" w:lineRule="auto"/>
        <w:jc w:val="center"/>
        <w:rPr>
          <w:rFonts w:ascii="Times New Roman" w:eastAsia="Times New Roman" w:hAnsi="Times New Roman"/>
          <w:b/>
          <w:szCs w:val="24"/>
        </w:rPr>
      </w:pPr>
    </w:p>
    <w:p w14:paraId="293AB51F" w14:textId="77777777" w:rsidR="007E37A3" w:rsidRDefault="007E37A3" w:rsidP="007E37A3">
      <w:pPr>
        <w:spacing w:after="0" w:line="240" w:lineRule="auto"/>
        <w:jc w:val="center"/>
        <w:rPr>
          <w:rFonts w:ascii="Times New Roman" w:eastAsia="Times New Roman" w:hAnsi="Times New Roman"/>
          <w:b/>
          <w:szCs w:val="24"/>
        </w:rPr>
      </w:pPr>
    </w:p>
    <w:p w14:paraId="4C43384F" w14:textId="77777777" w:rsidR="007E37A3" w:rsidRDefault="007E37A3" w:rsidP="007E37A3">
      <w:pPr>
        <w:spacing w:after="0" w:line="240" w:lineRule="auto"/>
        <w:jc w:val="center"/>
        <w:rPr>
          <w:rFonts w:ascii="Times New Roman" w:eastAsia="Times New Roman" w:hAnsi="Times New Roman"/>
          <w:b/>
          <w:szCs w:val="24"/>
        </w:rPr>
      </w:pPr>
    </w:p>
    <w:p w14:paraId="49D40491" w14:textId="77777777" w:rsidR="007E37A3" w:rsidRDefault="007E37A3" w:rsidP="007E37A3">
      <w:pPr>
        <w:spacing w:after="0" w:line="240" w:lineRule="auto"/>
        <w:jc w:val="center"/>
        <w:rPr>
          <w:rFonts w:ascii="Times New Roman" w:eastAsia="Times New Roman" w:hAnsi="Times New Roman"/>
          <w:b/>
          <w:szCs w:val="24"/>
        </w:rPr>
      </w:pPr>
    </w:p>
    <w:p w14:paraId="65C00EA8" w14:textId="77777777" w:rsidR="007E37A3" w:rsidRDefault="007E37A3" w:rsidP="007E37A3">
      <w:pPr>
        <w:spacing w:after="0" w:line="240" w:lineRule="auto"/>
        <w:jc w:val="center"/>
        <w:rPr>
          <w:rFonts w:ascii="Times New Roman" w:eastAsia="Times New Roman" w:hAnsi="Times New Roman"/>
          <w:b/>
          <w:szCs w:val="24"/>
        </w:rPr>
      </w:pPr>
    </w:p>
    <w:p w14:paraId="13FF3706" w14:textId="77777777" w:rsidR="007E37A3" w:rsidRDefault="007E37A3" w:rsidP="007E37A3">
      <w:pPr>
        <w:spacing w:after="0" w:line="240" w:lineRule="auto"/>
        <w:jc w:val="center"/>
        <w:rPr>
          <w:rFonts w:ascii="Times New Roman" w:eastAsia="Times New Roman" w:hAnsi="Times New Roman"/>
          <w:b/>
          <w:szCs w:val="24"/>
        </w:rPr>
      </w:pPr>
    </w:p>
    <w:p w14:paraId="40EE9B8D" w14:textId="77777777" w:rsidR="007E37A3" w:rsidRDefault="007E37A3" w:rsidP="007E37A3">
      <w:pPr>
        <w:spacing w:after="0" w:line="240" w:lineRule="auto"/>
        <w:jc w:val="center"/>
        <w:rPr>
          <w:rFonts w:ascii="Times New Roman" w:eastAsia="Times New Roman" w:hAnsi="Times New Roman"/>
          <w:b/>
          <w:szCs w:val="24"/>
        </w:rPr>
      </w:pPr>
    </w:p>
    <w:p w14:paraId="1CD236CF" w14:textId="77777777" w:rsidR="007E37A3" w:rsidRDefault="007E37A3" w:rsidP="007E37A3">
      <w:pPr>
        <w:spacing w:after="0" w:line="240" w:lineRule="auto"/>
        <w:jc w:val="center"/>
        <w:rPr>
          <w:rFonts w:ascii="Times New Roman" w:eastAsia="Times New Roman" w:hAnsi="Times New Roman"/>
          <w:b/>
          <w:szCs w:val="24"/>
        </w:rPr>
      </w:pPr>
    </w:p>
    <w:p w14:paraId="478D5AB9" w14:textId="77777777" w:rsidR="007E37A3" w:rsidRDefault="007E37A3" w:rsidP="007E37A3">
      <w:pPr>
        <w:spacing w:after="0" w:line="240" w:lineRule="auto"/>
        <w:jc w:val="center"/>
        <w:rPr>
          <w:rFonts w:ascii="Times New Roman" w:eastAsia="Times New Roman" w:hAnsi="Times New Roman"/>
          <w:b/>
          <w:szCs w:val="24"/>
        </w:rPr>
      </w:pPr>
    </w:p>
    <w:p w14:paraId="14DE358A" w14:textId="77777777" w:rsidR="007E37A3" w:rsidRDefault="007E37A3" w:rsidP="007E37A3">
      <w:pPr>
        <w:spacing w:after="0" w:line="240" w:lineRule="auto"/>
        <w:jc w:val="center"/>
        <w:rPr>
          <w:rFonts w:ascii="Times New Roman" w:eastAsia="Times New Roman" w:hAnsi="Times New Roman"/>
          <w:b/>
          <w:szCs w:val="24"/>
        </w:rPr>
      </w:pPr>
    </w:p>
    <w:p w14:paraId="2BB8A9CE" w14:textId="77777777" w:rsidR="007E37A3" w:rsidRDefault="007E37A3" w:rsidP="007E37A3">
      <w:pPr>
        <w:spacing w:after="0" w:line="240" w:lineRule="auto"/>
        <w:jc w:val="center"/>
        <w:rPr>
          <w:rFonts w:ascii="Times New Roman" w:eastAsia="Times New Roman" w:hAnsi="Times New Roman"/>
          <w:b/>
          <w:szCs w:val="24"/>
        </w:rPr>
      </w:pPr>
    </w:p>
    <w:p w14:paraId="6656FFED" w14:textId="77777777" w:rsidR="007E37A3" w:rsidRDefault="007E37A3" w:rsidP="007E37A3">
      <w:pPr>
        <w:spacing w:after="0" w:line="240" w:lineRule="auto"/>
        <w:jc w:val="center"/>
        <w:rPr>
          <w:rFonts w:ascii="Times New Roman" w:eastAsia="Times New Roman" w:hAnsi="Times New Roman"/>
          <w:b/>
          <w:szCs w:val="24"/>
        </w:rPr>
      </w:pPr>
    </w:p>
    <w:p w14:paraId="32A51ADD" w14:textId="77777777" w:rsidR="007E37A3" w:rsidRDefault="007E37A3" w:rsidP="007E37A3">
      <w:pPr>
        <w:spacing w:after="0" w:line="240" w:lineRule="auto"/>
        <w:jc w:val="center"/>
        <w:rPr>
          <w:rFonts w:ascii="Times New Roman" w:eastAsia="Times New Roman" w:hAnsi="Times New Roman"/>
          <w:b/>
          <w:szCs w:val="24"/>
        </w:rPr>
      </w:pPr>
    </w:p>
    <w:p w14:paraId="03045C1E" w14:textId="77777777" w:rsidR="007E37A3" w:rsidRDefault="007E37A3" w:rsidP="007E37A3">
      <w:pPr>
        <w:spacing w:after="0" w:line="240" w:lineRule="auto"/>
        <w:jc w:val="center"/>
        <w:rPr>
          <w:rFonts w:ascii="Times New Roman" w:eastAsia="Times New Roman" w:hAnsi="Times New Roman"/>
          <w:b/>
          <w:szCs w:val="24"/>
        </w:rPr>
      </w:pPr>
    </w:p>
    <w:p w14:paraId="594E977B" w14:textId="77777777" w:rsidR="007E37A3" w:rsidRDefault="007E37A3" w:rsidP="007E37A3">
      <w:pPr>
        <w:spacing w:after="0" w:line="240" w:lineRule="auto"/>
        <w:jc w:val="center"/>
        <w:rPr>
          <w:rFonts w:ascii="Times New Roman" w:eastAsia="Times New Roman" w:hAnsi="Times New Roman"/>
          <w:b/>
          <w:szCs w:val="24"/>
        </w:rPr>
      </w:pPr>
    </w:p>
    <w:p w14:paraId="37162673" w14:textId="77777777" w:rsidR="007E37A3" w:rsidRDefault="007E37A3" w:rsidP="007E37A3">
      <w:pPr>
        <w:spacing w:after="0" w:line="240" w:lineRule="auto"/>
        <w:jc w:val="center"/>
        <w:rPr>
          <w:rFonts w:ascii="Times New Roman" w:eastAsia="Times New Roman" w:hAnsi="Times New Roman"/>
          <w:b/>
          <w:szCs w:val="24"/>
        </w:rPr>
      </w:pPr>
    </w:p>
    <w:p w14:paraId="67CDCF4F" w14:textId="77777777" w:rsidR="007E37A3" w:rsidRDefault="007E37A3" w:rsidP="007E37A3">
      <w:pPr>
        <w:spacing w:after="0" w:line="240" w:lineRule="auto"/>
        <w:jc w:val="center"/>
        <w:rPr>
          <w:rFonts w:ascii="Times New Roman" w:eastAsia="Times New Roman" w:hAnsi="Times New Roman"/>
          <w:b/>
          <w:szCs w:val="24"/>
        </w:rPr>
      </w:pPr>
    </w:p>
    <w:p w14:paraId="5D96F91E" w14:textId="77777777" w:rsidR="007E37A3" w:rsidRDefault="007E37A3" w:rsidP="007E37A3">
      <w:pPr>
        <w:spacing w:after="0" w:line="240" w:lineRule="auto"/>
        <w:jc w:val="center"/>
        <w:rPr>
          <w:rFonts w:ascii="Times New Roman" w:eastAsia="Times New Roman" w:hAnsi="Times New Roman"/>
          <w:b/>
          <w:szCs w:val="24"/>
        </w:rPr>
      </w:pPr>
    </w:p>
    <w:p w14:paraId="03DFD190" w14:textId="77777777" w:rsidR="007E37A3" w:rsidRDefault="007E37A3" w:rsidP="007E37A3">
      <w:pPr>
        <w:spacing w:after="0" w:line="240" w:lineRule="auto"/>
        <w:jc w:val="center"/>
        <w:rPr>
          <w:rFonts w:ascii="Times New Roman" w:eastAsia="Times New Roman" w:hAnsi="Times New Roman"/>
          <w:b/>
          <w:szCs w:val="24"/>
        </w:rPr>
      </w:pPr>
    </w:p>
    <w:p w14:paraId="3C7736BD" w14:textId="77777777" w:rsidR="007E37A3" w:rsidRDefault="007E37A3" w:rsidP="007E37A3">
      <w:pPr>
        <w:spacing w:after="0" w:line="240" w:lineRule="auto"/>
        <w:jc w:val="center"/>
        <w:rPr>
          <w:rFonts w:ascii="Times New Roman" w:eastAsia="Times New Roman" w:hAnsi="Times New Roman"/>
          <w:b/>
          <w:szCs w:val="24"/>
        </w:rPr>
      </w:pPr>
    </w:p>
    <w:p w14:paraId="447BB7B1" w14:textId="77777777" w:rsidR="007E37A3" w:rsidRDefault="007E37A3" w:rsidP="007E37A3">
      <w:pPr>
        <w:spacing w:after="0" w:line="240" w:lineRule="auto"/>
        <w:jc w:val="center"/>
        <w:rPr>
          <w:rFonts w:ascii="Times New Roman" w:eastAsia="Times New Roman" w:hAnsi="Times New Roman"/>
          <w:b/>
          <w:szCs w:val="24"/>
        </w:rPr>
      </w:pPr>
    </w:p>
    <w:p w14:paraId="5942E2A2" w14:textId="77777777" w:rsidR="007E37A3" w:rsidRDefault="007E37A3" w:rsidP="007E37A3">
      <w:pPr>
        <w:spacing w:after="0" w:line="240" w:lineRule="auto"/>
        <w:jc w:val="center"/>
        <w:rPr>
          <w:rFonts w:ascii="Times New Roman" w:eastAsia="Times New Roman" w:hAnsi="Times New Roman"/>
          <w:b/>
          <w:szCs w:val="24"/>
        </w:rPr>
      </w:pPr>
    </w:p>
    <w:p w14:paraId="75FD38D0" w14:textId="77777777" w:rsidR="007E37A3" w:rsidRDefault="007E37A3" w:rsidP="007E37A3">
      <w:pPr>
        <w:spacing w:after="0" w:line="240" w:lineRule="auto"/>
        <w:jc w:val="center"/>
        <w:rPr>
          <w:rFonts w:ascii="Times New Roman" w:eastAsia="Times New Roman" w:hAnsi="Times New Roman"/>
          <w:b/>
          <w:szCs w:val="24"/>
        </w:rPr>
      </w:pPr>
    </w:p>
    <w:p w14:paraId="0E798D36" w14:textId="77777777" w:rsidR="007E37A3" w:rsidRDefault="007E37A3" w:rsidP="007E37A3">
      <w:pPr>
        <w:spacing w:after="0" w:line="240" w:lineRule="auto"/>
        <w:jc w:val="center"/>
        <w:rPr>
          <w:rFonts w:ascii="Times New Roman" w:eastAsia="Times New Roman" w:hAnsi="Times New Roman"/>
          <w:b/>
          <w:szCs w:val="24"/>
        </w:rPr>
      </w:pPr>
    </w:p>
    <w:p w14:paraId="682AF7A7" w14:textId="77777777" w:rsidR="007E37A3" w:rsidRDefault="007E37A3" w:rsidP="007E37A3">
      <w:pPr>
        <w:spacing w:after="0" w:line="240" w:lineRule="auto"/>
        <w:jc w:val="center"/>
        <w:rPr>
          <w:rFonts w:ascii="Times New Roman" w:eastAsia="Times New Roman" w:hAnsi="Times New Roman"/>
          <w:b/>
          <w:szCs w:val="24"/>
        </w:rPr>
      </w:pPr>
    </w:p>
    <w:p w14:paraId="536BB3DC" w14:textId="77777777" w:rsidR="007E37A3" w:rsidRDefault="007E37A3" w:rsidP="007E37A3">
      <w:pPr>
        <w:spacing w:after="0" w:line="240" w:lineRule="auto"/>
        <w:jc w:val="center"/>
        <w:rPr>
          <w:rFonts w:ascii="Times New Roman" w:eastAsia="Times New Roman" w:hAnsi="Times New Roman"/>
          <w:b/>
          <w:szCs w:val="24"/>
        </w:rPr>
      </w:pPr>
    </w:p>
    <w:p w14:paraId="65DFD1DE" w14:textId="77777777" w:rsidR="007E37A3" w:rsidRDefault="007E37A3" w:rsidP="007E37A3">
      <w:pPr>
        <w:spacing w:after="0" w:line="240" w:lineRule="auto"/>
        <w:jc w:val="center"/>
        <w:rPr>
          <w:rFonts w:ascii="Times New Roman" w:eastAsia="Times New Roman" w:hAnsi="Times New Roman"/>
          <w:b/>
          <w:szCs w:val="24"/>
        </w:rPr>
      </w:pPr>
    </w:p>
    <w:p w14:paraId="56830E69" w14:textId="77777777" w:rsidR="007E37A3" w:rsidRDefault="007E37A3" w:rsidP="007E37A3">
      <w:pPr>
        <w:spacing w:after="0" w:line="240" w:lineRule="auto"/>
        <w:jc w:val="center"/>
        <w:rPr>
          <w:rFonts w:ascii="Times New Roman" w:eastAsia="Times New Roman" w:hAnsi="Times New Roman"/>
          <w:b/>
          <w:szCs w:val="24"/>
        </w:rPr>
      </w:pPr>
    </w:p>
    <w:p w14:paraId="7CCCA709" w14:textId="77777777" w:rsidR="007E37A3" w:rsidRDefault="007E37A3" w:rsidP="007E37A3">
      <w:pPr>
        <w:spacing w:after="0" w:line="240" w:lineRule="auto"/>
        <w:jc w:val="center"/>
        <w:rPr>
          <w:rFonts w:ascii="Times New Roman" w:eastAsia="Times New Roman" w:hAnsi="Times New Roman"/>
          <w:b/>
          <w:szCs w:val="24"/>
        </w:rPr>
      </w:pPr>
    </w:p>
    <w:p w14:paraId="5230FCC1" w14:textId="77777777" w:rsidR="007E37A3" w:rsidRDefault="007E37A3" w:rsidP="007E37A3">
      <w:pPr>
        <w:spacing w:after="0" w:line="240" w:lineRule="auto"/>
        <w:jc w:val="center"/>
        <w:rPr>
          <w:rFonts w:ascii="Times New Roman" w:eastAsia="Times New Roman" w:hAnsi="Times New Roman"/>
          <w:b/>
          <w:szCs w:val="24"/>
        </w:rPr>
      </w:pPr>
    </w:p>
    <w:p w14:paraId="3C5D54F3" w14:textId="77777777" w:rsidR="007E37A3" w:rsidRDefault="007E37A3" w:rsidP="007E37A3">
      <w:pPr>
        <w:spacing w:after="0" w:line="240" w:lineRule="auto"/>
        <w:jc w:val="center"/>
        <w:rPr>
          <w:rFonts w:ascii="Times New Roman" w:eastAsia="Times New Roman" w:hAnsi="Times New Roman"/>
          <w:b/>
          <w:szCs w:val="24"/>
        </w:rPr>
      </w:pPr>
    </w:p>
    <w:p w14:paraId="6390CA23" w14:textId="77777777" w:rsidR="007E37A3" w:rsidRDefault="007E37A3" w:rsidP="007E37A3">
      <w:pPr>
        <w:spacing w:after="0" w:line="240" w:lineRule="auto"/>
        <w:jc w:val="center"/>
        <w:rPr>
          <w:rFonts w:ascii="Times New Roman" w:eastAsia="Times New Roman" w:hAnsi="Times New Roman"/>
          <w:b/>
          <w:szCs w:val="24"/>
        </w:rPr>
      </w:pPr>
    </w:p>
    <w:p w14:paraId="44A79514" w14:textId="77777777" w:rsidR="007E37A3" w:rsidRDefault="007E37A3" w:rsidP="007E37A3">
      <w:pPr>
        <w:spacing w:after="0" w:line="240" w:lineRule="auto"/>
        <w:jc w:val="center"/>
        <w:rPr>
          <w:rFonts w:ascii="Times New Roman" w:eastAsia="Times New Roman" w:hAnsi="Times New Roman"/>
          <w:b/>
          <w:szCs w:val="24"/>
        </w:rPr>
      </w:pPr>
    </w:p>
    <w:p w14:paraId="6C0EFD79" w14:textId="77777777" w:rsidR="007E37A3" w:rsidRDefault="007E37A3" w:rsidP="007E37A3">
      <w:pPr>
        <w:spacing w:after="0" w:line="240" w:lineRule="auto"/>
        <w:jc w:val="center"/>
        <w:rPr>
          <w:rFonts w:ascii="Times New Roman" w:eastAsia="Times New Roman" w:hAnsi="Times New Roman"/>
          <w:b/>
          <w:szCs w:val="24"/>
        </w:rPr>
      </w:pPr>
    </w:p>
    <w:p w14:paraId="161F09AA" w14:textId="77777777" w:rsidR="007E37A3" w:rsidRDefault="007E37A3" w:rsidP="007E37A3">
      <w:pPr>
        <w:spacing w:after="0" w:line="240" w:lineRule="auto"/>
        <w:jc w:val="center"/>
        <w:rPr>
          <w:rFonts w:ascii="Times New Roman" w:eastAsia="Times New Roman" w:hAnsi="Times New Roman"/>
          <w:b/>
          <w:szCs w:val="24"/>
        </w:rPr>
      </w:pPr>
    </w:p>
    <w:p w14:paraId="3FC2783A" w14:textId="77777777" w:rsidR="007E37A3" w:rsidRDefault="007E37A3" w:rsidP="007E37A3">
      <w:pPr>
        <w:spacing w:after="0" w:line="240" w:lineRule="auto"/>
        <w:jc w:val="center"/>
        <w:rPr>
          <w:rFonts w:ascii="Times New Roman" w:eastAsia="Times New Roman" w:hAnsi="Times New Roman"/>
          <w:b/>
          <w:szCs w:val="24"/>
        </w:rPr>
      </w:pPr>
      <w:r>
        <w:rPr>
          <w:rFonts w:ascii="Times New Roman" w:eastAsia="Times New Roman" w:hAnsi="Times New Roman"/>
          <w:b/>
          <w:szCs w:val="24"/>
        </w:rPr>
        <w:t>III PRIEDAS</w:t>
      </w:r>
    </w:p>
    <w:p w14:paraId="228B2F20" w14:textId="77777777" w:rsidR="007E37A3" w:rsidRDefault="007E37A3" w:rsidP="007E37A3">
      <w:pPr>
        <w:spacing w:after="0" w:line="240" w:lineRule="auto"/>
        <w:jc w:val="center"/>
        <w:rPr>
          <w:rFonts w:ascii="Times New Roman" w:eastAsia="Times New Roman" w:hAnsi="Times New Roman"/>
          <w:b/>
          <w:szCs w:val="24"/>
        </w:rPr>
      </w:pPr>
    </w:p>
    <w:p w14:paraId="509BA13C" w14:textId="77777777" w:rsidR="007E37A3" w:rsidRDefault="007E37A3" w:rsidP="007E37A3">
      <w:pPr>
        <w:keepNext/>
        <w:spacing w:after="0" w:line="240" w:lineRule="auto"/>
        <w:jc w:val="center"/>
        <w:outlineLvl w:val="3"/>
        <w:rPr>
          <w:rFonts w:ascii="Times New Roman" w:eastAsia="Times New Roman" w:hAnsi="Times New Roman"/>
          <w:b/>
          <w:bCs/>
        </w:rPr>
      </w:pPr>
      <w:r>
        <w:rPr>
          <w:rFonts w:ascii="Times New Roman" w:eastAsia="Times New Roman" w:hAnsi="Times New Roman"/>
          <w:b/>
          <w:bCs/>
        </w:rPr>
        <w:t>ŽENKLINIMAS IR PAKUOTĖS LAPELIS</w:t>
      </w:r>
    </w:p>
    <w:p w14:paraId="7D8566FD"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br w:type="page"/>
      </w:r>
    </w:p>
    <w:p w14:paraId="01CD0335" w14:textId="77777777" w:rsidR="007E37A3" w:rsidRDefault="007E37A3" w:rsidP="007E37A3">
      <w:pPr>
        <w:spacing w:after="0" w:line="240" w:lineRule="auto"/>
        <w:rPr>
          <w:rFonts w:ascii="Times New Roman" w:eastAsia="Times New Roman" w:hAnsi="Times New Roman"/>
          <w:szCs w:val="20"/>
          <w:lang w:eastAsia="lt-LT"/>
        </w:rPr>
      </w:pPr>
    </w:p>
    <w:p w14:paraId="3100AF25" w14:textId="77777777" w:rsidR="007E37A3" w:rsidRDefault="007E37A3" w:rsidP="007E37A3">
      <w:pPr>
        <w:spacing w:after="0" w:line="240" w:lineRule="auto"/>
        <w:rPr>
          <w:rFonts w:ascii="Times New Roman" w:eastAsia="Times New Roman" w:hAnsi="Times New Roman"/>
          <w:szCs w:val="20"/>
          <w:lang w:eastAsia="lt-LT"/>
        </w:rPr>
      </w:pPr>
    </w:p>
    <w:p w14:paraId="024BDC57" w14:textId="77777777" w:rsidR="007E37A3" w:rsidRDefault="007E37A3" w:rsidP="007E37A3">
      <w:pPr>
        <w:spacing w:after="0" w:line="240" w:lineRule="auto"/>
        <w:rPr>
          <w:rFonts w:ascii="Times New Roman" w:eastAsia="Times New Roman" w:hAnsi="Times New Roman"/>
          <w:szCs w:val="20"/>
          <w:lang w:eastAsia="lt-LT"/>
        </w:rPr>
      </w:pPr>
    </w:p>
    <w:p w14:paraId="33509B12" w14:textId="77777777" w:rsidR="007E37A3" w:rsidRDefault="007E37A3" w:rsidP="007E37A3">
      <w:pPr>
        <w:spacing w:after="0" w:line="240" w:lineRule="auto"/>
        <w:rPr>
          <w:rFonts w:ascii="Times New Roman" w:eastAsia="Times New Roman" w:hAnsi="Times New Roman"/>
          <w:szCs w:val="20"/>
          <w:lang w:eastAsia="lt-LT"/>
        </w:rPr>
      </w:pPr>
    </w:p>
    <w:p w14:paraId="3659D47D" w14:textId="77777777" w:rsidR="007E37A3" w:rsidRDefault="007E37A3" w:rsidP="007E37A3">
      <w:pPr>
        <w:spacing w:after="0" w:line="240" w:lineRule="auto"/>
        <w:rPr>
          <w:rFonts w:ascii="Times New Roman" w:eastAsia="Times New Roman" w:hAnsi="Times New Roman"/>
          <w:szCs w:val="20"/>
          <w:lang w:eastAsia="lt-LT"/>
        </w:rPr>
      </w:pPr>
    </w:p>
    <w:p w14:paraId="2F398CD0" w14:textId="77777777" w:rsidR="007E37A3" w:rsidRDefault="007E37A3" w:rsidP="007E37A3">
      <w:pPr>
        <w:spacing w:after="0" w:line="240" w:lineRule="auto"/>
        <w:rPr>
          <w:rFonts w:ascii="Times New Roman" w:eastAsia="Times New Roman" w:hAnsi="Times New Roman"/>
          <w:szCs w:val="20"/>
          <w:lang w:eastAsia="lt-LT"/>
        </w:rPr>
      </w:pPr>
    </w:p>
    <w:p w14:paraId="4DDBD364" w14:textId="77777777" w:rsidR="007E37A3" w:rsidRDefault="007E37A3" w:rsidP="007E37A3">
      <w:pPr>
        <w:spacing w:after="0" w:line="240" w:lineRule="auto"/>
        <w:rPr>
          <w:rFonts w:ascii="Times New Roman" w:eastAsia="Times New Roman" w:hAnsi="Times New Roman"/>
          <w:szCs w:val="20"/>
          <w:lang w:eastAsia="lt-LT"/>
        </w:rPr>
      </w:pPr>
    </w:p>
    <w:p w14:paraId="05497647" w14:textId="77777777" w:rsidR="007E37A3" w:rsidRDefault="007E37A3" w:rsidP="007E37A3">
      <w:pPr>
        <w:spacing w:after="0" w:line="240" w:lineRule="auto"/>
        <w:rPr>
          <w:rFonts w:ascii="Times New Roman" w:eastAsia="Times New Roman" w:hAnsi="Times New Roman"/>
          <w:szCs w:val="20"/>
          <w:lang w:eastAsia="lt-LT"/>
        </w:rPr>
      </w:pPr>
    </w:p>
    <w:p w14:paraId="6E4B3830" w14:textId="77777777" w:rsidR="007E37A3" w:rsidRDefault="007E37A3" w:rsidP="007E37A3">
      <w:pPr>
        <w:spacing w:after="0" w:line="240" w:lineRule="auto"/>
        <w:rPr>
          <w:rFonts w:ascii="Times New Roman" w:eastAsia="Times New Roman" w:hAnsi="Times New Roman"/>
          <w:szCs w:val="20"/>
          <w:lang w:eastAsia="lt-LT"/>
        </w:rPr>
      </w:pPr>
    </w:p>
    <w:p w14:paraId="56B784B2" w14:textId="77777777" w:rsidR="007E37A3" w:rsidRDefault="007E37A3" w:rsidP="007E37A3">
      <w:pPr>
        <w:spacing w:after="0" w:line="240" w:lineRule="auto"/>
        <w:rPr>
          <w:rFonts w:ascii="Times New Roman" w:eastAsia="Times New Roman" w:hAnsi="Times New Roman"/>
          <w:szCs w:val="20"/>
          <w:lang w:eastAsia="lt-LT"/>
        </w:rPr>
      </w:pPr>
    </w:p>
    <w:p w14:paraId="596A72DC" w14:textId="77777777" w:rsidR="007E37A3" w:rsidRDefault="007E37A3" w:rsidP="007E37A3">
      <w:pPr>
        <w:spacing w:after="0" w:line="240" w:lineRule="auto"/>
        <w:rPr>
          <w:rFonts w:ascii="Times New Roman" w:eastAsia="Times New Roman" w:hAnsi="Times New Roman"/>
          <w:szCs w:val="20"/>
          <w:lang w:eastAsia="lt-LT"/>
        </w:rPr>
      </w:pPr>
    </w:p>
    <w:p w14:paraId="63C545B9" w14:textId="77777777" w:rsidR="007E37A3" w:rsidRDefault="007E37A3" w:rsidP="007E37A3">
      <w:pPr>
        <w:spacing w:after="0" w:line="240" w:lineRule="auto"/>
        <w:rPr>
          <w:rFonts w:ascii="Times New Roman" w:eastAsia="Times New Roman" w:hAnsi="Times New Roman"/>
          <w:szCs w:val="20"/>
          <w:lang w:eastAsia="lt-LT"/>
        </w:rPr>
      </w:pPr>
    </w:p>
    <w:p w14:paraId="2210C850" w14:textId="77777777" w:rsidR="007E37A3" w:rsidRDefault="007E37A3" w:rsidP="007E37A3">
      <w:pPr>
        <w:spacing w:after="0" w:line="240" w:lineRule="auto"/>
        <w:rPr>
          <w:rFonts w:ascii="Times New Roman" w:eastAsia="Times New Roman" w:hAnsi="Times New Roman"/>
          <w:szCs w:val="20"/>
          <w:lang w:eastAsia="lt-LT"/>
        </w:rPr>
      </w:pPr>
    </w:p>
    <w:p w14:paraId="78E1736F" w14:textId="77777777" w:rsidR="007E37A3" w:rsidRDefault="007E37A3" w:rsidP="007E37A3">
      <w:pPr>
        <w:spacing w:after="0" w:line="240" w:lineRule="auto"/>
        <w:rPr>
          <w:rFonts w:ascii="Times New Roman" w:eastAsia="Times New Roman" w:hAnsi="Times New Roman"/>
          <w:szCs w:val="20"/>
          <w:lang w:eastAsia="lt-LT"/>
        </w:rPr>
      </w:pPr>
    </w:p>
    <w:p w14:paraId="7C166960" w14:textId="77777777" w:rsidR="007E37A3" w:rsidRDefault="007E37A3" w:rsidP="007E37A3">
      <w:pPr>
        <w:spacing w:after="0" w:line="240" w:lineRule="auto"/>
        <w:rPr>
          <w:rFonts w:ascii="Times New Roman" w:eastAsia="Times New Roman" w:hAnsi="Times New Roman"/>
          <w:szCs w:val="20"/>
          <w:lang w:eastAsia="lt-LT"/>
        </w:rPr>
      </w:pPr>
    </w:p>
    <w:p w14:paraId="02D5720D" w14:textId="77777777" w:rsidR="007E37A3" w:rsidRDefault="007E37A3" w:rsidP="007E37A3">
      <w:pPr>
        <w:spacing w:after="0" w:line="240" w:lineRule="auto"/>
        <w:rPr>
          <w:rFonts w:ascii="Times New Roman" w:eastAsia="Times New Roman" w:hAnsi="Times New Roman"/>
          <w:szCs w:val="20"/>
          <w:lang w:eastAsia="lt-LT"/>
        </w:rPr>
      </w:pPr>
    </w:p>
    <w:p w14:paraId="51851F09" w14:textId="77777777" w:rsidR="007E37A3" w:rsidRDefault="007E37A3" w:rsidP="007E37A3">
      <w:pPr>
        <w:spacing w:after="0" w:line="240" w:lineRule="auto"/>
        <w:rPr>
          <w:rFonts w:ascii="Times New Roman" w:eastAsia="Times New Roman" w:hAnsi="Times New Roman"/>
          <w:szCs w:val="20"/>
          <w:lang w:eastAsia="lt-LT"/>
        </w:rPr>
      </w:pPr>
    </w:p>
    <w:p w14:paraId="7B046C97" w14:textId="77777777" w:rsidR="007E37A3" w:rsidRDefault="007E37A3" w:rsidP="007E37A3">
      <w:pPr>
        <w:spacing w:after="0" w:line="240" w:lineRule="auto"/>
        <w:rPr>
          <w:rFonts w:ascii="Times New Roman" w:eastAsia="Times New Roman" w:hAnsi="Times New Roman"/>
          <w:szCs w:val="20"/>
          <w:lang w:eastAsia="lt-LT"/>
        </w:rPr>
      </w:pPr>
    </w:p>
    <w:p w14:paraId="73C6E945" w14:textId="77777777" w:rsidR="007E37A3" w:rsidRDefault="007E37A3" w:rsidP="007E37A3">
      <w:pPr>
        <w:spacing w:after="0" w:line="240" w:lineRule="auto"/>
        <w:rPr>
          <w:rFonts w:ascii="Times New Roman" w:eastAsia="Times New Roman" w:hAnsi="Times New Roman"/>
          <w:szCs w:val="20"/>
          <w:lang w:eastAsia="lt-LT"/>
        </w:rPr>
      </w:pPr>
    </w:p>
    <w:p w14:paraId="30EFE531" w14:textId="77777777" w:rsidR="007E37A3" w:rsidRDefault="007E37A3" w:rsidP="007E37A3">
      <w:pPr>
        <w:spacing w:after="0" w:line="240" w:lineRule="auto"/>
        <w:rPr>
          <w:rFonts w:ascii="Times New Roman" w:eastAsia="Times New Roman" w:hAnsi="Times New Roman"/>
          <w:szCs w:val="20"/>
          <w:lang w:eastAsia="lt-LT"/>
        </w:rPr>
      </w:pPr>
    </w:p>
    <w:p w14:paraId="7E385CA4" w14:textId="77777777" w:rsidR="007E37A3" w:rsidRDefault="007E37A3" w:rsidP="007E37A3">
      <w:pPr>
        <w:spacing w:after="0" w:line="240" w:lineRule="auto"/>
        <w:rPr>
          <w:rFonts w:ascii="Times New Roman" w:eastAsia="Times New Roman" w:hAnsi="Times New Roman"/>
          <w:szCs w:val="20"/>
          <w:lang w:eastAsia="lt-LT"/>
        </w:rPr>
      </w:pPr>
    </w:p>
    <w:p w14:paraId="53470998" w14:textId="77777777" w:rsidR="007E37A3" w:rsidRDefault="007E37A3" w:rsidP="007E37A3">
      <w:pPr>
        <w:spacing w:after="0" w:line="240" w:lineRule="auto"/>
        <w:rPr>
          <w:rFonts w:ascii="Times New Roman" w:eastAsia="Times New Roman" w:hAnsi="Times New Roman"/>
          <w:szCs w:val="20"/>
          <w:lang w:eastAsia="lt-LT"/>
        </w:rPr>
      </w:pPr>
    </w:p>
    <w:p w14:paraId="6747FC89" w14:textId="77777777" w:rsidR="007E37A3" w:rsidRDefault="007E37A3" w:rsidP="007E37A3">
      <w:pPr>
        <w:spacing w:after="0" w:line="240" w:lineRule="auto"/>
        <w:rPr>
          <w:rFonts w:ascii="Times New Roman" w:eastAsia="Times New Roman" w:hAnsi="Times New Roman"/>
          <w:szCs w:val="20"/>
          <w:lang w:eastAsia="lt-LT"/>
        </w:rPr>
      </w:pPr>
    </w:p>
    <w:p w14:paraId="4FAFF853" w14:textId="77777777" w:rsidR="007E37A3" w:rsidRDefault="007E37A3" w:rsidP="007E37A3">
      <w:pPr>
        <w:spacing w:after="0" w:line="240" w:lineRule="auto"/>
        <w:jc w:val="center"/>
        <w:outlineLvl w:val="0"/>
        <w:rPr>
          <w:rFonts w:ascii="Times New Roman" w:eastAsia="Times New Roman" w:hAnsi="Times New Roman"/>
          <w:b/>
          <w:kern w:val="28"/>
          <w:szCs w:val="20"/>
          <w:lang w:eastAsia="lt-LT"/>
        </w:rPr>
      </w:pPr>
      <w:r>
        <w:rPr>
          <w:rFonts w:ascii="Times New Roman" w:eastAsia="Times New Roman" w:hAnsi="Times New Roman"/>
          <w:b/>
          <w:kern w:val="28"/>
          <w:szCs w:val="20"/>
          <w:lang w:eastAsia="lt-LT"/>
        </w:rPr>
        <w:t>A. ŽENKLINIMAS</w:t>
      </w:r>
    </w:p>
    <w:p w14:paraId="2CD658DA"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br w:type="page"/>
      </w:r>
    </w:p>
    <w:p w14:paraId="361B6EB9"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lastRenderedPageBreak/>
        <w:t>INFORMACIJA ANT IŠORINĖS PAKUOTĖS</w:t>
      </w:r>
    </w:p>
    <w:p w14:paraId="55738CA4"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4CE75CD3"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KARTONO DĖŽUTĖ</w:t>
      </w:r>
    </w:p>
    <w:p w14:paraId="62E0DE0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7B3529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5736734"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w:t>
      </w:r>
    </w:p>
    <w:p w14:paraId="174B30A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A9531D5" w14:textId="77777777" w:rsidR="007E37A3" w:rsidRDefault="007E37A3" w:rsidP="007E37A3">
      <w:pPr>
        <w:spacing w:after="0" w:line="240" w:lineRule="auto"/>
        <w:rPr>
          <w:rFonts w:ascii="Times New Roman" w:eastAsia="Times New Roman" w:hAnsi="Times New Roman"/>
        </w:rPr>
      </w:pPr>
      <w:r>
        <w:rPr>
          <w:rFonts w:ascii="Times New Roman" w:eastAsia="Times New Roman" w:hAnsi="Times New Roman"/>
        </w:rPr>
        <w:t>Feneit 25 mg plėvele dengtos tabletės</w:t>
      </w:r>
    </w:p>
    <w:p w14:paraId="08A58BB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deksketoprofenas</w:t>
      </w:r>
    </w:p>
    <w:p w14:paraId="51ED2B4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2A1B65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0DD950D"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2FAC055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554B5FC" w14:textId="77777777" w:rsidR="007E37A3" w:rsidRDefault="007E37A3" w:rsidP="007E37A3">
      <w:pPr>
        <w:pStyle w:val="BTEMEASMCA"/>
        <w:tabs>
          <w:tab w:val="left" w:pos="567"/>
        </w:tabs>
        <w:rPr>
          <w:noProof w:val="0"/>
        </w:rPr>
      </w:pPr>
      <w:r>
        <w:rPr>
          <w:bCs w:val="0"/>
          <w:noProof w:val="0"/>
        </w:rPr>
        <w:t xml:space="preserve">Vienoje plėvele dengtoje tabletėje yra </w:t>
      </w:r>
      <w:r>
        <w:rPr>
          <w:noProof w:val="0"/>
        </w:rPr>
        <w:t>36,9 mg deksketoprofeno trometamolio, atitinkančio 25 mg deksketoprofeno.</w:t>
      </w:r>
    </w:p>
    <w:p w14:paraId="4DD6824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950AFD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776A0F9"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3.</w:t>
      </w:r>
      <w:r>
        <w:rPr>
          <w:rFonts w:ascii="Times New Roman" w:eastAsia="Times New Roman" w:hAnsi="Times New Roman"/>
          <w:b/>
        </w:rPr>
        <w:tab/>
        <w:t>PAGALBINIŲ MEDŽIAGŲ SĄRAŠAS</w:t>
      </w:r>
    </w:p>
    <w:p w14:paraId="4D0A507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FBCCCA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904E995"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t>FARMACINĖ FORMA IR KIEKIS PAKUOTĖJE</w:t>
      </w:r>
    </w:p>
    <w:p w14:paraId="3C81BFB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8A4870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Plėvele dengta tabletė</w:t>
      </w:r>
    </w:p>
    <w:p w14:paraId="3ADBFBB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4539656" w14:textId="77777777" w:rsidR="007E37A3" w:rsidRDefault="007E37A3" w:rsidP="007E37A3">
      <w:pPr>
        <w:spacing w:after="0" w:line="240" w:lineRule="auto"/>
        <w:rPr>
          <w:rFonts w:ascii="Times New Roman" w:eastAsia="Times New Roman" w:hAnsi="Times New Roman"/>
          <w:szCs w:val="24"/>
        </w:rPr>
      </w:pPr>
      <w:r>
        <w:rPr>
          <w:rFonts w:ascii="Times New Roman" w:eastAsia="Times New Roman" w:hAnsi="Times New Roman"/>
          <w:szCs w:val="24"/>
        </w:rPr>
        <w:t>20 plėvele dengtų tablečių</w:t>
      </w:r>
    </w:p>
    <w:p w14:paraId="35BB1D5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66139A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AED3AC5"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5.</w:t>
      </w:r>
      <w:r>
        <w:rPr>
          <w:rFonts w:ascii="Times New Roman" w:eastAsia="Times New Roman" w:hAnsi="Times New Roman"/>
          <w:b/>
        </w:rPr>
        <w:tab/>
        <w:t>VARTOJIMO METODAS IR BŪDAS (-AI)</w:t>
      </w:r>
    </w:p>
    <w:p w14:paraId="39F46A8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0A7005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Vartoti per burną</w:t>
      </w:r>
    </w:p>
    <w:p w14:paraId="51C5519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Prieš vartojimą perskaitykite pakuotės lapelį.</w:t>
      </w:r>
    </w:p>
    <w:p w14:paraId="19D7E00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9BB368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E27B0C8"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6.</w:t>
      </w:r>
      <w:r>
        <w:rPr>
          <w:rFonts w:ascii="Times New Roman" w:eastAsia="Times New Roman" w:hAnsi="Times New Roman"/>
          <w:b/>
        </w:rPr>
        <w:tab/>
        <w:t>SPECIALUS ĮSPĖJIMAS, KAD VAISTINĮ PREPARATĄ BŪTINA LAIKYTI VAIKAMS NEPASTEBIMOJE IR NEPASIEKIAMOJE VIETOJE</w:t>
      </w:r>
    </w:p>
    <w:p w14:paraId="03B5DD6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2FB458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Laikyti vaikams nepastebimoje ir nepasiekiamoje vietoje.</w:t>
      </w:r>
    </w:p>
    <w:p w14:paraId="2CA7441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7EB8CC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2859700"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7.</w:t>
      </w:r>
      <w:r>
        <w:rPr>
          <w:rFonts w:ascii="Times New Roman" w:eastAsia="Times New Roman" w:hAnsi="Times New Roman"/>
          <w:b/>
        </w:rPr>
        <w:tab/>
        <w:t>KITAS (-I) SPECIALUS (-ŪS) ĮSPĖJIMAS (-AI) (JEI REIKIA)</w:t>
      </w:r>
    </w:p>
    <w:p w14:paraId="29FE9E8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813D45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BC50144"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Pr>
          <w:rFonts w:ascii="Times New Roman" w:eastAsia="Times New Roman" w:hAnsi="Times New Roman"/>
          <w:b/>
        </w:rPr>
        <w:t>8.</w:t>
      </w:r>
      <w:r>
        <w:rPr>
          <w:rFonts w:ascii="Times New Roman" w:eastAsia="Times New Roman" w:hAnsi="Times New Roman"/>
          <w:b/>
        </w:rPr>
        <w:tab/>
        <w:t>TINKAMUMO LAIKAS</w:t>
      </w:r>
    </w:p>
    <w:p w14:paraId="6FCE5F5F" w14:textId="77777777" w:rsidR="007E37A3" w:rsidRDefault="007E37A3" w:rsidP="007E37A3">
      <w:pPr>
        <w:spacing w:after="0" w:line="240" w:lineRule="auto"/>
        <w:rPr>
          <w:rFonts w:ascii="Times New Roman" w:eastAsia="Times New Roman" w:hAnsi="Times New Roman"/>
          <w:szCs w:val="20"/>
          <w:lang w:eastAsia="lt-LT"/>
        </w:rPr>
      </w:pPr>
    </w:p>
    <w:p w14:paraId="5B2DBF4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Tinka iki {mm MMMM}</w:t>
      </w:r>
    </w:p>
    <w:p w14:paraId="050F620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A2F931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E2A7AD9"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9.</w:t>
      </w:r>
      <w:r>
        <w:rPr>
          <w:rFonts w:ascii="Times New Roman" w:eastAsia="Times New Roman" w:hAnsi="Times New Roman"/>
          <w:b/>
        </w:rPr>
        <w:tab/>
        <w:t>SPECIALIOS LAIKYMO SĄLYGOS</w:t>
      </w:r>
    </w:p>
    <w:p w14:paraId="4EB7B81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91E1B5A" w14:textId="77777777" w:rsidR="007E37A3" w:rsidRDefault="007E37A3" w:rsidP="007E37A3">
      <w:pPr>
        <w:spacing w:after="0" w:line="240" w:lineRule="auto"/>
        <w:rPr>
          <w:rFonts w:ascii="Times New Roman" w:eastAsia="Times New Roman" w:hAnsi="Times New Roman"/>
          <w:szCs w:val="24"/>
        </w:rPr>
      </w:pPr>
      <w:r>
        <w:rPr>
          <w:rFonts w:ascii="Times New Roman" w:eastAsia="Times New Roman" w:hAnsi="Times New Roman"/>
          <w:szCs w:val="24"/>
        </w:rPr>
        <w:t xml:space="preserve">(PVC/PVDC/Al) Laikyti ne aukštesnėje kaip 25 </w:t>
      </w:r>
      <w:r>
        <w:rPr>
          <w:rFonts w:ascii="Times New Roman" w:eastAsia="Times New Roman" w:hAnsi="Times New Roman"/>
          <w:szCs w:val="24"/>
        </w:rPr>
        <w:sym w:font="Symbol" w:char="F0B0"/>
      </w:r>
      <w:r>
        <w:rPr>
          <w:rFonts w:ascii="Times New Roman" w:eastAsia="Times New Roman" w:hAnsi="Times New Roman"/>
          <w:szCs w:val="24"/>
        </w:rPr>
        <w:t>C temperatūroje.</w:t>
      </w:r>
    </w:p>
    <w:p w14:paraId="130C3319" w14:textId="77777777" w:rsidR="007E37A3" w:rsidRDefault="007E37A3" w:rsidP="007E37A3">
      <w:pPr>
        <w:spacing w:after="0" w:line="240" w:lineRule="auto"/>
        <w:rPr>
          <w:rFonts w:ascii="Times New Roman" w:eastAsia="Times New Roman" w:hAnsi="Times New Roman"/>
          <w:szCs w:val="24"/>
        </w:rPr>
      </w:pPr>
      <w:r>
        <w:rPr>
          <w:rFonts w:ascii="Times New Roman" w:eastAsia="Times New Roman" w:hAnsi="Times New Roman"/>
          <w:szCs w:val="24"/>
          <w:highlight w:val="lightGray"/>
        </w:rPr>
        <w:t xml:space="preserve">(PA/Al/PVC/Al) Laikyti ne aukštesnėje kaip 30 </w:t>
      </w:r>
      <w:r>
        <w:rPr>
          <w:rFonts w:ascii="Times New Roman" w:eastAsia="Times New Roman" w:hAnsi="Times New Roman"/>
          <w:szCs w:val="24"/>
          <w:highlight w:val="lightGray"/>
        </w:rPr>
        <w:sym w:font="Symbol" w:char="F0B0"/>
      </w:r>
      <w:r>
        <w:rPr>
          <w:rFonts w:ascii="Times New Roman" w:eastAsia="Times New Roman" w:hAnsi="Times New Roman"/>
          <w:szCs w:val="24"/>
          <w:highlight w:val="lightGray"/>
        </w:rPr>
        <w:t>C temperatūroje.</w:t>
      </w:r>
    </w:p>
    <w:p w14:paraId="5611130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1408A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39CB3FA"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t>SPECIALIOS ATSARGUMO PRIEMONĖS DĖL NESUVARTOTO VAISTINIO PREPARATO AR JO ATLIEKŲ TVARKYMO (JEI REIKIA)</w:t>
      </w:r>
    </w:p>
    <w:p w14:paraId="0DB1585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7969EE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85ADE95"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rPr>
        <w:tab/>
        <w:t>REGISTRUOTOJO PAVADINIMAS IR ADRESAS</w:t>
      </w:r>
    </w:p>
    <w:p w14:paraId="7119CBB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5A970FF"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SIA Ingen Pharma</w:t>
      </w:r>
    </w:p>
    <w:p w14:paraId="5060929E"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 xml:space="preserve">Kārļa Ulmaņa gatve 119, Mārupe </w:t>
      </w:r>
    </w:p>
    <w:p w14:paraId="23E5A924"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LV-2167, Rīga</w:t>
      </w:r>
    </w:p>
    <w:p w14:paraId="3C969994"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Latvija</w:t>
      </w:r>
    </w:p>
    <w:p w14:paraId="788E91E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07FAA7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CBBCB49"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12.</w:t>
      </w:r>
      <w:r>
        <w:rPr>
          <w:rFonts w:ascii="Times New Roman" w:eastAsia="Times New Roman" w:hAnsi="Times New Roman"/>
          <w:b/>
        </w:rPr>
        <w:tab/>
        <w:t>REGISTRACIJOS PAŽYMĖJIMO NUMERIS (-IAI)</w:t>
      </w:r>
    </w:p>
    <w:p w14:paraId="1B72758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112A25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LT/1/17/4154/002</w:t>
      </w:r>
    </w:p>
    <w:p w14:paraId="12EBB51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78EC4A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B1B8606"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13.</w:t>
      </w:r>
      <w:r>
        <w:rPr>
          <w:rFonts w:ascii="Times New Roman" w:eastAsia="Times New Roman" w:hAnsi="Times New Roman"/>
          <w:b/>
        </w:rPr>
        <w:tab/>
        <w:t>SERIJOS NUMERIS</w:t>
      </w:r>
    </w:p>
    <w:p w14:paraId="29F16D1F" w14:textId="77777777" w:rsidR="007E37A3" w:rsidRDefault="007E37A3" w:rsidP="007E37A3">
      <w:pPr>
        <w:spacing w:after="0" w:line="240" w:lineRule="auto"/>
        <w:rPr>
          <w:rFonts w:ascii="Times New Roman" w:eastAsia="Times New Roman" w:hAnsi="Times New Roman"/>
          <w:szCs w:val="20"/>
          <w:lang w:eastAsia="lt-LT"/>
        </w:rPr>
      </w:pPr>
    </w:p>
    <w:p w14:paraId="2DF4090B"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Serija </w:t>
      </w:r>
    </w:p>
    <w:p w14:paraId="060BA91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863874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D490B59"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14.</w:t>
      </w:r>
      <w:r>
        <w:rPr>
          <w:rFonts w:ascii="Times New Roman" w:eastAsia="Times New Roman" w:hAnsi="Times New Roman"/>
          <w:b/>
        </w:rPr>
        <w:tab/>
        <w:t>PARDAVIMO (IŠDAVIMO) TVARKA</w:t>
      </w:r>
    </w:p>
    <w:p w14:paraId="264558C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D6AD50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Receptinis vaistas.</w:t>
      </w:r>
    </w:p>
    <w:p w14:paraId="167B637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6A43BC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5960FD2"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15.</w:t>
      </w:r>
      <w:r>
        <w:rPr>
          <w:rFonts w:ascii="Times New Roman" w:eastAsia="Times New Roman" w:hAnsi="Times New Roman"/>
          <w:b/>
        </w:rPr>
        <w:tab/>
        <w:t>VARTOJIMO INSTRUKCIJA</w:t>
      </w:r>
    </w:p>
    <w:p w14:paraId="58E9AC8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78D7F1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A5104A6"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16.</w:t>
      </w:r>
      <w:r>
        <w:rPr>
          <w:rFonts w:ascii="Times New Roman" w:eastAsia="Times New Roman" w:hAnsi="Times New Roman"/>
          <w:b/>
        </w:rPr>
        <w:tab/>
        <w:t>INFORMACIJA BRAILIO RAŠTU</w:t>
      </w:r>
    </w:p>
    <w:p w14:paraId="012C1AB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40A949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25 mg</w:t>
      </w:r>
    </w:p>
    <w:p w14:paraId="74F3F73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E60F14F" w14:textId="77777777" w:rsidR="007E37A3" w:rsidRDefault="007E37A3" w:rsidP="007E37A3">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78163598" w14:textId="77777777" w:rsidR="007E37A3" w:rsidRDefault="007E37A3" w:rsidP="007E37A3">
      <w:pPr>
        <w:tabs>
          <w:tab w:val="left" w:pos="567"/>
        </w:tabs>
        <w:snapToGrid w:val="0"/>
        <w:spacing w:after="0" w:line="260" w:lineRule="exact"/>
        <w:rPr>
          <w:rFonts w:ascii="Times New Roman" w:hAnsi="Times New Roman"/>
          <w:shd w:val="clear" w:color="auto" w:fill="CCCCCC"/>
        </w:rPr>
      </w:pPr>
    </w:p>
    <w:p w14:paraId="0712F684" w14:textId="77777777" w:rsidR="007E37A3" w:rsidRDefault="007E37A3" w:rsidP="007E37A3">
      <w:pPr>
        <w:tabs>
          <w:tab w:val="left" w:pos="567"/>
        </w:tabs>
        <w:snapToGrid w:val="0"/>
        <w:spacing w:after="0" w:line="260" w:lineRule="exact"/>
        <w:rPr>
          <w:rFonts w:ascii="Times New Roman" w:hAnsi="Times New Roman"/>
          <w:highlight w:val="lightGray"/>
        </w:rPr>
      </w:pPr>
      <w:r>
        <w:rPr>
          <w:rFonts w:ascii="Times New Roman" w:hAnsi="Times New Roman"/>
          <w:highlight w:val="lightGray"/>
        </w:rPr>
        <w:t>Duomenys nebūtini.</w:t>
      </w:r>
    </w:p>
    <w:p w14:paraId="7D87E7D0" w14:textId="77777777" w:rsidR="007E37A3" w:rsidRDefault="007E37A3" w:rsidP="007E37A3">
      <w:pPr>
        <w:tabs>
          <w:tab w:val="left" w:pos="567"/>
        </w:tabs>
        <w:snapToGrid w:val="0"/>
        <w:spacing w:after="0" w:line="260" w:lineRule="exact"/>
        <w:rPr>
          <w:rFonts w:ascii="Times New Roman" w:hAnsi="Times New Roman"/>
        </w:rPr>
      </w:pPr>
    </w:p>
    <w:p w14:paraId="61D509CD" w14:textId="77777777" w:rsidR="007E37A3" w:rsidRDefault="007E37A3" w:rsidP="007E37A3">
      <w:pPr>
        <w:tabs>
          <w:tab w:val="left" w:pos="567"/>
        </w:tabs>
        <w:snapToGrid w:val="0"/>
        <w:spacing w:after="0" w:line="260" w:lineRule="exact"/>
        <w:rPr>
          <w:rFonts w:ascii="Times New Roman" w:hAnsi="Times New Roman"/>
        </w:rPr>
      </w:pPr>
    </w:p>
    <w:p w14:paraId="44E5E566" w14:textId="77777777" w:rsidR="007E37A3" w:rsidRDefault="007E37A3" w:rsidP="007E37A3">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429E516C" w14:textId="77777777" w:rsidR="007E37A3" w:rsidRDefault="007E37A3" w:rsidP="007E37A3">
      <w:pPr>
        <w:tabs>
          <w:tab w:val="left" w:pos="567"/>
        </w:tabs>
        <w:snapToGrid w:val="0"/>
        <w:spacing w:after="0" w:line="260" w:lineRule="exact"/>
        <w:rPr>
          <w:rFonts w:ascii="Times New Roman" w:hAnsi="Times New Roman"/>
        </w:rPr>
      </w:pPr>
    </w:p>
    <w:p w14:paraId="4EA66E21" w14:textId="77777777" w:rsidR="007E37A3" w:rsidRDefault="007E37A3" w:rsidP="007E37A3">
      <w:pPr>
        <w:tabs>
          <w:tab w:val="left" w:pos="567"/>
        </w:tabs>
        <w:snapToGrid w:val="0"/>
        <w:spacing w:after="0" w:line="260" w:lineRule="exact"/>
        <w:rPr>
          <w:rFonts w:ascii="Times New Roman" w:hAnsi="Times New Roman"/>
          <w:vanish/>
        </w:rPr>
      </w:pPr>
    </w:p>
    <w:p w14:paraId="61DBD648" w14:textId="77777777" w:rsidR="007E37A3" w:rsidRDefault="007E37A3" w:rsidP="007E37A3">
      <w:pPr>
        <w:tabs>
          <w:tab w:val="left" w:pos="567"/>
        </w:tabs>
        <w:snapToGrid w:val="0"/>
        <w:spacing w:after="0" w:line="260" w:lineRule="exact"/>
        <w:rPr>
          <w:rFonts w:ascii="Times New Roman" w:hAnsi="Times New Roman"/>
          <w:highlight w:val="lightGray"/>
          <w:shd w:val="clear" w:color="auto" w:fill="CCCCCC"/>
        </w:rPr>
      </w:pPr>
      <w:r>
        <w:rPr>
          <w:rFonts w:ascii="Times New Roman" w:hAnsi="Times New Roman"/>
          <w:highlight w:val="lightGray"/>
          <w:shd w:val="clear" w:color="auto" w:fill="CCCCCC"/>
        </w:rPr>
        <w:t>Duomenys nebūtini.</w:t>
      </w:r>
    </w:p>
    <w:p w14:paraId="49B87062" w14:textId="77777777" w:rsidR="007E37A3" w:rsidRDefault="007E37A3" w:rsidP="007E37A3">
      <w:pPr>
        <w:spacing w:line="254" w:lineRule="auto"/>
        <w:rPr>
          <w:rFonts w:ascii="Times New Roman" w:hAnsi="Times New Roman"/>
          <w:highlight w:val="lightGray"/>
          <w:shd w:val="clear" w:color="auto" w:fill="CCCCCC"/>
        </w:rPr>
      </w:pPr>
      <w:r>
        <w:rPr>
          <w:rFonts w:ascii="Times New Roman" w:hAnsi="Times New Roman"/>
          <w:highlight w:val="lightGray"/>
          <w:shd w:val="clear" w:color="auto" w:fill="CCCCCC"/>
        </w:rPr>
        <w:br w:type="page"/>
      </w:r>
    </w:p>
    <w:p w14:paraId="43BC2C7A" w14:textId="77777777" w:rsidR="007E37A3" w:rsidRDefault="007E37A3" w:rsidP="007E37A3">
      <w:pPr>
        <w:tabs>
          <w:tab w:val="left" w:pos="567"/>
        </w:tabs>
        <w:snapToGrid w:val="0"/>
        <w:spacing w:after="0" w:line="260" w:lineRule="exact"/>
        <w:rPr>
          <w:rFonts w:ascii="Times New Roman" w:hAnsi="Times New Roman"/>
          <w:vanish/>
        </w:rPr>
      </w:pPr>
    </w:p>
    <w:p w14:paraId="25032C19" w14:textId="77777777" w:rsidR="007E37A3" w:rsidRDefault="007E37A3" w:rsidP="007E37A3">
      <w:pPr>
        <w:tabs>
          <w:tab w:val="left" w:pos="567"/>
        </w:tabs>
        <w:snapToGrid w:val="0"/>
        <w:spacing w:after="0" w:line="260" w:lineRule="exact"/>
        <w:rPr>
          <w:rFonts w:ascii="Times New Roman" w:hAnsi="Times New Roman"/>
          <w:vanish/>
        </w:rPr>
      </w:pPr>
    </w:p>
    <w:p w14:paraId="05BF8484"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MINIMALI INFORMACIJA ANT LIZDINIŲ PLOKŠTELIŲ ARBA DVISLUOKSNIŲ JUOSTELIŲ</w:t>
      </w:r>
    </w:p>
    <w:p w14:paraId="1F4B6FBB"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2C0A201E"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LIZDINĖ PLOKŠTELĖ</w:t>
      </w:r>
    </w:p>
    <w:p w14:paraId="1B7EE7C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E8F998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602E6FB"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w:t>
      </w:r>
    </w:p>
    <w:p w14:paraId="0863F18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D362A79" w14:textId="77777777" w:rsidR="007E37A3" w:rsidRDefault="007E37A3" w:rsidP="007E37A3">
      <w:pPr>
        <w:spacing w:after="0" w:line="240" w:lineRule="auto"/>
        <w:rPr>
          <w:rFonts w:ascii="Times New Roman" w:eastAsia="Times New Roman" w:hAnsi="Times New Roman"/>
        </w:rPr>
      </w:pPr>
      <w:r>
        <w:rPr>
          <w:rFonts w:ascii="Times New Roman" w:eastAsia="Times New Roman" w:hAnsi="Times New Roman"/>
        </w:rPr>
        <w:t>Feneit 25 mg plėvele dengtos tabletės</w:t>
      </w:r>
    </w:p>
    <w:p w14:paraId="2208610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deksketoprofenas</w:t>
      </w:r>
    </w:p>
    <w:p w14:paraId="367E901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069F68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C2379C6"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REGISTRUOTOJO PAVADINIMAS</w:t>
      </w:r>
    </w:p>
    <w:p w14:paraId="28038DE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B66A869"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SIA Ingen Pharma</w:t>
      </w:r>
    </w:p>
    <w:p w14:paraId="1C579C6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1840E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57FF408"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t>TINKAMUMO LAIKAS</w:t>
      </w:r>
    </w:p>
    <w:p w14:paraId="18C19D4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BB02AF" w14:textId="77777777" w:rsidR="007E37A3" w:rsidRDefault="007E37A3" w:rsidP="007E37A3">
      <w:pPr>
        <w:tabs>
          <w:tab w:val="left" w:pos="567"/>
        </w:tabs>
        <w:spacing w:after="0" w:line="240" w:lineRule="auto"/>
        <w:rPr>
          <w:rFonts w:ascii="Times New Roman" w:hAnsi="Times New Roman"/>
        </w:rPr>
      </w:pPr>
      <w:r>
        <w:rPr>
          <w:rFonts w:ascii="Times New Roman" w:eastAsia="Arial Unicode MS" w:hAnsi="Times New Roman"/>
          <w:bCs/>
          <w:color w:val="000000"/>
        </w:rPr>
        <w:t xml:space="preserve">Tinka iki </w:t>
      </w:r>
      <w:r>
        <w:rPr>
          <w:rFonts w:ascii="Times New Roman" w:hAnsi="Times New Roman"/>
          <w:highlight w:val="lightGray"/>
        </w:rPr>
        <w:t>{mm MMMM}</w:t>
      </w:r>
    </w:p>
    <w:p w14:paraId="5F62CA4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BF6729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97B7B1"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t>SERIJOS NUMERIS</w:t>
      </w:r>
    </w:p>
    <w:p w14:paraId="1F6EE63B" w14:textId="77777777" w:rsidR="007E37A3" w:rsidRDefault="007E37A3" w:rsidP="007E37A3">
      <w:pPr>
        <w:spacing w:after="0" w:line="240" w:lineRule="auto"/>
        <w:rPr>
          <w:rFonts w:ascii="Times New Roman" w:eastAsia="Times New Roman" w:hAnsi="Times New Roman"/>
          <w:szCs w:val="20"/>
          <w:lang w:eastAsia="lt-LT"/>
        </w:rPr>
      </w:pPr>
    </w:p>
    <w:p w14:paraId="7C83329B"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Serija</w:t>
      </w:r>
    </w:p>
    <w:p w14:paraId="503967F5" w14:textId="77777777" w:rsidR="007E37A3" w:rsidRDefault="007E37A3" w:rsidP="007E37A3">
      <w:pPr>
        <w:spacing w:after="0" w:line="240" w:lineRule="auto"/>
        <w:rPr>
          <w:rFonts w:ascii="Times New Roman" w:eastAsia="Times New Roman" w:hAnsi="Times New Roman"/>
          <w:szCs w:val="20"/>
          <w:lang w:eastAsia="lt-LT"/>
        </w:rPr>
      </w:pPr>
    </w:p>
    <w:p w14:paraId="4556016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F801593" w14:textId="77777777" w:rsidR="007E37A3" w:rsidRDefault="007E37A3" w:rsidP="007E37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Pr>
          <w:rFonts w:ascii="Times New Roman" w:eastAsia="Times New Roman" w:hAnsi="Times New Roman"/>
          <w:b/>
        </w:rPr>
        <w:t>5.</w:t>
      </w:r>
      <w:r>
        <w:rPr>
          <w:rFonts w:ascii="Times New Roman" w:eastAsia="Times New Roman" w:hAnsi="Times New Roman"/>
          <w:b/>
        </w:rPr>
        <w:tab/>
        <w:t>KITA</w:t>
      </w:r>
    </w:p>
    <w:p w14:paraId="3FC85D6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4B315D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559135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548130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90FABC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93D7A6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68ED44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073A85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00D58E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B17C30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9A2813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A45183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7BED70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F4B708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C29784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DF76E2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84A3A9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2B5A97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E32029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F99E04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D3CEB1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513A42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D8D3AF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E1CFF6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97F308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F751BF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ABF58D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9BFA56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838C824"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bookmarkStart w:id="65" w:name="_Toc129243262"/>
      <w:bookmarkStart w:id="66" w:name="_Toc129243137"/>
    </w:p>
    <w:p w14:paraId="4562EC9D"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7F1C0D36"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7233CA13"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47DC25AD"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639E318A"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46DF7737"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05ED4B08"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7B642168"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4B629921"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209954B1"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3552CBA4"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445B150A"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7542FEE4"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26395E00"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01D7F282"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547F03CC"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27C18726"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p>
    <w:p w14:paraId="466A85B6" w14:textId="77777777" w:rsidR="007E37A3" w:rsidRDefault="007E37A3" w:rsidP="007E37A3">
      <w:pPr>
        <w:tabs>
          <w:tab w:val="left" w:pos="567"/>
        </w:tabs>
        <w:spacing w:after="0" w:line="240" w:lineRule="auto"/>
        <w:ind w:left="567" w:hanging="567"/>
        <w:jc w:val="center"/>
        <w:outlineLvl w:val="0"/>
        <w:rPr>
          <w:rFonts w:ascii="Times New Roman" w:eastAsia="Times New Roman" w:hAnsi="Times New Roman"/>
          <w:b/>
          <w:caps/>
        </w:rPr>
      </w:pPr>
      <w:r>
        <w:rPr>
          <w:rFonts w:ascii="Times New Roman" w:eastAsia="Times New Roman" w:hAnsi="Times New Roman"/>
          <w:b/>
          <w:caps/>
        </w:rPr>
        <w:t>B. PAKUOTĖS LAPELIS</w:t>
      </w:r>
      <w:bookmarkEnd w:id="65"/>
      <w:bookmarkEnd w:id="66"/>
    </w:p>
    <w:p w14:paraId="7F9866D6" w14:textId="77777777" w:rsidR="007E37A3" w:rsidRDefault="007E37A3" w:rsidP="007E37A3">
      <w:pPr>
        <w:keepNext/>
        <w:tabs>
          <w:tab w:val="left" w:pos="567"/>
        </w:tabs>
        <w:spacing w:after="0" w:line="240" w:lineRule="auto"/>
        <w:ind w:left="567" w:hanging="567"/>
        <w:jc w:val="center"/>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Pakuotės lapelis: informacija vartotojui</w:t>
      </w:r>
    </w:p>
    <w:p w14:paraId="14AE2A2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8934712" w14:textId="77777777" w:rsidR="007E37A3" w:rsidRDefault="007E37A3" w:rsidP="007E37A3">
      <w:pPr>
        <w:tabs>
          <w:tab w:val="left" w:pos="426"/>
        </w:tabs>
        <w:spacing w:after="0" w:line="240" w:lineRule="auto"/>
        <w:jc w:val="center"/>
        <w:rPr>
          <w:rFonts w:ascii="Times New Roman" w:eastAsia="Arial Unicode MS" w:hAnsi="Times New Roman"/>
          <w:b/>
          <w:bCs/>
          <w:color w:val="000000"/>
        </w:rPr>
      </w:pPr>
      <w:r>
        <w:rPr>
          <w:rFonts w:ascii="Times New Roman" w:eastAsia="Arial Unicode MS" w:hAnsi="Times New Roman"/>
          <w:b/>
          <w:bCs/>
          <w:color w:val="000000"/>
        </w:rPr>
        <w:t>Feneit 25 mg plėvele dengtos tabletės</w:t>
      </w:r>
    </w:p>
    <w:p w14:paraId="451A6CE2" w14:textId="77777777" w:rsidR="007E37A3" w:rsidRDefault="007E37A3" w:rsidP="007E37A3">
      <w:pPr>
        <w:tabs>
          <w:tab w:val="left" w:pos="426"/>
        </w:tabs>
        <w:spacing w:after="0" w:line="240" w:lineRule="auto"/>
        <w:jc w:val="center"/>
        <w:rPr>
          <w:rFonts w:ascii="Times New Roman" w:eastAsia="Arial Unicode MS" w:hAnsi="Times New Roman"/>
          <w:bCs/>
          <w:color w:val="000000"/>
        </w:rPr>
      </w:pPr>
      <w:r>
        <w:rPr>
          <w:rFonts w:ascii="Times New Roman" w:eastAsia="Arial Unicode MS" w:hAnsi="Times New Roman"/>
          <w:bCs/>
          <w:color w:val="000000"/>
        </w:rPr>
        <w:t>deksketoprofenas</w:t>
      </w:r>
    </w:p>
    <w:p w14:paraId="21CFF0F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15B3B65" w14:textId="77777777" w:rsidR="007E37A3" w:rsidRDefault="007E37A3" w:rsidP="007E37A3">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Atidžiai perskaitykite visą šį lapelį, prieš pradėdami vartoti vaistą, nes jame pateikiama Jums svarbi informacija.</w:t>
      </w:r>
    </w:p>
    <w:p w14:paraId="6402767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Neišmeskite šio lapelio, nes vėl gali prireikti jį perskaityti.</w:t>
      </w:r>
    </w:p>
    <w:p w14:paraId="4D87BF3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kiltų daugiau klausimų, kreipkitės į gydytoją arba vaistininką.</w:t>
      </w:r>
    </w:p>
    <w:p w14:paraId="6BBEC6B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Šis vaistas skirtas tik Jums, todėl kitiems žmonėms jo duoti negalima. Vaistas gali jiems pakenkti (net tiems, kurių ligos simptomai yra tokie patys kaip Jūsų).</w:t>
      </w:r>
    </w:p>
    <w:p w14:paraId="10D952D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pasireiškė sunkus šalutinis poveikis (net jeigu jis šiame lapelyje nenurodytas), kreipkitės į gydytoją arba vaistininką. Žr. 4 skyrių.</w:t>
      </w:r>
    </w:p>
    <w:p w14:paraId="7C4CA4C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35949FF" w14:textId="77777777" w:rsidR="007E37A3" w:rsidRDefault="007E37A3" w:rsidP="007E37A3">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Apie ką rašoma šiame lapelyje?</w:t>
      </w:r>
    </w:p>
    <w:p w14:paraId="33787303" w14:textId="77777777" w:rsidR="007E37A3" w:rsidRDefault="007E37A3" w:rsidP="007E37A3">
      <w:pPr>
        <w:tabs>
          <w:tab w:val="left" w:pos="426"/>
        </w:tabs>
        <w:spacing w:after="0" w:line="240" w:lineRule="auto"/>
        <w:rPr>
          <w:rFonts w:ascii="Times New Roman" w:eastAsia="Arial Unicode MS" w:hAnsi="Times New Roman"/>
          <w:b/>
          <w:bCs/>
          <w:color w:val="000000"/>
        </w:rPr>
      </w:pPr>
    </w:p>
    <w:p w14:paraId="2EE0F67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1.</w:t>
      </w:r>
      <w:r>
        <w:rPr>
          <w:rFonts w:ascii="Times New Roman" w:eastAsia="Arial Unicode MS" w:hAnsi="Times New Roman"/>
          <w:bCs/>
          <w:color w:val="000000"/>
        </w:rPr>
        <w:tab/>
        <w:t>Kas yra Feneit ir kam jis vartojamas</w:t>
      </w:r>
    </w:p>
    <w:p w14:paraId="075CB5F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2.</w:t>
      </w:r>
      <w:r>
        <w:rPr>
          <w:rFonts w:ascii="Times New Roman" w:eastAsia="Arial Unicode MS" w:hAnsi="Times New Roman"/>
          <w:bCs/>
          <w:color w:val="000000"/>
        </w:rPr>
        <w:tab/>
        <w:t xml:space="preserve">Kas žinotina prieš vartojant Feneit </w:t>
      </w:r>
    </w:p>
    <w:p w14:paraId="0ABD59B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3.</w:t>
      </w:r>
      <w:r>
        <w:rPr>
          <w:rFonts w:ascii="Times New Roman" w:eastAsia="Arial Unicode MS" w:hAnsi="Times New Roman"/>
          <w:bCs/>
          <w:color w:val="000000"/>
        </w:rPr>
        <w:tab/>
        <w:t>Kaip vartoti Feneit</w:t>
      </w:r>
    </w:p>
    <w:p w14:paraId="1D276F9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4.</w:t>
      </w:r>
      <w:r>
        <w:rPr>
          <w:rFonts w:ascii="Times New Roman" w:eastAsia="Arial Unicode MS" w:hAnsi="Times New Roman"/>
          <w:bCs/>
          <w:color w:val="000000"/>
        </w:rPr>
        <w:tab/>
        <w:t>Galimas šalutinis poveikis</w:t>
      </w:r>
    </w:p>
    <w:p w14:paraId="0CEFB5F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5.</w:t>
      </w:r>
      <w:r>
        <w:rPr>
          <w:rFonts w:ascii="Times New Roman" w:eastAsia="Arial Unicode MS" w:hAnsi="Times New Roman"/>
          <w:bCs/>
          <w:color w:val="000000"/>
        </w:rPr>
        <w:tab/>
        <w:t>Kaip laikyti Feneit</w:t>
      </w:r>
    </w:p>
    <w:p w14:paraId="63257A1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6.</w:t>
      </w:r>
      <w:r>
        <w:rPr>
          <w:rFonts w:ascii="Times New Roman" w:eastAsia="Arial Unicode MS" w:hAnsi="Times New Roman"/>
          <w:bCs/>
          <w:color w:val="000000"/>
        </w:rPr>
        <w:tab/>
        <w:t>Pakuotės turinys ir kita informacija</w:t>
      </w:r>
    </w:p>
    <w:p w14:paraId="2FCA5DC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17CCB2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B8A568F"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67" w:name="_Toc129243264"/>
      <w:bookmarkStart w:id="68" w:name="_Toc129243139"/>
      <w:r>
        <w:rPr>
          <w:rFonts w:ascii="Times New Roman" w:eastAsia="Times New Roman" w:hAnsi="Times New Roman"/>
          <w:b/>
        </w:rPr>
        <w:t>1.</w:t>
      </w:r>
      <w:r>
        <w:rPr>
          <w:rFonts w:ascii="Times New Roman" w:eastAsia="Times New Roman" w:hAnsi="Times New Roman"/>
          <w:b/>
        </w:rPr>
        <w:tab/>
        <w:t>Kas yra Feneit ir kam jis vartojamas</w:t>
      </w:r>
    </w:p>
    <w:bookmarkEnd w:id="67"/>
    <w:bookmarkEnd w:id="68"/>
    <w:p w14:paraId="7527790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65BC98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yra vaistas skausmui malšinti, priklausantis vadinamųjų nesteroidinių vaistų nuo uždegimo grupei (NVNU).</w:t>
      </w:r>
    </w:p>
    <w:p w14:paraId="0A4FA54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vartojamas silpno ir vidutinio stiprumo raumenų, kaulų, mėnesinių bei dantų skausmui malšinti.</w:t>
      </w:r>
    </w:p>
    <w:p w14:paraId="2C83543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54315F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9AE0629"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69" w:name="_Toc129243265"/>
      <w:bookmarkStart w:id="70" w:name="_Toc129243140"/>
      <w:r>
        <w:rPr>
          <w:rFonts w:ascii="Times New Roman" w:eastAsia="Times New Roman" w:hAnsi="Times New Roman"/>
          <w:b/>
        </w:rPr>
        <w:t>2.</w:t>
      </w:r>
      <w:r>
        <w:rPr>
          <w:rFonts w:ascii="Times New Roman" w:eastAsia="Times New Roman" w:hAnsi="Times New Roman"/>
          <w:b/>
        </w:rPr>
        <w:tab/>
        <w:t xml:space="preserve">Kas žinotina prieš vartojant Feneit </w:t>
      </w:r>
      <w:bookmarkEnd w:id="69"/>
      <w:bookmarkEnd w:id="70"/>
    </w:p>
    <w:p w14:paraId="642F288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0330137"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Feneit vartoti draudžiama:</w:t>
      </w:r>
    </w:p>
    <w:p w14:paraId="3FC24E9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yra alergija veikliajai medžiagai arba bet kuriai pagalbinei šio vaisto medžiagai (jos išvardytos 6 skyriuje);</w:t>
      </w:r>
    </w:p>
    <w:p w14:paraId="1C4E6FE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alergiškas acetilsalicilo rūgščiai ar kitiems nesteroidiniams vaistams nuo uždegimo;</w:t>
      </w:r>
    </w:p>
    <w:p w14:paraId="082869E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astma arba po acetilsalicilo rūgšties arba kitų nesteroidinių vaistų nuo uždegimo vartojimo yra buvę astmos priepuolių, ūminis alerginis rinitas (trumpalaikis uždegiminės kilmės nosies užgulimas), nosies polipų (dėl alergijos susidariusios išaugos nosyje), dilgėline (odos išbėrimas), angioneurozine edema (veido, akių, lūpų arba liežuvio patinimas arba kvėpavimo sutrikimas) arba švokštimas krūtinėje;</w:t>
      </w:r>
    </w:p>
    <w:p w14:paraId="1173B37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vartojant ketoprofeno (nesteroidinio vaisto nuo uždegimo) arba fibratų (vaistų, mažinančių riebalų kiekį kraujyje) jums pasireiškė alerginės arba toksinės reakcijos į šviesą (ypač jeigu dėl saulės poveikio paraudo oda ir (arba) atsirado odos pūslių);</w:t>
      </w:r>
    </w:p>
    <w:p w14:paraId="1EB888F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pepsine opa, kraujuoja iš skrandžio ar žarnyno arba praeityje yra buvęs skrandžio ar žarnyno kraujavimas, išopėjimas ar perforacija;</w:t>
      </w:r>
    </w:p>
    <w:p w14:paraId="286B301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turite lėtinių virškinimo sutrikimų (sutrikęs virškinimas, rėmuo);</w:t>
      </w:r>
    </w:p>
    <w:p w14:paraId="331FC8D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anksčiau vartojant nesteroidinių vaistų nuo uždegimo skausmui malšinti pasireiškė virškinimo trakto kraujavimas arba perforacija;</w:t>
      </w:r>
    </w:p>
    <w:p w14:paraId="65683FE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lėtinėmis virškinimo trakto ligomis (Krono liga ar opiniu kolitu);</w:t>
      </w:r>
    </w:p>
    <w:p w14:paraId="6B67BD4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Jums yra nustatytas sunkus širdies nepakankamumas, vidutinio sunkumo ar sunkus inkstų funkcijos sutrikimas arba sunkus kepenų veiklos sutrikimas;</w:t>
      </w:r>
    </w:p>
    <w:p w14:paraId="05D465F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        jeigu Jums yra nustatytas polinkis kraujuoti ar kraujo krešumo sutrikimas;</w:t>
      </w:r>
    </w:p>
    <w:p w14:paraId="4059930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yra ūmi dehidratacija (praradote daug kūno skysčių) dėl vėmimo, viduriavimo ar nepakankamo kiekio skysčių vartojimo;</w:t>
      </w:r>
    </w:p>
    <w:p w14:paraId="476A072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nėščia trečią trimestrą arba žindote kūdikį;</w:t>
      </w:r>
    </w:p>
    <w:p w14:paraId="49A2137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9D11544"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Įspėjimai ir atsargumo priemonės</w:t>
      </w:r>
    </w:p>
    <w:p w14:paraId="1529C086" w14:textId="77777777" w:rsidR="007E37A3" w:rsidRDefault="007E37A3" w:rsidP="007E37A3">
      <w:pPr>
        <w:spacing w:after="0" w:line="220" w:lineRule="exact"/>
        <w:rPr>
          <w:rFonts w:ascii="Times New Roman" w:eastAsia="Times New Roman" w:hAnsi="Times New Roman"/>
          <w:bCs/>
        </w:rPr>
      </w:pPr>
      <w:r>
        <w:rPr>
          <w:rFonts w:ascii="Times New Roman" w:eastAsia="Times New Roman" w:hAnsi="Times New Roman"/>
          <w:bCs/>
        </w:rPr>
        <w:t>Pasitarkite su gydytoju arba vaistininku, prieš pradėdami vartoti Feneit:</w:t>
      </w:r>
    </w:p>
    <w:p w14:paraId="7DCBA0F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ar sirgote alerginėmis ligomis;</w:t>
      </w:r>
    </w:p>
    <w:p w14:paraId="07EAAD6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        jeigu sergate arba sirgote inkstų, kepenų ar širdies ligomis (hipertenzija ir (arba) širdies </w:t>
      </w:r>
    </w:p>
    <w:p w14:paraId="510AE62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nepakankamumu), arba jeigu yra kitų aplinkybių, dėl kurių gali sutrikti skysčių išsiskyrimas;</w:t>
      </w:r>
    </w:p>
    <w:p w14:paraId="2A2CB75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vartojate šlapimo išsiskyrimą skatinančių vaistų (diuretikų), dėl gausaus skysčių netekimo (pvz., dėl gausaus šlapinimosi, viduriavimo arba vėmimo) organizme nepakanka skysčių arba jeigu yra sumažėjęs kraujo tūris;</w:t>
      </w:r>
    </w:p>
    <w:p w14:paraId="1083706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Jūsų širdies veikla yra sutrikusi, patyrėte insultą arba galvojate, kad Jums galėtų grėsti šios būklės (pavyzdžiui, jūsų kraujospūdis yra padidėjęs, sergate diabetu, yra padidėjęs cholesterolio kiekis arba rūkote), turite aptarti gydymą su savo gydytoju arba vaistininku; tokių vaistų kaip Feneit vartojimas gali būti susijęs su nedideliu širdies priepuolio (miokardo infarkto) ar insulto rizikos padidėjimu. Rizika padidėja, kai vaisto vartojamos dozės didelės arba kai jo vartojama ilgai. Neviršykite rekomenduotos dozės ar gydymo trukmės;</w:t>
      </w:r>
    </w:p>
    <w:p w14:paraId="1D7B344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senyvo amžiaus jums gali dažniau pasireikšti šalutinis poveikis (žr. 4 skyrių). Jei atsiranda jo požymių, nedelsdami pasitarkite su gydytoju;</w:t>
      </w:r>
    </w:p>
    <w:p w14:paraId="1A911EA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esate moteris ir yra sutrikęs jūsų vaisingumas (Feneit gali sutrikdyti moterų vaisingumą, jo negalima vartoti norinčioms pastoti moterims. Moterims, kurioms sunku pastoti ir kurios tiriamos dėl nevaisingumo, Feneit</w:t>
      </w:r>
      <w:r>
        <w:rPr>
          <w:rFonts w:ascii="Times New Roman" w:eastAsia="Arial Unicode MS" w:hAnsi="Times New Roman"/>
          <w:b/>
          <w:bCs/>
          <w:i/>
          <w:color w:val="000000"/>
        </w:rPr>
        <w:t xml:space="preserve"> </w:t>
      </w:r>
      <w:r>
        <w:rPr>
          <w:rFonts w:ascii="Times New Roman" w:eastAsia="Arial Unicode MS" w:hAnsi="Times New Roman"/>
          <w:bCs/>
          <w:color w:val="000000"/>
        </w:rPr>
        <w:t>vartojimą reikėtų nutraukti);</w:t>
      </w:r>
    </w:p>
    <w:p w14:paraId="4C51892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kraujodaros sistemos ligomis;</w:t>
      </w:r>
    </w:p>
    <w:p w14:paraId="6F0704D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sistemine raudonąja vilklige ar mišriomis jungiamojo audinio ligomis (imuninės sistemos ligomis, pažeidžiančiomis jungiamąjį audinį);</w:t>
      </w:r>
    </w:p>
    <w:p w14:paraId="7B509E7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sirgote lėtinėmis virškinimo trakto ligomis (Krono liga ar opiniu kolitu);</w:t>
      </w:r>
    </w:p>
    <w:p w14:paraId="5EDD163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arba sirgote virškinimo trakto ligomis;</w:t>
      </w:r>
    </w:p>
    <w:p w14:paraId="62AA697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infekcinėmis ligomis - žr. skyrių „Infekcijos“ žemiau;</w:t>
      </w:r>
    </w:p>
    <w:p w14:paraId="3E9BDAA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vartojate kitų vaistų, kurie padidina pepsinės opos ar kraujavimo riziką, pvz., geriamųjų steroidinių vaistų, kai kurių vaistų nuo depresijos (selektyviųjų serotonino reabsorbcijos inhibitorių), nuo kraujo krešėjimo apsaugančių vaistų, pvz., acetilsalicilo rūgšties, arba kraujo krešumą slopinančių vaistų, pvz., varfarino. Tokiais atvejais, prieš vartodami Feneit, pasitarkite su gydytoju; jis (ji) gali Jums paskirti vartoti papildomai vaistų, apsaugančių jūsų skrandį (pvz., mizoprostolio arba vaistų, slopinančių skrandžio sulčių susidarymą);</w:t>
      </w:r>
    </w:p>
    <w:p w14:paraId="7C1F56B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jeigu sergate astma ir kartu lėtiniu rinitu, lėtiniu sinusitu ir (arba) nosies polipais, nes Jums, palyginti su bendra populiacija, yra didesnė alerginių reakcijų rizika vartojant acetilsalicilo rūgšties ir (arba) NVNU. Šio vaisto vartojimas gali sukelti astmos arba bronchų spazmo priepuolius, ypač acetilsalicilo rūgščiai arba NVNU jautriems pacientams.</w:t>
      </w:r>
    </w:p>
    <w:p w14:paraId="594F5AF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4627CF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Infekcijos</w:t>
      </w:r>
    </w:p>
    <w:p w14:paraId="61600C0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CB9762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gali paslėpti tokius infekcijų požymius kaip karščiavimas ir skausmas. Todėl gali būti, kad vartojant Feneit gali būti vėluojama pradėti tinkamą gydymą, o dėl to gali padidėti komplikacijų rizika. Tokių atvejų nustatyta gydant bakterijų sukeltą pneumoniją ir su vėjaraupiais susijusias bakterines odos infekcijas. Jeigu vartojate šio vaisto sirgdami infekcine liga ir Jums pasireiškiantys infekcijos simptomai neišnyksta arba sunkėja, nedelsdami pasitarkite su gydytoju.</w:t>
      </w:r>
    </w:p>
    <w:p w14:paraId="6448798B" w14:textId="62EFD00D" w:rsidR="00CC2D9B" w:rsidRDefault="007E37A3" w:rsidP="007E37A3">
      <w:pPr>
        <w:tabs>
          <w:tab w:val="left" w:pos="426"/>
        </w:tabs>
        <w:spacing w:after="0" w:line="240" w:lineRule="auto"/>
        <w:rPr>
          <w:rFonts w:ascii="Times New Roman" w:eastAsia="Arial Unicode MS" w:hAnsi="Times New Roman"/>
          <w:bCs/>
          <w:color w:val="000000"/>
        </w:rPr>
      </w:pPr>
      <w:r w:rsidRPr="007E37A3">
        <w:rPr>
          <w:rFonts w:ascii="Times New Roman" w:eastAsia="Arial Unicode MS" w:hAnsi="Times New Roman"/>
          <w:bCs/>
          <w:color w:val="000000"/>
        </w:rPr>
        <w:t>Sergant vėjaraupiais, šio vaisto patartina vengti</w:t>
      </w:r>
      <w:r w:rsidR="00CC2D9B">
        <w:rPr>
          <w:rFonts w:ascii="Times New Roman" w:eastAsia="Arial Unicode MS" w:hAnsi="Times New Roman"/>
          <w:bCs/>
          <w:color w:val="000000"/>
        </w:rPr>
        <w:t>.</w:t>
      </w:r>
    </w:p>
    <w:p w14:paraId="2B2A7E3A" w14:textId="77777777" w:rsidR="00CE5406" w:rsidRDefault="00CE5406" w:rsidP="007E37A3">
      <w:pPr>
        <w:tabs>
          <w:tab w:val="left" w:pos="426"/>
        </w:tabs>
        <w:spacing w:after="0" w:line="240" w:lineRule="auto"/>
        <w:rPr>
          <w:rFonts w:ascii="Times New Roman" w:eastAsia="Arial Unicode MS" w:hAnsi="Times New Roman"/>
          <w:bCs/>
          <w:color w:val="000000"/>
        </w:rPr>
      </w:pPr>
    </w:p>
    <w:p w14:paraId="21B3B2BA" w14:textId="77777777" w:rsidR="00CE5406" w:rsidRPr="00CE5406" w:rsidRDefault="00CE5406" w:rsidP="00CE5406">
      <w:pPr>
        <w:pStyle w:val="BT-EMEASMCA"/>
      </w:pPr>
      <w:r w:rsidRPr="00CE5406">
        <w:rPr>
          <w:i/>
          <w:iCs/>
        </w:rPr>
        <w:t>Kounis</w:t>
      </w:r>
      <w:r w:rsidRPr="00CE5406">
        <w:t xml:space="preserve"> sindromas</w:t>
      </w:r>
    </w:p>
    <w:p w14:paraId="5870C330" w14:textId="05DC4644" w:rsidR="00CE5406" w:rsidRPr="00CE5406" w:rsidRDefault="00CE5406" w:rsidP="00CE5406">
      <w:pPr>
        <w:tabs>
          <w:tab w:val="left" w:pos="426"/>
        </w:tabs>
        <w:spacing w:after="0" w:line="240" w:lineRule="auto"/>
        <w:rPr>
          <w:rFonts w:ascii="Times New Roman" w:eastAsia="Arial Unicode MS" w:hAnsi="Times New Roman"/>
          <w:bCs/>
          <w:color w:val="000000"/>
        </w:rPr>
      </w:pPr>
      <w:r w:rsidRPr="00D512A6">
        <w:rPr>
          <w:rFonts w:ascii="Times New Roman" w:hAnsi="Times New Roman"/>
        </w:rPr>
        <w:lastRenderedPageBreak/>
        <w:t>Pranešta apie alerginės reakcijos į šį vaistą požymius, įskaitant kvėpavimo sutrikimus, veido ir kaklo srities patinimą (</w:t>
      </w:r>
      <w:proofErr w:type="spellStart"/>
      <w:r w:rsidRPr="00D512A6">
        <w:rPr>
          <w:rFonts w:ascii="Times New Roman" w:hAnsi="Times New Roman"/>
        </w:rPr>
        <w:t>angioneurozinę</w:t>
      </w:r>
      <w:proofErr w:type="spellEnd"/>
      <w:r w:rsidRPr="00D512A6">
        <w:rPr>
          <w:rFonts w:ascii="Times New Roman" w:hAnsi="Times New Roman"/>
        </w:rPr>
        <w:t xml:space="preserve"> edemą), krūtinės skausmą. Pastebėję bet kurį iš šių požymių, nedelsdami nutraukite </w:t>
      </w:r>
      <w:proofErr w:type="spellStart"/>
      <w:r w:rsidRPr="00D512A6">
        <w:rPr>
          <w:rFonts w:ascii="Times New Roman" w:hAnsi="Times New Roman"/>
        </w:rPr>
        <w:t>deksketoprofeno</w:t>
      </w:r>
      <w:proofErr w:type="spellEnd"/>
      <w:r w:rsidRPr="00D512A6">
        <w:rPr>
          <w:rFonts w:ascii="Times New Roman" w:hAnsi="Times New Roman"/>
        </w:rPr>
        <w:t xml:space="preserve"> vartojimą ir iš karto kreipkitės į gydytoją arba skubiosios medicinos pagalbos.</w:t>
      </w:r>
    </w:p>
    <w:p w14:paraId="366773D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9D50EC6"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Vaikams ir paaugliams</w:t>
      </w:r>
    </w:p>
    <w:p w14:paraId="3DA496D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nebuvo tiriamas su vaikais ir paaugliais. Todėl Feneit saugumas ir veiksmingumas vaikams ir paaugliams neištirti. Šiuo vaistu vaikai ir paaugliai neturėtų būti gydomi.</w:t>
      </w:r>
    </w:p>
    <w:p w14:paraId="6E3AEEC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5E6FEC4"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Kiti vaistai ir Feneit</w:t>
      </w:r>
    </w:p>
    <w:p w14:paraId="69C8812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vartojate ar neseniai vartojote kitų vaistų arba dėl to nesate tikri, apie tai pasakykite gydytojui arba vaistininkui. Kai kurių vaistų kartu vartoti negalima, kitų vaistų dozę gali prireikti sumažinti, jei jie vartojami kartu.</w:t>
      </w:r>
    </w:p>
    <w:p w14:paraId="4C0F170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Visuomet pasakykite gydytojui, odontologui arba vaistininkui, jei kartu su Feneit vartojate žemiau išvardytų vaistų.</w:t>
      </w:r>
    </w:p>
    <w:p w14:paraId="79F4007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0C2147F" w14:textId="77777777" w:rsidR="007E37A3" w:rsidRDefault="007E37A3" w:rsidP="007E37A3">
      <w:pPr>
        <w:tabs>
          <w:tab w:val="left" w:pos="426"/>
        </w:tabs>
        <w:spacing w:after="0" w:line="240" w:lineRule="auto"/>
        <w:rPr>
          <w:rFonts w:ascii="Times New Roman" w:eastAsia="Arial Unicode MS" w:hAnsi="Times New Roman"/>
          <w:color w:val="000000"/>
          <w:u w:val="single"/>
        </w:rPr>
      </w:pPr>
      <w:r>
        <w:rPr>
          <w:rFonts w:ascii="Times New Roman" w:eastAsia="Arial Unicode MS" w:hAnsi="Times New Roman"/>
          <w:color w:val="000000"/>
          <w:u w:val="single"/>
        </w:rPr>
        <w:t>Nerekomenduojami deriniai su:</w:t>
      </w:r>
    </w:p>
    <w:p w14:paraId="5099020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acetilsalicilo rūgštimi (aspirinu), kortikosteroidais arba kitais vaistais nuo uždegimo;</w:t>
      </w:r>
    </w:p>
    <w:p w14:paraId="18EEF79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varfarinu, heparinu arba kitais vaistais, vartojamais trombozių profilaktikai;</w:t>
      </w:r>
    </w:p>
    <w:p w14:paraId="229C64A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ličiu, vartojamu tam tikroms ligoms, susijusioms su nuotaikos sutrikimu, gydyti;</w:t>
      </w:r>
    </w:p>
    <w:p w14:paraId="64CDE82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metotreksatu, vartojamu vėžiui ir reumatinėms ligoms gydyti, vartojamu didelėmis dozėmis 15 mg/savaitei;</w:t>
      </w:r>
    </w:p>
    <w:p w14:paraId="4A5014AE"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su hidantoinais ir fenitoinu, vartojamais epilepsijai gydyti;</w:t>
      </w:r>
    </w:p>
    <w:p w14:paraId="7D36425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sulfametoksazolu, vartojamu bakterijų sukeltoms infekcinėms ligoms gydyti.</w:t>
      </w:r>
    </w:p>
    <w:p w14:paraId="259C938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2D435E7" w14:textId="77777777" w:rsidR="007E37A3" w:rsidRDefault="007E37A3" w:rsidP="007E37A3">
      <w:pPr>
        <w:spacing w:after="0" w:line="240" w:lineRule="auto"/>
        <w:ind w:left="540" w:hanging="540"/>
        <w:rPr>
          <w:rFonts w:ascii="Times New Roman" w:eastAsia="Times New Roman" w:hAnsi="Times New Roman"/>
          <w:bCs/>
          <w:u w:val="single"/>
        </w:rPr>
      </w:pPr>
      <w:r>
        <w:rPr>
          <w:rFonts w:ascii="Times New Roman" w:eastAsia="Times New Roman" w:hAnsi="Times New Roman"/>
          <w:bCs/>
          <w:u w:val="single"/>
        </w:rPr>
        <w:t>Galima vartoti laikantis atsargumo su:</w:t>
      </w:r>
    </w:p>
    <w:p w14:paraId="22249791" w14:textId="77777777" w:rsidR="007E37A3" w:rsidRDefault="007E37A3" w:rsidP="007E37A3">
      <w:pPr>
        <w:spacing w:after="0" w:line="240" w:lineRule="auto"/>
        <w:ind w:left="540" w:hanging="540"/>
        <w:rPr>
          <w:rFonts w:ascii="Times New Roman" w:eastAsia="Times New Roman" w:hAnsi="Times New Roman"/>
          <w:bCs/>
        </w:rPr>
      </w:pPr>
      <w:r>
        <w:rPr>
          <w:rFonts w:ascii="Times New Roman" w:eastAsia="Times New Roman" w:hAnsi="Times New Roman"/>
          <w:bCs/>
        </w:rPr>
        <w:t>-        angiotenziną konvertuojančio fermento (AKF) inhibitoriais, diuretikais, beta adrenoblokatoriais ir angiotenzino II receptorių blokatoriais, vartojamais padidėjusiam kraujospūdžiui mažinti ir širdies ligoms gydyti;</w:t>
      </w:r>
    </w:p>
    <w:p w14:paraId="70D75570" w14:textId="77777777" w:rsidR="007E37A3" w:rsidRDefault="007E37A3" w:rsidP="007E37A3">
      <w:pPr>
        <w:spacing w:after="0" w:line="240" w:lineRule="auto"/>
        <w:rPr>
          <w:rFonts w:ascii="Times New Roman" w:eastAsia="Times New Roman" w:hAnsi="Times New Roman"/>
          <w:bCs/>
        </w:rPr>
      </w:pPr>
      <w:r>
        <w:rPr>
          <w:rFonts w:ascii="Times New Roman" w:eastAsia="Times New Roman" w:hAnsi="Times New Roman"/>
          <w:bCs/>
        </w:rPr>
        <w:t>-        pentoksifilinu ir okspentifilinu, vartojamais esant lėtinėms opoms dėl venų išsiplėtimo;</w:t>
      </w:r>
    </w:p>
    <w:p w14:paraId="0FF5B0A3" w14:textId="77777777" w:rsidR="007E37A3" w:rsidRDefault="007E37A3" w:rsidP="007E37A3">
      <w:pPr>
        <w:spacing w:after="0" w:line="240" w:lineRule="auto"/>
        <w:ind w:left="540" w:hanging="540"/>
        <w:rPr>
          <w:rFonts w:ascii="Times New Roman" w:eastAsia="Times New Roman" w:hAnsi="Times New Roman"/>
          <w:bCs/>
        </w:rPr>
      </w:pPr>
      <w:r>
        <w:rPr>
          <w:rFonts w:ascii="Times New Roman" w:eastAsia="Times New Roman" w:hAnsi="Times New Roman"/>
          <w:bCs/>
        </w:rPr>
        <w:t>-        zidovudinu, vartojamu virusų sukeltoms infekcinėms ligoms gydyti;</w:t>
      </w:r>
    </w:p>
    <w:p w14:paraId="5F8615EF" w14:textId="77777777" w:rsidR="007E37A3" w:rsidRDefault="007E37A3" w:rsidP="007E37A3">
      <w:pPr>
        <w:spacing w:after="0" w:line="240" w:lineRule="auto"/>
        <w:ind w:left="540" w:hanging="540"/>
        <w:rPr>
          <w:rFonts w:ascii="Times New Roman" w:eastAsia="Times New Roman" w:hAnsi="Times New Roman"/>
          <w:bCs/>
        </w:rPr>
      </w:pPr>
      <w:r>
        <w:rPr>
          <w:rFonts w:ascii="Times New Roman" w:eastAsia="Times New Roman" w:hAnsi="Times New Roman"/>
          <w:bCs/>
        </w:rPr>
        <w:t>-        aminoglikozidų grupės antibiotikais, vartojamais bakterijų sukeltoms infekcinėms ligoms gydyti;</w:t>
      </w:r>
    </w:p>
    <w:p w14:paraId="36045EEC" w14:textId="77777777" w:rsidR="007E37A3" w:rsidRDefault="007E37A3" w:rsidP="007E37A3">
      <w:pPr>
        <w:spacing w:after="0" w:line="240" w:lineRule="auto"/>
        <w:ind w:left="540" w:hanging="540"/>
        <w:rPr>
          <w:rFonts w:ascii="Times New Roman" w:eastAsia="Times New Roman" w:hAnsi="Times New Roman"/>
          <w:bCs/>
        </w:rPr>
      </w:pPr>
      <w:r>
        <w:rPr>
          <w:rFonts w:ascii="Times New Roman" w:eastAsia="Times New Roman" w:hAnsi="Times New Roman"/>
          <w:bCs/>
        </w:rPr>
        <w:t>-        chlorpropamidu ir glibenklamidu, vartojamais cukriniam diabetui gydyti;</w:t>
      </w:r>
    </w:p>
    <w:p w14:paraId="60BA4931" w14:textId="42F85458" w:rsidR="007E37A3" w:rsidRDefault="00CE5406" w:rsidP="007E37A3">
      <w:pPr>
        <w:spacing w:after="0" w:line="240" w:lineRule="auto"/>
        <w:ind w:left="540" w:hanging="540"/>
        <w:rPr>
          <w:rFonts w:ascii="Times New Roman" w:eastAsia="Times New Roman" w:hAnsi="Times New Roman"/>
          <w:bCs/>
        </w:rPr>
      </w:pPr>
      <w:r w:rsidRPr="00CC2D9B">
        <w:rPr>
          <w:rFonts w:ascii="Times New Roman" w:hAnsi="Times New Roman"/>
        </w:rPr>
        <w:t xml:space="preserve">- </w:t>
      </w:r>
      <w:r>
        <w:rPr>
          <w:rFonts w:ascii="Times New Roman" w:hAnsi="Times New Roman"/>
        </w:rPr>
        <w:t xml:space="preserve">       </w:t>
      </w:r>
      <w:bookmarkStart w:id="71" w:name="_Hlk121927503"/>
      <w:r w:rsidR="007E37A3">
        <w:rPr>
          <w:rFonts w:ascii="Times New Roman" w:eastAsia="Times New Roman" w:hAnsi="Times New Roman"/>
          <w:bCs/>
          <w:lang w:val="fi-FI"/>
        </w:rPr>
        <w:t>metotreksatu, vartojamu mažomis dozėmis, mažiau nei 15 mg/savaitei</w:t>
      </w:r>
      <w:r w:rsidR="007E37A3">
        <w:rPr>
          <w:rFonts w:ascii="Times New Roman" w:eastAsia="Times New Roman" w:hAnsi="Times New Roman"/>
          <w:bCs/>
        </w:rPr>
        <w:t>.</w:t>
      </w:r>
      <w:bookmarkEnd w:id="71"/>
    </w:p>
    <w:p w14:paraId="641A0A08" w14:textId="77777777" w:rsidR="007E37A3" w:rsidRDefault="007E37A3" w:rsidP="00CC2D9B">
      <w:pPr>
        <w:spacing w:after="0" w:line="240" w:lineRule="auto"/>
        <w:rPr>
          <w:rFonts w:ascii="Times New Roman" w:eastAsia="Times New Roman" w:hAnsi="Times New Roman"/>
          <w:bCs/>
        </w:rPr>
      </w:pPr>
    </w:p>
    <w:p w14:paraId="55FFB051" w14:textId="77777777" w:rsidR="007E37A3" w:rsidRDefault="007E37A3" w:rsidP="007E37A3">
      <w:pPr>
        <w:tabs>
          <w:tab w:val="left" w:pos="426"/>
        </w:tabs>
        <w:spacing w:after="0" w:line="240" w:lineRule="auto"/>
        <w:rPr>
          <w:rFonts w:ascii="Times New Roman" w:eastAsia="Arial Unicode MS" w:hAnsi="Times New Roman"/>
          <w:color w:val="000000"/>
          <w:u w:val="single"/>
        </w:rPr>
      </w:pPr>
    </w:p>
    <w:p w14:paraId="4D1C0458" w14:textId="77777777" w:rsidR="007E37A3" w:rsidRDefault="007E37A3" w:rsidP="007E37A3">
      <w:pPr>
        <w:tabs>
          <w:tab w:val="left" w:pos="426"/>
        </w:tabs>
        <w:spacing w:after="0" w:line="240" w:lineRule="auto"/>
        <w:rPr>
          <w:rFonts w:ascii="Times New Roman" w:eastAsia="Arial Unicode MS" w:hAnsi="Times New Roman"/>
          <w:color w:val="000000"/>
          <w:u w:val="single"/>
        </w:rPr>
      </w:pPr>
      <w:r>
        <w:rPr>
          <w:rFonts w:ascii="Times New Roman" w:eastAsia="Arial Unicode MS" w:hAnsi="Times New Roman"/>
          <w:color w:val="000000"/>
          <w:u w:val="single"/>
        </w:rPr>
        <w:t>Galima vartoti atkreipiant dėmesį, su:</w:t>
      </w:r>
    </w:p>
    <w:p w14:paraId="46DF738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chinolonais (antibakteriniai vaistai), pvz., ciprofloksacinu, levofloksacinu, vartojamais bakterijų sukeltoms infekcinėms ligoms gydyti;</w:t>
      </w:r>
    </w:p>
    <w:p w14:paraId="05607198" w14:textId="77777777" w:rsidR="007E37A3" w:rsidRDefault="007E37A3" w:rsidP="007E37A3">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ciklosporinu arba takrolimuzu, vartojamais sergant kai kuriomis imuninės sistemos ligomis, taip pat po organų transplantacijos;</w:t>
      </w:r>
    </w:p>
    <w:p w14:paraId="5FF27C61" w14:textId="77777777" w:rsidR="007E37A3" w:rsidRDefault="007E37A3" w:rsidP="007E37A3">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xml:space="preserve">-       streptokinaze ir kitais trombolitikais ar fibrinolitikais, tai yra vaistais, vartojamais trombams tirpinti; </w:t>
      </w:r>
    </w:p>
    <w:p w14:paraId="749A7CD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probenecidu, t. y. vaistu nuo podagros;</w:t>
      </w:r>
    </w:p>
    <w:p w14:paraId="65B50C2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digoksinu, vartojamu lėtiniam širdies nepakankamumui gydyti;</w:t>
      </w:r>
    </w:p>
    <w:p w14:paraId="6D9FA39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mifepristonu, vartojamu abortui sukelti (nėštumui užbaigti);</w:t>
      </w:r>
    </w:p>
    <w:p w14:paraId="20546C0B" w14:textId="77777777" w:rsidR="007E37A3" w:rsidRDefault="007E37A3" w:rsidP="007E37A3">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selektyviaisiais serotonino reabsorbcijos inhibitoriais, t. y. vaistais nuo depresijos;</w:t>
      </w:r>
    </w:p>
    <w:p w14:paraId="61C1A9DA" w14:textId="77777777" w:rsidR="007E37A3" w:rsidRDefault="007E37A3" w:rsidP="007E37A3">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vaistais mažinančiais trombocitų agregaciją ir kraujo  krešulių susidarymą;</w:t>
      </w:r>
    </w:p>
    <w:p w14:paraId="5D9DF17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beta adrenoblokatoriai, vaistai aukšto kraujospūdžio ir širdies problemoms;</w:t>
      </w:r>
    </w:p>
    <w:p w14:paraId="0F44C024" w14:textId="77777777" w:rsidR="007E37A3" w:rsidRDefault="007E37A3" w:rsidP="007E37A3">
      <w:pPr>
        <w:tabs>
          <w:tab w:val="left" w:pos="426"/>
        </w:tabs>
        <w:spacing w:after="0" w:line="240" w:lineRule="auto"/>
        <w:rPr>
          <w:rFonts w:ascii="Times New Roman" w:eastAsia="Arial Unicode MS" w:hAnsi="Times New Roman"/>
          <w:color w:val="000000"/>
        </w:rPr>
      </w:pPr>
      <w:r>
        <w:rPr>
          <w:rFonts w:ascii="Times New Roman" w:eastAsia="Arial Unicode MS" w:hAnsi="Times New Roman"/>
          <w:color w:val="000000"/>
        </w:rPr>
        <w:t>-       tenofoviras, deferasiroksas, pemetreksedas.</w:t>
      </w:r>
    </w:p>
    <w:p w14:paraId="5B8BE61D" w14:textId="77777777" w:rsidR="007E37A3" w:rsidRDefault="007E37A3" w:rsidP="007E37A3">
      <w:pPr>
        <w:tabs>
          <w:tab w:val="left" w:pos="426"/>
        </w:tabs>
        <w:spacing w:after="0" w:line="240" w:lineRule="auto"/>
        <w:rPr>
          <w:rFonts w:ascii="Times New Roman" w:eastAsia="Arial Unicode MS" w:hAnsi="Times New Roman"/>
          <w:color w:val="000000"/>
        </w:rPr>
      </w:pPr>
    </w:p>
    <w:p w14:paraId="2107D9D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 kiltų neaiškumų dėl kitų vaistų vartojimo kartu su Feneit, pasitarkite su gydytoju arba vaistininku.</w:t>
      </w:r>
    </w:p>
    <w:p w14:paraId="453D4893" w14:textId="77777777" w:rsidR="007E37A3" w:rsidRDefault="007E37A3" w:rsidP="007E37A3">
      <w:pPr>
        <w:spacing w:after="0" w:line="240" w:lineRule="auto"/>
        <w:rPr>
          <w:rFonts w:ascii="Times New Roman" w:eastAsia="Times New Roman" w:hAnsi="Times New Roman"/>
          <w:szCs w:val="20"/>
          <w:lang w:eastAsia="lt-LT"/>
        </w:rPr>
      </w:pPr>
    </w:p>
    <w:p w14:paraId="5B161B13"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Feneit vartojimas su maistu ir gėrimais</w:t>
      </w:r>
    </w:p>
    <w:p w14:paraId="7A19826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Tablečiųvartokite užsigerdami pakankamu kiekiu vandens. Gerkite tablečių valgymo metu, nes tai sumažina šalutinio poveikio, susijusio su skrandžio ir žarnyno veikla, riziką. Tačiau, esant ūminiam skausmui, tablečių reikia gerti 30 min. prieš valgį, nes tada vaistas pradeda veikti šiek tiek greičiau.</w:t>
      </w:r>
    </w:p>
    <w:p w14:paraId="3FAD068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BE06A24"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Nėštumas, žindymo laikotarpis ir vaisingumas</w:t>
      </w:r>
    </w:p>
    <w:p w14:paraId="1B54E602" w14:textId="77777777" w:rsidR="007E37A3" w:rsidRDefault="007E37A3" w:rsidP="007E37A3">
      <w:pPr>
        <w:spacing w:after="0" w:line="220" w:lineRule="exact"/>
        <w:rPr>
          <w:rFonts w:ascii="Times New Roman" w:eastAsia="Times New Roman" w:hAnsi="Times New Roman"/>
          <w:b/>
          <w:bCs/>
        </w:rPr>
      </w:pPr>
    </w:p>
    <w:p w14:paraId="2308A92E" w14:textId="77777777" w:rsidR="007E37A3" w:rsidRDefault="007E37A3" w:rsidP="007E37A3">
      <w:pPr>
        <w:spacing w:after="0" w:line="220" w:lineRule="exact"/>
        <w:rPr>
          <w:rFonts w:ascii="Times New Roman" w:eastAsia="Times New Roman" w:hAnsi="Times New Roman"/>
        </w:rPr>
      </w:pPr>
      <w:r>
        <w:rPr>
          <w:rFonts w:ascii="Times New Roman" w:eastAsia="Times New Roman" w:hAnsi="Times New Roman"/>
        </w:rPr>
        <w:t>Jeigu esate nėščia, manote, kad galbūt esate nėščia, arba planuojate pastoti, tai prieš vartodama šį vaistą, pasitarkite su gydytoju arba vaistininku. Feneit gali jums netikti.</w:t>
      </w:r>
    </w:p>
    <w:p w14:paraId="1E4F0402" w14:textId="77777777" w:rsidR="007E37A3" w:rsidRDefault="007E37A3" w:rsidP="007E37A3">
      <w:pPr>
        <w:spacing w:after="0" w:line="220" w:lineRule="exact"/>
        <w:rPr>
          <w:rFonts w:ascii="Times New Roman" w:eastAsia="Times New Roman" w:hAnsi="Times New Roman"/>
          <w:b/>
          <w:bCs/>
        </w:rPr>
      </w:pPr>
    </w:p>
    <w:p w14:paraId="58598057" w14:textId="77777777" w:rsidR="007E37A3" w:rsidRDefault="007E37A3" w:rsidP="007E37A3">
      <w:pPr>
        <w:spacing w:after="0" w:line="240" w:lineRule="auto"/>
        <w:rPr>
          <w:rFonts w:ascii="Times New Roman" w:hAnsi="Times New Roman"/>
        </w:rPr>
      </w:pPr>
      <w:r>
        <w:rPr>
          <w:rFonts w:ascii="Times New Roman" w:hAnsi="Times New Roman"/>
        </w:rPr>
        <w:t>Feneit,draudžiama vartoti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Feneit vartoti negalima, išskyrus atvejus, kai tai neabejotinai būtina ir taip pataria gydytojas. Jei šiuo laikotarpiu arba bandant pastoti Jums reikalingas gydymas, reikia vartoti mažiausią dozę trumpiausią įmanomą laiką. Nuo 20-osios nėštumo savaitės Feneit</w:t>
      </w:r>
    </w:p>
    <w:p w14:paraId="7C9D6B9C" w14:textId="77777777" w:rsidR="007E37A3" w:rsidRDefault="007E37A3" w:rsidP="007E37A3">
      <w:pPr>
        <w:spacing w:after="0" w:line="240" w:lineRule="auto"/>
        <w:rPr>
          <w:rFonts w:ascii="Times New Roman" w:hAnsi="Times New Roman"/>
        </w:rPr>
      </w:pPr>
      <w:r>
        <w:rPr>
          <w:rFonts w:ascii="Times New Roman" w:hAnsi="Times New Roman"/>
        </w:rPr>
        <w:t>gali sukelti vaisiaus inkstų sutrikimų, jei šis vaistas vartojamas ilgiau nei kelias dienas, o dėl to gali sumažėti kūdikį supančio amniono skysčio kiekis (oligohidramnionas). Jei Jums reikalingas ilgesnis nei kelių dienų gydymas, gydytojas gali rekomenduoti papildomą stebėseną.</w:t>
      </w:r>
    </w:p>
    <w:p w14:paraId="3E362FF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FDBE18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Žindymo metu Feneit vartoti draudžiama.</w:t>
      </w:r>
    </w:p>
    <w:p w14:paraId="716842C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7D779E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06B8AA0" w14:textId="77777777" w:rsidR="007E37A3" w:rsidRDefault="007E37A3" w:rsidP="007E37A3">
      <w:pPr>
        <w:numPr>
          <w:ilvl w:val="12"/>
          <w:numId w:val="0"/>
        </w:numPr>
        <w:spacing w:after="0" w:line="240" w:lineRule="auto"/>
        <w:jc w:val="both"/>
        <w:rPr>
          <w:rFonts w:ascii="Times New Roman" w:eastAsia="Times New Roman" w:hAnsi="Times New Roman"/>
        </w:rPr>
      </w:pPr>
      <w:r>
        <w:rPr>
          <w:rFonts w:ascii="Times New Roman" w:eastAsia="Times New Roman" w:hAnsi="Times New Roman"/>
        </w:rPr>
        <w:t>Planuojančioms nėštumą moterims arba nėščiosioms reikia vengti vartoti Feneit</w:t>
      </w:r>
      <w:r>
        <w:rPr>
          <w:rFonts w:ascii="Times New Roman" w:eastAsia="Times New Roman" w:hAnsi="Times New Roman"/>
          <w:iCs/>
        </w:rPr>
        <w:t xml:space="preserve">. </w:t>
      </w:r>
      <w:r>
        <w:rPr>
          <w:rFonts w:ascii="Times New Roman" w:eastAsia="Times New Roman" w:hAnsi="Times New Roman"/>
        </w:rPr>
        <w:t>Bet kuriuo nėštumo laikotarpiu šį vaistą galima vartoti tik gydytojui nurodžius</w:t>
      </w:r>
      <w:r>
        <w:rPr>
          <w:rFonts w:ascii="Times New Roman" w:eastAsia="Times New Roman" w:hAnsi="Times New Roman"/>
          <w:iCs/>
        </w:rPr>
        <w:t>.</w:t>
      </w:r>
    </w:p>
    <w:p w14:paraId="28B1E67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 vartoti nerekomenduojama norint pastoti arba atliekant tyrimus dėl nevaisingumo.</w:t>
      </w:r>
    </w:p>
    <w:p w14:paraId="4BE2D12C" w14:textId="77777777" w:rsidR="007E37A3" w:rsidRDefault="007E37A3" w:rsidP="007E37A3">
      <w:pPr>
        <w:spacing w:after="0" w:line="220" w:lineRule="exact"/>
        <w:rPr>
          <w:rFonts w:ascii="Times New Roman" w:eastAsia="Times New Roman" w:hAnsi="Times New Roman"/>
          <w:b/>
          <w:bCs/>
        </w:rPr>
      </w:pPr>
    </w:p>
    <w:p w14:paraId="577F6770"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14:paraId="4DB0277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Feneit</w:t>
      </w:r>
      <w:r>
        <w:rPr>
          <w:rFonts w:ascii="Times New Roman" w:eastAsia="Arial Unicode MS" w:hAnsi="Times New Roman"/>
          <w:b/>
          <w:bCs/>
          <w:i/>
          <w:color w:val="000000"/>
        </w:rPr>
        <w:t xml:space="preserve"> </w:t>
      </w:r>
      <w:r>
        <w:rPr>
          <w:rFonts w:ascii="Times New Roman" w:eastAsia="Arial Unicode MS" w:hAnsi="Times New Roman"/>
          <w:bCs/>
          <w:color w:val="000000"/>
        </w:rPr>
        <w:t>gali sukelti silpną ar vidutinio stiprumo poveikį gebėjimui vairuoti ir valdyti mechanizmus, nes gali imti svaigulys arba snaudulys. Pastebėję tokį poveikį nevairuokite ir nevaldykite mechanizmų, kol šie simptomai neišnykę. Pasitarkite su gydytoju.</w:t>
      </w:r>
    </w:p>
    <w:p w14:paraId="79E658F7"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4EFF50B"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4985D78"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72" w:name="_Toc129243266"/>
      <w:bookmarkStart w:id="73" w:name="_Toc129243141"/>
      <w:r>
        <w:rPr>
          <w:rFonts w:ascii="Times New Roman" w:eastAsia="Times New Roman" w:hAnsi="Times New Roman"/>
          <w:b/>
        </w:rPr>
        <w:t>3.</w:t>
      </w:r>
      <w:r>
        <w:rPr>
          <w:rFonts w:ascii="Times New Roman" w:eastAsia="Times New Roman" w:hAnsi="Times New Roman"/>
          <w:b/>
        </w:rPr>
        <w:tab/>
        <w:t>Kaip vartoti Feneit</w:t>
      </w:r>
      <w:bookmarkEnd w:id="72"/>
      <w:bookmarkEnd w:id="73"/>
    </w:p>
    <w:p w14:paraId="7446A074"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486768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Visada vartokite šį vaistą tiksliai kaip nurodė gydytojas. Jeigu abejojate, kreipkitės į gydytoją arba vaistininką.</w:t>
      </w:r>
    </w:p>
    <w:p w14:paraId="457D102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Jums Feneit dozė priklauso nuo skausmo pobūdžio, intensyvumo ir trukmės. Jūsų gydytojas nurodys kiek plėvele dengtų tablečių reikia per dieną išgerti, kiek laiko vartoti vaistą.</w:t>
      </w:r>
    </w:p>
    <w:p w14:paraId="69E1611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657712D"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639D847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CEECCA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Suaugusiesiems</w:t>
      </w:r>
    </w:p>
    <w:p w14:paraId="602CED5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Rekomenduojama dozė </w:t>
      </w:r>
      <w:r>
        <w:rPr>
          <w:rFonts w:ascii="Times New Roman" w:hAnsi="Times New Roman"/>
          <w:bCs/>
        </w:rPr>
        <w:t>yra pusė tabletės</w:t>
      </w:r>
      <w:r>
        <w:rPr>
          <w:rFonts w:ascii="Times New Roman" w:eastAsia="Arial Unicode MS" w:hAnsi="Times New Roman"/>
          <w:bCs/>
          <w:color w:val="000000"/>
        </w:rPr>
        <w:t xml:space="preserve"> (12,5 mg</w:t>
      </w:r>
      <w:r>
        <w:rPr>
          <w:rFonts w:ascii="Times New Roman" w:hAnsi="Times New Roman"/>
          <w:bCs/>
        </w:rPr>
        <w:t>)</w:t>
      </w:r>
      <w:r>
        <w:rPr>
          <w:rFonts w:ascii="Times New Roman" w:eastAsia="Arial Unicode MS" w:hAnsi="Times New Roman"/>
          <w:bCs/>
          <w:color w:val="000000"/>
        </w:rPr>
        <w:t xml:space="preserve"> kas 4-6 val. arba 1 plėvele dengta tabletė (25 mg) kas 8 valandos, bet ne daugiau kaip 3 tabletės per parą (75 mg) per parą.</w:t>
      </w:r>
    </w:p>
    <w:p w14:paraId="369A0CE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EEED6A2"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Senyviems pacientams, </w:t>
      </w:r>
      <w:r>
        <w:rPr>
          <w:rFonts w:ascii="Times New Roman" w:eastAsia="Arial Unicode MS" w:hAnsi="Times New Roman"/>
          <w:bCs/>
          <w:iCs/>
          <w:color w:val="000000"/>
        </w:rPr>
        <w:t>pacientams, kurių inkstų ir kepenų funkcija sutrikusi</w:t>
      </w:r>
    </w:p>
    <w:p w14:paraId="3BACEC5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esate senyvo amžiaus arba sergate inkstų ar kepenų ligomis, iš pradžių pradėkite vartoti per parą ne daugiau kaip 2 tabletes (50 mg).</w:t>
      </w:r>
    </w:p>
    <w:p w14:paraId="73F3266F"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Senyvi pacientai, jei Feneit vartojimas toleruojamas gerai, vėliau pradinę dozę gali padidinti iki įprastinės paros dozės (75 mg).</w:t>
      </w:r>
    </w:p>
    <w:p w14:paraId="52165AF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3EABE20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lastRenderedPageBreak/>
        <w:t xml:space="preserve">Jeigu jaučiate intensyvų skausmą ir reikia jį greičiau nuslopinti, gerkitetablečių prieš valgymą (ne vėliau kaip  prieš 30 min.), nes tuomet vaistas lengviau ir greičiau absorbuojamas (žr. 2 skyrių „Feneit vartojimas su maistu ir gėrimais”). </w:t>
      </w:r>
    </w:p>
    <w:p w14:paraId="630B513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43815B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Vartojimo metodas</w:t>
      </w:r>
    </w:p>
    <w:p w14:paraId="36A683D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Vartoti per burną. Tabletė turi būti nuryjama, užsigeriant pakankamu skysčių kiekiu (pvz. viena stiklinė vandens).</w:t>
      </w:r>
    </w:p>
    <w:p w14:paraId="2D1CD84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6A2CBD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Vartojimas vaikams ir paaugliams</w:t>
      </w:r>
    </w:p>
    <w:p w14:paraId="6E7347C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Šio vaisto vartoti vaikams ir paaugliams (iki 18 metų) negalima.</w:t>
      </w:r>
    </w:p>
    <w:p w14:paraId="5795987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1074B7A"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Ką daryti pavartojus per didelę Feneit dozę?</w:t>
      </w:r>
    </w:p>
    <w:p w14:paraId="2FE741EA"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Pavartoję per didelę Feneit dozę, nedelsdami praneškite gydytojui arba vaistininkui, arba kreipkitės į artimiausios ligoninės skubiosios pagalbos skyrių. Nepamirškite pasiimti šio vaisto pakuotės arba šio pakuotės lapelio.</w:t>
      </w:r>
    </w:p>
    <w:p w14:paraId="55D8897F" w14:textId="77777777" w:rsidR="007E37A3" w:rsidRDefault="007E37A3" w:rsidP="007E37A3">
      <w:pPr>
        <w:spacing w:after="0" w:line="240" w:lineRule="auto"/>
        <w:rPr>
          <w:rFonts w:ascii="Times New Roman" w:eastAsia="Times New Roman" w:hAnsi="Times New Roman"/>
          <w:szCs w:val="20"/>
          <w:lang w:eastAsia="lt-LT"/>
        </w:rPr>
      </w:pPr>
    </w:p>
    <w:p w14:paraId="6F1F9EA8"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Pamiršus pavartoti Feneit</w:t>
      </w:r>
    </w:p>
    <w:p w14:paraId="2B1684D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Negalima vartoti dvigubos dozės norint kompensuoti praleistą tabletę. Toliau vartokite vaistą nustatyta tvarka (pagal 3 skyriaus „Kaip vartoti Feneit“ nuorodas).</w:t>
      </w:r>
    </w:p>
    <w:p w14:paraId="19F34F6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638E7D9" w14:textId="77777777" w:rsidR="007E37A3" w:rsidRDefault="007E37A3" w:rsidP="007E37A3">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Nustojus vartoti Feneit</w:t>
      </w:r>
    </w:p>
    <w:p w14:paraId="70233EB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Jeigu kiltų daugiau klausimų dėl šio vaisto vartojimo, kreipkitės į gydytoją arba vaistininką.</w:t>
      </w:r>
    </w:p>
    <w:p w14:paraId="132A700A"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E18FCE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FAA4E5A"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74" w:name="_Toc129243267"/>
      <w:bookmarkStart w:id="75" w:name="_Toc129243142"/>
      <w:r>
        <w:rPr>
          <w:rFonts w:ascii="Times New Roman" w:eastAsia="Times New Roman" w:hAnsi="Times New Roman"/>
          <w:b/>
        </w:rPr>
        <w:t>4.</w:t>
      </w:r>
      <w:r>
        <w:rPr>
          <w:rFonts w:ascii="Times New Roman" w:eastAsia="Times New Roman" w:hAnsi="Times New Roman"/>
          <w:b/>
        </w:rPr>
        <w:tab/>
        <w:t>Galimas šalutinis poveikis</w:t>
      </w:r>
      <w:bookmarkEnd w:id="74"/>
      <w:bookmarkEnd w:id="75"/>
    </w:p>
    <w:p w14:paraId="438CD43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CB750F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Šis vaistas, kaip ir visi kiti, gali sukelti šalutinį poveikį, nors jis pasireiškia ne visiems žmonėms.</w:t>
      </w:r>
    </w:p>
    <w:p w14:paraId="6FAA435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1E717A1"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Dažni šalutinio poveikio reiškiniai (gali pasireikšti ne rečiau kaip 1 iš 10 asmenų)</w:t>
      </w:r>
    </w:p>
    <w:p w14:paraId="49827B6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Pykinimas ir (arba) vėmimas, pilvo skausmas, pagrinde, viršutinės pilvo dalies, viduriavimas, virškinimo sutrikimas (dispepsija).</w:t>
      </w:r>
    </w:p>
    <w:p w14:paraId="2DC4879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7919027"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Nedažni šalutinio poveikio reiškiniai (gali pasireikšti rečiau kaip 1 iš 100 asmenų)</w:t>
      </w:r>
    </w:p>
    <w:p w14:paraId="5654172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Galvos svaigimas (</w:t>
      </w:r>
      <w:r>
        <w:rPr>
          <w:rFonts w:ascii="Times New Roman" w:eastAsia="Arial Unicode MS" w:hAnsi="Times New Roman"/>
          <w:bCs/>
          <w:i/>
          <w:color w:val="000000"/>
        </w:rPr>
        <w:t>vertigo</w:t>
      </w:r>
      <w:r>
        <w:rPr>
          <w:rFonts w:ascii="Times New Roman" w:eastAsia="Arial Unicode MS" w:hAnsi="Times New Roman"/>
          <w:bCs/>
          <w:color w:val="000000"/>
        </w:rPr>
        <w:t>), svaigulys, mieguistumas, miego sutrikimas, nervingumas, galvos skausmas, pernelyg greitas juntamas širdies plakimas, raudonis, skrandžio gleivinės uždegimas (gastritas), vidurių užkietėjimas, burnos džiūvimas, pilvo pūtimas, išbėrimas, nuovargis, skausmas, karščiavimo pojūtis, šaltkrėtis, bloga bendra savijauta (negalavimas).</w:t>
      </w:r>
    </w:p>
    <w:p w14:paraId="730873E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6543F9D"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Reti šalutinio poveikio reiškiniai (gali pasireikšti rečiau kaip 1 iš 1 000 asmenų)</w:t>
      </w:r>
    </w:p>
    <w:p w14:paraId="09192EE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Pepsinė opa, skrandžio opos prakiurimas arba  kraujavimas, galintis pasireikšti vėmimu su krauju arba išmatų pajuodavimu, apalpimas, kraujospūdžio padidėjimas, kvėpavimo suretėjimas, skysčių sankaupa ir periferinis patinimas (pvz., kulkšnių patinimas), gerklų edema, apetito stoka (anoreksija), jutimo sutrikimas, išbėrimas su niežuliu, spuogai, prakaitavimo padidėjimas, nugaros skausmas, dažnas šlapinimasis, menstruacijų sutrikimas, prostatos veiklos sutrikimas, kepenų funkcijos rodiklių aktyvumo pokyčiai (nustatomi kraujo tyrimais), kepenų ląstelių pažeidimas, ūminis inkstų nepakankamumas.</w:t>
      </w:r>
    </w:p>
    <w:p w14:paraId="2628DE4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08E3665E" w14:textId="77777777" w:rsidR="007E37A3" w:rsidRDefault="007E37A3" w:rsidP="007E37A3">
      <w:pPr>
        <w:tabs>
          <w:tab w:val="left" w:pos="426"/>
        </w:tabs>
        <w:spacing w:after="0" w:line="240" w:lineRule="auto"/>
        <w:rPr>
          <w:rFonts w:ascii="Times New Roman" w:eastAsia="Arial Unicode MS" w:hAnsi="Times New Roman"/>
          <w:bCs/>
          <w:i/>
          <w:color w:val="000000"/>
        </w:rPr>
      </w:pPr>
      <w:r>
        <w:rPr>
          <w:rFonts w:ascii="Times New Roman" w:eastAsia="Arial Unicode MS" w:hAnsi="Times New Roman"/>
          <w:bCs/>
          <w:i/>
          <w:color w:val="000000"/>
        </w:rPr>
        <w:t>Labai reti šalutinio poveikio reiškiniai (gali pasireikšti rečiau kaip 1 iš 10 000 asmenų)</w:t>
      </w:r>
    </w:p>
    <w:p w14:paraId="16DAD634"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Anafilaksinės reakcijos (padidėjusio jautrumo reakcijos, galinčios sukelti kolapsą),  sunkūs odos, burnos, akių ir lytinių organų srities pažeidimai (Stivenso-Džonsono (</w:t>
      </w:r>
      <w:r>
        <w:rPr>
          <w:rFonts w:ascii="Times New Roman" w:eastAsia="Arial Unicode MS" w:hAnsi="Times New Roman"/>
          <w:bCs/>
          <w:i/>
          <w:iCs/>
          <w:color w:val="000000"/>
        </w:rPr>
        <w:t>Stevens-Johnson</w:t>
      </w:r>
      <w:r>
        <w:rPr>
          <w:rFonts w:ascii="Times New Roman" w:eastAsia="Arial Unicode MS" w:hAnsi="Times New Roman"/>
          <w:bCs/>
          <w:color w:val="000000"/>
        </w:rPr>
        <w:t xml:space="preserve">) ir Lajelio </w:t>
      </w:r>
      <w:r>
        <w:rPr>
          <w:rFonts w:ascii="Times New Roman" w:eastAsia="Arial Unicode MS" w:hAnsi="Times New Roman"/>
          <w:bCs/>
          <w:i/>
          <w:iCs/>
          <w:color w:val="000000"/>
        </w:rPr>
        <w:t>(Lyell</w:t>
      </w:r>
      <w:r>
        <w:rPr>
          <w:rFonts w:ascii="Times New Roman" w:eastAsia="Arial Unicode MS" w:hAnsi="Times New Roman"/>
          <w:bCs/>
          <w:color w:val="000000"/>
        </w:rPr>
        <w:t xml:space="preserve">) sindromai), veido ar lūpų ir ryklės patinimas (angioneurozinė edema), kvėpavimo pasunkėjimas dėl kvėpavimo takų susiaurėjimo (bronchų spazmas), dusulys, pulso padažnėjimas, kraujospūdžio sumažėjimas, kasos uždegimas,  regėjimo sutrikimas, ūžesys ausyse, odos jautrumo padidėjimas, jautrumo </w:t>
      </w:r>
      <w:r>
        <w:rPr>
          <w:rFonts w:ascii="Times New Roman" w:eastAsia="Arial Unicode MS" w:hAnsi="Times New Roman"/>
          <w:bCs/>
          <w:color w:val="000000"/>
        </w:rPr>
        <w:lastRenderedPageBreak/>
        <w:t>saulės šviesai padidėjimas,  niežulys, inkstų pažeidimai. Baltųjų kraujo ląstelių skaičiaus sumažėjimas (neutropenija), trombocitų skaičiaus sumažėjimas (trombocitopenija).</w:t>
      </w:r>
    </w:p>
    <w:p w14:paraId="64584941"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DE46FDB" w14:textId="77777777" w:rsidR="00CE5406" w:rsidRPr="000A316B" w:rsidRDefault="00CE5406" w:rsidP="00CE5406">
      <w:pPr>
        <w:tabs>
          <w:tab w:val="left" w:pos="426"/>
        </w:tabs>
        <w:spacing w:after="0" w:line="240" w:lineRule="auto"/>
        <w:rPr>
          <w:rFonts w:ascii="Times New Roman" w:hAnsi="Times New Roman"/>
          <w:i/>
          <w:iCs/>
          <w:color w:val="000000"/>
        </w:rPr>
      </w:pPr>
      <w:r w:rsidRPr="00FE5405">
        <w:rPr>
          <w:rFonts w:ascii="Times New Roman" w:hAnsi="Times New Roman"/>
          <w:i/>
          <w:iCs/>
          <w:color w:val="000000"/>
        </w:rPr>
        <w:t>Šalutinio poveikio reiškiniai, kurių</w:t>
      </w:r>
      <w:r>
        <w:rPr>
          <w:rFonts w:ascii="Times New Roman" w:hAnsi="Times New Roman"/>
          <w:i/>
          <w:iCs/>
          <w:color w:val="000000"/>
        </w:rPr>
        <w:t xml:space="preserve"> </w:t>
      </w:r>
      <w:r w:rsidRPr="00FE5405">
        <w:rPr>
          <w:rFonts w:ascii="Times New Roman" w:hAnsi="Times New Roman"/>
          <w:i/>
          <w:iCs/>
          <w:color w:val="000000"/>
        </w:rPr>
        <w:t>dažnis nežinomas (negali būti apskaičiuotas pagal turimus duomenis</w:t>
      </w:r>
      <w:r w:rsidRPr="000A316B">
        <w:rPr>
          <w:rFonts w:ascii="Times New Roman" w:hAnsi="Times New Roman"/>
          <w:i/>
          <w:iCs/>
          <w:color w:val="000000"/>
        </w:rPr>
        <w:t>)</w:t>
      </w:r>
    </w:p>
    <w:p w14:paraId="5FA3D5DC" w14:textId="77777777" w:rsidR="00CE5406" w:rsidRPr="00FE5405" w:rsidRDefault="00CE5406" w:rsidP="00CE5406">
      <w:pPr>
        <w:tabs>
          <w:tab w:val="left" w:pos="426"/>
        </w:tabs>
        <w:spacing w:after="0" w:line="240" w:lineRule="auto"/>
        <w:rPr>
          <w:rFonts w:ascii="Times New Roman" w:hAnsi="Times New Roman"/>
          <w:color w:val="000000"/>
        </w:rPr>
      </w:pPr>
      <w:r w:rsidRPr="00FE5405">
        <w:rPr>
          <w:rFonts w:ascii="Times New Roman" w:hAnsi="Times New Roman"/>
          <w:color w:val="000000"/>
        </w:rPr>
        <w:t xml:space="preserve">Krūtinės skausmas, kuris gali būti sunkios alerginės reakcijos, vadinamos </w:t>
      </w:r>
      <w:proofErr w:type="spellStart"/>
      <w:r w:rsidRPr="00FE5405">
        <w:rPr>
          <w:rFonts w:ascii="Times New Roman" w:hAnsi="Times New Roman"/>
          <w:color w:val="000000"/>
        </w:rPr>
        <w:t>Kounis</w:t>
      </w:r>
      <w:proofErr w:type="spellEnd"/>
      <w:r w:rsidRPr="00FE5405">
        <w:rPr>
          <w:rFonts w:ascii="Times New Roman" w:hAnsi="Times New Roman"/>
          <w:color w:val="000000"/>
        </w:rPr>
        <w:t xml:space="preserve"> sindromu, požymis.</w:t>
      </w:r>
    </w:p>
    <w:p w14:paraId="2B5046B2" w14:textId="6A89DB3F" w:rsidR="00CE5406" w:rsidRPr="00FE5405" w:rsidRDefault="00CE5406" w:rsidP="00CE5406">
      <w:pPr>
        <w:tabs>
          <w:tab w:val="left" w:pos="426"/>
        </w:tabs>
        <w:spacing w:after="0" w:line="240" w:lineRule="auto"/>
        <w:rPr>
          <w:rFonts w:ascii="Times New Roman" w:hAnsi="Times New Roman"/>
          <w:color w:val="000000"/>
        </w:rPr>
      </w:pPr>
      <w:r w:rsidRPr="00FE5405">
        <w:rPr>
          <w:rFonts w:ascii="Times New Roman" w:hAnsi="Times New Roman"/>
          <w:color w:val="000000"/>
        </w:rPr>
        <w:t>Vaisto sukeltas lokalus odos bėrimas</w:t>
      </w:r>
      <w:r w:rsidR="00FC481C">
        <w:rPr>
          <w:rFonts w:ascii="Times New Roman" w:hAnsi="Times New Roman"/>
          <w:color w:val="000000"/>
        </w:rPr>
        <w:t>.</w:t>
      </w:r>
    </w:p>
    <w:p w14:paraId="69BA9366" w14:textId="511CA7F2" w:rsidR="00CE5406" w:rsidRPr="00D512A6" w:rsidRDefault="00CE5406" w:rsidP="007E37A3">
      <w:pPr>
        <w:tabs>
          <w:tab w:val="left" w:pos="426"/>
        </w:tabs>
        <w:spacing w:after="0" w:line="240" w:lineRule="auto"/>
        <w:rPr>
          <w:rFonts w:ascii="Times New Roman" w:hAnsi="Times New Roman"/>
          <w:color w:val="000000"/>
        </w:rPr>
      </w:pPr>
      <w:r w:rsidRPr="00FE5405">
        <w:rPr>
          <w:rFonts w:ascii="Times New Roman" w:hAnsi="Times New Roman"/>
          <w:color w:val="00000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FE5405">
        <w:rPr>
          <w:rFonts w:ascii="Times New Roman" w:hAnsi="Times New Roman"/>
          <w:color w:val="000000"/>
        </w:rPr>
        <w:t>ose</w:t>
      </w:r>
      <w:proofErr w:type="spellEnd"/>
      <w:r w:rsidRPr="00FE5405">
        <w:rPr>
          <w:rFonts w:ascii="Times New Roman" w:hAnsi="Times New Roman"/>
          <w:color w:val="000000"/>
        </w:rPr>
        <w:t>) pačioje (-</w:t>
      </w:r>
      <w:proofErr w:type="spellStart"/>
      <w:r w:rsidRPr="00FE5405">
        <w:rPr>
          <w:rFonts w:ascii="Times New Roman" w:hAnsi="Times New Roman"/>
          <w:color w:val="000000"/>
        </w:rPr>
        <w:t>ose</w:t>
      </w:r>
      <w:proofErr w:type="spellEnd"/>
      <w:r w:rsidRPr="00FE5405">
        <w:rPr>
          <w:rFonts w:ascii="Times New Roman" w:hAnsi="Times New Roman"/>
          <w:color w:val="000000"/>
        </w:rPr>
        <w:t>) vietoje (-</w:t>
      </w:r>
      <w:proofErr w:type="spellStart"/>
      <w:r w:rsidRPr="00FE5405">
        <w:rPr>
          <w:rFonts w:ascii="Times New Roman" w:hAnsi="Times New Roman"/>
          <w:color w:val="000000"/>
        </w:rPr>
        <w:t>ose</w:t>
      </w:r>
      <w:proofErr w:type="spellEnd"/>
      <w:r w:rsidRPr="00FE5405">
        <w:rPr>
          <w:rFonts w:ascii="Times New Roman" w:hAnsi="Times New Roman"/>
          <w:color w:val="000000"/>
        </w:rPr>
        <w:t>), jei vaistas vartojamas dar kartą.</w:t>
      </w:r>
    </w:p>
    <w:p w14:paraId="0A3445E1" w14:textId="77777777" w:rsidR="00CE5406" w:rsidRDefault="00CE5406" w:rsidP="007E37A3">
      <w:pPr>
        <w:tabs>
          <w:tab w:val="left" w:pos="426"/>
        </w:tabs>
        <w:spacing w:after="0" w:line="240" w:lineRule="auto"/>
        <w:rPr>
          <w:rFonts w:ascii="Times New Roman" w:eastAsia="Arial Unicode MS" w:hAnsi="Times New Roman"/>
          <w:bCs/>
          <w:color w:val="000000"/>
        </w:rPr>
      </w:pPr>
    </w:p>
    <w:p w14:paraId="29FF1D94" w14:textId="6F5D4F5D"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Jei pradėję vaisto vartoti pastebėjote kokį nors šalutinį poveikį skrandžio arba žarnyno veiklai (pvz., skrandžio skausmą, rėmenį arba kraujavimą), nedelsiant pasakykite apie tai gydytojui. Jam taip pat pasakykite, jei anksčiau buvo šalutinio poveikio požymių dėl ilgalaikio nesteroidinių vaistų nuo uždegimo vartojimo. Tai ypač svarbu, jei esate senyvo amžiaus.</w:t>
      </w:r>
    </w:p>
    <w:p w14:paraId="3B1E7DE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BCFBC5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Kai tik pastebėjote odos išbėrimą, bet kokį burnos gleivinės ar lytinių organų pažeidimą arba kitokį alergijos požymį, iš karto nutraukite Feneit vartojimą.</w:t>
      </w:r>
    </w:p>
    <w:p w14:paraId="0B781CE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9F9D3F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Pranešama, kad vartojant nesteroidinių vaistų nuo uždegimo pasitaikė skysčių susilaikymo organizme ir patinimų (ypač kulkšnių ir kojų), kraujospūdžio padidėjimo ir širdies nepakankamumo atvejų.</w:t>
      </w:r>
    </w:p>
    <w:p w14:paraId="204467F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B5651E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Tokių vaistų kaip Feneit vartojimas gali būti susijęs su širdies priepuolio (miokardo infarkto) ar insulto rizikos nedideliu padidėjimu.</w:t>
      </w:r>
    </w:p>
    <w:p w14:paraId="399070C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7543006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Imuninės sistemos ligomis, pažeidžiančiomis jungiamąjį audinį (sistemine raudonąja vilklige arba mišriomis jungiamojo audinio ligomis), sergantiems asmenims, vartojantiems  nesteroidinių vaistų nuo uždegimo, retais atvejais gali pasireikšti karščiavimas, galvos skausmas ir sprando nelankstumas.</w:t>
      </w:r>
    </w:p>
    <w:p w14:paraId="2673F45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970B38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p>
    <w:p w14:paraId="03A4DFD3"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72B4C96"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Kaip ir dėl kitų NVNU, gali atsirasti hematologinių reakcijų (purpura, aplazinė ir hemolizinė anemija, retai - agranulocitozė ir medulinė hipoplazija).</w:t>
      </w:r>
    </w:p>
    <w:p w14:paraId="0325F368"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1F7993F" w14:textId="77777777" w:rsidR="007E37A3" w:rsidRDefault="007E37A3" w:rsidP="007E37A3">
      <w:pPr>
        <w:spacing w:after="0" w:line="240" w:lineRule="auto"/>
        <w:rPr>
          <w:rFonts w:ascii="Times New Roman" w:eastAsia="Times New Roman" w:hAnsi="Times New Roman"/>
          <w:b/>
          <w:bCs/>
          <w:szCs w:val="24"/>
        </w:rPr>
      </w:pPr>
      <w:r>
        <w:rPr>
          <w:rFonts w:ascii="Times New Roman" w:eastAsia="Times New Roman" w:hAnsi="Times New Roman"/>
          <w:b/>
          <w:bCs/>
          <w:szCs w:val="24"/>
        </w:rPr>
        <w:t>Pranešimas apie šalutinį poveikį</w:t>
      </w:r>
    </w:p>
    <w:p w14:paraId="22F54494" w14:textId="0AF219EE" w:rsidR="007E37A3" w:rsidRDefault="00CE5406" w:rsidP="007E37A3">
      <w:pPr>
        <w:tabs>
          <w:tab w:val="left" w:pos="426"/>
        </w:tabs>
        <w:spacing w:after="0" w:line="240" w:lineRule="auto"/>
        <w:rPr>
          <w:rFonts w:ascii="Times New Roman" w:eastAsia="Arial Unicode MS" w:hAnsi="Times New Roman"/>
          <w:bCs/>
          <w:color w:val="000000"/>
        </w:rPr>
      </w:pPr>
      <w:r w:rsidRPr="00BD4AB4">
        <w:rPr>
          <w:rFonts w:ascii="Times New Roman" w:hAnsi="Times New Roman"/>
          <w:color w:val="000000"/>
        </w:rPr>
        <w:t>Jeigu pasireiškė šalutinis poveikis, įskaitant šiame lapelyje nenurodytą, pasakykite gydytojui</w:t>
      </w:r>
      <w:r>
        <w:rPr>
          <w:rFonts w:ascii="Times New Roman" w:hAnsi="Times New Roman"/>
          <w:color w:val="000000"/>
        </w:rPr>
        <w:t xml:space="preserve"> </w:t>
      </w:r>
      <w:r w:rsidRPr="00BD4AB4">
        <w:rPr>
          <w:rFonts w:ascii="Times New Roman" w:hAnsi="Times New Roman"/>
          <w:color w:val="000000"/>
        </w:rPr>
        <w:t>arba vaistininkui</w:t>
      </w:r>
      <w:r w:rsidR="00CC2D9B">
        <w:rPr>
          <w:rFonts w:ascii="Times New Roman" w:hAnsi="Times New Roman"/>
          <w:color w:val="000000"/>
        </w:rPr>
        <w:t>.</w:t>
      </w:r>
      <w:r w:rsidRPr="00BD4AB4">
        <w:rPr>
          <w:rFonts w:ascii="Times New Roman" w:hAnsi="Times New Roman"/>
          <w:color w:val="000000"/>
        </w:rPr>
        <w:t xml:space="preserve"> </w:t>
      </w:r>
      <w:r w:rsidRPr="00CC2D9B">
        <w:rPr>
          <w:rFonts w:ascii="Times New Roman" w:hAnsi="Times New Roman"/>
          <w:color w:val="000000"/>
        </w:rPr>
        <w:t xml:space="preserve">Pranešimą apie šalutinį poveikį galite </w:t>
      </w:r>
      <w:r w:rsidRPr="00BD4AB4">
        <w:rPr>
          <w:rFonts w:ascii="Times New Roman" w:hAnsi="Times New Roman"/>
          <w:color w:val="000000"/>
        </w:rPr>
        <w:t xml:space="preserve">užpildyti ir </w:t>
      </w:r>
      <w:r w:rsidRPr="00CC2D9B">
        <w:rPr>
          <w:rFonts w:ascii="Times New Roman" w:hAnsi="Times New Roman"/>
          <w:color w:val="000000"/>
        </w:rPr>
        <w:t xml:space="preserve">pateikti Valstybinės vaistų kontrolės tarnybos prie Lietuvos Respublikos sveikatos apsaugos ministerijos </w:t>
      </w:r>
      <w:r w:rsidRPr="00BD4AB4">
        <w:rPr>
          <w:rFonts w:ascii="Times New Roman" w:hAnsi="Times New Roman"/>
          <w:color w:val="000000"/>
        </w:rPr>
        <w:t>tinklalapyje https://vvkt.lrv.lt/lt/ nurodytais būdais</w:t>
      </w:r>
      <w:r w:rsidRPr="00CC2D9B">
        <w:rPr>
          <w:rFonts w:ascii="Times New Roman" w:hAnsi="Times New Roman"/>
          <w:color w:val="000000"/>
        </w:rPr>
        <w:t xml:space="preserve"> arba </w:t>
      </w:r>
      <w:r w:rsidRPr="00BD4AB4">
        <w:rPr>
          <w:rFonts w:ascii="Times New Roman" w:hAnsi="Times New Roman"/>
          <w:color w:val="000000"/>
        </w:rPr>
        <w:t>paskambinti</w:t>
      </w:r>
      <w:r w:rsidRPr="00CC2D9B">
        <w:rPr>
          <w:rFonts w:ascii="Times New Roman" w:hAnsi="Times New Roman"/>
          <w:color w:val="000000"/>
        </w:rPr>
        <w:t xml:space="preserve"> nemokamu telefonu </w:t>
      </w:r>
      <w:r>
        <w:rPr>
          <w:rFonts w:ascii="Times New Roman" w:hAnsi="Times New Roman"/>
          <w:color w:val="000000"/>
        </w:rPr>
        <w:t>+370</w:t>
      </w:r>
      <w:r w:rsidRPr="00CC2D9B">
        <w:rPr>
          <w:rFonts w:ascii="Times New Roman" w:hAnsi="Times New Roman"/>
          <w:color w:val="000000"/>
        </w:rPr>
        <w:t xml:space="preserve"> 800 73 568. Pranešdami apie šalutinį poveikį galite mums padėti gauti daugiau informacijos apie šio vaisto saugumą.</w:t>
      </w:r>
    </w:p>
    <w:p w14:paraId="3654AD8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991934B"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76" w:name="_Toc129243268"/>
      <w:bookmarkStart w:id="77" w:name="_Toc129243143"/>
      <w:r>
        <w:rPr>
          <w:rFonts w:ascii="Times New Roman" w:eastAsia="Times New Roman" w:hAnsi="Times New Roman"/>
          <w:b/>
        </w:rPr>
        <w:t>5.</w:t>
      </w:r>
      <w:r>
        <w:rPr>
          <w:rFonts w:ascii="Times New Roman" w:eastAsia="Times New Roman" w:hAnsi="Times New Roman"/>
          <w:b/>
        </w:rPr>
        <w:tab/>
        <w:t>Kaip laikyti Feneit</w:t>
      </w:r>
      <w:bookmarkEnd w:id="76"/>
      <w:bookmarkEnd w:id="77"/>
    </w:p>
    <w:p w14:paraId="10CC8522"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11C1783"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Šį vaistą laikykite vaikams nepastebimoje ir nepasiekiamoje vietoje.</w:t>
      </w:r>
    </w:p>
    <w:p w14:paraId="7DBEABDE" w14:textId="77777777" w:rsidR="007E37A3" w:rsidRDefault="007E37A3" w:rsidP="007E37A3">
      <w:pPr>
        <w:spacing w:after="0" w:line="240" w:lineRule="auto"/>
        <w:rPr>
          <w:rFonts w:ascii="Times New Roman" w:eastAsia="Times New Roman" w:hAnsi="Times New Roman"/>
          <w:szCs w:val="20"/>
          <w:lang w:eastAsia="lt-LT"/>
        </w:rPr>
      </w:pPr>
    </w:p>
    <w:p w14:paraId="16D4551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Ant kartono dėžutės ir lizdinės plokštelės po „Tinka iki“ nurodytam tinkamumo laikui pasibaigus, šio vaisto vartoti negalima. Vaistas tinkamas vartoti iki paskutinės nurodyto mėnesio dienos.</w:t>
      </w:r>
    </w:p>
    <w:p w14:paraId="6AD12D7E" w14:textId="77777777" w:rsidR="007E37A3" w:rsidRDefault="007E37A3" w:rsidP="007E37A3">
      <w:pPr>
        <w:spacing w:after="0" w:line="240" w:lineRule="auto"/>
        <w:rPr>
          <w:rFonts w:ascii="Times New Roman" w:eastAsia="Times New Roman" w:hAnsi="Times New Roman"/>
          <w:szCs w:val="20"/>
          <w:lang w:eastAsia="lt-LT"/>
        </w:rPr>
      </w:pPr>
    </w:p>
    <w:p w14:paraId="75CB285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Times New Roman" w:hAnsi="Times New Roman"/>
          <w:szCs w:val="20"/>
          <w:lang w:eastAsia="lt-LT"/>
        </w:rPr>
        <w:lastRenderedPageBreak/>
        <w:t xml:space="preserve">Laikyti ne aukštesnėje kaip 25 </w:t>
      </w:r>
      <w:r>
        <w:rPr>
          <w:rFonts w:ascii="Times New Roman" w:eastAsia="Times New Roman" w:hAnsi="Times New Roman"/>
          <w:szCs w:val="20"/>
          <w:lang w:eastAsia="lt-LT"/>
        </w:rPr>
        <w:sym w:font="Symbol" w:char="F0B0"/>
      </w:r>
      <w:r>
        <w:rPr>
          <w:rFonts w:ascii="Times New Roman" w:eastAsia="Times New Roman" w:hAnsi="Times New Roman"/>
          <w:szCs w:val="20"/>
          <w:lang w:eastAsia="lt-LT"/>
        </w:rPr>
        <w:t>C temperatūroje (</w:t>
      </w:r>
      <w:r>
        <w:rPr>
          <w:rFonts w:ascii="Times New Roman" w:eastAsia="Arial Unicode MS" w:hAnsi="Times New Roman"/>
          <w:bCs/>
          <w:color w:val="000000"/>
        </w:rPr>
        <w:t>PVC/PVDC/Al lizdinės plokštelės).</w:t>
      </w:r>
    </w:p>
    <w:p w14:paraId="0DD69AD9"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Times New Roman" w:hAnsi="Times New Roman"/>
          <w:szCs w:val="20"/>
          <w:lang w:eastAsia="lt-LT"/>
        </w:rPr>
        <w:t xml:space="preserve">Laikyti ne aukštesnėje kaip 30 </w:t>
      </w:r>
      <w:r>
        <w:rPr>
          <w:rFonts w:ascii="Times New Roman" w:eastAsia="Times New Roman" w:hAnsi="Times New Roman"/>
          <w:szCs w:val="20"/>
          <w:lang w:eastAsia="lt-LT"/>
        </w:rPr>
        <w:sym w:font="Symbol" w:char="F0B0"/>
      </w:r>
      <w:r>
        <w:rPr>
          <w:rFonts w:ascii="Times New Roman" w:eastAsia="Times New Roman" w:hAnsi="Times New Roman"/>
          <w:szCs w:val="20"/>
          <w:lang w:eastAsia="lt-LT"/>
        </w:rPr>
        <w:t>C temperatūroje (</w:t>
      </w:r>
      <w:r>
        <w:rPr>
          <w:rFonts w:ascii="Times New Roman" w:eastAsia="Arial Unicode MS" w:hAnsi="Times New Roman"/>
          <w:bCs/>
          <w:color w:val="000000"/>
        </w:rPr>
        <w:t>PA/Al/PVC/Al lizdinės plokštelės).</w:t>
      </w:r>
    </w:p>
    <w:p w14:paraId="7CFF2E33" w14:textId="77777777" w:rsidR="007E37A3" w:rsidRDefault="007E37A3" w:rsidP="007E37A3">
      <w:pPr>
        <w:tabs>
          <w:tab w:val="left" w:pos="426"/>
        </w:tabs>
        <w:spacing w:after="0" w:line="240" w:lineRule="auto"/>
        <w:rPr>
          <w:rFonts w:ascii="Times New Roman" w:eastAsia="Times New Roman" w:hAnsi="Times New Roman"/>
          <w:szCs w:val="20"/>
          <w:lang w:eastAsia="lt-LT"/>
        </w:rPr>
      </w:pPr>
    </w:p>
    <w:p w14:paraId="649C63A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Vaistų negalima išmesti į kanalizaciją arba su buitinėmis atliekomis. Kaip išmesti nereikalingus vaistus, klauskite vaistininko. Šios priemonės padės apsaugoti aplinką.</w:t>
      </w:r>
    </w:p>
    <w:p w14:paraId="5EA79A5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5ED9D16D"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65443529" w14:textId="77777777" w:rsidR="007E37A3" w:rsidRDefault="007E37A3" w:rsidP="007E37A3">
      <w:pPr>
        <w:keepNext/>
        <w:tabs>
          <w:tab w:val="left" w:pos="567"/>
        </w:tabs>
        <w:spacing w:after="0" w:line="240" w:lineRule="auto"/>
        <w:ind w:left="567" w:hanging="567"/>
        <w:outlineLvl w:val="1"/>
        <w:rPr>
          <w:rFonts w:ascii="Times New Roman" w:eastAsia="Times New Roman" w:hAnsi="Times New Roman"/>
          <w:b/>
        </w:rPr>
      </w:pPr>
      <w:bookmarkStart w:id="78" w:name="_Toc129243269"/>
      <w:bookmarkStart w:id="79" w:name="_Toc129243144"/>
      <w:r>
        <w:rPr>
          <w:rFonts w:ascii="Times New Roman" w:eastAsia="Times New Roman" w:hAnsi="Times New Roman"/>
          <w:b/>
        </w:rPr>
        <w:t>6.</w:t>
      </w:r>
      <w:r>
        <w:rPr>
          <w:rFonts w:ascii="Times New Roman" w:eastAsia="Times New Roman" w:hAnsi="Times New Roman"/>
          <w:b/>
        </w:rPr>
        <w:tab/>
        <w:t>Pakuotės turinys ir kita informacija</w:t>
      </w:r>
      <w:bookmarkEnd w:id="78"/>
      <w:bookmarkEnd w:id="79"/>
    </w:p>
    <w:p w14:paraId="04B85BB0"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FA210BB"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Feneit sudėtis</w:t>
      </w:r>
    </w:p>
    <w:p w14:paraId="7768ACB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w:t>
      </w:r>
      <w:r>
        <w:rPr>
          <w:rFonts w:ascii="Times New Roman" w:eastAsia="Arial Unicode MS" w:hAnsi="Times New Roman"/>
          <w:bCs/>
          <w:color w:val="000000"/>
        </w:rPr>
        <w:tab/>
        <w:t xml:space="preserve">Veiklioji medžiaga yra deksketoprofenas (deksketoprofeno trometamolio pavidalu). Vienoje </w:t>
      </w:r>
      <w:r>
        <w:rPr>
          <w:rFonts w:ascii="Times New Roman" w:eastAsia="Times New Roman" w:hAnsi="Times New Roman"/>
          <w:szCs w:val="20"/>
          <w:lang w:eastAsia="lt-LT"/>
        </w:rPr>
        <w:t>plėvele dengtoje</w:t>
      </w:r>
      <w:r>
        <w:rPr>
          <w:rFonts w:ascii="Times New Roman" w:eastAsia="Arial Unicode MS" w:hAnsi="Times New Roman"/>
          <w:bCs/>
          <w:color w:val="000000"/>
        </w:rPr>
        <w:t xml:space="preserve"> tabletėje yra 36,9 mg deksketoprofeno trometamolio, atitinkančio 25 mg deksketoprofeno.</w:t>
      </w:r>
    </w:p>
    <w:p w14:paraId="05B635E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w:t>
      </w:r>
      <w:r>
        <w:rPr>
          <w:rFonts w:ascii="Times New Roman" w:eastAsia="Arial Unicode MS" w:hAnsi="Times New Roman"/>
          <w:bCs/>
          <w:color w:val="000000"/>
        </w:rPr>
        <w:tab/>
        <w:t>Pagalbinės medžiagos  tablečių šerdyje yra mikrokristalinė celiuliozė, kukurūzų krakmolas, pregelifikuotas kukurūzų krakmolas, hidroksipropilceliuliozė, magnio stearatas. Pagalbinės medžiagos tablečių plėvelėje yra hipromeliozė, titano dioksidas (E 171), makrogolis 400.</w:t>
      </w:r>
    </w:p>
    <w:p w14:paraId="3A3EC7E5"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15876207"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Feneit išvaizda ir kiekis pakuotėje</w:t>
      </w:r>
    </w:p>
    <w:p w14:paraId="05C8651D"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Baltos, apvalios, </w:t>
      </w:r>
      <w:r>
        <w:rPr>
          <w:rFonts w:ascii="Times New Roman" w:eastAsia="Arial Unicode MS" w:hAnsi="Times New Roman"/>
          <w:bCs/>
          <w:color w:val="000000"/>
        </w:rPr>
        <w:t>apie 9 mm skersmens</w:t>
      </w:r>
      <w:r>
        <w:rPr>
          <w:rFonts w:ascii="Times New Roman" w:eastAsia="Times New Roman" w:hAnsi="Times New Roman"/>
          <w:szCs w:val="20"/>
          <w:lang w:eastAsia="lt-LT"/>
        </w:rPr>
        <w:t xml:space="preserve"> plėvele dengtos tabletės su vagele</w:t>
      </w:r>
      <w:r>
        <w:rPr>
          <w:rFonts w:ascii="Times New Roman" w:eastAsia="Arial Unicode MS" w:hAnsi="Times New Roman"/>
          <w:bCs/>
          <w:color w:val="000000"/>
        </w:rPr>
        <w:t xml:space="preserve"> abiejose pusėse</w:t>
      </w:r>
      <w:r>
        <w:rPr>
          <w:rFonts w:ascii="Times New Roman" w:eastAsia="Times New Roman" w:hAnsi="Times New Roman"/>
          <w:szCs w:val="20"/>
          <w:lang w:eastAsia="lt-LT"/>
        </w:rPr>
        <w:t xml:space="preserve">. Tabletę galima padalyti į lygias dozes. </w:t>
      </w:r>
    </w:p>
    <w:p w14:paraId="73DBB058" w14:textId="77777777" w:rsidR="007E37A3" w:rsidRDefault="007E37A3" w:rsidP="007E37A3">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Feneit tiekiamos </w:t>
      </w:r>
      <w:r>
        <w:rPr>
          <w:rFonts w:ascii="Times New Roman" w:eastAsia="Arial Unicode MS" w:hAnsi="Times New Roman"/>
          <w:bCs/>
          <w:color w:val="000000"/>
        </w:rPr>
        <w:t>PVC/PVDC/Al arba PA/Al/PVC/Al</w:t>
      </w:r>
      <w:r>
        <w:rPr>
          <w:rFonts w:ascii="Times New Roman" w:eastAsia="Times New Roman" w:hAnsi="Times New Roman"/>
          <w:szCs w:val="20"/>
          <w:lang w:eastAsia="lt-LT"/>
        </w:rPr>
        <w:t xml:space="preserve"> lizdinėmis plokštelėmis. Kartono dėžutėje yra dvi lizdinės plokštelės, t.y., 20 plėvele dengtų tablečių.</w:t>
      </w:r>
    </w:p>
    <w:p w14:paraId="4E09239E"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FA843C8" w14:textId="77777777" w:rsidR="007E37A3" w:rsidRDefault="007E37A3" w:rsidP="007E37A3">
      <w:pPr>
        <w:spacing w:after="0" w:line="220" w:lineRule="exact"/>
        <w:rPr>
          <w:rFonts w:ascii="Times New Roman" w:eastAsia="Times New Roman" w:hAnsi="Times New Roman"/>
          <w:b/>
          <w:bCs/>
        </w:rPr>
      </w:pPr>
      <w:r>
        <w:rPr>
          <w:rFonts w:ascii="Times New Roman" w:eastAsia="Times New Roman" w:hAnsi="Times New Roman"/>
          <w:b/>
          <w:bCs/>
        </w:rPr>
        <w:t>Registruotojas</w:t>
      </w:r>
    </w:p>
    <w:p w14:paraId="053D3244" w14:textId="77777777" w:rsidR="007E37A3" w:rsidRDefault="007E37A3" w:rsidP="007E37A3">
      <w:pPr>
        <w:tabs>
          <w:tab w:val="left" w:pos="567"/>
        </w:tabs>
        <w:autoSpaceDE w:val="0"/>
        <w:autoSpaceDN w:val="0"/>
        <w:adjustRightInd w:val="0"/>
        <w:spacing w:after="0" w:line="240" w:lineRule="auto"/>
        <w:rPr>
          <w:rFonts w:ascii="Times New Roman" w:hAnsi="Times New Roman"/>
        </w:rPr>
      </w:pPr>
      <w:r>
        <w:rPr>
          <w:rFonts w:ascii="Times New Roman" w:hAnsi="Times New Roman"/>
        </w:rPr>
        <w:t>SIA Ingen Pharma</w:t>
      </w:r>
    </w:p>
    <w:p w14:paraId="17BE0FAE" w14:textId="77777777" w:rsidR="007E37A3" w:rsidRDefault="007E37A3" w:rsidP="007E37A3">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Kārļa Ulmaņa gatve 119, Mārupe </w:t>
      </w:r>
    </w:p>
    <w:p w14:paraId="716C49CB"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LV-2167, Rīga</w:t>
      </w:r>
    </w:p>
    <w:p w14:paraId="6257EACD" w14:textId="77777777" w:rsidR="007E37A3" w:rsidRDefault="007E37A3" w:rsidP="007E37A3">
      <w:pPr>
        <w:tabs>
          <w:tab w:val="left" w:pos="567"/>
        </w:tabs>
        <w:spacing w:after="0" w:line="240" w:lineRule="auto"/>
        <w:rPr>
          <w:rFonts w:ascii="Times New Roman" w:hAnsi="Times New Roman"/>
        </w:rPr>
      </w:pPr>
      <w:r>
        <w:rPr>
          <w:rFonts w:ascii="Times New Roman" w:hAnsi="Times New Roman"/>
        </w:rPr>
        <w:t>Latvija</w:t>
      </w:r>
    </w:p>
    <w:p w14:paraId="61D7B6A1" w14:textId="77777777" w:rsidR="007E37A3" w:rsidRDefault="007E37A3" w:rsidP="007E37A3">
      <w:pPr>
        <w:spacing w:after="0" w:line="240" w:lineRule="auto"/>
        <w:rPr>
          <w:rFonts w:ascii="Times New Roman" w:eastAsia="Times New Roman" w:hAnsi="Times New Roman"/>
          <w:b/>
          <w:szCs w:val="20"/>
          <w:lang w:eastAsia="lt-LT"/>
        </w:rPr>
      </w:pPr>
    </w:p>
    <w:p w14:paraId="2B861781" w14:textId="77777777" w:rsidR="007E37A3" w:rsidRDefault="007E37A3" w:rsidP="007E37A3">
      <w:pPr>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Gamintojas</w:t>
      </w:r>
    </w:p>
    <w:p w14:paraId="5240819C"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Toll Manufacturing Services, S.L.</w:t>
      </w:r>
    </w:p>
    <w:p w14:paraId="0FB91E08"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c/Aragoneses, 2</w:t>
      </w:r>
    </w:p>
    <w:p w14:paraId="4BC1E303"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28108 Madrid,</w:t>
      </w:r>
    </w:p>
    <w:p w14:paraId="682EB63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63114ACC"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96F66C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Kern Pharma, S.L.</w:t>
      </w:r>
    </w:p>
    <w:p w14:paraId="31C5AA25"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Pol. Ind. Colon II, C/ Venus, 72</w:t>
      </w:r>
    </w:p>
    <w:p w14:paraId="071D117B"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08228 Terrasa</w:t>
      </w:r>
    </w:p>
    <w:p w14:paraId="01344C77"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(Barselona) Ispanija</w:t>
      </w:r>
    </w:p>
    <w:p w14:paraId="4E662E39"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41081501"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Laboratorios Medicamentos Internacionales, S.A.</w:t>
      </w:r>
    </w:p>
    <w:p w14:paraId="6E1A9390"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 xml:space="preserve">C/Solana 26, Torrejon de Ardoz, </w:t>
      </w:r>
    </w:p>
    <w:p w14:paraId="0C9BF11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28850 Madrid,</w:t>
      </w:r>
    </w:p>
    <w:p w14:paraId="557D3A9A" w14:textId="77777777" w:rsidR="007E37A3" w:rsidRDefault="007E37A3" w:rsidP="007E37A3">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4DA7EDAB" w14:textId="77777777" w:rsidR="00426CEE" w:rsidRDefault="00426CEE" w:rsidP="007E37A3">
      <w:pPr>
        <w:tabs>
          <w:tab w:val="left" w:pos="426"/>
        </w:tabs>
        <w:spacing w:after="0" w:line="240" w:lineRule="auto"/>
        <w:rPr>
          <w:rFonts w:ascii="Times New Roman" w:eastAsia="Arial Unicode MS" w:hAnsi="Times New Roman"/>
          <w:bCs/>
          <w:color w:val="000000"/>
        </w:rPr>
      </w:pPr>
    </w:p>
    <w:p w14:paraId="38D31D14" w14:textId="6C7C2BA7" w:rsidR="00426CEE" w:rsidRDefault="00426CEE" w:rsidP="00426CEE">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Farmalider, S.A.</w:t>
      </w:r>
    </w:p>
    <w:p w14:paraId="63B970C7" w14:textId="2F144CCD" w:rsidR="00426CEE" w:rsidRPr="00426CEE" w:rsidRDefault="00426CEE" w:rsidP="00426CEE">
      <w:pPr>
        <w:tabs>
          <w:tab w:val="left" w:pos="426"/>
        </w:tabs>
        <w:spacing w:after="0" w:line="240" w:lineRule="auto"/>
        <w:rPr>
          <w:rFonts w:ascii="Times New Roman" w:eastAsia="Arial Unicode MS" w:hAnsi="Times New Roman"/>
          <w:bCs/>
          <w:color w:val="000000"/>
        </w:rPr>
      </w:pPr>
      <w:r w:rsidRPr="00426CEE">
        <w:rPr>
          <w:rFonts w:ascii="Times New Roman" w:eastAsia="Arial Unicode MS" w:hAnsi="Times New Roman"/>
          <w:bCs/>
          <w:color w:val="000000"/>
        </w:rPr>
        <w:t>C/ Aragoneses Nº2</w:t>
      </w:r>
    </w:p>
    <w:p w14:paraId="06834DC2" w14:textId="77777777" w:rsidR="00426CEE" w:rsidRDefault="00426CEE" w:rsidP="00426CEE">
      <w:pPr>
        <w:tabs>
          <w:tab w:val="left" w:pos="426"/>
        </w:tabs>
        <w:spacing w:after="0" w:line="240" w:lineRule="auto"/>
        <w:rPr>
          <w:rFonts w:ascii="Times New Roman" w:eastAsia="Arial Unicode MS" w:hAnsi="Times New Roman"/>
          <w:bCs/>
          <w:color w:val="000000"/>
        </w:rPr>
      </w:pPr>
      <w:r w:rsidRPr="00426CEE">
        <w:rPr>
          <w:rFonts w:ascii="Times New Roman" w:eastAsia="Arial Unicode MS" w:hAnsi="Times New Roman"/>
          <w:bCs/>
          <w:color w:val="000000"/>
        </w:rPr>
        <w:t xml:space="preserve">Alcobendas 28108 Madrid, </w:t>
      </w:r>
    </w:p>
    <w:p w14:paraId="2E53725E" w14:textId="5AA4FCDC" w:rsidR="00426CEE" w:rsidRDefault="00426CEE" w:rsidP="00426CEE">
      <w:pPr>
        <w:tabs>
          <w:tab w:val="left" w:pos="426"/>
        </w:tabs>
        <w:spacing w:after="0" w:line="240" w:lineRule="auto"/>
        <w:rPr>
          <w:rFonts w:ascii="Times New Roman" w:eastAsia="Arial Unicode MS" w:hAnsi="Times New Roman"/>
          <w:bCs/>
          <w:color w:val="000000"/>
        </w:rPr>
      </w:pPr>
      <w:r>
        <w:rPr>
          <w:rFonts w:ascii="Times New Roman" w:eastAsia="Arial Unicode MS" w:hAnsi="Times New Roman"/>
          <w:bCs/>
          <w:color w:val="000000"/>
        </w:rPr>
        <w:t>Ispanija</w:t>
      </w:r>
    </w:p>
    <w:p w14:paraId="403DFCB6"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514B8FF" w14:textId="77777777" w:rsidR="007E37A3" w:rsidRDefault="007E37A3" w:rsidP="007E37A3">
      <w:pPr>
        <w:tabs>
          <w:tab w:val="left" w:pos="426"/>
        </w:tabs>
        <w:spacing w:after="0" w:line="240" w:lineRule="auto"/>
        <w:rPr>
          <w:rFonts w:ascii="Times New Roman" w:eastAsia="Arial Unicode MS" w:hAnsi="Times New Roman"/>
          <w:bCs/>
          <w:color w:val="000000"/>
        </w:rPr>
      </w:pPr>
    </w:p>
    <w:p w14:paraId="2709D12D" w14:textId="091EB5AF" w:rsidR="007E37A3" w:rsidRDefault="007E37A3" w:rsidP="007E37A3">
      <w:pPr>
        <w:tabs>
          <w:tab w:val="left" w:pos="426"/>
        </w:tabs>
        <w:spacing w:after="0" w:line="240" w:lineRule="auto"/>
        <w:rPr>
          <w:rFonts w:ascii="Times New Roman" w:eastAsia="Arial Unicode MS" w:hAnsi="Times New Roman"/>
          <w:b/>
          <w:bCs/>
          <w:color w:val="000000"/>
        </w:rPr>
      </w:pPr>
      <w:r>
        <w:rPr>
          <w:rFonts w:ascii="Times New Roman" w:eastAsia="Arial Unicode MS" w:hAnsi="Times New Roman"/>
          <w:b/>
          <w:bCs/>
          <w:color w:val="000000"/>
        </w:rPr>
        <w:t xml:space="preserve">Šis pakuotės lapelis paskutinį kartą peržiūrėtas </w:t>
      </w:r>
      <w:r w:rsidR="00CC2D9B">
        <w:rPr>
          <w:rFonts w:ascii="Times New Roman" w:hAnsi="Times New Roman"/>
          <w:b/>
        </w:rPr>
        <w:t>2025-12-30.</w:t>
      </w:r>
    </w:p>
    <w:p w14:paraId="3EAA6A37" w14:textId="77777777" w:rsidR="007E37A3" w:rsidRDefault="007E37A3" w:rsidP="007E37A3">
      <w:pPr>
        <w:spacing w:after="0" w:line="240" w:lineRule="auto"/>
        <w:rPr>
          <w:rFonts w:ascii="Times New Roman" w:eastAsia="Times New Roman" w:hAnsi="Times New Roman"/>
          <w:sz w:val="24"/>
          <w:szCs w:val="24"/>
        </w:rPr>
      </w:pPr>
    </w:p>
    <w:p w14:paraId="2AB982AB" w14:textId="77777777" w:rsidR="007E37A3" w:rsidRDefault="007E37A3" w:rsidP="007E37A3">
      <w:pPr>
        <w:spacing w:after="0" w:line="240" w:lineRule="auto"/>
        <w:rPr>
          <w:rFonts w:ascii="Times New Roman" w:eastAsia="Times New Roman" w:hAnsi="Times New Roman"/>
          <w:sz w:val="24"/>
          <w:szCs w:val="24"/>
        </w:rPr>
      </w:pPr>
    </w:p>
    <w:p w14:paraId="2ACE8C8B" w14:textId="6616E79C" w:rsidR="007E37A3" w:rsidRDefault="007E37A3" w:rsidP="007E37A3">
      <w:pPr>
        <w:spacing w:after="0" w:line="240" w:lineRule="auto"/>
        <w:rPr>
          <w:rFonts w:ascii="Times New Roman" w:eastAsia="Times New Roman" w:hAnsi="Times New Roman"/>
          <w:sz w:val="24"/>
          <w:szCs w:val="24"/>
        </w:rPr>
      </w:pPr>
      <w:r>
        <w:rPr>
          <w:rFonts w:ascii="Times New Roman" w:eastAsia="Arial Unicode MS" w:hAnsi="Times New Roman"/>
          <w:bCs/>
          <w:color w:val="000000"/>
        </w:rPr>
        <w:lastRenderedPageBreak/>
        <w:t>Išsami informacija apie šį vaistą pateikiama Valstybinės vaistų kontrolės tarnybos prie Lietuvos Respublikos sveikatos apsaugos ministerijos tinklalapyje</w:t>
      </w:r>
      <w:r>
        <w:rPr>
          <w:rFonts w:ascii="Times New Roman" w:eastAsia="Arial Unicode MS" w:hAnsi="Times New Roman"/>
          <w:bCs/>
          <w:i/>
          <w:iCs/>
          <w:color w:val="000000"/>
        </w:rPr>
        <w:t xml:space="preserve"> </w:t>
      </w:r>
      <w:r w:rsidR="00FC481C" w:rsidRPr="00FC481C">
        <w:rPr>
          <w:rFonts w:ascii="Times New Roman" w:eastAsia="SimSun" w:hAnsi="Times New Roman"/>
        </w:rPr>
        <w:t>https://vvkt.lrv.lt/lt/.</w:t>
      </w:r>
    </w:p>
    <w:p w14:paraId="2571489D" w14:textId="77777777" w:rsidR="007E37A3" w:rsidRDefault="007E37A3"/>
    <w:sectPr w:rsidR="007E37A3" w:rsidSect="00886F7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12315207">
    <w:abstractNumId w:val="0"/>
  </w:num>
  <w:num w:numId="2" w16cid:durableId="149291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A3"/>
    <w:rsid w:val="000672FA"/>
    <w:rsid w:val="001808F8"/>
    <w:rsid w:val="00367B70"/>
    <w:rsid w:val="0042220F"/>
    <w:rsid w:val="00426CEE"/>
    <w:rsid w:val="00525320"/>
    <w:rsid w:val="005B6559"/>
    <w:rsid w:val="00615977"/>
    <w:rsid w:val="007E37A3"/>
    <w:rsid w:val="00886F7D"/>
    <w:rsid w:val="00986294"/>
    <w:rsid w:val="00A72CF3"/>
    <w:rsid w:val="00C147B7"/>
    <w:rsid w:val="00CC2D9B"/>
    <w:rsid w:val="00CC6D3B"/>
    <w:rsid w:val="00CE5406"/>
    <w:rsid w:val="00D512A6"/>
    <w:rsid w:val="00EC1A67"/>
    <w:rsid w:val="00FC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A9F"/>
  <w15:chartTrackingRefBased/>
  <w15:docId w15:val="{6456E398-3CF4-4637-8100-76DFDA6E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7A3"/>
    <w:pPr>
      <w:spacing w:line="252"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7E37A3"/>
    <w:pPr>
      <w:keepNext/>
      <w:keepLines/>
      <w:spacing w:before="240" w:after="0"/>
      <w:outlineLvl w:val="0"/>
    </w:pPr>
    <w:rPr>
      <w:rFonts w:ascii="Calibri Light" w:eastAsia="Times New Roman" w:hAnsi="Calibri Light"/>
      <w:color w:val="2E74B5"/>
      <w:sz w:val="32"/>
      <w:szCs w:val="32"/>
      <w:lang w:val="x-none" w:eastAsia="x-none"/>
    </w:rPr>
  </w:style>
  <w:style w:type="paragraph" w:styleId="Antrat2">
    <w:name w:val="heading 2"/>
    <w:basedOn w:val="prastasis"/>
    <w:next w:val="prastasis"/>
    <w:link w:val="Antrat2Diagrama"/>
    <w:uiPriority w:val="9"/>
    <w:semiHidden/>
    <w:unhideWhenUsed/>
    <w:qFormat/>
    <w:rsid w:val="007E37A3"/>
    <w:pPr>
      <w:keepNext/>
      <w:keepLines/>
      <w:spacing w:before="40" w:after="0"/>
      <w:outlineLvl w:val="1"/>
    </w:pPr>
    <w:rPr>
      <w:rFonts w:ascii="Calibri Light" w:eastAsia="Times New Roman" w:hAnsi="Calibri Light"/>
      <w:color w:val="2E74B5"/>
      <w:sz w:val="26"/>
      <w:szCs w:val="26"/>
      <w:lang w:val="x-none" w:eastAsia="x-none"/>
    </w:rPr>
  </w:style>
  <w:style w:type="paragraph" w:styleId="Antrat3">
    <w:name w:val="heading 3"/>
    <w:basedOn w:val="prastasis"/>
    <w:next w:val="prastasis"/>
    <w:link w:val="Antrat3Diagrama"/>
    <w:uiPriority w:val="9"/>
    <w:semiHidden/>
    <w:unhideWhenUsed/>
    <w:qFormat/>
    <w:rsid w:val="007E37A3"/>
    <w:pPr>
      <w:keepNext/>
      <w:keepLines/>
      <w:spacing w:before="40" w:after="0"/>
      <w:outlineLvl w:val="2"/>
    </w:pPr>
    <w:rPr>
      <w:rFonts w:ascii="Calibri Light" w:eastAsia="Times New Roman" w:hAnsi="Calibri Light"/>
      <w:color w:val="1F4D78"/>
      <w:sz w:val="24"/>
      <w:szCs w:val="24"/>
      <w:lang w:val="x-none" w:eastAsia="x-none"/>
    </w:rPr>
  </w:style>
  <w:style w:type="paragraph" w:styleId="Antrat4">
    <w:name w:val="heading 4"/>
    <w:basedOn w:val="prastasis"/>
    <w:next w:val="prastasis"/>
    <w:link w:val="Antrat4Diagrama"/>
    <w:semiHidden/>
    <w:unhideWhenUsed/>
    <w:qFormat/>
    <w:rsid w:val="007E37A3"/>
    <w:pPr>
      <w:keepNext/>
      <w:spacing w:after="0" w:line="240" w:lineRule="auto"/>
      <w:jc w:val="center"/>
      <w:outlineLvl w:val="3"/>
    </w:pPr>
    <w:rPr>
      <w:rFonts w:ascii="Times New Roman" w:eastAsia="Times New Roman" w:hAnsi="Times New Roman"/>
      <w:b/>
      <w:bCs/>
      <w:sz w:val="20"/>
      <w:szCs w:val="20"/>
      <w:lang w:val="x-none" w:eastAsia="x-none"/>
    </w:rPr>
  </w:style>
  <w:style w:type="paragraph" w:styleId="Antrat6">
    <w:name w:val="heading 6"/>
    <w:basedOn w:val="prastasis"/>
    <w:next w:val="prastasis"/>
    <w:link w:val="Antrat6Diagrama"/>
    <w:semiHidden/>
    <w:unhideWhenUsed/>
    <w:qFormat/>
    <w:rsid w:val="007E37A3"/>
    <w:pPr>
      <w:keepNext/>
      <w:keepLines/>
      <w:spacing w:before="40" w:after="0"/>
      <w:outlineLvl w:val="5"/>
    </w:pPr>
    <w:rPr>
      <w:rFonts w:ascii="Cambria" w:eastAsia="Times New Roman" w:hAnsi="Cambria"/>
      <w:i/>
      <w:iCs/>
      <w:color w:val="243F60"/>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37A3"/>
    <w:rPr>
      <w:rFonts w:ascii="Calibri Light" w:eastAsia="Times New Roman" w:hAnsi="Calibri Light" w:cs="Times New Roman"/>
      <w:color w:val="2E74B5"/>
      <w:kern w:val="0"/>
      <w:sz w:val="32"/>
      <w:szCs w:val="32"/>
      <w:lang w:val="x-none" w:eastAsia="x-none"/>
      <w14:ligatures w14:val="none"/>
    </w:rPr>
  </w:style>
  <w:style w:type="character" w:customStyle="1" w:styleId="Antrat2Diagrama">
    <w:name w:val="Antraštė 2 Diagrama"/>
    <w:basedOn w:val="Numatytasispastraiposriftas"/>
    <w:link w:val="Antrat2"/>
    <w:uiPriority w:val="9"/>
    <w:semiHidden/>
    <w:rsid w:val="007E37A3"/>
    <w:rPr>
      <w:rFonts w:ascii="Calibri Light" w:eastAsia="Times New Roman" w:hAnsi="Calibri Light" w:cs="Times New Roman"/>
      <w:color w:val="2E74B5"/>
      <w:kern w:val="0"/>
      <w:sz w:val="26"/>
      <w:szCs w:val="26"/>
      <w:lang w:val="x-none" w:eastAsia="x-none"/>
      <w14:ligatures w14:val="none"/>
    </w:rPr>
  </w:style>
  <w:style w:type="character" w:customStyle="1" w:styleId="Antrat3Diagrama">
    <w:name w:val="Antraštė 3 Diagrama"/>
    <w:basedOn w:val="Numatytasispastraiposriftas"/>
    <w:link w:val="Antrat3"/>
    <w:uiPriority w:val="9"/>
    <w:semiHidden/>
    <w:rsid w:val="007E37A3"/>
    <w:rPr>
      <w:rFonts w:ascii="Calibri Light" w:eastAsia="Times New Roman" w:hAnsi="Calibri Light" w:cs="Times New Roman"/>
      <w:color w:val="1F4D78"/>
      <w:kern w:val="0"/>
      <w:sz w:val="24"/>
      <w:szCs w:val="24"/>
      <w:lang w:val="x-none" w:eastAsia="x-none"/>
      <w14:ligatures w14:val="none"/>
    </w:rPr>
  </w:style>
  <w:style w:type="character" w:customStyle="1" w:styleId="Antrat4Diagrama">
    <w:name w:val="Antraštė 4 Diagrama"/>
    <w:basedOn w:val="Numatytasispastraiposriftas"/>
    <w:link w:val="Antrat4"/>
    <w:semiHidden/>
    <w:rsid w:val="007E37A3"/>
    <w:rPr>
      <w:rFonts w:ascii="Times New Roman" w:eastAsia="Times New Roman" w:hAnsi="Times New Roman" w:cs="Times New Roman"/>
      <w:b/>
      <w:bCs/>
      <w:kern w:val="0"/>
      <w:sz w:val="20"/>
      <w:szCs w:val="20"/>
      <w:lang w:val="x-none" w:eastAsia="x-none"/>
      <w14:ligatures w14:val="none"/>
    </w:rPr>
  </w:style>
  <w:style w:type="character" w:customStyle="1" w:styleId="Antrat6Diagrama">
    <w:name w:val="Antraštė 6 Diagrama"/>
    <w:basedOn w:val="Numatytasispastraiposriftas"/>
    <w:link w:val="Antrat6"/>
    <w:semiHidden/>
    <w:rsid w:val="007E37A3"/>
    <w:rPr>
      <w:rFonts w:ascii="Cambria" w:eastAsia="Times New Roman" w:hAnsi="Cambria" w:cs="Times New Roman"/>
      <w:i/>
      <w:iCs/>
      <w:color w:val="243F60"/>
      <w:kern w:val="0"/>
      <w:sz w:val="24"/>
      <w:szCs w:val="24"/>
      <w:lang w:val="lt-LT" w:eastAsia="x-none"/>
      <w14:ligatures w14:val="none"/>
    </w:rPr>
  </w:style>
  <w:style w:type="character" w:styleId="Hipersaitas">
    <w:name w:val="Hyperlink"/>
    <w:uiPriority w:val="99"/>
    <w:unhideWhenUsed/>
    <w:rsid w:val="00C147B7"/>
    <w:rPr>
      <w:color w:val="0000FF"/>
      <w:u w:val="single"/>
    </w:rPr>
  </w:style>
  <w:style w:type="character" w:styleId="Perirtashipersaitas">
    <w:name w:val="FollowedHyperlink"/>
    <w:basedOn w:val="Numatytasispastraiposriftas"/>
    <w:uiPriority w:val="99"/>
    <w:semiHidden/>
    <w:unhideWhenUsed/>
    <w:rsid w:val="007E37A3"/>
    <w:rPr>
      <w:color w:val="954F72" w:themeColor="followedHyperlink"/>
      <w:u w:val="single"/>
    </w:rPr>
  </w:style>
  <w:style w:type="paragraph" w:customStyle="1" w:styleId="msonormal0">
    <w:name w:val="msonormal"/>
    <w:basedOn w:val="prastasis"/>
    <w:rsid w:val="007E37A3"/>
    <w:pPr>
      <w:spacing w:before="100" w:beforeAutospacing="1" w:after="100" w:afterAutospacing="1" w:line="240" w:lineRule="auto"/>
    </w:pPr>
    <w:rPr>
      <w:rFonts w:ascii="Times New Roman" w:eastAsia="Times New Roman" w:hAnsi="Times New Roman"/>
      <w:sz w:val="24"/>
      <w:szCs w:val="24"/>
      <w:lang w:val="en-US"/>
    </w:rPr>
  </w:style>
  <w:style w:type="paragraph" w:styleId="Komentarotekstas">
    <w:name w:val="annotation text"/>
    <w:basedOn w:val="prastasis"/>
    <w:link w:val="KomentarotekstasDiagrama"/>
    <w:uiPriority w:val="99"/>
    <w:semiHidden/>
    <w:unhideWhenUsed/>
    <w:rsid w:val="007E37A3"/>
    <w:rPr>
      <w:sz w:val="20"/>
      <w:szCs w:val="20"/>
      <w:lang w:eastAsia="x-none"/>
    </w:rPr>
  </w:style>
  <w:style w:type="character" w:customStyle="1" w:styleId="KomentarotekstasDiagrama">
    <w:name w:val="Komentaro tekstas Diagrama"/>
    <w:basedOn w:val="Numatytasispastraiposriftas"/>
    <w:link w:val="Komentarotekstas"/>
    <w:uiPriority w:val="99"/>
    <w:semiHidden/>
    <w:rsid w:val="007E37A3"/>
    <w:rPr>
      <w:rFonts w:ascii="Calibri" w:eastAsia="Calibri" w:hAnsi="Calibri" w:cs="Times New Roman"/>
      <w:kern w:val="0"/>
      <w:sz w:val="20"/>
      <w:szCs w:val="20"/>
      <w:lang w:val="lt-LT" w:eastAsia="x-none"/>
      <w14:ligatures w14:val="none"/>
    </w:rPr>
  </w:style>
  <w:style w:type="paragraph" w:styleId="Antrats">
    <w:name w:val="header"/>
    <w:basedOn w:val="prastasis"/>
    <w:link w:val="AntratsDiagrama"/>
    <w:uiPriority w:val="99"/>
    <w:semiHidden/>
    <w:unhideWhenUsed/>
    <w:rsid w:val="007E37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E37A3"/>
    <w:rPr>
      <w:rFonts w:ascii="Calibri" w:eastAsia="Calibri" w:hAnsi="Calibri" w:cs="Times New Roman"/>
      <w:kern w:val="0"/>
      <w:lang w:val="lt-LT"/>
      <w14:ligatures w14:val="none"/>
    </w:rPr>
  </w:style>
  <w:style w:type="paragraph" w:styleId="Porat">
    <w:name w:val="footer"/>
    <w:basedOn w:val="prastasis"/>
    <w:link w:val="PoratDiagrama"/>
    <w:uiPriority w:val="99"/>
    <w:semiHidden/>
    <w:unhideWhenUsed/>
    <w:rsid w:val="007E37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E37A3"/>
    <w:rPr>
      <w:rFonts w:ascii="Calibri" w:eastAsia="Calibri" w:hAnsi="Calibri" w:cs="Times New Roman"/>
      <w:kern w:val="0"/>
      <w:lang w:val="lt-LT"/>
      <w14:ligatures w14:val="none"/>
    </w:rPr>
  </w:style>
  <w:style w:type="paragraph" w:styleId="Pavadinimas">
    <w:name w:val="Title"/>
    <w:basedOn w:val="prastasis"/>
    <w:link w:val="PavadinimasDiagrama"/>
    <w:autoRedefine/>
    <w:qFormat/>
    <w:rsid w:val="007E37A3"/>
    <w:pPr>
      <w:spacing w:after="0" w:line="240" w:lineRule="auto"/>
      <w:jc w:val="center"/>
      <w:outlineLvl w:val="0"/>
    </w:pPr>
    <w:rPr>
      <w:rFonts w:ascii="Times New Roman" w:eastAsia="Times New Roman" w:hAnsi="Times New Roman"/>
      <w:b/>
      <w:kern w:val="28"/>
      <w:sz w:val="20"/>
      <w:szCs w:val="20"/>
      <w:lang w:val="x-none" w:eastAsia="lt-LT"/>
    </w:rPr>
  </w:style>
  <w:style w:type="character" w:customStyle="1" w:styleId="PavadinimasDiagrama">
    <w:name w:val="Pavadinimas Diagrama"/>
    <w:basedOn w:val="Numatytasispastraiposriftas"/>
    <w:link w:val="Pavadinimas"/>
    <w:rsid w:val="007E37A3"/>
    <w:rPr>
      <w:rFonts w:ascii="Times New Roman" w:eastAsia="Times New Roman" w:hAnsi="Times New Roman" w:cs="Times New Roman"/>
      <w:b/>
      <w:kern w:val="28"/>
      <w:sz w:val="20"/>
      <w:szCs w:val="20"/>
      <w:lang w:val="x-none" w:eastAsia="lt-LT"/>
      <w14:ligatures w14:val="none"/>
    </w:rPr>
  </w:style>
  <w:style w:type="paragraph" w:styleId="Pagrindinistekstas">
    <w:name w:val="Body Text"/>
    <w:basedOn w:val="prastasis"/>
    <w:link w:val="PagrindinistekstasDiagrama"/>
    <w:semiHidden/>
    <w:unhideWhenUsed/>
    <w:rsid w:val="007E37A3"/>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basedOn w:val="Numatytasispastraiposriftas"/>
    <w:link w:val="Pagrindinistekstas"/>
    <w:semiHidden/>
    <w:rsid w:val="007E37A3"/>
    <w:rPr>
      <w:rFonts w:ascii="Times New Roman" w:eastAsia="Times New Roman" w:hAnsi="Times New Roman" w:cs="Times New Roman"/>
      <w:kern w:val="0"/>
      <w:sz w:val="20"/>
      <w:szCs w:val="20"/>
      <w:lang w:val="x-none" w:eastAsia="lt-LT"/>
      <w14:ligatures w14:val="none"/>
    </w:rPr>
  </w:style>
  <w:style w:type="paragraph" w:styleId="Pagrindiniotekstotrauka">
    <w:name w:val="Body Text Indent"/>
    <w:basedOn w:val="prastasis"/>
    <w:link w:val="PagrindiniotekstotraukaDiagrama"/>
    <w:uiPriority w:val="99"/>
    <w:semiHidden/>
    <w:unhideWhenUsed/>
    <w:rsid w:val="007E37A3"/>
    <w:pPr>
      <w:spacing w:after="120" w:line="240" w:lineRule="auto"/>
      <w:ind w:left="283"/>
    </w:pPr>
    <w:rPr>
      <w:rFonts w:ascii="Times New Roman" w:eastAsia="Times New Roman" w:hAnsi="Times New Roman"/>
      <w:sz w:val="24"/>
      <w:szCs w:val="24"/>
      <w:lang w:val="x-none" w:eastAsia="x-none"/>
    </w:rPr>
  </w:style>
  <w:style w:type="character" w:customStyle="1" w:styleId="PagrindiniotekstotraukaDiagrama">
    <w:name w:val="Pagrindinio teksto įtrauka Diagrama"/>
    <w:basedOn w:val="Numatytasispastraiposriftas"/>
    <w:link w:val="Pagrindiniotekstotrauka"/>
    <w:uiPriority w:val="99"/>
    <w:semiHidden/>
    <w:rsid w:val="007E37A3"/>
    <w:rPr>
      <w:rFonts w:ascii="Times New Roman" w:eastAsia="Times New Roman" w:hAnsi="Times New Roman" w:cs="Times New Roman"/>
      <w:kern w:val="0"/>
      <w:sz w:val="24"/>
      <w:szCs w:val="24"/>
      <w:lang w:val="x-none" w:eastAsia="x-none"/>
      <w14:ligatures w14:val="none"/>
    </w:rPr>
  </w:style>
  <w:style w:type="paragraph" w:styleId="Pagrindiniotekstotrauka2">
    <w:name w:val="Body Text Indent 2"/>
    <w:basedOn w:val="prastasis"/>
    <w:link w:val="Pagrindiniotekstotrauka2Diagrama"/>
    <w:uiPriority w:val="99"/>
    <w:semiHidden/>
    <w:unhideWhenUsed/>
    <w:rsid w:val="007E37A3"/>
    <w:pPr>
      <w:spacing w:after="120" w:line="480" w:lineRule="auto"/>
      <w:ind w:left="283"/>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7E37A3"/>
    <w:rPr>
      <w:rFonts w:ascii="Times New Roman" w:eastAsia="Times New Roman" w:hAnsi="Times New Roman" w:cs="Times New Roman"/>
      <w:kern w:val="0"/>
      <w:sz w:val="24"/>
      <w:szCs w:val="24"/>
      <w:lang w:val="x-none" w:eastAsia="x-none"/>
      <w14:ligatures w14:val="none"/>
    </w:rPr>
  </w:style>
  <w:style w:type="paragraph" w:styleId="Komentarotema">
    <w:name w:val="annotation subject"/>
    <w:basedOn w:val="Komentarotekstas"/>
    <w:next w:val="Komentarotekstas"/>
    <w:link w:val="KomentarotemaDiagrama"/>
    <w:uiPriority w:val="99"/>
    <w:semiHidden/>
    <w:unhideWhenUsed/>
    <w:rsid w:val="007E37A3"/>
    <w:rPr>
      <w:b/>
      <w:bCs/>
    </w:rPr>
  </w:style>
  <w:style w:type="character" w:customStyle="1" w:styleId="KomentarotemaDiagrama">
    <w:name w:val="Komentaro tema Diagrama"/>
    <w:basedOn w:val="KomentarotekstasDiagrama"/>
    <w:link w:val="Komentarotema"/>
    <w:uiPriority w:val="99"/>
    <w:semiHidden/>
    <w:rsid w:val="007E37A3"/>
    <w:rPr>
      <w:rFonts w:ascii="Calibri" w:eastAsia="Calibri" w:hAnsi="Calibri" w:cs="Times New Roman"/>
      <w:b/>
      <w:bCs/>
      <w:kern w:val="0"/>
      <w:sz w:val="20"/>
      <w:szCs w:val="20"/>
      <w:lang w:val="lt-LT" w:eastAsia="x-none"/>
      <w14:ligatures w14:val="none"/>
    </w:rPr>
  </w:style>
  <w:style w:type="paragraph" w:styleId="Debesliotekstas">
    <w:name w:val="Balloon Text"/>
    <w:basedOn w:val="prastasis"/>
    <w:link w:val="DebesliotekstasDiagrama"/>
    <w:uiPriority w:val="99"/>
    <w:semiHidden/>
    <w:unhideWhenUsed/>
    <w:rsid w:val="007E37A3"/>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7E37A3"/>
    <w:rPr>
      <w:rFonts w:ascii="Tahoma" w:eastAsia="Times New Roman" w:hAnsi="Tahoma" w:cs="Times New Roman"/>
      <w:kern w:val="0"/>
      <w:sz w:val="16"/>
      <w:szCs w:val="16"/>
      <w:lang w:val="x-none" w:eastAsia="x-none"/>
      <w14:ligatures w14:val="none"/>
    </w:rPr>
  </w:style>
  <w:style w:type="paragraph" w:styleId="Pataisymai">
    <w:name w:val="Revision"/>
    <w:uiPriority w:val="99"/>
    <w:semiHidden/>
    <w:rsid w:val="007E37A3"/>
    <w:pPr>
      <w:spacing w:after="0" w:line="240" w:lineRule="auto"/>
    </w:pPr>
    <w:rPr>
      <w:rFonts w:ascii="Calibri" w:eastAsia="Calibri" w:hAnsi="Calibri" w:cs="Times New Roman"/>
      <w:kern w:val="0"/>
      <w:lang w:val="lt-LT"/>
      <w14:ligatures w14:val="none"/>
    </w:rPr>
  </w:style>
  <w:style w:type="character" w:customStyle="1" w:styleId="Heading1Char">
    <w:name w:val="Heading 1 Char"/>
    <w:link w:val="Heading11"/>
    <w:uiPriority w:val="9"/>
    <w:locked/>
    <w:rsid w:val="007E37A3"/>
    <w:rPr>
      <w:rFonts w:ascii="Cambria" w:eastAsia="Times New Roman" w:hAnsi="Cambria"/>
      <w:b/>
      <w:bCs/>
      <w:color w:val="365F91"/>
      <w:sz w:val="28"/>
      <w:szCs w:val="28"/>
      <w:lang w:eastAsia="x-none"/>
    </w:rPr>
  </w:style>
  <w:style w:type="paragraph" w:customStyle="1" w:styleId="Heading11">
    <w:name w:val="Heading 11"/>
    <w:basedOn w:val="prastasis"/>
    <w:next w:val="prastasis"/>
    <w:link w:val="Heading1Char"/>
    <w:uiPriority w:val="9"/>
    <w:qFormat/>
    <w:rsid w:val="007E37A3"/>
    <w:pPr>
      <w:keepNext/>
      <w:keepLines/>
      <w:spacing w:before="480" w:after="0" w:line="240" w:lineRule="auto"/>
      <w:outlineLvl w:val="0"/>
    </w:pPr>
    <w:rPr>
      <w:rFonts w:ascii="Cambria" w:eastAsia="Times New Roman" w:hAnsi="Cambria" w:cstheme="minorBidi"/>
      <w:b/>
      <w:bCs/>
      <w:color w:val="365F91"/>
      <w:kern w:val="2"/>
      <w:sz w:val="28"/>
      <w:szCs w:val="28"/>
      <w:lang w:val="en-US" w:eastAsia="x-none"/>
      <w14:ligatures w14:val="standardContextual"/>
    </w:rPr>
  </w:style>
  <w:style w:type="character" w:customStyle="1" w:styleId="Heading2Char">
    <w:name w:val="Heading 2 Char"/>
    <w:link w:val="Heading21"/>
    <w:uiPriority w:val="9"/>
    <w:semiHidden/>
    <w:locked/>
    <w:rsid w:val="007E37A3"/>
    <w:rPr>
      <w:rFonts w:ascii="Cambria" w:eastAsia="Times New Roman" w:hAnsi="Cambria"/>
      <w:b/>
      <w:bCs/>
      <w:color w:val="4F81BD"/>
      <w:sz w:val="26"/>
      <w:szCs w:val="26"/>
      <w:lang w:eastAsia="x-none"/>
    </w:rPr>
  </w:style>
  <w:style w:type="paragraph" w:customStyle="1" w:styleId="Heading21">
    <w:name w:val="Heading 21"/>
    <w:basedOn w:val="prastasis"/>
    <w:next w:val="prastasis"/>
    <w:link w:val="Heading2Char"/>
    <w:uiPriority w:val="9"/>
    <w:semiHidden/>
    <w:qFormat/>
    <w:rsid w:val="007E37A3"/>
    <w:pPr>
      <w:keepNext/>
      <w:keepLines/>
      <w:spacing w:before="200" w:after="0" w:line="240" w:lineRule="auto"/>
      <w:outlineLvl w:val="1"/>
    </w:pPr>
    <w:rPr>
      <w:rFonts w:ascii="Cambria" w:eastAsia="Times New Roman" w:hAnsi="Cambria" w:cstheme="minorBidi"/>
      <w:b/>
      <w:bCs/>
      <w:color w:val="4F81BD"/>
      <w:kern w:val="2"/>
      <w:sz w:val="26"/>
      <w:szCs w:val="26"/>
      <w:lang w:val="en-US" w:eastAsia="x-none"/>
      <w14:ligatures w14:val="standardContextual"/>
    </w:rPr>
  </w:style>
  <w:style w:type="character" w:customStyle="1" w:styleId="Heading3Char">
    <w:name w:val="Heading 3 Char"/>
    <w:link w:val="Heading31"/>
    <w:uiPriority w:val="9"/>
    <w:semiHidden/>
    <w:locked/>
    <w:rsid w:val="007E37A3"/>
    <w:rPr>
      <w:rFonts w:ascii="Cambria" w:eastAsia="Times New Roman" w:hAnsi="Cambria"/>
      <w:b/>
      <w:bCs/>
      <w:color w:val="4F81BD"/>
      <w:sz w:val="24"/>
      <w:szCs w:val="24"/>
      <w:lang w:eastAsia="x-none"/>
    </w:rPr>
  </w:style>
  <w:style w:type="paragraph" w:customStyle="1" w:styleId="Heading31">
    <w:name w:val="Heading 31"/>
    <w:basedOn w:val="prastasis"/>
    <w:next w:val="prastasis"/>
    <w:link w:val="Heading3Char"/>
    <w:uiPriority w:val="9"/>
    <w:semiHidden/>
    <w:qFormat/>
    <w:rsid w:val="007E37A3"/>
    <w:pPr>
      <w:keepNext/>
      <w:keepLines/>
      <w:spacing w:before="200" w:after="0" w:line="240" w:lineRule="auto"/>
      <w:outlineLvl w:val="2"/>
    </w:pPr>
    <w:rPr>
      <w:rFonts w:ascii="Cambria" w:eastAsia="Times New Roman" w:hAnsi="Cambria" w:cstheme="minorBidi"/>
      <w:b/>
      <w:bCs/>
      <w:color w:val="4F81BD"/>
      <w:kern w:val="2"/>
      <w:sz w:val="24"/>
      <w:szCs w:val="24"/>
      <w:lang w:val="en-US" w:eastAsia="x-none"/>
      <w14:ligatures w14:val="standardContextual"/>
    </w:rPr>
  </w:style>
  <w:style w:type="paragraph" w:customStyle="1" w:styleId="Heading61">
    <w:name w:val="Heading 61"/>
    <w:basedOn w:val="prastasis"/>
    <w:next w:val="prastasis"/>
    <w:uiPriority w:val="9"/>
    <w:semiHidden/>
    <w:qFormat/>
    <w:rsid w:val="007E37A3"/>
    <w:pPr>
      <w:keepNext/>
      <w:keepLines/>
      <w:spacing w:before="200" w:after="0" w:line="240" w:lineRule="auto"/>
      <w:outlineLvl w:val="5"/>
    </w:pPr>
    <w:rPr>
      <w:rFonts w:ascii="Cambria" w:eastAsia="Times New Roman" w:hAnsi="Cambria"/>
      <w:i/>
      <w:iCs/>
      <w:color w:val="243F60"/>
      <w:sz w:val="24"/>
      <w:szCs w:val="24"/>
    </w:rPr>
  </w:style>
  <w:style w:type="paragraph" w:customStyle="1" w:styleId="PI-1EMEASMCA">
    <w:name w:val="PI-1 EMEA_SMCA"/>
    <w:basedOn w:val="Antrat2"/>
    <w:autoRedefine/>
    <w:rsid w:val="007E37A3"/>
    <w:pPr>
      <w:keepLines w:val="0"/>
      <w:tabs>
        <w:tab w:val="left" w:pos="567"/>
      </w:tabs>
      <w:spacing w:before="0" w:line="240" w:lineRule="auto"/>
      <w:ind w:left="567" w:hanging="567"/>
    </w:pPr>
    <w:rPr>
      <w:rFonts w:ascii="Times New Roman" w:hAnsi="Times New Roman"/>
      <w:b/>
      <w:color w:val="auto"/>
      <w:sz w:val="22"/>
      <w:szCs w:val="22"/>
    </w:rPr>
  </w:style>
  <w:style w:type="paragraph" w:customStyle="1" w:styleId="PI-1labEMEASMCA">
    <w:name w:val="PI-1_lab EMEA_SMCA"/>
    <w:basedOn w:val="prastasis"/>
    <w:autoRedefine/>
    <w:rsid w:val="007E37A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7E37A3"/>
    <w:pPr>
      <w:tabs>
        <w:tab w:val="left" w:pos="567"/>
      </w:tabs>
      <w:spacing w:before="0" w:line="240" w:lineRule="auto"/>
      <w:ind w:left="567" w:hanging="567"/>
    </w:pPr>
    <w:rPr>
      <w:rFonts w:ascii="Times New Roman" w:hAnsi="Times New Roman"/>
      <w:b/>
      <w:color w:val="auto"/>
      <w:kern w:val="28"/>
      <w:sz w:val="22"/>
      <w:szCs w:val="22"/>
    </w:rPr>
  </w:style>
  <w:style w:type="paragraph" w:customStyle="1" w:styleId="BTEMEASMCA">
    <w:name w:val="BT EMEA_SMCA"/>
    <w:basedOn w:val="prastasis"/>
    <w:autoRedefine/>
    <w:rsid w:val="007E37A3"/>
    <w:pPr>
      <w:tabs>
        <w:tab w:val="left" w:pos="426"/>
      </w:tabs>
      <w:spacing w:after="0" w:line="240" w:lineRule="auto"/>
    </w:pPr>
    <w:rPr>
      <w:rFonts w:ascii="Times New Roman" w:eastAsia="Arial Unicode MS" w:hAnsi="Times New Roman"/>
      <w:bCs/>
      <w:noProof/>
      <w:color w:val="000000"/>
    </w:rPr>
  </w:style>
  <w:style w:type="paragraph" w:customStyle="1" w:styleId="TTEMEASMCA">
    <w:name w:val="TT EMEA_SMCA"/>
    <w:basedOn w:val="Antrat1"/>
    <w:autoRedefine/>
    <w:rsid w:val="007E37A3"/>
    <w:pPr>
      <w:keepNext w:val="0"/>
      <w:keepLines w:val="0"/>
      <w:tabs>
        <w:tab w:val="left" w:pos="567"/>
      </w:tabs>
      <w:spacing w:before="0" w:line="240" w:lineRule="auto"/>
      <w:ind w:left="567" w:hanging="567"/>
      <w:jc w:val="center"/>
    </w:pPr>
    <w:rPr>
      <w:rFonts w:ascii="Times New Roman" w:hAnsi="Times New Roman"/>
      <w:b/>
      <w:caps/>
      <w:color w:val="auto"/>
      <w:sz w:val="22"/>
      <w:szCs w:val="22"/>
      <w:lang w:val="en-US"/>
    </w:rPr>
  </w:style>
  <w:style w:type="paragraph" w:customStyle="1" w:styleId="BTAnIIEMEASMCA">
    <w:name w:val="BT(AnII) EMEA_SMCA"/>
    <w:basedOn w:val="Debesliotekstas"/>
    <w:autoRedefine/>
    <w:rsid w:val="007E37A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E5406"/>
  </w:style>
  <w:style w:type="paragraph" w:customStyle="1" w:styleId="PI-3EMEASMCA">
    <w:name w:val="PI-3 EMEA_SMCA"/>
    <w:basedOn w:val="prastasis"/>
    <w:autoRedefine/>
    <w:rsid w:val="007E37A3"/>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7E37A3"/>
    <w:rPr>
      <w:b/>
    </w:rPr>
  </w:style>
  <w:style w:type="paragraph" w:customStyle="1" w:styleId="BTbeEMEASMCA">
    <w:name w:val="BT(be) EMEA_SMCA"/>
    <w:basedOn w:val="BTEMEASMCA"/>
    <w:autoRedefine/>
    <w:rsid w:val="007E37A3"/>
    <w:pPr>
      <w:jc w:val="center"/>
    </w:pPr>
    <w:rPr>
      <w:b/>
    </w:rPr>
  </w:style>
  <w:style w:type="paragraph" w:customStyle="1" w:styleId="BTuEMEASMCA">
    <w:name w:val="BT(u) EMEA_SMCA"/>
    <w:basedOn w:val="BTEMEASMCA"/>
    <w:autoRedefine/>
    <w:rsid w:val="007E37A3"/>
    <w:rPr>
      <w:u w:val="single"/>
    </w:rPr>
  </w:style>
  <w:style w:type="paragraph" w:customStyle="1" w:styleId="Standard-Einzug1">
    <w:name w:val="Standard-Einzug 1"/>
    <w:basedOn w:val="prastasis"/>
    <w:rsid w:val="007E37A3"/>
    <w:pPr>
      <w:spacing w:after="120" w:line="240" w:lineRule="auto"/>
      <w:ind w:left="709" w:hanging="709"/>
    </w:pPr>
    <w:rPr>
      <w:rFonts w:ascii="Arial" w:eastAsia="Times New Roman" w:hAnsi="Arial"/>
      <w:sz w:val="24"/>
      <w:szCs w:val="20"/>
      <w:lang w:val="de-DE" w:eastAsia="de-DE"/>
    </w:rPr>
  </w:style>
  <w:style w:type="character" w:styleId="Komentaronuoroda">
    <w:name w:val="annotation reference"/>
    <w:uiPriority w:val="99"/>
    <w:semiHidden/>
    <w:unhideWhenUsed/>
    <w:rsid w:val="007E37A3"/>
    <w:rPr>
      <w:sz w:val="16"/>
      <w:szCs w:val="16"/>
    </w:rPr>
  </w:style>
  <w:style w:type="character" w:customStyle="1" w:styleId="BTEMEASMCAChar">
    <w:name w:val="BT EMEA_SMCA Char"/>
    <w:rsid w:val="007E37A3"/>
    <w:rPr>
      <w:bCs/>
      <w:noProof/>
      <w:sz w:val="22"/>
      <w:szCs w:val="22"/>
      <w:lang w:val="lt-LT" w:eastAsia="en-US" w:bidi="ar-SA"/>
    </w:rPr>
  </w:style>
  <w:style w:type="character" w:customStyle="1" w:styleId="BT-EMEASMCAChar">
    <w:name w:val="BT- EMEA_SMCA Char"/>
    <w:rsid w:val="007E37A3"/>
    <w:rPr>
      <w:bCs w:val="0"/>
      <w:noProof/>
      <w:sz w:val="22"/>
      <w:szCs w:val="22"/>
      <w:lang w:val="lt-LT" w:eastAsia="en-US" w:bidi="ar-SA"/>
    </w:rPr>
  </w:style>
  <w:style w:type="character" w:customStyle="1" w:styleId="Heading6Char1">
    <w:name w:val="Heading 6 Char1"/>
    <w:uiPriority w:val="9"/>
    <w:semiHidden/>
    <w:rsid w:val="007E37A3"/>
    <w:rPr>
      <w:rFonts w:ascii="Calibri Light" w:eastAsia="Times New Roman" w:hAnsi="Calibri Light" w:cs="Times New Roman" w:hint="default"/>
      <w:color w:val="1F4D78"/>
    </w:rPr>
  </w:style>
  <w:style w:type="character" w:customStyle="1" w:styleId="Neapdorotaspaminjimas1">
    <w:name w:val="Neapdorotas paminėjimas1"/>
    <w:basedOn w:val="Numatytasispastraiposriftas"/>
    <w:uiPriority w:val="99"/>
    <w:semiHidden/>
    <w:rsid w:val="007E37A3"/>
    <w:rPr>
      <w:color w:val="605E5C"/>
      <w:shd w:val="clear" w:color="auto" w:fill="E1DFDD"/>
    </w:rPr>
  </w:style>
  <w:style w:type="character" w:customStyle="1" w:styleId="resultoftext">
    <w:name w:val="resultoftext"/>
    <w:basedOn w:val="Numatytasispastraiposriftas"/>
    <w:rsid w:val="00CE5406"/>
  </w:style>
  <w:style w:type="character" w:styleId="Neapdorotaspaminjimas">
    <w:name w:val="Unresolved Mention"/>
    <w:basedOn w:val="Numatytasispastraiposriftas"/>
    <w:uiPriority w:val="99"/>
    <w:semiHidden/>
    <w:unhideWhenUsed/>
    <w:rsid w:val="00CE5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16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35936</Words>
  <Characters>20484</Characters>
  <Application>Microsoft Office Word</Application>
  <DocSecurity>4</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2024-04-23T12:54:00Z</cp:lastPrinted>
  <dcterms:created xsi:type="dcterms:W3CDTF">2026-01-05T08:54:00Z</dcterms:created>
  <dcterms:modified xsi:type="dcterms:W3CDTF">2026-01-05T08:54:00Z</dcterms:modified>
</cp:coreProperties>
</file>