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3C" w:rsidRPr="0073430A" w:rsidRDefault="00DE423C" w:rsidP="00DE423C">
      <w:pPr>
        <w:pageBreakBefore/>
        <w:suppressAutoHyphens/>
        <w:jc w:val="center"/>
        <w:rPr>
          <w:b/>
          <w:bCs/>
          <w:szCs w:val="22"/>
          <w:lang w:eastAsia="ar-SA"/>
        </w:rPr>
      </w:pPr>
      <w:r w:rsidRPr="0073430A">
        <w:rPr>
          <w:b/>
          <w:bCs/>
          <w:szCs w:val="22"/>
          <w:lang w:eastAsia="ar-SA"/>
        </w:rPr>
        <w:t>Pakuotės lapelis: informacija vartotojui</w:t>
      </w:r>
    </w:p>
    <w:p w:rsidR="00DE423C" w:rsidRPr="0073430A" w:rsidRDefault="00DE423C" w:rsidP="00DE423C">
      <w:pPr>
        <w:suppressAutoHyphens/>
        <w:jc w:val="center"/>
        <w:rPr>
          <w:b/>
          <w:bCs/>
          <w:szCs w:val="22"/>
          <w:lang w:eastAsia="ar-SA"/>
        </w:rPr>
      </w:pPr>
    </w:p>
    <w:p w:rsidR="00DE423C" w:rsidRPr="0073430A" w:rsidRDefault="00DE423C" w:rsidP="00DE423C">
      <w:pPr>
        <w:keepNext/>
        <w:tabs>
          <w:tab w:val="left" w:pos="567"/>
        </w:tabs>
        <w:spacing w:line="260" w:lineRule="exact"/>
        <w:jc w:val="center"/>
        <w:outlineLvl w:val="3"/>
        <w:rPr>
          <w:b/>
          <w:noProof/>
          <w:snapToGrid w:val="0"/>
          <w:szCs w:val="22"/>
          <w:lang w:eastAsia="en-US"/>
        </w:rPr>
      </w:pPr>
      <w:r>
        <w:rPr>
          <w:b/>
          <w:szCs w:val="22"/>
          <w:lang w:eastAsia="ar-SA"/>
        </w:rPr>
        <w:t>MOXICEF</w:t>
      </w:r>
      <w:r w:rsidRPr="0073430A">
        <w:rPr>
          <w:szCs w:val="22"/>
          <w:lang w:eastAsia="ar-SA"/>
        </w:rPr>
        <w:t xml:space="preserve"> </w:t>
      </w:r>
      <w:r w:rsidRPr="0073430A">
        <w:rPr>
          <w:b/>
          <w:noProof/>
          <w:snapToGrid w:val="0"/>
          <w:szCs w:val="22"/>
          <w:lang w:eastAsia="en-US"/>
        </w:rPr>
        <w:t>1</w:t>
      </w:r>
      <w:r>
        <w:rPr>
          <w:b/>
          <w:noProof/>
          <w:snapToGrid w:val="0"/>
          <w:szCs w:val="22"/>
          <w:lang w:eastAsia="en-US"/>
        </w:rPr>
        <w:t> </w:t>
      </w:r>
      <w:r w:rsidRPr="0073430A">
        <w:rPr>
          <w:b/>
          <w:noProof/>
          <w:snapToGrid w:val="0"/>
          <w:szCs w:val="22"/>
          <w:lang w:eastAsia="en-US"/>
        </w:rPr>
        <w:t>g milteliai injekciniam ar infuziniam tirpalui</w:t>
      </w:r>
    </w:p>
    <w:p w:rsidR="00DE423C" w:rsidRPr="0073430A" w:rsidRDefault="00DE423C" w:rsidP="00DE423C">
      <w:pPr>
        <w:keepNext/>
        <w:tabs>
          <w:tab w:val="left" w:pos="567"/>
        </w:tabs>
        <w:spacing w:line="260" w:lineRule="exact"/>
        <w:jc w:val="center"/>
        <w:outlineLvl w:val="3"/>
        <w:rPr>
          <w:b/>
          <w:noProof/>
          <w:snapToGrid w:val="0"/>
          <w:szCs w:val="22"/>
          <w:lang w:eastAsia="en-US"/>
        </w:rPr>
      </w:pPr>
      <w:r>
        <w:rPr>
          <w:b/>
          <w:noProof/>
          <w:snapToGrid w:val="0"/>
          <w:szCs w:val="22"/>
          <w:highlight w:val="lightGray"/>
          <w:lang w:eastAsia="en-US"/>
        </w:rPr>
        <w:t>MOXICEF</w:t>
      </w:r>
      <w:r w:rsidRPr="0073430A">
        <w:rPr>
          <w:b/>
          <w:noProof/>
          <w:snapToGrid w:val="0"/>
          <w:szCs w:val="22"/>
          <w:highlight w:val="lightGray"/>
          <w:lang w:eastAsia="en-US"/>
        </w:rPr>
        <w:t xml:space="preserve"> 2</w:t>
      </w:r>
      <w:r>
        <w:rPr>
          <w:b/>
          <w:noProof/>
          <w:snapToGrid w:val="0"/>
          <w:szCs w:val="22"/>
          <w:highlight w:val="lightGray"/>
          <w:lang w:eastAsia="en-US"/>
        </w:rPr>
        <w:t> </w:t>
      </w:r>
      <w:r w:rsidRPr="0073430A">
        <w:rPr>
          <w:b/>
          <w:noProof/>
          <w:snapToGrid w:val="0"/>
          <w:szCs w:val="22"/>
          <w:highlight w:val="lightGray"/>
          <w:lang w:eastAsia="en-US"/>
        </w:rPr>
        <w:t>g milteliai injekciniam ar infuziniam tirpalui</w:t>
      </w:r>
    </w:p>
    <w:p w:rsidR="00DE423C" w:rsidRPr="0073430A" w:rsidRDefault="00DE423C" w:rsidP="00DE423C">
      <w:pPr>
        <w:jc w:val="center"/>
        <w:rPr>
          <w:snapToGrid w:val="0"/>
          <w:szCs w:val="22"/>
          <w:lang w:eastAsia="en-US"/>
        </w:rPr>
      </w:pPr>
      <w:r>
        <w:rPr>
          <w:snapToGrid w:val="0"/>
          <w:szCs w:val="22"/>
          <w:lang w:eastAsia="en-US"/>
        </w:rPr>
        <w:t>c</w:t>
      </w:r>
      <w:r w:rsidRPr="0073430A">
        <w:rPr>
          <w:snapToGrid w:val="0"/>
          <w:szCs w:val="22"/>
          <w:lang w:eastAsia="en-US"/>
        </w:rPr>
        <w:t>efotaksimas</w:t>
      </w:r>
      <w:r>
        <w:rPr>
          <w:snapToGrid w:val="0"/>
          <w:szCs w:val="22"/>
          <w:lang w:eastAsia="en-US"/>
        </w:rPr>
        <w:t xml:space="preserve"> (cefotaksimo natrio druskos pavidalu)</w:t>
      </w:r>
    </w:p>
    <w:p w:rsidR="00DE423C" w:rsidRPr="0073430A" w:rsidRDefault="00DE423C" w:rsidP="00DE423C">
      <w:pPr>
        <w:jc w:val="center"/>
        <w:rPr>
          <w:snapToGrid w:val="0"/>
          <w:szCs w:val="22"/>
          <w:lang w:eastAsia="en-US"/>
        </w:rPr>
      </w:pPr>
    </w:p>
    <w:p w:rsidR="00DE423C" w:rsidRPr="0073430A" w:rsidRDefault="00DE423C" w:rsidP="00DE423C">
      <w:pPr>
        <w:suppressAutoHyphens/>
        <w:rPr>
          <w:snapToGrid w:val="0"/>
          <w:szCs w:val="22"/>
          <w:lang w:eastAsia="en-US"/>
        </w:rPr>
      </w:pPr>
      <w:r w:rsidRPr="0073430A">
        <w:rPr>
          <w:b/>
          <w:snapToGrid w:val="0"/>
          <w:szCs w:val="22"/>
          <w:lang w:eastAsia="en-US"/>
        </w:rPr>
        <w:t>Atidžiai perskaitykite visą šį lapelį, prieš pradėdami vartoti vaistą, nes jame pateikiama Jums svarbi informacija.</w:t>
      </w:r>
    </w:p>
    <w:p w:rsidR="00DE423C" w:rsidRPr="0073430A" w:rsidRDefault="00DE423C" w:rsidP="00DE423C">
      <w:pPr>
        <w:numPr>
          <w:ilvl w:val="0"/>
          <w:numId w:val="4"/>
        </w:numPr>
        <w:tabs>
          <w:tab w:val="left" w:pos="567"/>
        </w:tabs>
        <w:suppressAutoHyphens/>
        <w:spacing w:line="260" w:lineRule="exact"/>
        <w:ind w:left="567" w:right="-2" w:hanging="567"/>
        <w:rPr>
          <w:snapToGrid w:val="0"/>
          <w:szCs w:val="22"/>
          <w:lang w:eastAsia="en-US"/>
        </w:rPr>
      </w:pPr>
      <w:r w:rsidRPr="0073430A">
        <w:rPr>
          <w:snapToGrid w:val="0"/>
          <w:szCs w:val="22"/>
          <w:lang w:eastAsia="en-US"/>
        </w:rPr>
        <w:t>Neišmeskite šio lapelio, nes vėl gali prireikti jį perskaityti.</w:t>
      </w:r>
    </w:p>
    <w:p w:rsidR="00DE423C" w:rsidRPr="0073430A" w:rsidRDefault="00DE423C" w:rsidP="00DE423C">
      <w:pPr>
        <w:numPr>
          <w:ilvl w:val="0"/>
          <w:numId w:val="4"/>
        </w:numPr>
        <w:tabs>
          <w:tab w:val="left" w:pos="567"/>
        </w:tabs>
        <w:suppressAutoHyphens/>
        <w:spacing w:line="260" w:lineRule="exact"/>
        <w:ind w:left="567" w:right="-2" w:hanging="567"/>
        <w:rPr>
          <w:snapToGrid w:val="0"/>
          <w:szCs w:val="22"/>
          <w:lang w:eastAsia="en-US"/>
        </w:rPr>
      </w:pPr>
      <w:r w:rsidRPr="0073430A">
        <w:rPr>
          <w:snapToGrid w:val="0"/>
          <w:szCs w:val="22"/>
          <w:lang w:eastAsia="en-US"/>
        </w:rPr>
        <w:t>Jeigu kiltų daugiau klausimų, kreipkitės į gydytoją</w:t>
      </w:r>
      <w:r>
        <w:rPr>
          <w:snapToGrid w:val="0"/>
          <w:szCs w:val="22"/>
          <w:lang w:eastAsia="en-US"/>
        </w:rPr>
        <w:t>,</w:t>
      </w:r>
      <w:r w:rsidRPr="0073430A">
        <w:rPr>
          <w:snapToGrid w:val="0"/>
          <w:szCs w:val="22"/>
          <w:lang w:eastAsia="en-US"/>
        </w:rPr>
        <w:t xml:space="preserve"> vaistininką arba slaugytoją.</w:t>
      </w:r>
    </w:p>
    <w:p w:rsidR="00DE423C" w:rsidRPr="0073430A" w:rsidRDefault="00DE423C" w:rsidP="00DE423C">
      <w:pPr>
        <w:numPr>
          <w:ilvl w:val="0"/>
          <w:numId w:val="4"/>
        </w:numPr>
        <w:tabs>
          <w:tab w:val="left" w:pos="567"/>
        </w:tabs>
        <w:suppressAutoHyphens/>
        <w:spacing w:line="260" w:lineRule="exact"/>
        <w:ind w:left="567" w:right="-2" w:hanging="567"/>
        <w:rPr>
          <w:snapToGrid w:val="0"/>
          <w:szCs w:val="22"/>
          <w:lang w:eastAsia="en-US"/>
        </w:rPr>
      </w:pPr>
      <w:r w:rsidRPr="0073430A">
        <w:rPr>
          <w:snapToGrid w:val="0"/>
          <w:szCs w:val="22"/>
          <w:lang w:eastAsia="en-US"/>
        </w:rPr>
        <w:t>Šis vaistas skirtas tik Jums, todėl kitiems žmonėms jo duoti negalima. Vaistas gali jiems pakenkti (net tiems, kurių ligos požymiai yra tokie patys kaip Jūsų).</w:t>
      </w:r>
    </w:p>
    <w:p w:rsidR="00DE423C" w:rsidRPr="0073430A" w:rsidRDefault="00DE423C" w:rsidP="00DE423C">
      <w:pPr>
        <w:numPr>
          <w:ilvl w:val="0"/>
          <w:numId w:val="4"/>
        </w:numPr>
        <w:tabs>
          <w:tab w:val="left" w:pos="567"/>
        </w:tabs>
        <w:suppressAutoHyphens/>
        <w:spacing w:line="260" w:lineRule="exact"/>
        <w:ind w:left="567" w:right="-2" w:hanging="567"/>
        <w:rPr>
          <w:snapToGrid w:val="0"/>
          <w:szCs w:val="22"/>
          <w:lang w:eastAsia="en-US"/>
        </w:rPr>
      </w:pPr>
      <w:r w:rsidRPr="0073430A">
        <w:rPr>
          <w:snapToGrid w:val="0"/>
          <w:szCs w:val="22"/>
          <w:lang w:eastAsia="en-US"/>
        </w:rPr>
        <w:t>Jeigu pasireiškė šalutinis poveikis (net jei jis šiame lapelyje nenurodytas), kreipkitės į gydytoją, vaistininką arba slaugytoją. Žr. 4 skyrių.</w:t>
      </w:r>
    </w:p>
    <w:p w:rsidR="00DE423C" w:rsidRPr="0073430A" w:rsidRDefault="00DE423C" w:rsidP="00DE423C">
      <w:pPr>
        <w:ind w:right="-2"/>
        <w:rPr>
          <w:snapToGrid w:val="0"/>
          <w:szCs w:val="22"/>
          <w:lang w:eastAsia="en-US"/>
        </w:rPr>
      </w:pPr>
    </w:p>
    <w:p w:rsidR="00DE423C" w:rsidRDefault="00DE423C" w:rsidP="00DE423C">
      <w:pPr>
        <w:numPr>
          <w:ilvl w:val="12"/>
          <w:numId w:val="0"/>
        </w:numPr>
        <w:ind w:right="-2"/>
        <w:outlineLvl w:val="0"/>
        <w:rPr>
          <w:b/>
          <w:snapToGrid w:val="0"/>
          <w:szCs w:val="22"/>
          <w:lang w:eastAsia="en-US"/>
        </w:rPr>
      </w:pPr>
      <w:r w:rsidRPr="0073430A">
        <w:rPr>
          <w:b/>
          <w:snapToGrid w:val="0"/>
          <w:szCs w:val="22"/>
          <w:lang w:eastAsia="en-US"/>
        </w:rPr>
        <w:t>Apie ką rašoma šiame lapelyje</w:t>
      </w:r>
      <w:r>
        <w:rPr>
          <w:b/>
          <w:snapToGrid w:val="0"/>
          <w:szCs w:val="22"/>
          <w:lang w:eastAsia="en-US"/>
        </w:rPr>
        <w:t>?</w:t>
      </w:r>
    </w:p>
    <w:p w:rsidR="00DE423C" w:rsidRPr="0073430A" w:rsidRDefault="00DE423C" w:rsidP="00DE423C">
      <w:pPr>
        <w:numPr>
          <w:ilvl w:val="12"/>
          <w:numId w:val="0"/>
        </w:numPr>
        <w:ind w:right="-2"/>
        <w:outlineLvl w:val="0"/>
        <w:rPr>
          <w:snapToGrid w:val="0"/>
          <w:szCs w:val="22"/>
          <w:lang w:eastAsia="en-US"/>
        </w:rPr>
      </w:pPr>
    </w:p>
    <w:p w:rsidR="00DE423C" w:rsidRPr="0073430A" w:rsidRDefault="00DE423C" w:rsidP="00DE423C">
      <w:pPr>
        <w:numPr>
          <w:ilvl w:val="12"/>
          <w:numId w:val="0"/>
        </w:numPr>
        <w:tabs>
          <w:tab w:val="left" w:pos="426"/>
        </w:tabs>
        <w:ind w:right="-29"/>
        <w:rPr>
          <w:snapToGrid w:val="0"/>
          <w:szCs w:val="22"/>
          <w:lang w:eastAsia="en-US"/>
        </w:rPr>
      </w:pPr>
      <w:r w:rsidRPr="0073430A">
        <w:rPr>
          <w:snapToGrid w:val="0"/>
          <w:szCs w:val="22"/>
          <w:lang w:eastAsia="en-US"/>
        </w:rPr>
        <w:t>1.</w:t>
      </w:r>
      <w:r w:rsidRPr="0073430A">
        <w:rPr>
          <w:snapToGrid w:val="0"/>
          <w:szCs w:val="22"/>
          <w:lang w:eastAsia="en-US"/>
        </w:rPr>
        <w:tab/>
        <w:t xml:space="preserve">Kas yra </w:t>
      </w:r>
      <w:r>
        <w:rPr>
          <w:snapToGrid w:val="0"/>
          <w:szCs w:val="22"/>
          <w:lang w:eastAsia="en-US"/>
        </w:rPr>
        <w:t>MOXICEF</w:t>
      </w:r>
      <w:r w:rsidRPr="0073430A">
        <w:rPr>
          <w:snapToGrid w:val="0"/>
          <w:szCs w:val="22"/>
          <w:lang w:eastAsia="en-US"/>
        </w:rPr>
        <w:t xml:space="preserve"> ir kam jis vartojamas</w:t>
      </w:r>
    </w:p>
    <w:p w:rsidR="00DE423C" w:rsidRPr="0073430A" w:rsidRDefault="00DE423C" w:rsidP="00DE423C">
      <w:pPr>
        <w:numPr>
          <w:ilvl w:val="12"/>
          <w:numId w:val="0"/>
        </w:numPr>
        <w:tabs>
          <w:tab w:val="left" w:pos="426"/>
        </w:tabs>
        <w:ind w:right="-29"/>
        <w:rPr>
          <w:snapToGrid w:val="0"/>
          <w:szCs w:val="22"/>
          <w:lang w:eastAsia="en-US"/>
        </w:rPr>
      </w:pPr>
      <w:r w:rsidRPr="0073430A">
        <w:rPr>
          <w:snapToGrid w:val="0"/>
          <w:szCs w:val="22"/>
          <w:lang w:eastAsia="en-US"/>
        </w:rPr>
        <w:t>2.</w:t>
      </w:r>
      <w:r w:rsidRPr="0073430A">
        <w:rPr>
          <w:snapToGrid w:val="0"/>
          <w:szCs w:val="22"/>
          <w:lang w:eastAsia="en-US"/>
        </w:rPr>
        <w:tab/>
        <w:t xml:space="preserve">Kas žinotina prieš vartojant </w:t>
      </w:r>
      <w:r>
        <w:rPr>
          <w:snapToGrid w:val="0"/>
          <w:szCs w:val="22"/>
          <w:lang w:eastAsia="en-US"/>
        </w:rPr>
        <w:t>MOXICEF</w:t>
      </w:r>
    </w:p>
    <w:p w:rsidR="00DE423C" w:rsidRPr="0073430A" w:rsidRDefault="00DE423C" w:rsidP="00DE423C">
      <w:pPr>
        <w:numPr>
          <w:ilvl w:val="12"/>
          <w:numId w:val="0"/>
        </w:numPr>
        <w:tabs>
          <w:tab w:val="left" w:pos="426"/>
        </w:tabs>
        <w:ind w:right="-29"/>
        <w:rPr>
          <w:snapToGrid w:val="0"/>
          <w:szCs w:val="22"/>
          <w:lang w:eastAsia="en-US"/>
        </w:rPr>
      </w:pPr>
      <w:r w:rsidRPr="0073430A">
        <w:rPr>
          <w:snapToGrid w:val="0"/>
          <w:szCs w:val="22"/>
          <w:lang w:eastAsia="en-US"/>
        </w:rPr>
        <w:t>3.</w:t>
      </w:r>
      <w:r w:rsidRPr="0073430A">
        <w:rPr>
          <w:snapToGrid w:val="0"/>
          <w:szCs w:val="22"/>
          <w:lang w:eastAsia="en-US"/>
        </w:rPr>
        <w:tab/>
        <w:t xml:space="preserve">Kaip vartoti </w:t>
      </w:r>
      <w:r>
        <w:rPr>
          <w:snapToGrid w:val="0"/>
          <w:szCs w:val="22"/>
          <w:lang w:eastAsia="en-US"/>
        </w:rPr>
        <w:t>MOXICEF</w:t>
      </w:r>
    </w:p>
    <w:p w:rsidR="00DE423C" w:rsidRPr="0073430A" w:rsidRDefault="00DE423C" w:rsidP="00DE423C">
      <w:pPr>
        <w:numPr>
          <w:ilvl w:val="12"/>
          <w:numId w:val="0"/>
        </w:numPr>
        <w:tabs>
          <w:tab w:val="left" w:pos="426"/>
        </w:tabs>
        <w:ind w:right="-29"/>
        <w:rPr>
          <w:snapToGrid w:val="0"/>
          <w:szCs w:val="22"/>
          <w:lang w:eastAsia="en-US"/>
        </w:rPr>
      </w:pPr>
      <w:r w:rsidRPr="0073430A">
        <w:rPr>
          <w:snapToGrid w:val="0"/>
          <w:szCs w:val="22"/>
          <w:lang w:eastAsia="en-US"/>
        </w:rPr>
        <w:t>4.</w:t>
      </w:r>
      <w:r w:rsidRPr="0073430A">
        <w:rPr>
          <w:snapToGrid w:val="0"/>
          <w:szCs w:val="22"/>
          <w:lang w:eastAsia="en-US"/>
        </w:rPr>
        <w:tab/>
        <w:t xml:space="preserve">Galimas šalutinis poveikis </w:t>
      </w:r>
    </w:p>
    <w:p w:rsidR="00DE423C" w:rsidRPr="0073430A" w:rsidRDefault="00DE423C" w:rsidP="00DE423C">
      <w:pPr>
        <w:numPr>
          <w:ilvl w:val="0"/>
          <w:numId w:val="1"/>
        </w:numPr>
        <w:tabs>
          <w:tab w:val="left" w:pos="426"/>
        </w:tabs>
        <w:suppressAutoHyphens/>
        <w:spacing w:line="260" w:lineRule="exact"/>
        <w:ind w:right="-29"/>
        <w:rPr>
          <w:snapToGrid w:val="0"/>
          <w:szCs w:val="22"/>
          <w:lang w:eastAsia="en-US"/>
        </w:rPr>
      </w:pPr>
      <w:r w:rsidRPr="0073430A">
        <w:rPr>
          <w:snapToGrid w:val="0"/>
          <w:szCs w:val="22"/>
          <w:lang w:eastAsia="en-US"/>
        </w:rPr>
        <w:t xml:space="preserve">Kaip laikyti </w:t>
      </w:r>
      <w:r>
        <w:rPr>
          <w:snapToGrid w:val="0"/>
          <w:szCs w:val="22"/>
          <w:lang w:eastAsia="en-US"/>
        </w:rPr>
        <w:t>MOXICEF</w:t>
      </w:r>
    </w:p>
    <w:p w:rsidR="00DE423C" w:rsidRPr="0073430A" w:rsidRDefault="00DE423C" w:rsidP="00DE423C">
      <w:pPr>
        <w:tabs>
          <w:tab w:val="left" w:pos="426"/>
        </w:tabs>
        <w:ind w:right="-29"/>
        <w:rPr>
          <w:snapToGrid w:val="0"/>
          <w:szCs w:val="22"/>
          <w:lang w:eastAsia="en-US"/>
        </w:rPr>
      </w:pPr>
      <w:r w:rsidRPr="0073430A">
        <w:rPr>
          <w:snapToGrid w:val="0"/>
          <w:szCs w:val="22"/>
          <w:lang w:eastAsia="en-US"/>
        </w:rPr>
        <w:t>6.</w:t>
      </w:r>
      <w:r w:rsidRPr="0073430A">
        <w:rPr>
          <w:snapToGrid w:val="0"/>
          <w:szCs w:val="22"/>
          <w:lang w:eastAsia="en-US"/>
        </w:rPr>
        <w:tab/>
        <w:t>Pakuotės turinys ir kita informacija</w:t>
      </w:r>
    </w:p>
    <w:p w:rsidR="00DE423C" w:rsidRPr="0073430A" w:rsidRDefault="00DE423C" w:rsidP="00DE423C">
      <w:pPr>
        <w:numPr>
          <w:ilvl w:val="12"/>
          <w:numId w:val="0"/>
        </w:numPr>
        <w:rPr>
          <w:snapToGrid w:val="0"/>
          <w:szCs w:val="22"/>
          <w:lang w:eastAsia="en-US"/>
        </w:rPr>
      </w:pPr>
    </w:p>
    <w:p w:rsidR="00DE423C" w:rsidRPr="0073430A" w:rsidRDefault="00DE423C" w:rsidP="00DE423C">
      <w:pPr>
        <w:numPr>
          <w:ilvl w:val="12"/>
          <w:numId w:val="0"/>
        </w:numPr>
        <w:rPr>
          <w:snapToGrid w:val="0"/>
          <w:szCs w:val="22"/>
          <w:lang w:eastAsia="en-US"/>
        </w:rPr>
      </w:pPr>
    </w:p>
    <w:p w:rsidR="00DE423C" w:rsidRPr="0073430A" w:rsidRDefault="00DE423C" w:rsidP="00DE423C">
      <w:pPr>
        <w:numPr>
          <w:ilvl w:val="0"/>
          <w:numId w:val="3"/>
        </w:numPr>
        <w:suppressAutoHyphens/>
        <w:spacing w:line="260" w:lineRule="exact"/>
        <w:ind w:right="-2"/>
        <w:rPr>
          <w:b/>
          <w:snapToGrid w:val="0"/>
          <w:szCs w:val="22"/>
          <w:lang w:eastAsia="en-US"/>
        </w:rPr>
      </w:pPr>
      <w:r w:rsidRPr="0073430A">
        <w:rPr>
          <w:b/>
          <w:snapToGrid w:val="0"/>
          <w:szCs w:val="22"/>
          <w:lang w:eastAsia="en-US"/>
        </w:rPr>
        <w:t xml:space="preserve">Kas yra </w:t>
      </w:r>
      <w:r>
        <w:rPr>
          <w:b/>
          <w:snapToGrid w:val="0"/>
          <w:szCs w:val="22"/>
          <w:lang w:eastAsia="en-US"/>
        </w:rPr>
        <w:t>MOXICEF</w:t>
      </w:r>
      <w:r w:rsidRPr="0073430A">
        <w:rPr>
          <w:b/>
          <w:snapToGrid w:val="0"/>
          <w:szCs w:val="22"/>
          <w:lang w:eastAsia="en-US"/>
        </w:rPr>
        <w:t xml:space="preserve"> ir kam jis vartojamas</w:t>
      </w:r>
    </w:p>
    <w:p w:rsidR="00DE423C" w:rsidRPr="0073430A" w:rsidRDefault="00DE423C" w:rsidP="00DE423C">
      <w:pPr>
        <w:numPr>
          <w:ilvl w:val="12"/>
          <w:numId w:val="0"/>
        </w:numPr>
        <w:jc w:val="both"/>
        <w:rPr>
          <w:snapToGrid w:val="0"/>
          <w:szCs w:val="22"/>
          <w:lang w:eastAsia="en-US"/>
        </w:rPr>
      </w:pPr>
    </w:p>
    <w:p w:rsidR="00DE423C" w:rsidRDefault="00DE423C" w:rsidP="00DE423C">
      <w:pPr>
        <w:numPr>
          <w:ilvl w:val="12"/>
          <w:numId w:val="0"/>
        </w:numPr>
        <w:rPr>
          <w:snapToGrid w:val="0"/>
          <w:szCs w:val="22"/>
          <w:lang w:eastAsia="en-US"/>
        </w:rPr>
      </w:pPr>
      <w:r>
        <w:rPr>
          <w:snapToGrid w:val="0"/>
          <w:szCs w:val="22"/>
          <w:lang w:eastAsia="en-US"/>
        </w:rPr>
        <w:t xml:space="preserve">MOXICEF, kurio sudėtyje yra cefotaksimo (antibiotiko, priklausančio vaistų grupei, vadinamai cefalosporinais), yra vaistas, vartojamas kovoti su bakterijomis. </w:t>
      </w:r>
    </w:p>
    <w:p w:rsidR="00DE423C" w:rsidRPr="0073430A" w:rsidRDefault="00DE423C" w:rsidP="00DE423C">
      <w:pPr>
        <w:numPr>
          <w:ilvl w:val="12"/>
          <w:numId w:val="0"/>
        </w:numPr>
        <w:jc w:val="both"/>
        <w:rPr>
          <w:snapToGrid w:val="0"/>
          <w:szCs w:val="22"/>
          <w:lang w:eastAsia="en-US"/>
        </w:rPr>
      </w:pPr>
      <w:r>
        <w:rPr>
          <w:snapToGrid w:val="0"/>
          <w:szCs w:val="22"/>
          <w:lang w:eastAsia="en-US"/>
        </w:rPr>
        <w:t>Jis vartojamas sergant sunkiomis ūminėmis ir lėtinėmis infekcijomis, sukeltomis cefotaksimui jautrių ligos sukėlėjų</w:t>
      </w:r>
      <w:r w:rsidRPr="0073430A">
        <w:rPr>
          <w:snapToGrid w:val="0"/>
          <w:szCs w:val="22"/>
          <w:lang w:eastAsia="en-US"/>
        </w:rPr>
        <w:t>:</w:t>
      </w:r>
    </w:p>
    <w:p w:rsidR="00DE423C" w:rsidRPr="00AE5B77" w:rsidRDefault="00DE423C" w:rsidP="00DE423C">
      <w:pPr>
        <w:numPr>
          <w:ilvl w:val="0"/>
          <w:numId w:val="5"/>
        </w:numPr>
        <w:tabs>
          <w:tab w:val="left" w:pos="567"/>
        </w:tabs>
        <w:rPr>
          <w:szCs w:val="22"/>
          <w:lang w:eastAsia="en-US"/>
        </w:rPr>
      </w:pPr>
      <w:r w:rsidRPr="00AE5B77">
        <w:rPr>
          <w:szCs w:val="22"/>
          <w:lang w:eastAsia="en-US"/>
        </w:rPr>
        <w:t xml:space="preserve">kvėpavimo </w:t>
      </w:r>
      <w:r>
        <w:rPr>
          <w:szCs w:val="22"/>
          <w:lang w:eastAsia="en-US"/>
        </w:rPr>
        <w:t>organų infekcijų</w:t>
      </w:r>
      <w:r w:rsidRPr="00AE5B77">
        <w:rPr>
          <w:szCs w:val="22"/>
          <w:lang w:eastAsia="en-US"/>
        </w:rPr>
        <w:t>;</w:t>
      </w:r>
    </w:p>
    <w:p w:rsidR="00DE423C" w:rsidRDefault="00DE423C" w:rsidP="00DE423C">
      <w:pPr>
        <w:numPr>
          <w:ilvl w:val="0"/>
          <w:numId w:val="5"/>
        </w:numPr>
        <w:tabs>
          <w:tab w:val="left" w:pos="567"/>
        </w:tabs>
        <w:rPr>
          <w:szCs w:val="22"/>
          <w:lang w:eastAsia="en-US"/>
        </w:rPr>
      </w:pPr>
      <w:r>
        <w:rPr>
          <w:szCs w:val="22"/>
          <w:lang w:eastAsia="en-US"/>
        </w:rPr>
        <w:t>ausų, nosies ir gerklės srities infekcijų;</w:t>
      </w:r>
    </w:p>
    <w:p w:rsidR="00DE423C" w:rsidRPr="00AE5B77" w:rsidRDefault="00DE423C" w:rsidP="00DE423C">
      <w:pPr>
        <w:numPr>
          <w:ilvl w:val="0"/>
          <w:numId w:val="5"/>
        </w:numPr>
        <w:tabs>
          <w:tab w:val="left" w:pos="567"/>
        </w:tabs>
        <w:rPr>
          <w:szCs w:val="22"/>
          <w:lang w:eastAsia="en-US"/>
        </w:rPr>
      </w:pPr>
      <w:r w:rsidRPr="00AE5B77">
        <w:rPr>
          <w:szCs w:val="22"/>
          <w:lang w:eastAsia="en-US"/>
        </w:rPr>
        <w:t>inkstų ir šlapimo takų</w:t>
      </w:r>
      <w:r>
        <w:rPr>
          <w:szCs w:val="22"/>
          <w:lang w:eastAsia="en-US"/>
        </w:rPr>
        <w:t xml:space="preserve"> infekcijų</w:t>
      </w:r>
      <w:r w:rsidRPr="00AE5B77">
        <w:rPr>
          <w:szCs w:val="22"/>
          <w:lang w:eastAsia="en-US"/>
        </w:rPr>
        <w:t xml:space="preserve">; </w:t>
      </w:r>
    </w:p>
    <w:p w:rsidR="00DE423C" w:rsidRDefault="00DE423C" w:rsidP="00DE423C">
      <w:pPr>
        <w:numPr>
          <w:ilvl w:val="0"/>
          <w:numId w:val="5"/>
        </w:numPr>
        <w:tabs>
          <w:tab w:val="left" w:pos="567"/>
        </w:tabs>
        <w:rPr>
          <w:szCs w:val="22"/>
          <w:lang w:eastAsia="en-US"/>
        </w:rPr>
      </w:pPr>
      <w:r w:rsidRPr="00AE5B77">
        <w:rPr>
          <w:szCs w:val="22"/>
          <w:lang w:eastAsia="en-US"/>
        </w:rPr>
        <w:t xml:space="preserve">odos ir </w:t>
      </w:r>
      <w:r>
        <w:rPr>
          <w:szCs w:val="22"/>
          <w:lang w:eastAsia="en-US"/>
        </w:rPr>
        <w:t>minkštųjų audinių infekcijų;</w:t>
      </w:r>
    </w:p>
    <w:p w:rsidR="00DE423C" w:rsidRDefault="00DE423C" w:rsidP="00DE423C">
      <w:pPr>
        <w:numPr>
          <w:ilvl w:val="0"/>
          <w:numId w:val="5"/>
        </w:numPr>
        <w:tabs>
          <w:tab w:val="left" w:pos="567"/>
        </w:tabs>
        <w:rPr>
          <w:szCs w:val="22"/>
          <w:lang w:eastAsia="en-US"/>
        </w:rPr>
      </w:pPr>
      <w:r w:rsidRPr="00AE5B77">
        <w:rPr>
          <w:szCs w:val="22"/>
          <w:lang w:eastAsia="en-US"/>
        </w:rPr>
        <w:t xml:space="preserve">kaulų ir sąnarių </w:t>
      </w:r>
      <w:r>
        <w:rPr>
          <w:szCs w:val="22"/>
          <w:lang w:eastAsia="en-US"/>
        </w:rPr>
        <w:t>infekcijų;</w:t>
      </w:r>
    </w:p>
    <w:p w:rsidR="00DE423C" w:rsidRPr="00AE5B77" w:rsidRDefault="00DE423C" w:rsidP="00DE423C">
      <w:pPr>
        <w:numPr>
          <w:ilvl w:val="0"/>
          <w:numId w:val="5"/>
        </w:numPr>
        <w:tabs>
          <w:tab w:val="left" w:pos="567"/>
        </w:tabs>
        <w:rPr>
          <w:szCs w:val="22"/>
          <w:lang w:eastAsia="en-US"/>
        </w:rPr>
      </w:pPr>
      <w:r w:rsidRPr="00AE5B77">
        <w:rPr>
          <w:szCs w:val="22"/>
          <w:lang w:eastAsia="en-US"/>
        </w:rPr>
        <w:t>lyt</w:t>
      </w:r>
      <w:r>
        <w:rPr>
          <w:szCs w:val="22"/>
          <w:lang w:eastAsia="en-US"/>
        </w:rPr>
        <w:t>ies organų infekcijų</w:t>
      </w:r>
      <w:r w:rsidRPr="00AE5B77">
        <w:rPr>
          <w:szCs w:val="22"/>
          <w:lang w:eastAsia="en-US"/>
        </w:rPr>
        <w:t>, įskaitant gonorėją;</w:t>
      </w:r>
    </w:p>
    <w:p w:rsidR="00DE423C" w:rsidRPr="00AE5B77" w:rsidRDefault="00DE423C" w:rsidP="00DE423C">
      <w:pPr>
        <w:numPr>
          <w:ilvl w:val="0"/>
          <w:numId w:val="5"/>
        </w:numPr>
        <w:tabs>
          <w:tab w:val="left" w:pos="567"/>
        </w:tabs>
        <w:rPr>
          <w:szCs w:val="22"/>
          <w:lang w:eastAsia="en-US"/>
        </w:rPr>
      </w:pPr>
      <w:r w:rsidRPr="00AE5B77">
        <w:rPr>
          <w:szCs w:val="22"/>
          <w:lang w:eastAsia="en-US"/>
        </w:rPr>
        <w:t xml:space="preserve">pilvo </w:t>
      </w:r>
      <w:r>
        <w:rPr>
          <w:szCs w:val="22"/>
          <w:lang w:eastAsia="en-US"/>
        </w:rPr>
        <w:t>infekcijų</w:t>
      </w:r>
      <w:r w:rsidRPr="00AE5B77">
        <w:rPr>
          <w:szCs w:val="22"/>
          <w:lang w:eastAsia="en-US"/>
        </w:rPr>
        <w:t>, įskaitant peritonitą;</w:t>
      </w:r>
    </w:p>
    <w:p w:rsidR="00DE423C" w:rsidRPr="00AE5B77" w:rsidRDefault="00DE423C" w:rsidP="00DE423C">
      <w:pPr>
        <w:numPr>
          <w:ilvl w:val="0"/>
          <w:numId w:val="5"/>
        </w:numPr>
        <w:tabs>
          <w:tab w:val="left" w:pos="567"/>
        </w:tabs>
        <w:rPr>
          <w:szCs w:val="22"/>
          <w:lang w:eastAsia="en-US"/>
        </w:rPr>
      </w:pPr>
      <w:r>
        <w:rPr>
          <w:szCs w:val="22"/>
          <w:lang w:eastAsia="en-US"/>
        </w:rPr>
        <w:t>meningito</w:t>
      </w:r>
      <w:r w:rsidRPr="00AE5B77">
        <w:rPr>
          <w:szCs w:val="22"/>
          <w:lang w:eastAsia="en-US"/>
        </w:rPr>
        <w:t xml:space="preserve">; </w:t>
      </w:r>
    </w:p>
    <w:p w:rsidR="00DE423C" w:rsidRPr="00AE5B77" w:rsidRDefault="00DE423C" w:rsidP="00DE423C">
      <w:pPr>
        <w:numPr>
          <w:ilvl w:val="0"/>
          <w:numId w:val="5"/>
        </w:numPr>
        <w:tabs>
          <w:tab w:val="left" w:pos="567"/>
        </w:tabs>
        <w:rPr>
          <w:szCs w:val="22"/>
          <w:lang w:eastAsia="en-US"/>
        </w:rPr>
      </w:pPr>
      <w:r>
        <w:rPr>
          <w:szCs w:val="22"/>
          <w:lang w:eastAsia="en-US"/>
        </w:rPr>
        <w:t>kraujo užkrėtimo (</w:t>
      </w:r>
      <w:r w:rsidRPr="00AE5B77">
        <w:rPr>
          <w:szCs w:val="22"/>
          <w:lang w:eastAsia="en-US"/>
        </w:rPr>
        <w:t>sepsio</w:t>
      </w:r>
      <w:r>
        <w:rPr>
          <w:szCs w:val="22"/>
          <w:lang w:eastAsia="en-US"/>
        </w:rPr>
        <w:t>)</w:t>
      </w:r>
      <w:r w:rsidRPr="00AE5B77">
        <w:rPr>
          <w:szCs w:val="22"/>
          <w:lang w:eastAsia="en-US"/>
        </w:rPr>
        <w:t>;</w:t>
      </w:r>
    </w:p>
    <w:p w:rsidR="00DE423C" w:rsidRDefault="00DE423C" w:rsidP="00DE423C">
      <w:pPr>
        <w:numPr>
          <w:ilvl w:val="0"/>
          <w:numId w:val="5"/>
        </w:numPr>
        <w:tabs>
          <w:tab w:val="left" w:pos="567"/>
        </w:tabs>
        <w:rPr>
          <w:szCs w:val="22"/>
          <w:lang w:eastAsia="en-US"/>
        </w:rPr>
      </w:pPr>
      <w:r>
        <w:rPr>
          <w:szCs w:val="22"/>
          <w:lang w:eastAsia="en-US"/>
        </w:rPr>
        <w:t>širdies uždegimo (</w:t>
      </w:r>
      <w:r w:rsidRPr="00AE5B77">
        <w:rPr>
          <w:szCs w:val="22"/>
          <w:lang w:eastAsia="en-US"/>
        </w:rPr>
        <w:t>endokardito</w:t>
      </w:r>
      <w:r>
        <w:rPr>
          <w:szCs w:val="22"/>
          <w:lang w:eastAsia="en-US"/>
        </w:rPr>
        <w:t xml:space="preserve">); </w:t>
      </w:r>
    </w:p>
    <w:p w:rsidR="00DE423C" w:rsidRPr="00AE5B77" w:rsidRDefault="00DE423C" w:rsidP="00DE423C">
      <w:pPr>
        <w:numPr>
          <w:ilvl w:val="0"/>
          <w:numId w:val="5"/>
        </w:numPr>
        <w:tabs>
          <w:tab w:val="left" w:pos="567"/>
        </w:tabs>
        <w:rPr>
          <w:szCs w:val="22"/>
          <w:lang w:eastAsia="en-US"/>
        </w:rPr>
      </w:pPr>
      <w:r>
        <w:rPr>
          <w:szCs w:val="22"/>
          <w:lang w:eastAsia="en-US"/>
        </w:rPr>
        <w:t>Laimo (</w:t>
      </w:r>
      <w:r>
        <w:rPr>
          <w:i/>
          <w:szCs w:val="22"/>
          <w:lang w:eastAsia="en-US"/>
        </w:rPr>
        <w:t>Lyme</w:t>
      </w:r>
      <w:r>
        <w:rPr>
          <w:szCs w:val="22"/>
          <w:lang w:eastAsia="en-US"/>
        </w:rPr>
        <w:t>) ligos (ypač II ir III stadijos) (infekcijos, daugiausia sukeltos įkandus erkei).</w:t>
      </w:r>
    </w:p>
    <w:p w:rsidR="00DE423C" w:rsidRDefault="00DE423C" w:rsidP="00DE423C">
      <w:pPr>
        <w:numPr>
          <w:ilvl w:val="12"/>
          <w:numId w:val="0"/>
        </w:numPr>
        <w:rPr>
          <w:snapToGrid w:val="0"/>
          <w:szCs w:val="22"/>
          <w:lang w:eastAsia="en-US"/>
        </w:rPr>
      </w:pPr>
    </w:p>
    <w:p w:rsidR="00DE423C" w:rsidRPr="0073430A" w:rsidRDefault="00DE423C" w:rsidP="00DE423C">
      <w:pPr>
        <w:numPr>
          <w:ilvl w:val="12"/>
          <w:numId w:val="0"/>
        </w:numPr>
        <w:rPr>
          <w:snapToGrid w:val="0"/>
          <w:szCs w:val="22"/>
          <w:lang w:eastAsia="en-US"/>
        </w:rPr>
      </w:pPr>
      <w:r>
        <w:rPr>
          <w:snapToGrid w:val="0"/>
          <w:szCs w:val="22"/>
          <w:lang w:eastAsia="en-US"/>
        </w:rPr>
        <w:t>Be to, šis vaistas</w:t>
      </w:r>
      <w:r w:rsidRPr="0073430A">
        <w:rPr>
          <w:snapToGrid w:val="0"/>
          <w:szCs w:val="22"/>
          <w:lang w:eastAsia="en-US"/>
        </w:rPr>
        <w:t xml:space="preserve"> gali būti vartojama</w:t>
      </w:r>
      <w:r>
        <w:rPr>
          <w:snapToGrid w:val="0"/>
          <w:szCs w:val="22"/>
          <w:lang w:eastAsia="en-US"/>
        </w:rPr>
        <w:t>s</w:t>
      </w:r>
      <w:r w:rsidRPr="0073430A">
        <w:rPr>
          <w:snapToGrid w:val="0"/>
          <w:szCs w:val="22"/>
          <w:lang w:eastAsia="en-US"/>
        </w:rPr>
        <w:t xml:space="preserve"> infekcijos prevencijai</w:t>
      </w:r>
      <w:r>
        <w:rPr>
          <w:snapToGrid w:val="0"/>
          <w:szCs w:val="22"/>
          <w:lang w:eastAsia="en-US"/>
        </w:rPr>
        <w:t xml:space="preserve"> po operacijos pacientams, kuriems yra padidėjusi infekcijų rizika</w:t>
      </w:r>
      <w:r w:rsidRPr="0073430A">
        <w:rPr>
          <w:snapToGrid w:val="0"/>
          <w:szCs w:val="22"/>
          <w:lang w:eastAsia="en-US"/>
        </w:rPr>
        <w:t>.</w:t>
      </w:r>
    </w:p>
    <w:p w:rsidR="00DE423C" w:rsidRPr="0073430A" w:rsidRDefault="00DE423C" w:rsidP="00DE423C">
      <w:pPr>
        <w:numPr>
          <w:ilvl w:val="12"/>
          <w:numId w:val="0"/>
        </w:numPr>
        <w:rPr>
          <w:snapToGrid w:val="0"/>
          <w:szCs w:val="22"/>
          <w:lang w:eastAsia="en-US"/>
        </w:rPr>
      </w:pPr>
    </w:p>
    <w:p w:rsidR="00DE423C" w:rsidRPr="0073430A" w:rsidRDefault="00DE423C" w:rsidP="00DE423C">
      <w:pPr>
        <w:numPr>
          <w:ilvl w:val="12"/>
          <w:numId w:val="0"/>
        </w:numPr>
        <w:rPr>
          <w:snapToGrid w:val="0"/>
          <w:szCs w:val="22"/>
          <w:lang w:eastAsia="en-US"/>
        </w:rPr>
      </w:pPr>
    </w:p>
    <w:p w:rsidR="00DE423C" w:rsidRPr="0073430A" w:rsidRDefault="00DE423C" w:rsidP="00DE423C">
      <w:pPr>
        <w:numPr>
          <w:ilvl w:val="0"/>
          <w:numId w:val="2"/>
        </w:numPr>
        <w:suppressAutoHyphens/>
        <w:spacing w:line="260" w:lineRule="exact"/>
        <w:ind w:right="-2"/>
        <w:rPr>
          <w:b/>
          <w:snapToGrid w:val="0"/>
          <w:szCs w:val="22"/>
          <w:lang w:eastAsia="en-US"/>
        </w:rPr>
      </w:pPr>
      <w:r w:rsidRPr="0073430A">
        <w:rPr>
          <w:b/>
          <w:snapToGrid w:val="0"/>
          <w:szCs w:val="22"/>
          <w:lang w:eastAsia="en-US"/>
        </w:rPr>
        <w:t xml:space="preserve">Kas žinotina prieš vartojant </w:t>
      </w:r>
      <w:r>
        <w:rPr>
          <w:b/>
          <w:snapToGrid w:val="0"/>
          <w:szCs w:val="22"/>
          <w:lang w:eastAsia="en-US"/>
        </w:rPr>
        <w:t>MOXICEF</w:t>
      </w:r>
    </w:p>
    <w:p w:rsidR="00DE423C" w:rsidRPr="0073430A" w:rsidRDefault="00DE423C" w:rsidP="00DE423C">
      <w:pPr>
        <w:numPr>
          <w:ilvl w:val="12"/>
          <w:numId w:val="0"/>
        </w:numPr>
        <w:outlineLvl w:val="0"/>
        <w:rPr>
          <w:b/>
          <w:snapToGrid w:val="0"/>
          <w:szCs w:val="22"/>
          <w:lang w:eastAsia="en-US"/>
        </w:rPr>
      </w:pPr>
    </w:p>
    <w:p w:rsidR="00DE423C" w:rsidRPr="0073430A" w:rsidRDefault="00DE423C" w:rsidP="00DE423C">
      <w:pPr>
        <w:numPr>
          <w:ilvl w:val="12"/>
          <w:numId w:val="0"/>
        </w:numPr>
        <w:outlineLvl w:val="0"/>
        <w:rPr>
          <w:b/>
          <w:snapToGrid w:val="0"/>
          <w:szCs w:val="22"/>
          <w:lang w:eastAsia="en-US"/>
        </w:rPr>
      </w:pPr>
      <w:r>
        <w:rPr>
          <w:b/>
          <w:snapToGrid w:val="0"/>
          <w:szCs w:val="22"/>
          <w:lang w:eastAsia="en-US"/>
        </w:rPr>
        <w:t>MOXICEF vartoti draudžiama</w:t>
      </w:r>
    </w:p>
    <w:p w:rsidR="00DE423C" w:rsidRPr="0073430A" w:rsidRDefault="00DE423C" w:rsidP="00DE423C">
      <w:pPr>
        <w:numPr>
          <w:ilvl w:val="0"/>
          <w:numId w:val="7"/>
        </w:numPr>
        <w:tabs>
          <w:tab w:val="left" w:pos="567"/>
        </w:tabs>
        <w:suppressAutoHyphens/>
        <w:spacing w:line="260" w:lineRule="exact"/>
        <w:ind w:left="567" w:hanging="720"/>
        <w:rPr>
          <w:snapToGrid w:val="0"/>
          <w:szCs w:val="22"/>
          <w:lang w:eastAsia="en-US"/>
        </w:rPr>
      </w:pPr>
      <w:r w:rsidRPr="003D0E88">
        <w:t>jeigu</w:t>
      </w:r>
      <w:r>
        <w:rPr>
          <w:snapToGrid w:val="0"/>
          <w:szCs w:val="22"/>
          <w:lang w:eastAsia="en-US"/>
        </w:rPr>
        <w:t xml:space="preserve"> yra alergija</w:t>
      </w:r>
      <w:r w:rsidRPr="0073430A">
        <w:rPr>
          <w:snapToGrid w:val="0"/>
          <w:szCs w:val="22"/>
          <w:lang w:eastAsia="en-US"/>
        </w:rPr>
        <w:t xml:space="preserve"> cefotaksimui</w:t>
      </w:r>
      <w:r>
        <w:rPr>
          <w:snapToGrid w:val="0"/>
          <w:szCs w:val="22"/>
          <w:lang w:eastAsia="en-US"/>
        </w:rPr>
        <w:t>, kitiems cefalosporinams</w:t>
      </w:r>
      <w:r w:rsidRPr="0073430A">
        <w:rPr>
          <w:snapToGrid w:val="0"/>
          <w:szCs w:val="22"/>
          <w:lang w:eastAsia="en-US"/>
        </w:rPr>
        <w:t xml:space="preserve"> ar </w:t>
      </w:r>
      <w:r w:rsidRPr="00066CEE">
        <w:rPr>
          <w:szCs w:val="22"/>
        </w:rPr>
        <w:t xml:space="preserve">bet kuriai pagalbinei </w:t>
      </w:r>
      <w:r>
        <w:rPr>
          <w:szCs w:val="22"/>
        </w:rPr>
        <w:t xml:space="preserve">šio vaisto </w:t>
      </w:r>
      <w:r w:rsidRPr="00066CEE">
        <w:rPr>
          <w:szCs w:val="22"/>
        </w:rPr>
        <w:t>medžiagai</w:t>
      </w:r>
      <w:r>
        <w:rPr>
          <w:szCs w:val="22"/>
        </w:rPr>
        <w:t xml:space="preserve"> (jos išvardytos 6 skyriuje)</w:t>
      </w:r>
      <w:r w:rsidRPr="0073430A">
        <w:rPr>
          <w:snapToGrid w:val="0"/>
          <w:szCs w:val="22"/>
          <w:lang w:eastAsia="en-US"/>
        </w:rPr>
        <w:t>,</w:t>
      </w:r>
    </w:p>
    <w:p w:rsidR="00DE423C" w:rsidRDefault="00DE423C" w:rsidP="00DE423C">
      <w:pPr>
        <w:numPr>
          <w:ilvl w:val="0"/>
          <w:numId w:val="7"/>
        </w:numPr>
        <w:tabs>
          <w:tab w:val="left" w:pos="567"/>
        </w:tabs>
        <w:suppressAutoHyphens/>
        <w:spacing w:line="260" w:lineRule="exact"/>
        <w:ind w:left="567" w:hanging="720"/>
        <w:rPr>
          <w:snapToGrid w:val="0"/>
          <w:szCs w:val="22"/>
          <w:lang w:eastAsia="en-US"/>
        </w:rPr>
      </w:pPr>
      <w:r>
        <w:rPr>
          <w:snapToGrid w:val="0"/>
          <w:szCs w:val="22"/>
          <w:lang w:eastAsia="en-US"/>
        </w:rPr>
        <w:t>anksčiau</w:t>
      </w:r>
      <w:r w:rsidRPr="0073430A">
        <w:rPr>
          <w:snapToGrid w:val="0"/>
          <w:szCs w:val="22"/>
          <w:lang w:eastAsia="en-US"/>
        </w:rPr>
        <w:t xml:space="preserve"> buvo pasireiškusi </w:t>
      </w:r>
      <w:r>
        <w:rPr>
          <w:snapToGrid w:val="0"/>
          <w:szCs w:val="22"/>
          <w:lang w:eastAsia="en-US"/>
        </w:rPr>
        <w:t xml:space="preserve">ūminė arba </w:t>
      </w:r>
      <w:r w:rsidRPr="0073430A">
        <w:rPr>
          <w:snapToGrid w:val="0"/>
          <w:szCs w:val="22"/>
          <w:lang w:eastAsia="en-US"/>
        </w:rPr>
        <w:t xml:space="preserve">sunki </w:t>
      </w:r>
      <w:r>
        <w:rPr>
          <w:snapToGrid w:val="0"/>
          <w:szCs w:val="22"/>
          <w:lang w:eastAsia="en-US"/>
        </w:rPr>
        <w:t>padidėjusio jautrumo reakcija į peniciliną ar kitus beta laktamo grupės antibiotikus. Penicilinas su cefalosporinu gali sukelti kryžminę reakciją;</w:t>
      </w:r>
    </w:p>
    <w:p w:rsidR="00DE423C" w:rsidRDefault="00DE423C" w:rsidP="00DE423C">
      <w:pPr>
        <w:numPr>
          <w:ilvl w:val="0"/>
          <w:numId w:val="7"/>
        </w:numPr>
        <w:tabs>
          <w:tab w:val="left" w:pos="567"/>
        </w:tabs>
        <w:suppressAutoHyphens/>
        <w:spacing w:line="260" w:lineRule="exact"/>
        <w:ind w:left="567" w:hanging="720"/>
        <w:rPr>
          <w:snapToGrid w:val="0"/>
          <w:szCs w:val="22"/>
          <w:lang w:eastAsia="en-US"/>
        </w:rPr>
      </w:pPr>
      <w:r>
        <w:rPr>
          <w:snapToGrid w:val="0"/>
          <w:szCs w:val="22"/>
          <w:lang w:eastAsia="en-US"/>
        </w:rPr>
        <w:t>j</w:t>
      </w:r>
      <w:r w:rsidRPr="00FB18BE">
        <w:rPr>
          <w:snapToGrid w:val="0"/>
          <w:szCs w:val="22"/>
          <w:lang w:eastAsia="en-US"/>
        </w:rPr>
        <w:t>eigu pavartojus cefotaksimo ar kitų cefalosporinų, Jums kada nors pasireiškė sunkus odos</w:t>
      </w:r>
      <w:r>
        <w:rPr>
          <w:snapToGrid w:val="0"/>
          <w:szCs w:val="22"/>
          <w:lang w:eastAsia="en-US"/>
        </w:rPr>
        <w:t xml:space="preserve"> </w:t>
      </w:r>
      <w:r w:rsidRPr="00FB18BE">
        <w:rPr>
          <w:snapToGrid w:val="0"/>
          <w:szCs w:val="22"/>
          <w:lang w:eastAsia="en-US"/>
        </w:rPr>
        <w:t>išbėrimas arba odos lupimasis, susidarė pūslės ir (arba) burnos opos.</w:t>
      </w:r>
    </w:p>
    <w:p w:rsidR="00DE423C" w:rsidRDefault="00DE423C" w:rsidP="00DE423C">
      <w:pPr>
        <w:tabs>
          <w:tab w:val="left" w:pos="567"/>
        </w:tabs>
        <w:suppressAutoHyphens/>
        <w:spacing w:line="260" w:lineRule="exact"/>
        <w:ind w:left="-153"/>
        <w:rPr>
          <w:snapToGrid w:val="0"/>
          <w:szCs w:val="22"/>
          <w:lang w:eastAsia="en-US"/>
        </w:rPr>
      </w:pPr>
    </w:p>
    <w:p w:rsidR="00DE423C" w:rsidRDefault="00DE423C" w:rsidP="00DE423C">
      <w:pPr>
        <w:tabs>
          <w:tab w:val="left" w:pos="567"/>
        </w:tabs>
        <w:suppressAutoHyphens/>
        <w:spacing w:line="260" w:lineRule="exact"/>
        <w:ind w:left="-153"/>
        <w:rPr>
          <w:snapToGrid w:val="0"/>
          <w:szCs w:val="22"/>
          <w:lang w:eastAsia="en-US"/>
        </w:rPr>
      </w:pPr>
      <w:r w:rsidRPr="00C60F4F">
        <w:rPr>
          <w:snapToGrid w:val="0"/>
          <w:szCs w:val="22"/>
          <w:lang w:eastAsia="en-US"/>
        </w:rPr>
        <w:t>Cefuroksimo mišin</w:t>
      </w:r>
      <w:r>
        <w:rPr>
          <w:snapToGrid w:val="0"/>
          <w:szCs w:val="22"/>
          <w:lang w:eastAsia="en-US"/>
        </w:rPr>
        <w:t>ys</w:t>
      </w:r>
      <w:r w:rsidRPr="00C60F4F">
        <w:rPr>
          <w:snapToGrid w:val="0"/>
          <w:szCs w:val="22"/>
          <w:lang w:eastAsia="en-US"/>
        </w:rPr>
        <w:t xml:space="preserve"> su lidokainu </w:t>
      </w:r>
      <w:r>
        <w:rPr>
          <w:snapToGrid w:val="0"/>
          <w:szCs w:val="22"/>
          <w:lang w:eastAsia="en-US"/>
        </w:rPr>
        <w:t>netinka leisti</w:t>
      </w:r>
      <w:r w:rsidRPr="00C60F4F">
        <w:rPr>
          <w:snapToGrid w:val="0"/>
          <w:szCs w:val="22"/>
          <w:lang w:eastAsia="en-US"/>
        </w:rPr>
        <w:t xml:space="preserve"> į raumenis jaunesniems negu 30 mėnesių amžiaus vaikams. Būtina atsižvelgti į pakuotės lapelį dėl produkto, kurio sudėtyje yra lidokaino, paruošimo.</w:t>
      </w:r>
    </w:p>
    <w:p w:rsidR="00DE423C" w:rsidRDefault="00DE423C" w:rsidP="00DE423C">
      <w:pPr>
        <w:tabs>
          <w:tab w:val="left" w:pos="567"/>
        </w:tabs>
        <w:suppressAutoHyphens/>
        <w:spacing w:line="260" w:lineRule="exact"/>
        <w:ind w:left="-153"/>
        <w:rPr>
          <w:snapToGrid w:val="0"/>
          <w:szCs w:val="22"/>
          <w:lang w:eastAsia="en-US"/>
        </w:rPr>
      </w:pPr>
    </w:p>
    <w:p w:rsidR="00DE423C" w:rsidRPr="00C60F4F" w:rsidRDefault="00DE423C" w:rsidP="00DE423C">
      <w:pPr>
        <w:tabs>
          <w:tab w:val="left" w:pos="567"/>
        </w:tabs>
        <w:suppressAutoHyphens/>
        <w:spacing w:line="260" w:lineRule="exact"/>
        <w:rPr>
          <w:b/>
          <w:snapToGrid w:val="0"/>
          <w:szCs w:val="22"/>
          <w:lang w:eastAsia="en-US"/>
        </w:rPr>
      </w:pPr>
      <w:r w:rsidRPr="00C60F4F">
        <w:rPr>
          <w:b/>
          <w:snapToGrid w:val="0"/>
          <w:szCs w:val="22"/>
          <w:lang w:eastAsia="en-US"/>
        </w:rPr>
        <w:t>Pastaba</w:t>
      </w:r>
    </w:p>
    <w:p w:rsidR="00DE423C" w:rsidRDefault="00DE423C" w:rsidP="00DE423C">
      <w:pPr>
        <w:autoSpaceDE w:val="0"/>
        <w:autoSpaceDN w:val="0"/>
        <w:adjustRightInd w:val="0"/>
        <w:rPr>
          <w:rFonts w:eastAsia="Calibri"/>
          <w:szCs w:val="22"/>
          <w:lang w:eastAsia="en-US"/>
        </w:rPr>
      </w:pPr>
      <w:r w:rsidRPr="00C60F4F">
        <w:rPr>
          <w:szCs w:val="22"/>
          <w:lang w:eastAsia="ar-SA"/>
        </w:rPr>
        <w:t>MOXICEF</w:t>
      </w:r>
      <w:r w:rsidRPr="00C60F4F">
        <w:rPr>
          <w:szCs w:val="22"/>
          <w:lang w:eastAsia="en-US"/>
        </w:rPr>
        <w:t xml:space="preserve"> 2 g turi būti nevartojamas į raumenis.</w:t>
      </w: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outlineLvl w:val="0"/>
        <w:rPr>
          <w:b/>
          <w:snapToGrid w:val="0"/>
          <w:szCs w:val="22"/>
          <w:lang w:eastAsia="en-US"/>
        </w:rPr>
      </w:pPr>
      <w:r w:rsidRPr="0073430A">
        <w:rPr>
          <w:b/>
          <w:snapToGrid w:val="0"/>
          <w:szCs w:val="22"/>
          <w:lang w:eastAsia="en-US"/>
        </w:rPr>
        <w:t>Įspėjimai ir atsargumo priemonės</w:t>
      </w:r>
    </w:p>
    <w:p w:rsidR="00DE423C" w:rsidRPr="0073430A" w:rsidRDefault="00DE423C" w:rsidP="00DE423C">
      <w:pPr>
        <w:numPr>
          <w:ilvl w:val="12"/>
          <w:numId w:val="0"/>
        </w:numPr>
        <w:rPr>
          <w:snapToGrid w:val="0"/>
          <w:szCs w:val="22"/>
          <w:lang w:eastAsia="en-US"/>
        </w:rPr>
      </w:pPr>
      <w:r w:rsidRPr="0073430A">
        <w:rPr>
          <w:snapToGrid w:val="0"/>
          <w:szCs w:val="22"/>
          <w:lang w:eastAsia="en-US"/>
        </w:rPr>
        <w:t xml:space="preserve">Prieš vartodami </w:t>
      </w:r>
      <w:r>
        <w:rPr>
          <w:snapToGrid w:val="0"/>
          <w:szCs w:val="22"/>
          <w:lang w:eastAsia="en-US"/>
        </w:rPr>
        <w:t>MOXICEF</w:t>
      </w:r>
      <w:r w:rsidRPr="0073430A">
        <w:rPr>
          <w:snapToGrid w:val="0"/>
          <w:szCs w:val="22"/>
          <w:lang w:eastAsia="en-US"/>
        </w:rPr>
        <w:t xml:space="preserve"> pasitarkite su gydytoju arba vaistininku:</w:t>
      </w:r>
    </w:p>
    <w:p w:rsidR="00DE423C" w:rsidRPr="00196FD7" w:rsidRDefault="00DE423C" w:rsidP="00DE423C">
      <w:pPr>
        <w:numPr>
          <w:ilvl w:val="0"/>
          <w:numId w:val="8"/>
        </w:numPr>
        <w:suppressAutoHyphens/>
        <w:spacing w:line="260" w:lineRule="exact"/>
        <w:ind w:left="567" w:hanging="567"/>
        <w:rPr>
          <w:b/>
          <w:snapToGrid w:val="0"/>
          <w:szCs w:val="22"/>
          <w:lang w:eastAsia="en-US"/>
        </w:rPr>
      </w:pPr>
      <w:r>
        <w:rPr>
          <w:snapToGrid w:val="0"/>
          <w:szCs w:val="22"/>
          <w:lang w:eastAsia="en-US"/>
        </w:rPr>
        <w:t>jeigu esate bet kokiu būdu alergiškas (-a) penicilinui ar beta laktamo grupės antibiotikams (dėl kontraindikacijų prie  žinomų padidėjusio jautrumo reakcijų žr. šio skyriaus poskyrį „</w:t>
      </w:r>
      <w:r w:rsidRPr="00196FD7">
        <w:rPr>
          <w:snapToGrid w:val="0"/>
          <w:szCs w:val="22"/>
          <w:lang w:eastAsia="en-US"/>
        </w:rPr>
        <w:t>Nevartokite MOXICEF</w:t>
      </w:r>
      <w:r>
        <w:rPr>
          <w:snapToGrid w:val="0"/>
          <w:szCs w:val="22"/>
          <w:lang w:eastAsia="en-US"/>
        </w:rPr>
        <w:t>“;</w:t>
      </w:r>
    </w:p>
    <w:p w:rsidR="00DE423C" w:rsidRPr="00B40BCA" w:rsidRDefault="00DE423C" w:rsidP="00DE423C">
      <w:pPr>
        <w:numPr>
          <w:ilvl w:val="0"/>
          <w:numId w:val="8"/>
        </w:numPr>
        <w:suppressAutoHyphens/>
        <w:spacing w:line="260" w:lineRule="exact"/>
        <w:ind w:left="567" w:hanging="567"/>
        <w:rPr>
          <w:b/>
          <w:snapToGrid w:val="0"/>
          <w:szCs w:val="22"/>
          <w:lang w:eastAsia="en-US"/>
        </w:rPr>
      </w:pPr>
      <w:r>
        <w:rPr>
          <w:bCs/>
          <w:snapToGrid w:val="0"/>
          <w:szCs w:val="22"/>
          <w:lang w:eastAsia="en-US"/>
        </w:rPr>
        <w:t xml:space="preserve">jeigu </w:t>
      </w:r>
      <w:r w:rsidRPr="0073430A">
        <w:rPr>
          <w:bCs/>
          <w:snapToGrid w:val="0"/>
          <w:szCs w:val="22"/>
          <w:lang w:eastAsia="en-US"/>
        </w:rPr>
        <w:t xml:space="preserve">Jums </w:t>
      </w:r>
      <w:r>
        <w:rPr>
          <w:bCs/>
          <w:snapToGrid w:val="0"/>
          <w:szCs w:val="22"/>
          <w:lang w:eastAsia="en-US"/>
        </w:rPr>
        <w:t xml:space="preserve">yra alerginė reakcija (pvz., šienligė, bronchinė astma, dilgėlinė) arba ji </w:t>
      </w:r>
      <w:r w:rsidRPr="0073430A">
        <w:rPr>
          <w:bCs/>
          <w:snapToGrid w:val="0"/>
          <w:szCs w:val="22"/>
          <w:lang w:eastAsia="en-US"/>
        </w:rPr>
        <w:t>kada nors buvo</w:t>
      </w:r>
      <w:r>
        <w:rPr>
          <w:bCs/>
          <w:snapToGrid w:val="0"/>
          <w:szCs w:val="22"/>
          <w:lang w:eastAsia="en-US"/>
        </w:rPr>
        <w:t>. Tokiu atveju Jums yra didesnė sunkesnių</w:t>
      </w:r>
      <w:r w:rsidRPr="0073430A">
        <w:rPr>
          <w:bCs/>
          <w:snapToGrid w:val="0"/>
          <w:szCs w:val="22"/>
          <w:lang w:eastAsia="en-US"/>
        </w:rPr>
        <w:t xml:space="preserve"> </w:t>
      </w:r>
      <w:r>
        <w:rPr>
          <w:bCs/>
          <w:snapToGrid w:val="0"/>
          <w:szCs w:val="22"/>
          <w:lang w:eastAsia="en-US"/>
        </w:rPr>
        <w:t>(išimtiniais atvejais mirtinų) padidėjusio jautrumo reakcijų rizika. Jeigu Jums vystosi krūtinės ankstumo pojūtis, jaučiatės apsvaigęs, negaluojantis ar nusilpęs, tai gali būti padidėjusio jautrumo reakcijų požymiai;</w:t>
      </w:r>
    </w:p>
    <w:p w:rsidR="00DE423C" w:rsidRPr="0073430A" w:rsidRDefault="00DE423C" w:rsidP="00DE423C">
      <w:pPr>
        <w:numPr>
          <w:ilvl w:val="0"/>
          <w:numId w:val="8"/>
        </w:numPr>
        <w:suppressAutoHyphens/>
        <w:spacing w:line="260" w:lineRule="exact"/>
        <w:ind w:left="567" w:hanging="567"/>
        <w:rPr>
          <w:b/>
          <w:snapToGrid w:val="0"/>
          <w:szCs w:val="22"/>
          <w:lang w:eastAsia="en-US"/>
        </w:rPr>
      </w:pPr>
      <w:r>
        <w:rPr>
          <w:bCs/>
          <w:snapToGrid w:val="0"/>
          <w:szCs w:val="22"/>
          <w:lang w:eastAsia="en-US"/>
        </w:rPr>
        <w:t>jeigu pasireiškia</w:t>
      </w:r>
      <w:r w:rsidRPr="0073430A">
        <w:rPr>
          <w:snapToGrid w:val="0"/>
          <w:szCs w:val="22"/>
          <w:lang w:eastAsia="en-US"/>
        </w:rPr>
        <w:t xml:space="preserve"> alergin</w:t>
      </w:r>
      <w:r>
        <w:rPr>
          <w:snapToGrid w:val="0"/>
          <w:szCs w:val="22"/>
          <w:lang w:eastAsia="en-US"/>
        </w:rPr>
        <w:t>ė</w:t>
      </w:r>
      <w:r w:rsidRPr="0073430A">
        <w:rPr>
          <w:bCs/>
          <w:snapToGrid w:val="0"/>
          <w:szCs w:val="22"/>
          <w:lang w:eastAsia="en-US"/>
        </w:rPr>
        <w:t xml:space="preserve"> reakcija, gydym</w:t>
      </w:r>
      <w:r>
        <w:rPr>
          <w:bCs/>
          <w:snapToGrid w:val="0"/>
          <w:szCs w:val="22"/>
          <w:lang w:eastAsia="en-US"/>
        </w:rPr>
        <w:t>as turi būti sustabdytas</w:t>
      </w:r>
      <w:r w:rsidRPr="0073430A">
        <w:rPr>
          <w:bCs/>
          <w:snapToGrid w:val="0"/>
          <w:szCs w:val="22"/>
          <w:lang w:eastAsia="en-US"/>
        </w:rPr>
        <w:t>;</w:t>
      </w:r>
    </w:p>
    <w:p w:rsidR="00DE423C" w:rsidRDefault="00DE423C" w:rsidP="00DE423C">
      <w:pPr>
        <w:numPr>
          <w:ilvl w:val="0"/>
          <w:numId w:val="8"/>
        </w:numPr>
        <w:suppressAutoHyphens/>
        <w:spacing w:line="260" w:lineRule="exact"/>
        <w:ind w:left="567" w:hanging="567"/>
        <w:rPr>
          <w:snapToGrid w:val="0"/>
          <w:szCs w:val="22"/>
          <w:lang w:eastAsia="en-US"/>
        </w:rPr>
      </w:pPr>
      <w:r>
        <w:rPr>
          <w:snapToGrid w:val="0"/>
          <w:szCs w:val="22"/>
          <w:lang w:eastAsia="en-US"/>
        </w:rPr>
        <w:t xml:space="preserve">jeigu </w:t>
      </w:r>
      <w:r w:rsidRPr="0073430A">
        <w:rPr>
          <w:snapToGrid w:val="0"/>
          <w:szCs w:val="22"/>
          <w:lang w:eastAsia="en-US"/>
        </w:rPr>
        <w:t xml:space="preserve">gydymo metu </w:t>
      </w:r>
      <w:r>
        <w:rPr>
          <w:snapToGrid w:val="0"/>
          <w:szCs w:val="22"/>
          <w:lang w:eastAsia="en-US"/>
        </w:rPr>
        <w:t>pastebite odos ar gleivinės pokyčių (žr. 4 skyrių). Nedelsiant informuokite gydytoją, kadangi cefotaksimas gali sukelti sunkių odos reakcijų, kurios reikalauja gydymo;</w:t>
      </w:r>
    </w:p>
    <w:p w:rsidR="00DE423C" w:rsidRDefault="00DE423C" w:rsidP="00DE423C">
      <w:pPr>
        <w:numPr>
          <w:ilvl w:val="0"/>
          <w:numId w:val="8"/>
        </w:numPr>
        <w:suppressAutoHyphens/>
        <w:spacing w:line="260" w:lineRule="exact"/>
        <w:ind w:left="567" w:hanging="567"/>
        <w:rPr>
          <w:snapToGrid w:val="0"/>
          <w:szCs w:val="22"/>
          <w:lang w:eastAsia="en-US"/>
        </w:rPr>
      </w:pPr>
      <w:r>
        <w:rPr>
          <w:snapToGrid w:val="0"/>
          <w:szCs w:val="22"/>
          <w:lang w:eastAsia="en-US"/>
        </w:rPr>
        <w:t>jeigu gydymo metu arba po jo praėjus kelioms savaitėms Jums išsivysto sunkus arba nuolatinis viduriavimas. Nedelsiant pasakykite gydytojui, kadangi šio viduriavimo sunkesnė forma (vadinamas pseudomembraninis kolitas) gali būti mirtina ir turi būti gydoma.</w:t>
      </w:r>
      <w:r w:rsidRPr="0073430A">
        <w:rPr>
          <w:snapToGrid w:val="0"/>
          <w:szCs w:val="22"/>
          <w:lang w:eastAsia="en-US"/>
        </w:rPr>
        <w:t xml:space="preserve"> Nevartokite jokių vaistų</w:t>
      </w:r>
      <w:r>
        <w:rPr>
          <w:snapToGrid w:val="0"/>
          <w:szCs w:val="22"/>
          <w:lang w:eastAsia="en-US"/>
        </w:rPr>
        <w:t>, kurie stabdo žarnų veiklą</w:t>
      </w:r>
      <w:r w:rsidRPr="0073430A">
        <w:rPr>
          <w:snapToGrid w:val="0"/>
          <w:szCs w:val="22"/>
          <w:lang w:eastAsia="en-US"/>
        </w:rPr>
        <w:t>;</w:t>
      </w:r>
    </w:p>
    <w:p w:rsidR="00DE423C" w:rsidRDefault="00DE423C" w:rsidP="00DE423C">
      <w:pPr>
        <w:numPr>
          <w:ilvl w:val="0"/>
          <w:numId w:val="8"/>
        </w:numPr>
        <w:suppressAutoHyphens/>
        <w:spacing w:line="260" w:lineRule="exact"/>
        <w:ind w:left="567" w:hanging="567"/>
        <w:rPr>
          <w:snapToGrid w:val="0"/>
          <w:szCs w:val="22"/>
          <w:lang w:eastAsia="en-US"/>
        </w:rPr>
      </w:pPr>
      <w:r>
        <w:rPr>
          <w:snapToGrid w:val="0"/>
          <w:szCs w:val="22"/>
          <w:lang w:eastAsia="en-US"/>
        </w:rPr>
        <w:t>jeigu žinote, kad yra susilpnėjusi Jūsų inkstų funkcija. Apie tai pasakykite gydytojui tam, kad jis prireikus priderintų dozę. Yra reikalingas Jūsų inkstų funkcijos sekimas;</w:t>
      </w:r>
    </w:p>
    <w:p w:rsidR="00DE423C" w:rsidRDefault="00DE423C" w:rsidP="00DE423C">
      <w:pPr>
        <w:numPr>
          <w:ilvl w:val="0"/>
          <w:numId w:val="8"/>
        </w:numPr>
        <w:suppressAutoHyphens/>
        <w:spacing w:line="260" w:lineRule="exact"/>
        <w:ind w:left="567" w:hanging="567"/>
        <w:rPr>
          <w:snapToGrid w:val="0"/>
          <w:szCs w:val="22"/>
          <w:lang w:eastAsia="en-US"/>
        </w:rPr>
      </w:pPr>
      <w:r>
        <w:rPr>
          <w:snapToGrid w:val="0"/>
          <w:szCs w:val="22"/>
          <w:lang w:eastAsia="en-US"/>
        </w:rPr>
        <w:t>jeigu esate kartu ar  būsite vėliau gydomas aminoglikozidais (tam tikrais kitais antibiotikais, probenecidu (nuo podagros)  ar kitu vaistu, kuris gali sukelti inkstų pakenkimą. Gydytojui reikės sekti inkstų funkciją, kadangi šios medžiagos gali stiprinti inkstus žalojantį poveikį ir yra būtinas atitinkamas atsargumas;</w:t>
      </w:r>
    </w:p>
    <w:p w:rsidR="00DE423C" w:rsidRDefault="00DE423C" w:rsidP="00DE423C">
      <w:pPr>
        <w:numPr>
          <w:ilvl w:val="0"/>
          <w:numId w:val="8"/>
        </w:numPr>
        <w:suppressAutoHyphens/>
        <w:spacing w:line="260" w:lineRule="exact"/>
        <w:ind w:left="567" w:hanging="567"/>
        <w:rPr>
          <w:snapToGrid w:val="0"/>
          <w:szCs w:val="22"/>
          <w:lang w:eastAsia="en-US"/>
        </w:rPr>
      </w:pPr>
      <w:r>
        <w:rPr>
          <w:snapToGrid w:val="0"/>
          <w:szCs w:val="22"/>
          <w:lang w:eastAsia="en-US"/>
        </w:rPr>
        <w:t>jeigu Jums yra judesių sutrikimas, patiriate priepuolius, sumišimą ar yra pritemusi sąmonė. Tai gali būti taip vadinamos encefalopatijos požymiai. Šių šalutinių efektų rizika atsiranda vartojant didelėmis dozėmis, perdozavimo atveju  ar jeigu yra susilpnėjusi Jūsų inkstų funkcija. Jeigu pasireiškia tokių reakcijų, prašom nedelsiant kreiptis į gydytoją;</w:t>
      </w:r>
    </w:p>
    <w:p w:rsidR="00DE423C" w:rsidRDefault="00DE423C" w:rsidP="00DE423C">
      <w:pPr>
        <w:numPr>
          <w:ilvl w:val="0"/>
          <w:numId w:val="8"/>
        </w:numPr>
        <w:suppressAutoHyphens/>
        <w:spacing w:line="260" w:lineRule="exact"/>
        <w:ind w:left="567" w:hanging="567"/>
        <w:rPr>
          <w:snapToGrid w:val="0"/>
          <w:szCs w:val="22"/>
          <w:lang w:eastAsia="en-US"/>
        </w:rPr>
      </w:pPr>
      <w:r>
        <w:rPr>
          <w:snapToGrid w:val="0"/>
          <w:szCs w:val="22"/>
          <w:lang w:eastAsia="en-US"/>
        </w:rPr>
        <w:t>jeigu Jūsų gydymas trunka ilgiau negu 7 arba 10 dienų. Tokiu atveju reikalinga patikrinti kraują, kadangi toks gydymas i gali sukelti kraujo pokyčių;</w:t>
      </w:r>
    </w:p>
    <w:p w:rsidR="00DE423C" w:rsidRDefault="00DE423C" w:rsidP="00DE423C">
      <w:pPr>
        <w:numPr>
          <w:ilvl w:val="0"/>
          <w:numId w:val="8"/>
        </w:numPr>
        <w:suppressAutoHyphens/>
        <w:spacing w:line="260" w:lineRule="exact"/>
        <w:ind w:left="567" w:hanging="567"/>
        <w:rPr>
          <w:snapToGrid w:val="0"/>
          <w:szCs w:val="22"/>
          <w:lang w:eastAsia="en-US"/>
        </w:rPr>
      </w:pPr>
      <w:r>
        <w:rPr>
          <w:snapToGrid w:val="0"/>
          <w:szCs w:val="22"/>
          <w:lang w:eastAsia="en-US"/>
        </w:rPr>
        <w:t>jeigu Jums yra naujos infekcijos požymių (pvz., gleivinės grybelinė infekcija su paraudusiu ir balzganu paviršiumi). Bet koks antibiotikų vartojimas gali didinti ligos sukėlėjų, kurie yra nejautrūs vartojamam vaistui, kiekį. Atidžiai stebėkite naujos infekcijos požymius ir prireikus informuokite gydytoją.</w:t>
      </w:r>
    </w:p>
    <w:p w:rsidR="00DE423C" w:rsidRDefault="00DE423C" w:rsidP="00DE423C">
      <w:pPr>
        <w:suppressAutoHyphens/>
        <w:spacing w:line="260" w:lineRule="exact"/>
        <w:rPr>
          <w:snapToGrid w:val="0"/>
          <w:szCs w:val="22"/>
          <w:lang w:eastAsia="en-US"/>
        </w:rPr>
      </w:pPr>
    </w:p>
    <w:p w:rsidR="00DE423C" w:rsidRDefault="00DE423C" w:rsidP="00DE423C">
      <w:pPr>
        <w:suppressAutoHyphens/>
        <w:spacing w:line="260" w:lineRule="exact"/>
        <w:rPr>
          <w:snapToGrid w:val="0"/>
          <w:szCs w:val="22"/>
          <w:lang w:eastAsia="en-US"/>
        </w:rPr>
      </w:pPr>
      <w:r w:rsidRPr="00417275">
        <w:rPr>
          <w:snapToGrid w:val="0"/>
          <w:szCs w:val="22"/>
          <w:lang w:eastAsia="en-US"/>
        </w:rPr>
        <w:t>Taikant gydymą cefotaksimu gauta pranešimų apie sunkias nepageidaujamas odos reakcijas, įskaitant</w:t>
      </w:r>
      <w:r>
        <w:rPr>
          <w:snapToGrid w:val="0"/>
          <w:szCs w:val="22"/>
          <w:lang w:eastAsia="en-US"/>
        </w:rPr>
        <w:t xml:space="preserve"> </w:t>
      </w:r>
      <w:r w:rsidRPr="00417275">
        <w:rPr>
          <w:snapToGrid w:val="0"/>
          <w:szCs w:val="22"/>
          <w:lang w:eastAsia="en-US"/>
        </w:rPr>
        <w:t>Stivenso-Džonsono sindromą, toksinę epidermio nekrolizę, reakciją į vaistą su eozinofilija ir</w:t>
      </w:r>
      <w:r>
        <w:rPr>
          <w:snapToGrid w:val="0"/>
          <w:szCs w:val="22"/>
          <w:lang w:eastAsia="en-US"/>
        </w:rPr>
        <w:t xml:space="preserve"> </w:t>
      </w:r>
      <w:r w:rsidRPr="00417275">
        <w:rPr>
          <w:snapToGrid w:val="0"/>
          <w:szCs w:val="22"/>
          <w:lang w:eastAsia="en-US"/>
        </w:rPr>
        <w:t>sisteminiais simptomais (DRESS sindromas), ūminę generalizuotą egzanteminę pustuliozę (ŪGEP).</w:t>
      </w:r>
      <w:r>
        <w:rPr>
          <w:snapToGrid w:val="0"/>
          <w:szCs w:val="22"/>
          <w:lang w:eastAsia="en-US"/>
        </w:rPr>
        <w:t xml:space="preserve"> </w:t>
      </w:r>
      <w:r w:rsidRPr="00417275">
        <w:rPr>
          <w:snapToGrid w:val="0"/>
          <w:szCs w:val="22"/>
          <w:lang w:eastAsia="en-US"/>
        </w:rPr>
        <w:t>Pastebėję bent vieną iš 4 skyriuje aprašytų simptomų, susijusių su šiomis sunkiomis odos reakcijomis, nebevartokite cefotaksimo ir nedelsdami kreipkitės į gydytoją.</w:t>
      </w:r>
      <w:r>
        <w:rPr>
          <w:snapToGrid w:val="0"/>
          <w:szCs w:val="22"/>
          <w:lang w:eastAsia="en-US"/>
        </w:rPr>
        <w:t xml:space="preserve"> </w:t>
      </w:r>
    </w:p>
    <w:p w:rsidR="00DE423C" w:rsidRPr="0073430A" w:rsidRDefault="00DE423C" w:rsidP="00DE423C">
      <w:pPr>
        <w:numPr>
          <w:ilvl w:val="12"/>
          <w:numId w:val="0"/>
        </w:numPr>
        <w:rPr>
          <w:snapToGrid w:val="0"/>
          <w:szCs w:val="22"/>
          <w:lang w:eastAsia="en-US"/>
        </w:rPr>
      </w:pPr>
    </w:p>
    <w:p w:rsidR="00DE423C" w:rsidRPr="00EB223B" w:rsidRDefault="00DE423C" w:rsidP="00DE423C">
      <w:pPr>
        <w:numPr>
          <w:ilvl w:val="12"/>
          <w:numId w:val="0"/>
        </w:numPr>
        <w:ind w:right="-2"/>
        <w:rPr>
          <w:snapToGrid w:val="0"/>
          <w:szCs w:val="22"/>
          <w:lang w:eastAsia="en-US"/>
        </w:rPr>
      </w:pPr>
      <w:r w:rsidRPr="00EB223B">
        <w:rPr>
          <w:b/>
          <w:snapToGrid w:val="0"/>
          <w:szCs w:val="22"/>
          <w:lang w:eastAsia="en-US"/>
        </w:rPr>
        <w:t>Kiti vaistai ir MOXICEF</w:t>
      </w:r>
    </w:p>
    <w:p w:rsidR="00DE423C" w:rsidRPr="0073430A" w:rsidRDefault="00DE423C" w:rsidP="00DE423C">
      <w:pPr>
        <w:numPr>
          <w:ilvl w:val="12"/>
          <w:numId w:val="0"/>
        </w:numPr>
        <w:ind w:right="-2"/>
        <w:rPr>
          <w:snapToGrid w:val="0"/>
          <w:szCs w:val="22"/>
          <w:lang w:eastAsia="en-US"/>
        </w:rPr>
      </w:pPr>
      <w:r w:rsidRPr="00EB223B">
        <w:rPr>
          <w:snapToGrid w:val="0"/>
          <w:szCs w:val="22"/>
          <w:lang w:eastAsia="en-US"/>
        </w:rPr>
        <w:t>Jeigu vartojate ar neseniai vartojote kitų vaistų arba dėl to nesate tikri, apie tai pasakykite gydytojui arba vaistininkui.</w:t>
      </w:r>
    </w:p>
    <w:p w:rsidR="00DE423C" w:rsidRDefault="00DE423C" w:rsidP="00DE423C">
      <w:pPr>
        <w:numPr>
          <w:ilvl w:val="12"/>
          <w:numId w:val="0"/>
        </w:numPr>
        <w:ind w:right="-2"/>
        <w:rPr>
          <w:b/>
          <w:snapToGrid w:val="0"/>
          <w:szCs w:val="22"/>
          <w:lang w:eastAsia="en-US"/>
        </w:rPr>
      </w:pPr>
    </w:p>
    <w:p w:rsidR="00DE423C" w:rsidRPr="0073430A" w:rsidRDefault="00DE423C" w:rsidP="00DE423C">
      <w:pPr>
        <w:numPr>
          <w:ilvl w:val="12"/>
          <w:numId w:val="0"/>
        </w:numPr>
        <w:ind w:right="-2"/>
        <w:rPr>
          <w:snapToGrid w:val="0"/>
          <w:szCs w:val="22"/>
          <w:lang w:eastAsia="en-US"/>
        </w:rPr>
      </w:pPr>
      <w:r w:rsidRPr="00EB223B">
        <w:rPr>
          <w:b/>
          <w:snapToGrid w:val="0"/>
          <w:szCs w:val="22"/>
          <w:lang w:eastAsia="en-US"/>
        </w:rPr>
        <w:t>Kiti antibiotikai</w:t>
      </w:r>
    </w:p>
    <w:p w:rsidR="00DE423C" w:rsidRDefault="00DE423C" w:rsidP="00DE423C">
      <w:pPr>
        <w:tabs>
          <w:tab w:val="left" w:pos="567"/>
        </w:tabs>
        <w:suppressAutoHyphens/>
        <w:spacing w:line="260" w:lineRule="exact"/>
        <w:ind w:right="-2"/>
        <w:rPr>
          <w:snapToGrid w:val="0"/>
          <w:szCs w:val="22"/>
          <w:lang w:eastAsia="en-US"/>
        </w:rPr>
      </w:pPr>
      <w:r>
        <w:rPr>
          <w:snapToGrid w:val="0"/>
          <w:szCs w:val="22"/>
          <w:lang w:eastAsia="en-US"/>
        </w:rPr>
        <w:t>Kartu vartojami tam tikri kiti antibiotikai gali silpninti cefotaksimo poveikį. Taigi, informuokite savo gydytoją, jeigu vartojate arba neseniai vartojote kitų antibiotikų</w:t>
      </w:r>
    </w:p>
    <w:p w:rsidR="00DE423C" w:rsidRDefault="00DE423C" w:rsidP="00DE423C">
      <w:pPr>
        <w:tabs>
          <w:tab w:val="left" w:pos="567"/>
        </w:tabs>
        <w:suppressAutoHyphens/>
        <w:spacing w:line="260" w:lineRule="exact"/>
        <w:ind w:right="-2"/>
        <w:rPr>
          <w:snapToGrid w:val="0"/>
          <w:szCs w:val="22"/>
          <w:lang w:eastAsia="en-US"/>
        </w:rPr>
      </w:pPr>
    </w:p>
    <w:p w:rsidR="00DE423C" w:rsidRPr="00EB223B" w:rsidRDefault="00DE423C" w:rsidP="00DE423C">
      <w:pPr>
        <w:tabs>
          <w:tab w:val="left" w:pos="567"/>
        </w:tabs>
        <w:suppressAutoHyphens/>
        <w:spacing w:line="260" w:lineRule="exact"/>
        <w:ind w:right="-2"/>
        <w:rPr>
          <w:b/>
          <w:snapToGrid w:val="0"/>
          <w:szCs w:val="22"/>
          <w:lang w:eastAsia="en-US"/>
        </w:rPr>
      </w:pPr>
      <w:r w:rsidRPr="00EB223B">
        <w:rPr>
          <w:b/>
          <w:snapToGrid w:val="0"/>
          <w:szCs w:val="22"/>
          <w:lang w:eastAsia="en-US"/>
        </w:rPr>
        <w:t>Gal</w:t>
      </w:r>
      <w:r>
        <w:rPr>
          <w:b/>
          <w:snapToGrid w:val="0"/>
          <w:szCs w:val="22"/>
          <w:lang w:eastAsia="en-US"/>
        </w:rPr>
        <w:t>būt žalingi</w:t>
      </w:r>
      <w:r w:rsidRPr="00EB223B">
        <w:rPr>
          <w:b/>
          <w:snapToGrid w:val="0"/>
          <w:szCs w:val="22"/>
          <w:lang w:eastAsia="en-US"/>
        </w:rPr>
        <w:t xml:space="preserve"> inkstams vaistai ir diuretikai</w:t>
      </w:r>
    </w:p>
    <w:p w:rsidR="00DE423C" w:rsidRPr="0073430A" w:rsidRDefault="00DE423C" w:rsidP="00DE423C">
      <w:pPr>
        <w:tabs>
          <w:tab w:val="left" w:pos="0"/>
        </w:tabs>
        <w:suppressAutoHyphens/>
        <w:spacing w:line="260" w:lineRule="exact"/>
        <w:rPr>
          <w:szCs w:val="22"/>
          <w:lang w:eastAsia="en-US"/>
        </w:rPr>
      </w:pPr>
      <w:r>
        <w:rPr>
          <w:szCs w:val="22"/>
          <w:lang w:eastAsia="en-US"/>
        </w:rPr>
        <w:t xml:space="preserve">Vartojant kartu su vaistais, kurie gali kenkti inkstams, </w:t>
      </w:r>
      <w:r w:rsidRPr="0073430A">
        <w:rPr>
          <w:szCs w:val="22"/>
          <w:lang w:eastAsia="en-US"/>
        </w:rPr>
        <w:t>toki</w:t>
      </w:r>
      <w:r>
        <w:rPr>
          <w:szCs w:val="22"/>
          <w:lang w:eastAsia="en-US"/>
        </w:rPr>
        <w:t>ais,</w:t>
      </w:r>
      <w:r w:rsidRPr="0073430A">
        <w:rPr>
          <w:szCs w:val="22"/>
          <w:lang w:eastAsia="en-US"/>
        </w:rPr>
        <w:t xml:space="preserve"> kaip aminoglikozid</w:t>
      </w:r>
      <w:r>
        <w:rPr>
          <w:szCs w:val="22"/>
          <w:lang w:eastAsia="en-US"/>
        </w:rPr>
        <w:t>ai (kiti antibiotikai) ar labai veiksmingais dehidruojančiais vaistais (diuretikais, pvz., furozemidu), cefotaksimas gali stiprinti šių vaistų kenksmingą poveikį inkstams. Minėtų vaistų vartojant kartu turi būti sekama inkstų funkcija (žr. 2 skyriaus poskyrį „</w:t>
      </w:r>
      <w:r w:rsidRPr="00F35195">
        <w:rPr>
          <w:szCs w:val="22"/>
          <w:lang w:eastAsia="en-US"/>
        </w:rPr>
        <w:t>Įspėjimai ir atsargumo priemonės</w:t>
      </w:r>
      <w:r>
        <w:rPr>
          <w:szCs w:val="22"/>
          <w:lang w:eastAsia="en-US"/>
        </w:rPr>
        <w:t>“</w:t>
      </w:r>
      <w:r w:rsidRPr="0073430A">
        <w:rPr>
          <w:szCs w:val="22"/>
          <w:lang w:eastAsia="en-US"/>
        </w:rPr>
        <w:t>).</w:t>
      </w:r>
    </w:p>
    <w:p w:rsidR="00DE423C" w:rsidRDefault="00DE423C" w:rsidP="00DE423C">
      <w:pPr>
        <w:tabs>
          <w:tab w:val="left" w:pos="567"/>
        </w:tabs>
        <w:spacing w:line="260" w:lineRule="exact"/>
        <w:rPr>
          <w:szCs w:val="22"/>
          <w:lang w:eastAsia="en-US"/>
        </w:rPr>
      </w:pPr>
    </w:p>
    <w:p w:rsidR="00DE423C" w:rsidRPr="00F35195" w:rsidRDefault="00DE423C" w:rsidP="00DE423C">
      <w:pPr>
        <w:tabs>
          <w:tab w:val="left" w:pos="0"/>
        </w:tabs>
        <w:suppressAutoHyphens/>
        <w:spacing w:line="260" w:lineRule="exact"/>
        <w:rPr>
          <w:b/>
          <w:szCs w:val="22"/>
          <w:lang w:eastAsia="en-US"/>
        </w:rPr>
      </w:pPr>
      <w:r w:rsidRPr="00F35195">
        <w:rPr>
          <w:b/>
          <w:szCs w:val="22"/>
          <w:lang w:eastAsia="en-US"/>
        </w:rPr>
        <w:t xml:space="preserve">Probenecidas </w:t>
      </w:r>
    </w:p>
    <w:p w:rsidR="00DE423C" w:rsidRDefault="00DE423C" w:rsidP="00DE423C">
      <w:pPr>
        <w:tabs>
          <w:tab w:val="left" w:pos="0"/>
        </w:tabs>
        <w:suppressAutoHyphens/>
        <w:spacing w:line="260" w:lineRule="exact"/>
        <w:rPr>
          <w:szCs w:val="22"/>
          <w:lang w:eastAsia="en-US"/>
        </w:rPr>
      </w:pPr>
      <w:r>
        <w:rPr>
          <w:szCs w:val="22"/>
          <w:lang w:eastAsia="en-US"/>
        </w:rPr>
        <w:t>Tuo pačiu metu vartojamas probenecidas  sukelia cefotaksimo koncentracijos kraujo serume padidėjimą ir tokiu būdu cefotaksimo poveikio sustiprėjimą, kadangi probenecidas sulaiko cefotaksimo šalinimą iš inkstų. Pasakykite savo gydytojui, jeigu vartojate  probenecido, ypač jeigu yra susilpnėjusi Jūsų inkstų funkcija, tam, kad prireikus jis galėtų priderinti dozę.</w:t>
      </w:r>
    </w:p>
    <w:p w:rsidR="00DE423C" w:rsidRPr="0073430A" w:rsidRDefault="00DE423C" w:rsidP="00DE423C">
      <w:pPr>
        <w:numPr>
          <w:ilvl w:val="12"/>
          <w:numId w:val="0"/>
        </w:numPr>
        <w:tabs>
          <w:tab w:val="left" w:pos="1290"/>
        </w:tabs>
        <w:ind w:right="-2"/>
        <w:rPr>
          <w:snapToGrid w:val="0"/>
          <w:szCs w:val="22"/>
          <w:lang w:eastAsia="en-US"/>
        </w:rPr>
      </w:pPr>
    </w:p>
    <w:p w:rsidR="00DE423C" w:rsidRDefault="00DE423C" w:rsidP="00DE423C">
      <w:pPr>
        <w:numPr>
          <w:ilvl w:val="12"/>
          <w:numId w:val="0"/>
        </w:numPr>
        <w:rPr>
          <w:b/>
          <w:snapToGrid w:val="0"/>
          <w:szCs w:val="22"/>
          <w:lang w:eastAsia="en-US"/>
        </w:rPr>
      </w:pPr>
      <w:r w:rsidRPr="00621338">
        <w:rPr>
          <w:b/>
          <w:snapToGrid w:val="0"/>
          <w:szCs w:val="22"/>
          <w:lang w:eastAsia="en-US"/>
        </w:rPr>
        <w:t>Nėštumas, žindymo laikotarpis ir vaisingumas</w:t>
      </w:r>
    </w:p>
    <w:p w:rsidR="00DE423C" w:rsidRPr="0073430A" w:rsidRDefault="00DE423C" w:rsidP="00DE423C">
      <w:pPr>
        <w:numPr>
          <w:ilvl w:val="12"/>
          <w:numId w:val="0"/>
        </w:numPr>
        <w:rPr>
          <w:snapToGrid w:val="0"/>
          <w:szCs w:val="22"/>
          <w:lang w:eastAsia="en-US"/>
        </w:rPr>
      </w:pPr>
      <w:r w:rsidRPr="0073430A">
        <w:rPr>
          <w:snapToGrid w:val="0"/>
          <w:szCs w:val="22"/>
          <w:lang w:eastAsia="en-US"/>
        </w:rPr>
        <w:t xml:space="preserve">Jeigu esate nėščia, žindote kūdikį, manote, kad galbūt esate nėščia, arba planuojate pastoti, </w:t>
      </w:r>
      <w:r>
        <w:rPr>
          <w:snapToGrid w:val="0"/>
          <w:szCs w:val="22"/>
          <w:lang w:eastAsia="en-US"/>
        </w:rPr>
        <w:t xml:space="preserve">tai </w:t>
      </w:r>
      <w:r w:rsidRPr="0073430A">
        <w:rPr>
          <w:snapToGrid w:val="0"/>
          <w:szCs w:val="22"/>
          <w:lang w:eastAsia="en-US"/>
        </w:rPr>
        <w:t>prieš vartodama šį vaistą pasitarkite su gydytoju arba vaistininku.</w:t>
      </w:r>
    </w:p>
    <w:p w:rsidR="00DE423C" w:rsidRDefault="00DE423C" w:rsidP="00DE423C">
      <w:pPr>
        <w:numPr>
          <w:ilvl w:val="12"/>
          <w:numId w:val="0"/>
        </w:numPr>
        <w:ind w:right="-2"/>
        <w:outlineLvl w:val="0"/>
        <w:rPr>
          <w:snapToGrid w:val="0"/>
          <w:szCs w:val="22"/>
          <w:lang w:eastAsia="en-US"/>
        </w:rPr>
      </w:pPr>
    </w:p>
    <w:p w:rsidR="00DE423C" w:rsidRPr="00621338" w:rsidRDefault="00DE423C" w:rsidP="00DE423C">
      <w:pPr>
        <w:numPr>
          <w:ilvl w:val="12"/>
          <w:numId w:val="0"/>
        </w:numPr>
        <w:ind w:right="-2"/>
        <w:outlineLvl w:val="0"/>
        <w:rPr>
          <w:b/>
          <w:snapToGrid w:val="0"/>
          <w:szCs w:val="22"/>
          <w:lang w:eastAsia="en-US"/>
        </w:rPr>
      </w:pPr>
      <w:r w:rsidRPr="00621338">
        <w:rPr>
          <w:b/>
          <w:snapToGrid w:val="0"/>
          <w:szCs w:val="22"/>
          <w:lang w:eastAsia="en-US"/>
        </w:rPr>
        <w:t>Nėštumas</w:t>
      </w:r>
    </w:p>
    <w:p w:rsidR="00DE423C" w:rsidRDefault="00DE423C" w:rsidP="00DE423C">
      <w:pPr>
        <w:numPr>
          <w:ilvl w:val="12"/>
          <w:numId w:val="0"/>
        </w:numPr>
        <w:ind w:right="-2"/>
        <w:outlineLvl w:val="0"/>
        <w:rPr>
          <w:snapToGrid w:val="0"/>
          <w:szCs w:val="22"/>
          <w:lang w:eastAsia="en-US"/>
        </w:rPr>
      </w:pPr>
      <w:r>
        <w:rPr>
          <w:snapToGrid w:val="0"/>
          <w:szCs w:val="22"/>
          <w:lang w:eastAsia="en-US"/>
        </w:rPr>
        <w:t>Pakankamų duomenų apie cefotaksimo vartojimą nėščioms moterims nėra. Tyrimai su gyvūnais nerodo jokių cefotaksimo teratogeninių savybių požymių.</w:t>
      </w:r>
    </w:p>
    <w:p w:rsidR="00DE423C" w:rsidRPr="0073430A" w:rsidRDefault="00DE423C" w:rsidP="00DE423C">
      <w:pPr>
        <w:numPr>
          <w:ilvl w:val="12"/>
          <w:numId w:val="0"/>
        </w:numPr>
        <w:ind w:right="-2"/>
        <w:outlineLvl w:val="0"/>
        <w:rPr>
          <w:snapToGrid w:val="0"/>
          <w:szCs w:val="22"/>
          <w:lang w:eastAsia="en-US"/>
        </w:rPr>
      </w:pPr>
      <w:r>
        <w:rPr>
          <w:snapToGrid w:val="0"/>
          <w:szCs w:val="22"/>
          <w:lang w:eastAsia="en-US"/>
        </w:rPr>
        <w:t xml:space="preserve">Nepaisant to, </w:t>
      </w:r>
      <w:r w:rsidRPr="0073430A">
        <w:rPr>
          <w:snapToGrid w:val="0"/>
          <w:szCs w:val="22"/>
          <w:lang w:eastAsia="en-US"/>
        </w:rPr>
        <w:t xml:space="preserve">cefotaksimo nėštumo metu </w:t>
      </w:r>
      <w:r>
        <w:rPr>
          <w:snapToGrid w:val="0"/>
          <w:szCs w:val="22"/>
          <w:lang w:eastAsia="en-US"/>
        </w:rPr>
        <w:t>turi būti vartojama, ypač pirmus tris mėnesius, tik po to, kai gydymą prižiūrintis gydytojas griežtai įvertins tokio gydymo riziką ir naudą</w:t>
      </w:r>
      <w:r w:rsidRPr="0073430A">
        <w:rPr>
          <w:snapToGrid w:val="0"/>
          <w:szCs w:val="22"/>
          <w:lang w:eastAsia="en-US"/>
        </w:rPr>
        <w:t>.</w:t>
      </w:r>
    </w:p>
    <w:p w:rsidR="00DE423C" w:rsidRDefault="00DE423C" w:rsidP="00DE423C">
      <w:pPr>
        <w:numPr>
          <w:ilvl w:val="12"/>
          <w:numId w:val="0"/>
        </w:numPr>
        <w:ind w:right="-2"/>
        <w:outlineLvl w:val="0"/>
        <w:rPr>
          <w:snapToGrid w:val="0"/>
          <w:szCs w:val="22"/>
          <w:lang w:eastAsia="en-US"/>
        </w:rPr>
      </w:pPr>
    </w:p>
    <w:p w:rsidR="00DE423C" w:rsidRPr="00865731" w:rsidRDefault="00DE423C" w:rsidP="00DE423C">
      <w:pPr>
        <w:numPr>
          <w:ilvl w:val="12"/>
          <w:numId w:val="0"/>
        </w:numPr>
        <w:ind w:right="-2"/>
        <w:outlineLvl w:val="0"/>
        <w:rPr>
          <w:b/>
          <w:snapToGrid w:val="0"/>
          <w:szCs w:val="22"/>
          <w:lang w:eastAsia="en-US"/>
        </w:rPr>
      </w:pPr>
      <w:r w:rsidRPr="00865731">
        <w:rPr>
          <w:b/>
          <w:snapToGrid w:val="0"/>
          <w:szCs w:val="22"/>
          <w:lang w:eastAsia="en-US"/>
        </w:rPr>
        <w:t>Žindymas</w:t>
      </w:r>
    </w:p>
    <w:p w:rsidR="00DE423C" w:rsidRPr="0073430A" w:rsidRDefault="00DE423C" w:rsidP="00DE423C">
      <w:pPr>
        <w:tabs>
          <w:tab w:val="left" w:pos="567"/>
        </w:tabs>
        <w:spacing w:line="260" w:lineRule="exact"/>
        <w:jc w:val="both"/>
        <w:rPr>
          <w:szCs w:val="22"/>
          <w:lang w:eastAsia="en-US"/>
        </w:rPr>
      </w:pPr>
      <w:r>
        <w:rPr>
          <w:szCs w:val="22"/>
          <w:lang w:eastAsia="en-US"/>
        </w:rPr>
        <w:t>Į žindyvės pieną patenka tik nedidelis c</w:t>
      </w:r>
      <w:r w:rsidRPr="0073430A">
        <w:rPr>
          <w:szCs w:val="22"/>
          <w:lang w:eastAsia="en-US"/>
        </w:rPr>
        <w:t xml:space="preserve">efotaksimo </w:t>
      </w:r>
      <w:r>
        <w:rPr>
          <w:szCs w:val="22"/>
          <w:lang w:eastAsia="en-US"/>
        </w:rPr>
        <w:t xml:space="preserve">kiekis. Jeigu vartojate cefotaksimo žindymo metu, jis gali sutrikdyti </w:t>
      </w:r>
      <w:r w:rsidRPr="0073430A">
        <w:rPr>
          <w:szCs w:val="22"/>
          <w:lang w:eastAsia="en-US"/>
        </w:rPr>
        <w:t>žarn</w:t>
      </w:r>
      <w:r>
        <w:rPr>
          <w:szCs w:val="22"/>
          <w:lang w:eastAsia="en-US"/>
        </w:rPr>
        <w:t>ų</w:t>
      </w:r>
      <w:r w:rsidRPr="0073430A">
        <w:rPr>
          <w:szCs w:val="22"/>
          <w:lang w:eastAsia="en-US"/>
        </w:rPr>
        <w:t xml:space="preserve"> flor</w:t>
      </w:r>
      <w:r>
        <w:rPr>
          <w:szCs w:val="22"/>
          <w:lang w:eastAsia="en-US"/>
        </w:rPr>
        <w:t>ą,</w:t>
      </w:r>
      <w:r w:rsidRPr="0073430A">
        <w:rPr>
          <w:szCs w:val="22"/>
          <w:lang w:eastAsia="en-US"/>
        </w:rPr>
        <w:t xml:space="preserve"> </w:t>
      </w:r>
      <w:r>
        <w:rPr>
          <w:szCs w:val="22"/>
          <w:lang w:eastAsia="en-US"/>
        </w:rPr>
        <w:t xml:space="preserve">todėl galima viduriavimas, grybelių augimas ir taip pat </w:t>
      </w:r>
      <w:r w:rsidRPr="0073430A">
        <w:rPr>
          <w:szCs w:val="22"/>
          <w:lang w:eastAsia="en-US"/>
        </w:rPr>
        <w:t xml:space="preserve">gali </w:t>
      </w:r>
      <w:r>
        <w:rPr>
          <w:szCs w:val="22"/>
          <w:lang w:eastAsia="en-US"/>
        </w:rPr>
        <w:t>sukelti jautrumo p</w:t>
      </w:r>
      <w:r w:rsidRPr="0073430A">
        <w:rPr>
          <w:szCs w:val="22"/>
          <w:lang w:eastAsia="en-US"/>
        </w:rPr>
        <w:t>adidė</w:t>
      </w:r>
      <w:r>
        <w:rPr>
          <w:szCs w:val="22"/>
          <w:lang w:eastAsia="en-US"/>
        </w:rPr>
        <w:t>jimą</w:t>
      </w:r>
      <w:r w:rsidRPr="0073430A">
        <w:rPr>
          <w:szCs w:val="22"/>
          <w:lang w:eastAsia="en-US"/>
        </w:rPr>
        <w:t>.</w:t>
      </w:r>
      <w:r>
        <w:rPr>
          <w:szCs w:val="22"/>
          <w:lang w:eastAsia="en-US"/>
        </w:rPr>
        <w:t xml:space="preserve"> Atsižvelgiant į žindymo naudą kūdikiui ir gydymo naudą motinai gydytojas nuspręs, ar sustabdyti žindymą,</w:t>
      </w:r>
      <w:r w:rsidRPr="0073430A">
        <w:rPr>
          <w:szCs w:val="22"/>
          <w:lang w:eastAsia="en-US"/>
        </w:rPr>
        <w:t xml:space="preserve"> </w:t>
      </w:r>
      <w:r>
        <w:rPr>
          <w:szCs w:val="22"/>
          <w:lang w:eastAsia="en-US"/>
        </w:rPr>
        <w:t xml:space="preserve">ar atsisakyti gydymo cefotaksimu. </w:t>
      </w:r>
    </w:p>
    <w:p w:rsidR="00DE423C" w:rsidRPr="0073430A" w:rsidRDefault="00DE423C" w:rsidP="00DE423C">
      <w:pPr>
        <w:numPr>
          <w:ilvl w:val="12"/>
          <w:numId w:val="0"/>
        </w:numPr>
        <w:ind w:right="-2"/>
        <w:outlineLvl w:val="0"/>
        <w:rPr>
          <w:snapToGrid w:val="0"/>
          <w:szCs w:val="22"/>
          <w:lang w:eastAsia="en-US"/>
        </w:rPr>
      </w:pPr>
    </w:p>
    <w:p w:rsidR="00DE423C" w:rsidRPr="0073430A" w:rsidRDefault="00DE423C" w:rsidP="00DE423C">
      <w:pPr>
        <w:numPr>
          <w:ilvl w:val="12"/>
          <w:numId w:val="0"/>
        </w:numPr>
        <w:ind w:right="-2"/>
        <w:outlineLvl w:val="0"/>
        <w:rPr>
          <w:snapToGrid w:val="0"/>
          <w:szCs w:val="22"/>
          <w:lang w:eastAsia="en-US"/>
        </w:rPr>
      </w:pPr>
      <w:r w:rsidRPr="0073430A">
        <w:rPr>
          <w:b/>
          <w:snapToGrid w:val="0"/>
          <w:szCs w:val="22"/>
          <w:lang w:eastAsia="en-US"/>
        </w:rPr>
        <w:t>Vairavimas ir mechanizmų valdymas</w:t>
      </w:r>
    </w:p>
    <w:p w:rsidR="00DE423C" w:rsidRPr="00996E37" w:rsidRDefault="00DE423C" w:rsidP="00DE423C">
      <w:pPr>
        <w:numPr>
          <w:ilvl w:val="12"/>
          <w:numId w:val="0"/>
        </w:numPr>
        <w:rPr>
          <w:snapToGrid w:val="0"/>
          <w:szCs w:val="22"/>
          <w:lang w:eastAsia="en-US"/>
        </w:rPr>
      </w:pPr>
      <w:r w:rsidRPr="00996E37">
        <w:rPr>
          <w:snapToGrid w:val="0"/>
          <w:szCs w:val="22"/>
          <w:lang w:eastAsia="en-US"/>
        </w:rPr>
        <w:t>Remiantis ankstesne patirtimi, mažos ar vidutinės cefotaksimo dozės įtakos gebėjimui susikaupti ir reaguoti nedaro.</w:t>
      </w:r>
    </w:p>
    <w:p w:rsidR="00DE423C" w:rsidRPr="0073430A" w:rsidRDefault="00DE423C" w:rsidP="00DE423C">
      <w:pPr>
        <w:numPr>
          <w:ilvl w:val="12"/>
          <w:numId w:val="0"/>
        </w:numPr>
        <w:rPr>
          <w:snapToGrid w:val="0"/>
          <w:szCs w:val="22"/>
          <w:lang w:eastAsia="en-US"/>
        </w:rPr>
      </w:pPr>
      <w:r w:rsidRPr="00996E37">
        <w:rPr>
          <w:snapToGrid w:val="0"/>
          <w:szCs w:val="22"/>
          <w:lang w:eastAsia="en-US"/>
        </w:rPr>
        <w:t xml:space="preserve">Jeigu pasireiškia bet koks nepageidaujamas poveikis, pvz., </w:t>
      </w:r>
      <w:r>
        <w:rPr>
          <w:snapToGrid w:val="0"/>
          <w:szCs w:val="22"/>
          <w:lang w:eastAsia="en-US"/>
        </w:rPr>
        <w:t xml:space="preserve">svaigulys </w:t>
      </w:r>
      <w:r w:rsidRPr="00996E37">
        <w:rPr>
          <w:snapToGrid w:val="0"/>
          <w:szCs w:val="22"/>
          <w:lang w:eastAsia="en-US"/>
        </w:rPr>
        <w:t>ar encefalopatija (kuri gali būti susijusi su priepuoliais, sumišimu, sąmonės ir judesių sutrikimu), tur</w:t>
      </w:r>
      <w:r>
        <w:rPr>
          <w:snapToGrid w:val="0"/>
          <w:szCs w:val="22"/>
          <w:lang w:eastAsia="en-US"/>
        </w:rPr>
        <w:t>ite atsisakyti</w:t>
      </w:r>
      <w:r w:rsidRPr="00996E37">
        <w:rPr>
          <w:snapToGrid w:val="0"/>
          <w:szCs w:val="22"/>
          <w:lang w:eastAsia="en-US"/>
        </w:rPr>
        <w:t xml:space="preserve"> vairuoti ar valdyti mechanizmus</w:t>
      </w:r>
      <w:r w:rsidRPr="0073430A">
        <w:rPr>
          <w:snapToGrid w:val="0"/>
          <w:szCs w:val="22"/>
          <w:lang w:eastAsia="en-US"/>
        </w:rPr>
        <w:t>.</w:t>
      </w:r>
    </w:p>
    <w:p w:rsidR="00DE423C" w:rsidRPr="0073430A" w:rsidRDefault="00DE423C" w:rsidP="00DE423C">
      <w:pPr>
        <w:numPr>
          <w:ilvl w:val="12"/>
          <w:numId w:val="0"/>
        </w:numPr>
        <w:rPr>
          <w:snapToGrid w:val="0"/>
          <w:szCs w:val="22"/>
          <w:lang w:eastAsia="en-US"/>
        </w:rPr>
      </w:pPr>
    </w:p>
    <w:p w:rsidR="00DE423C" w:rsidRPr="0073430A" w:rsidRDefault="00DE423C" w:rsidP="00DE423C">
      <w:pPr>
        <w:numPr>
          <w:ilvl w:val="12"/>
          <w:numId w:val="0"/>
        </w:numPr>
        <w:ind w:right="-2"/>
        <w:outlineLvl w:val="0"/>
        <w:rPr>
          <w:b/>
          <w:snapToGrid w:val="0"/>
          <w:szCs w:val="22"/>
          <w:lang w:eastAsia="en-US"/>
        </w:rPr>
      </w:pPr>
      <w:r>
        <w:rPr>
          <w:b/>
          <w:snapToGrid w:val="0"/>
          <w:szCs w:val="22"/>
          <w:lang w:eastAsia="en-US"/>
        </w:rPr>
        <w:t>MOXICEF</w:t>
      </w:r>
      <w:r w:rsidRPr="0073430A">
        <w:rPr>
          <w:b/>
          <w:snapToGrid w:val="0"/>
          <w:szCs w:val="22"/>
          <w:lang w:eastAsia="en-US"/>
        </w:rPr>
        <w:t xml:space="preserve"> sudėtyje yra natrio</w:t>
      </w:r>
    </w:p>
    <w:p w:rsidR="00DE423C" w:rsidRDefault="00DE423C" w:rsidP="00DE423C">
      <w:pPr>
        <w:spacing w:line="260" w:lineRule="exact"/>
        <w:rPr>
          <w:szCs w:val="22"/>
          <w:lang w:eastAsia="en-US"/>
        </w:rPr>
      </w:pPr>
      <w:r>
        <w:rPr>
          <w:szCs w:val="22"/>
          <w:lang w:eastAsia="en-US"/>
        </w:rPr>
        <w:t>MOXICEF 1</w:t>
      </w:r>
      <w:r w:rsidRPr="0073430A">
        <w:rPr>
          <w:szCs w:val="22"/>
          <w:lang w:eastAsia="en-US"/>
        </w:rPr>
        <w:t xml:space="preserve"> g </w:t>
      </w:r>
      <w:r>
        <w:rPr>
          <w:szCs w:val="22"/>
          <w:lang w:eastAsia="en-US"/>
        </w:rPr>
        <w:t>flakone esančioje dozėje</w:t>
      </w:r>
      <w:r w:rsidRPr="0073430A">
        <w:rPr>
          <w:szCs w:val="22"/>
          <w:lang w:eastAsia="en-US"/>
        </w:rPr>
        <w:t xml:space="preserve"> yra 48</w:t>
      </w:r>
      <w:r>
        <w:rPr>
          <w:szCs w:val="22"/>
          <w:lang w:eastAsia="en-US"/>
        </w:rPr>
        <w:t> </w:t>
      </w:r>
      <w:r w:rsidRPr="0073430A">
        <w:rPr>
          <w:szCs w:val="22"/>
          <w:lang w:eastAsia="en-US"/>
        </w:rPr>
        <w:t>mg</w:t>
      </w:r>
      <w:r>
        <w:rPr>
          <w:szCs w:val="22"/>
          <w:lang w:eastAsia="en-US"/>
        </w:rPr>
        <w:t xml:space="preserve"> (2,9</w:t>
      </w:r>
      <w:r w:rsidRPr="0073430A">
        <w:rPr>
          <w:szCs w:val="22"/>
          <w:lang w:eastAsia="en-US"/>
        </w:rPr>
        <w:t> mmol</w:t>
      </w:r>
      <w:r>
        <w:rPr>
          <w:szCs w:val="22"/>
          <w:lang w:eastAsia="en-US"/>
        </w:rPr>
        <w:t>)</w:t>
      </w:r>
      <w:r w:rsidRPr="0073430A">
        <w:rPr>
          <w:szCs w:val="22"/>
          <w:lang w:eastAsia="en-US"/>
        </w:rPr>
        <w:t xml:space="preserve"> natrio</w:t>
      </w:r>
      <w:r>
        <w:rPr>
          <w:szCs w:val="22"/>
          <w:lang w:eastAsia="en-US"/>
        </w:rPr>
        <w:t>. Tai</w:t>
      </w:r>
      <w:r w:rsidRPr="0073430A">
        <w:rPr>
          <w:szCs w:val="22"/>
          <w:lang w:eastAsia="en-US"/>
        </w:rPr>
        <w:t xml:space="preserve"> </w:t>
      </w:r>
      <w:r>
        <w:rPr>
          <w:szCs w:val="22"/>
          <w:lang w:eastAsia="en-US"/>
        </w:rPr>
        <w:t>atitinka 2,4 % maksimalaus natrio kiekio, rekomenduoto suaugusiesiems suvartoti per parą.</w:t>
      </w:r>
    </w:p>
    <w:p w:rsidR="00DE423C" w:rsidRDefault="00DE423C" w:rsidP="00DE423C">
      <w:pPr>
        <w:spacing w:line="260" w:lineRule="exact"/>
        <w:rPr>
          <w:szCs w:val="22"/>
          <w:lang w:eastAsia="en-US"/>
        </w:rPr>
      </w:pPr>
      <w:r w:rsidRPr="00996E37">
        <w:rPr>
          <w:szCs w:val="22"/>
          <w:highlight w:val="lightGray"/>
          <w:lang w:eastAsia="en-US"/>
        </w:rPr>
        <w:t>MOXICEF 2 g flakone esančioje dozėje yra 96 mg (4,18 mmol) natrio</w:t>
      </w:r>
      <w:r>
        <w:rPr>
          <w:szCs w:val="22"/>
          <w:highlight w:val="lightGray"/>
          <w:lang w:eastAsia="en-US"/>
        </w:rPr>
        <w:t xml:space="preserve">. Tai atitinka </w:t>
      </w:r>
      <w:r w:rsidRPr="00996E37">
        <w:rPr>
          <w:szCs w:val="22"/>
          <w:highlight w:val="lightGray"/>
          <w:lang w:eastAsia="en-US"/>
        </w:rPr>
        <w:t>4,8 % maksimalaus natrio kiekio</w:t>
      </w:r>
      <w:r>
        <w:rPr>
          <w:szCs w:val="22"/>
          <w:highlight w:val="lightGray"/>
          <w:lang w:eastAsia="en-US"/>
        </w:rPr>
        <w:t>,</w:t>
      </w:r>
      <w:r w:rsidRPr="00996E37">
        <w:rPr>
          <w:szCs w:val="22"/>
          <w:highlight w:val="lightGray"/>
          <w:lang w:eastAsia="en-US"/>
        </w:rPr>
        <w:t xml:space="preserve"> rekomenduoto suaugusiesiems suvartoti per parą.</w:t>
      </w: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0"/>
          <w:numId w:val="2"/>
        </w:numPr>
        <w:suppressAutoHyphens/>
        <w:spacing w:line="260" w:lineRule="exact"/>
        <w:ind w:right="-2"/>
        <w:rPr>
          <w:b/>
          <w:snapToGrid w:val="0"/>
          <w:szCs w:val="22"/>
          <w:lang w:eastAsia="en-US"/>
        </w:rPr>
      </w:pPr>
      <w:r w:rsidRPr="0073430A">
        <w:rPr>
          <w:b/>
          <w:snapToGrid w:val="0"/>
          <w:szCs w:val="22"/>
          <w:lang w:eastAsia="en-US"/>
        </w:rPr>
        <w:t xml:space="preserve">Kaip vartoti </w:t>
      </w:r>
      <w:r>
        <w:rPr>
          <w:b/>
          <w:snapToGrid w:val="0"/>
          <w:szCs w:val="22"/>
          <w:lang w:eastAsia="en-US"/>
        </w:rPr>
        <w:t>MOXICEF</w:t>
      </w:r>
    </w:p>
    <w:p w:rsidR="00DE423C" w:rsidRPr="0073430A" w:rsidRDefault="00DE423C" w:rsidP="00DE423C">
      <w:pPr>
        <w:numPr>
          <w:ilvl w:val="12"/>
          <w:numId w:val="0"/>
        </w:numPr>
        <w:ind w:right="-2"/>
        <w:rPr>
          <w:b/>
          <w:snapToGrid w:val="0"/>
          <w:szCs w:val="22"/>
          <w:lang w:eastAsia="en-US"/>
        </w:rPr>
      </w:pPr>
    </w:p>
    <w:p w:rsidR="00DE423C" w:rsidRDefault="00DE423C" w:rsidP="00DE423C">
      <w:pPr>
        <w:numPr>
          <w:ilvl w:val="12"/>
          <w:numId w:val="0"/>
        </w:numPr>
        <w:ind w:right="-2"/>
        <w:rPr>
          <w:noProof/>
          <w:szCs w:val="24"/>
        </w:rPr>
      </w:pPr>
      <w:r w:rsidRPr="00B34FA1">
        <w:rPr>
          <w:noProof/>
          <w:szCs w:val="24"/>
        </w:rPr>
        <w:t>Visada vartokite šį vaistą tiksliai kaip nurodė gydytojas.</w:t>
      </w:r>
      <w:r w:rsidRPr="00B34FA1">
        <w:rPr>
          <w:szCs w:val="24"/>
        </w:rPr>
        <w:t xml:space="preserve"> </w:t>
      </w:r>
      <w:r w:rsidRPr="00B34FA1">
        <w:rPr>
          <w:noProof/>
          <w:szCs w:val="24"/>
        </w:rPr>
        <w:t>Jeigu abejojate, kreipkitės į  gydytoją</w:t>
      </w:r>
      <w:r>
        <w:rPr>
          <w:noProof/>
          <w:szCs w:val="24"/>
        </w:rPr>
        <w:t xml:space="preserve"> </w:t>
      </w:r>
      <w:r w:rsidRPr="00B34FA1">
        <w:rPr>
          <w:noProof/>
          <w:szCs w:val="24"/>
        </w:rPr>
        <w:t>arba vaistininką.</w:t>
      </w:r>
    </w:p>
    <w:p w:rsidR="00DE423C" w:rsidRDefault="00DE423C" w:rsidP="00DE423C">
      <w:pPr>
        <w:numPr>
          <w:ilvl w:val="12"/>
          <w:numId w:val="0"/>
        </w:numPr>
        <w:ind w:right="-2"/>
        <w:rPr>
          <w:noProof/>
          <w:szCs w:val="24"/>
        </w:rPr>
      </w:pPr>
      <w:r>
        <w:rPr>
          <w:noProof/>
          <w:szCs w:val="24"/>
        </w:rPr>
        <w:t>Dozė, vartojimo metodas ir laiko interavlai tar injekcijų priklauso nuo dozavimo, ligos sukėlėjo jautrumo, infekcijos sunkumo ir paciento būklės.</w:t>
      </w:r>
    </w:p>
    <w:p w:rsidR="00DE423C" w:rsidRDefault="00DE423C" w:rsidP="00DE423C">
      <w:pPr>
        <w:numPr>
          <w:ilvl w:val="12"/>
          <w:numId w:val="0"/>
        </w:numPr>
        <w:ind w:right="-2"/>
        <w:rPr>
          <w:noProof/>
          <w:szCs w:val="24"/>
        </w:rPr>
      </w:pPr>
    </w:p>
    <w:p w:rsidR="00DE423C" w:rsidRDefault="00DE423C" w:rsidP="00DE423C">
      <w:pPr>
        <w:numPr>
          <w:ilvl w:val="12"/>
          <w:numId w:val="0"/>
        </w:numPr>
        <w:ind w:right="-2"/>
        <w:rPr>
          <w:noProof/>
          <w:szCs w:val="24"/>
        </w:rPr>
      </w:pPr>
      <w:r>
        <w:rPr>
          <w:noProof/>
          <w:szCs w:val="24"/>
        </w:rPr>
        <w:t>Jeigu gydytojo nenurodyta kitaip, įprasta dozė yra:</w:t>
      </w:r>
    </w:p>
    <w:p w:rsidR="00DE423C" w:rsidRDefault="00DE423C" w:rsidP="00DE423C">
      <w:pPr>
        <w:numPr>
          <w:ilvl w:val="12"/>
          <w:numId w:val="0"/>
        </w:numPr>
        <w:ind w:right="-2"/>
        <w:rPr>
          <w:snapToGrid w:val="0"/>
          <w:szCs w:val="22"/>
          <w:lang w:eastAsia="en-US"/>
        </w:rPr>
      </w:pPr>
      <w:r w:rsidRPr="00C648D7">
        <w:rPr>
          <w:b/>
          <w:snapToGrid w:val="0"/>
          <w:szCs w:val="22"/>
          <w:lang w:eastAsia="en-US"/>
        </w:rPr>
        <w:t>Suaugusiesiems ir vyresniems negu 12 metų vaikams</w:t>
      </w:r>
      <w:r w:rsidRPr="00C648D7">
        <w:rPr>
          <w:snapToGrid w:val="0"/>
          <w:szCs w:val="22"/>
          <w:lang w:eastAsia="en-US"/>
        </w:rPr>
        <w:t xml:space="preserve"> paprastai </w:t>
      </w:r>
      <w:r>
        <w:rPr>
          <w:snapToGrid w:val="0"/>
          <w:szCs w:val="22"/>
          <w:lang w:eastAsia="en-US"/>
        </w:rPr>
        <w:t>vartojama</w:t>
      </w:r>
      <w:r w:rsidRPr="00C648D7">
        <w:rPr>
          <w:snapToGrid w:val="0"/>
          <w:szCs w:val="22"/>
          <w:lang w:eastAsia="en-US"/>
        </w:rPr>
        <w:t xml:space="preserve"> </w:t>
      </w:r>
      <w:r>
        <w:rPr>
          <w:snapToGrid w:val="0"/>
          <w:szCs w:val="22"/>
          <w:lang w:eastAsia="en-US"/>
        </w:rPr>
        <w:t xml:space="preserve">po </w:t>
      </w:r>
      <w:r w:rsidRPr="00C648D7">
        <w:rPr>
          <w:snapToGrid w:val="0"/>
          <w:szCs w:val="22"/>
          <w:lang w:eastAsia="en-US"/>
        </w:rPr>
        <w:t>1 -</w:t>
      </w:r>
      <w:r>
        <w:rPr>
          <w:snapToGrid w:val="0"/>
          <w:szCs w:val="22"/>
          <w:lang w:eastAsia="en-US"/>
        </w:rPr>
        <w:t xml:space="preserve"> </w:t>
      </w:r>
      <w:r w:rsidRPr="00C648D7">
        <w:rPr>
          <w:snapToGrid w:val="0"/>
          <w:szCs w:val="22"/>
          <w:lang w:eastAsia="en-US"/>
        </w:rPr>
        <w:t xml:space="preserve">2 g cefotaksimo kas </w:t>
      </w:r>
      <w:r>
        <w:rPr>
          <w:snapToGrid w:val="0"/>
          <w:szCs w:val="22"/>
          <w:lang w:eastAsia="en-US"/>
        </w:rPr>
        <w:t>12</w:t>
      </w:r>
      <w:r w:rsidRPr="00C648D7">
        <w:rPr>
          <w:snapToGrid w:val="0"/>
          <w:szCs w:val="22"/>
          <w:lang w:eastAsia="en-US"/>
        </w:rPr>
        <w:t>valandų</w:t>
      </w:r>
      <w:r>
        <w:rPr>
          <w:snapToGrid w:val="0"/>
          <w:szCs w:val="22"/>
          <w:lang w:eastAsia="en-US"/>
        </w:rPr>
        <w:t>.</w:t>
      </w:r>
      <w:r w:rsidRPr="00C648D7">
        <w:rPr>
          <w:snapToGrid w:val="0"/>
          <w:szCs w:val="22"/>
          <w:lang w:eastAsia="en-US"/>
        </w:rPr>
        <w:t xml:space="preserve"> Sunkiais atvejais paros doz</w:t>
      </w:r>
      <w:r>
        <w:rPr>
          <w:snapToGrid w:val="0"/>
          <w:szCs w:val="22"/>
          <w:lang w:eastAsia="en-US"/>
        </w:rPr>
        <w:t>ę</w:t>
      </w:r>
      <w:r w:rsidRPr="00C648D7">
        <w:rPr>
          <w:snapToGrid w:val="0"/>
          <w:szCs w:val="22"/>
          <w:lang w:eastAsia="en-US"/>
        </w:rPr>
        <w:t xml:space="preserve"> gali</w:t>
      </w:r>
      <w:r>
        <w:rPr>
          <w:snapToGrid w:val="0"/>
          <w:szCs w:val="22"/>
          <w:lang w:eastAsia="en-US"/>
        </w:rPr>
        <w:t>ma padidinti</w:t>
      </w:r>
      <w:r w:rsidRPr="00C648D7">
        <w:rPr>
          <w:snapToGrid w:val="0"/>
          <w:szCs w:val="22"/>
          <w:lang w:eastAsia="en-US"/>
        </w:rPr>
        <w:t xml:space="preserve"> iki 12 g</w:t>
      </w:r>
      <w:r>
        <w:rPr>
          <w:snapToGrid w:val="0"/>
          <w:szCs w:val="22"/>
          <w:lang w:eastAsia="en-US"/>
        </w:rPr>
        <w:t xml:space="preserve"> cefotaksimo</w:t>
      </w:r>
      <w:r w:rsidRPr="00C648D7">
        <w:rPr>
          <w:snapToGrid w:val="0"/>
          <w:szCs w:val="22"/>
          <w:lang w:eastAsia="en-US"/>
        </w:rPr>
        <w:t>. Ne didesnę kaip 6 g paros dozę galima padalyti į mažiausiai 2 vienkartines dozes ir leisti kas 12 valandų. Didesnę paros dozę reikia padalyti į mažiausiai 3 arba 4 vienkartines dozes ir leisti kas 8 arba 6 valandas.</w:t>
      </w:r>
    </w:p>
    <w:p w:rsidR="00DE423C" w:rsidRDefault="00DE423C" w:rsidP="00DE423C">
      <w:pPr>
        <w:numPr>
          <w:ilvl w:val="12"/>
          <w:numId w:val="0"/>
        </w:numPr>
        <w:ind w:right="-2"/>
        <w:rPr>
          <w:szCs w:val="22"/>
          <w:lang w:eastAsia="en-US"/>
        </w:rPr>
      </w:pPr>
    </w:p>
    <w:p w:rsidR="00DE423C" w:rsidRDefault="00DE423C" w:rsidP="00DE423C">
      <w:pPr>
        <w:numPr>
          <w:ilvl w:val="12"/>
          <w:numId w:val="0"/>
        </w:numPr>
        <w:ind w:right="-2"/>
        <w:rPr>
          <w:szCs w:val="22"/>
          <w:lang w:eastAsia="en-US"/>
        </w:rPr>
      </w:pPr>
      <w:r>
        <w:rPr>
          <w:szCs w:val="22"/>
          <w:lang w:eastAsia="en-US"/>
        </w:rPr>
        <w:t>Parenkant dozavimo režimą galima atsižvelgti į toliau pateiktą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1292"/>
        <w:gridCol w:w="1877"/>
        <w:gridCol w:w="1341"/>
      </w:tblGrid>
      <w:tr w:rsidR="00DE423C" w:rsidRPr="003B5178" w:rsidTr="00D41BF3">
        <w:trPr>
          <w:tblHeader/>
        </w:trPr>
        <w:tc>
          <w:tcPr>
            <w:tcW w:w="4698"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Infekcijos rūšis</w:t>
            </w:r>
          </w:p>
        </w:tc>
        <w:tc>
          <w:tcPr>
            <w:tcW w:w="1292"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Vienkartinė cefotaksimo dozė</w:t>
            </w:r>
          </w:p>
        </w:tc>
        <w:tc>
          <w:tcPr>
            <w:tcW w:w="1912"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Dozavimo intervalas</w:t>
            </w:r>
          </w:p>
        </w:tc>
        <w:tc>
          <w:tcPr>
            <w:tcW w:w="1341"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Cefotaksimo paros dozė</w:t>
            </w:r>
          </w:p>
        </w:tc>
      </w:tr>
      <w:tr w:rsidR="00DE423C" w:rsidRPr="003B5178" w:rsidTr="00D41BF3">
        <w:tc>
          <w:tcPr>
            <w:tcW w:w="4698"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 xml:space="preserve">Tipiškos infekcijos, kur jautrus sukėlėjas nustatytas arba įtariamas </w:t>
            </w:r>
          </w:p>
        </w:tc>
        <w:tc>
          <w:tcPr>
            <w:tcW w:w="1292"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1 g</w:t>
            </w:r>
          </w:p>
        </w:tc>
        <w:tc>
          <w:tcPr>
            <w:tcW w:w="1912"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kas 12 valandų</w:t>
            </w:r>
          </w:p>
        </w:tc>
        <w:tc>
          <w:tcPr>
            <w:tcW w:w="1341"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2 g</w:t>
            </w:r>
          </w:p>
        </w:tc>
      </w:tr>
      <w:tr w:rsidR="00DE423C" w:rsidRPr="003B5178" w:rsidTr="00D41BF3">
        <w:tc>
          <w:tcPr>
            <w:tcW w:w="4698"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 xml:space="preserve">Infekcijos, kur nustatyti arba įtariami skirtingi labai jautrūs arba vidutinio jautrumo sukėlėjai </w:t>
            </w:r>
          </w:p>
        </w:tc>
        <w:tc>
          <w:tcPr>
            <w:tcW w:w="1292"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2 g</w:t>
            </w:r>
          </w:p>
        </w:tc>
        <w:tc>
          <w:tcPr>
            <w:tcW w:w="1912"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12 valandų</w:t>
            </w:r>
          </w:p>
        </w:tc>
        <w:tc>
          <w:tcPr>
            <w:tcW w:w="1341"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4 g</w:t>
            </w:r>
          </w:p>
        </w:tc>
      </w:tr>
      <w:tr w:rsidR="00DE423C" w:rsidRPr="003B5178" w:rsidTr="00D41BF3">
        <w:tc>
          <w:tcPr>
            <w:tcW w:w="4698"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 xml:space="preserve">Neaiškios bakterinės ligos, kurių neįmanoma lokalizuoti, ir pacientui pavojingomis situacijomis. </w:t>
            </w:r>
          </w:p>
        </w:tc>
        <w:tc>
          <w:tcPr>
            <w:tcW w:w="1292" w:type="dxa"/>
            <w:shd w:val="clear" w:color="auto" w:fill="auto"/>
          </w:tcPr>
          <w:p w:rsidR="00DE423C" w:rsidRPr="000F6D84" w:rsidRDefault="00DE423C" w:rsidP="00D41BF3">
            <w:pPr>
              <w:tabs>
                <w:tab w:val="left" w:pos="567"/>
              </w:tabs>
              <w:rPr>
                <w:rFonts w:eastAsia="SimSun"/>
                <w:szCs w:val="22"/>
                <w:lang w:eastAsia="en-US"/>
              </w:rPr>
            </w:pPr>
            <w:r w:rsidRPr="000F6D84">
              <w:rPr>
                <w:rFonts w:eastAsia="SimSun"/>
                <w:szCs w:val="22"/>
                <w:lang w:eastAsia="en-US"/>
              </w:rPr>
              <w:t>2-3 g</w:t>
            </w:r>
          </w:p>
        </w:tc>
        <w:tc>
          <w:tcPr>
            <w:tcW w:w="1912" w:type="dxa"/>
            <w:shd w:val="clear" w:color="auto" w:fill="auto"/>
          </w:tcPr>
          <w:p w:rsidR="00DE423C" w:rsidRPr="00417275" w:rsidRDefault="00DE423C" w:rsidP="00D41BF3">
            <w:pPr>
              <w:tabs>
                <w:tab w:val="left" w:pos="567"/>
              </w:tabs>
              <w:rPr>
                <w:rFonts w:eastAsia="SimSun"/>
                <w:szCs w:val="22"/>
                <w:lang w:eastAsia="en-US"/>
              </w:rPr>
            </w:pPr>
            <w:r w:rsidRPr="00417275">
              <w:rPr>
                <w:rFonts w:eastAsia="SimSun"/>
                <w:szCs w:val="22"/>
                <w:lang w:eastAsia="en-US"/>
              </w:rPr>
              <w:t>8 valandos</w:t>
            </w:r>
          </w:p>
          <w:p w:rsidR="00DE423C" w:rsidRPr="000F6D84" w:rsidRDefault="00DE423C" w:rsidP="00D41BF3">
            <w:pPr>
              <w:tabs>
                <w:tab w:val="left" w:pos="567"/>
              </w:tabs>
              <w:rPr>
                <w:rFonts w:eastAsia="SimSun"/>
                <w:szCs w:val="22"/>
                <w:lang w:eastAsia="en-US"/>
              </w:rPr>
            </w:pPr>
            <w:r w:rsidRPr="000F6D84">
              <w:rPr>
                <w:rFonts w:eastAsia="SimSun"/>
                <w:szCs w:val="22"/>
                <w:lang w:eastAsia="en-US"/>
              </w:rPr>
              <w:t>iki 6 valandų</w:t>
            </w:r>
          </w:p>
          <w:p w:rsidR="00DE423C" w:rsidRPr="000F6D84" w:rsidRDefault="00DE423C" w:rsidP="00D41BF3">
            <w:pPr>
              <w:tabs>
                <w:tab w:val="left" w:pos="567"/>
              </w:tabs>
              <w:rPr>
                <w:rFonts w:eastAsia="SimSun"/>
                <w:szCs w:val="22"/>
                <w:lang w:eastAsia="en-US"/>
              </w:rPr>
            </w:pPr>
            <w:r w:rsidRPr="000F6D84">
              <w:rPr>
                <w:rFonts w:eastAsia="SimSun"/>
                <w:szCs w:val="22"/>
                <w:lang w:eastAsia="en-US"/>
              </w:rPr>
              <w:t>iki 4 valandų</w:t>
            </w:r>
          </w:p>
        </w:tc>
        <w:tc>
          <w:tcPr>
            <w:tcW w:w="1341" w:type="dxa"/>
            <w:shd w:val="clear" w:color="auto" w:fill="auto"/>
          </w:tcPr>
          <w:p w:rsidR="00DE423C" w:rsidRPr="00417275" w:rsidRDefault="00DE423C" w:rsidP="00D41BF3">
            <w:pPr>
              <w:tabs>
                <w:tab w:val="left" w:pos="567"/>
              </w:tabs>
              <w:rPr>
                <w:rFonts w:eastAsia="SimSun"/>
                <w:szCs w:val="22"/>
                <w:lang w:eastAsia="en-US"/>
              </w:rPr>
            </w:pPr>
            <w:r w:rsidRPr="00417275">
              <w:rPr>
                <w:rFonts w:eastAsia="SimSun"/>
                <w:szCs w:val="22"/>
                <w:lang w:eastAsia="en-US"/>
              </w:rPr>
              <w:t>6 g</w:t>
            </w:r>
          </w:p>
          <w:p w:rsidR="00DE423C" w:rsidRPr="000F6D84" w:rsidRDefault="00DE423C" w:rsidP="00D41BF3">
            <w:pPr>
              <w:tabs>
                <w:tab w:val="left" w:pos="567"/>
              </w:tabs>
              <w:rPr>
                <w:rFonts w:eastAsia="SimSun"/>
                <w:szCs w:val="22"/>
                <w:lang w:eastAsia="en-US"/>
              </w:rPr>
            </w:pPr>
            <w:r w:rsidRPr="000F6D84">
              <w:rPr>
                <w:rFonts w:eastAsia="SimSun"/>
                <w:szCs w:val="22"/>
                <w:lang w:eastAsia="en-US"/>
              </w:rPr>
              <w:t>iki 8 g</w:t>
            </w:r>
          </w:p>
          <w:p w:rsidR="00DE423C" w:rsidRPr="000F6D84" w:rsidRDefault="00DE423C" w:rsidP="00D41BF3">
            <w:pPr>
              <w:tabs>
                <w:tab w:val="left" w:pos="567"/>
              </w:tabs>
              <w:rPr>
                <w:rFonts w:eastAsia="SimSun"/>
                <w:szCs w:val="22"/>
                <w:lang w:eastAsia="en-US"/>
              </w:rPr>
            </w:pPr>
            <w:r w:rsidRPr="000F6D84">
              <w:rPr>
                <w:rFonts w:eastAsia="SimSun"/>
                <w:szCs w:val="22"/>
                <w:lang w:eastAsia="en-US"/>
              </w:rPr>
              <w:t>iki 12 g</w:t>
            </w:r>
          </w:p>
        </w:tc>
      </w:tr>
    </w:tbl>
    <w:p w:rsidR="00DE423C" w:rsidRDefault="00DE423C" w:rsidP="00DE423C">
      <w:pPr>
        <w:numPr>
          <w:ilvl w:val="12"/>
          <w:numId w:val="0"/>
        </w:numPr>
        <w:ind w:right="-2"/>
        <w:rPr>
          <w:szCs w:val="22"/>
          <w:lang w:eastAsia="en-US"/>
        </w:rPr>
      </w:pPr>
    </w:p>
    <w:p w:rsidR="00DE423C" w:rsidRPr="0073430A" w:rsidRDefault="00DE423C" w:rsidP="00DE423C">
      <w:pPr>
        <w:numPr>
          <w:ilvl w:val="12"/>
          <w:numId w:val="0"/>
        </w:numPr>
        <w:ind w:right="-2"/>
        <w:rPr>
          <w:szCs w:val="22"/>
          <w:lang w:eastAsia="en-US"/>
        </w:rPr>
      </w:pPr>
      <w:r>
        <w:rPr>
          <w:szCs w:val="22"/>
          <w:lang w:eastAsia="en-US"/>
        </w:rPr>
        <w:t xml:space="preserve">Suaugusiųjų </w:t>
      </w:r>
      <w:r w:rsidRPr="00334D4A">
        <w:rPr>
          <w:b/>
          <w:szCs w:val="22"/>
          <w:lang w:eastAsia="en-US"/>
        </w:rPr>
        <w:t>gonorėjai</w:t>
      </w:r>
      <w:r w:rsidRPr="0073430A">
        <w:rPr>
          <w:szCs w:val="22"/>
          <w:lang w:eastAsia="en-US"/>
        </w:rPr>
        <w:t xml:space="preserve"> gydyti </w:t>
      </w:r>
      <w:r>
        <w:rPr>
          <w:szCs w:val="22"/>
          <w:lang w:eastAsia="en-US"/>
        </w:rPr>
        <w:t>į raumenis suleidžiama</w:t>
      </w:r>
      <w:r w:rsidRPr="0073430A">
        <w:rPr>
          <w:szCs w:val="22"/>
          <w:lang w:eastAsia="en-US"/>
        </w:rPr>
        <w:t xml:space="preserve"> </w:t>
      </w:r>
      <w:r>
        <w:rPr>
          <w:szCs w:val="22"/>
          <w:lang w:eastAsia="en-US"/>
        </w:rPr>
        <w:t xml:space="preserve">viena </w:t>
      </w:r>
      <w:r w:rsidRPr="0073430A">
        <w:rPr>
          <w:szCs w:val="22"/>
          <w:lang w:eastAsia="en-US"/>
        </w:rPr>
        <w:t xml:space="preserve">0,5 g cefotaksimo </w:t>
      </w:r>
      <w:r>
        <w:rPr>
          <w:szCs w:val="22"/>
          <w:lang w:eastAsia="en-US"/>
        </w:rPr>
        <w:t>dozė</w:t>
      </w:r>
      <w:r w:rsidRPr="0073430A">
        <w:rPr>
          <w:szCs w:val="22"/>
          <w:lang w:eastAsia="en-US"/>
        </w:rPr>
        <w:t xml:space="preserve">. </w:t>
      </w:r>
      <w:r>
        <w:rPr>
          <w:szCs w:val="22"/>
          <w:lang w:eastAsia="en-US"/>
        </w:rPr>
        <w:t>Mažiau jautrių ligos sukėlėjų atveju dozę gali reikėti padidinti</w:t>
      </w:r>
      <w:r w:rsidRPr="0073430A">
        <w:rPr>
          <w:szCs w:val="22"/>
          <w:lang w:eastAsia="en-US"/>
        </w:rPr>
        <w:t xml:space="preserve">. Prieš pradedant gydymą, reikia </w:t>
      </w:r>
      <w:r>
        <w:rPr>
          <w:szCs w:val="22"/>
          <w:lang w:eastAsia="en-US"/>
        </w:rPr>
        <w:t>patikrinti, ar nėra</w:t>
      </w:r>
      <w:r w:rsidRPr="0073430A">
        <w:rPr>
          <w:szCs w:val="22"/>
          <w:lang w:eastAsia="en-US"/>
        </w:rPr>
        <w:t xml:space="preserve"> sifilio.</w:t>
      </w:r>
    </w:p>
    <w:p w:rsidR="00DE423C" w:rsidRDefault="00DE423C" w:rsidP="00DE423C">
      <w:pPr>
        <w:numPr>
          <w:ilvl w:val="12"/>
          <w:numId w:val="0"/>
        </w:numPr>
        <w:ind w:right="-2"/>
        <w:rPr>
          <w:szCs w:val="22"/>
          <w:lang w:eastAsia="en-US"/>
        </w:rPr>
      </w:pPr>
    </w:p>
    <w:p w:rsidR="00DE423C" w:rsidRPr="0073430A" w:rsidRDefault="00DE423C" w:rsidP="00DE423C">
      <w:pPr>
        <w:tabs>
          <w:tab w:val="left" w:pos="567"/>
        </w:tabs>
        <w:autoSpaceDE w:val="0"/>
        <w:autoSpaceDN w:val="0"/>
        <w:adjustRightInd w:val="0"/>
        <w:rPr>
          <w:bCs/>
          <w:szCs w:val="22"/>
          <w:lang w:eastAsia="en-US"/>
        </w:rPr>
      </w:pPr>
      <w:r w:rsidRPr="00334D4A">
        <w:rPr>
          <w:b/>
          <w:bCs/>
          <w:szCs w:val="22"/>
          <w:lang w:eastAsia="en-US"/>
        </w:rPr>
        <w:t>Perioperacinei infekcijos profilaktikai</w:t>
      </w:r>
      <w:r>
        <w:rPr>
          <w:bCs/>
          <w:szCs w:val="22"/>
          <w:lang w:eastAsia="en-US"/>
        </w:rPr>
        <w:t xml:space="preserve"> rekomenduojama suleisti</w:t>
      </w:r>
      <w:r w:rsidRPr="0073430A">
        <w:rPr>
          <w:bCs/>
          <w:szCs w:val="22"/>
          <w:lang w:eastAsia="en-US"/>
        </w:rPr>
        <w:t xml:space="preserve"> 1–2 g </w:t>
      </w:r>
      <w:r>
        <w:rPr>
          <w:bCs/>
          <w:szCs w:val="22"/>
          <w:lang w:eastAsia="en-US"/>
        </w:rPr>
        <w:t>cefuroksimo</w:t>
      </w:r>
      <w:r w:rsidRPr="0073430A">
        <w:rPr>
          <w:bCs/>
          <w:szCs w:val="22"/>
          <w:lang w:eastAsia="en-US"/>
        </w:rPr>
        <w:t xml:space="preserve"> iki operacijos pradžios likus </w:t>
      </w:r>
      <w:r>
        <w:rPr>
          <w:bCs/>
          <w:szCs w:val="22"/>
          <w:lang w:eastAsia="en-US"/>
        </w:rPr>
        <w:t>30 -60 minučių</w:t>
      </w:r>
      <w:r w:rsidRPr="0073430A">
        <w:rPr>
          <w:bCs/>
          <w:szCs w:val="22"/>
          <w:lang w:eastAsia="en-US"/>
        </w:rPr>
        <w:t xml:space="preserve">. </w:t>
      </w:r>
      <w:r>
        <w:rPr>
          <w:bCs/>
          <w:szCs w:val="22"/>
          <w:lang w:eastAsia="en-US"/>
        </w:rPr>
        <w:t>Atsižvelgiant į infekcijos riziką gali būti pakartota tokia pati dozė</w:t>
      </w:r>
      <w:r w:rsidRPr="0073430A">
        <w:rPr>
          <w:bCs/>
          <w:szCs w:val="22"/>
          <w:lang w:eastAsia="en-US"/>
        </w:rPr>
        <w:t>.</w:t>
      </w:r>
    </w:p>
    <w:p w:rsidR="00DE423C" w:rsidRDefault="00DE423C" w:rsidP="00DE423C">
      <w:pPr>
        <w:numPr>
          <w:ilvl w:val="12"/>
          <w:numId w:val="0"/>
        </w:numPr>
        <w:ind w:right="-2"/>
        <w:rPr>
          <w:szCs w:val="22"/>
          <w:lang w:eastAsia="en-US"/>
        </w:rPr>
      </w:pPr>
    </w:p>
    <w:p w:rsidR="00DE423C" w:rsidRDefault="00DE423C" w:rsidP="00DE423C">
      <w:pPr>
        <w:numPr>
          <w:ilvl w:val="12"/>
          <w:numId w:val="0"/>
        </w:numPr>
        <w:ind w:right="-2"/>
        <w:rPr>
          <w:szCs w:val="22"/>
          <w:lang w:eastAsia="en-US"/>
        </w:rPr>
      </w:pPr>
      <w:r w:rsidRPr="00334D4A">
        <w:rPr>
          <w:b/>
          <w:szCs w:val="22"/>
          <w:lang w:eastAsia="en-US"/>
        </w:rPr>
        <w:t>Laimo ligos atveju</w:t>
      </w:r>
      <w:r>
        <w:rPr>
          <w:szCs w:val="22"/>
          <w:lang w:eastAsia="en-US"/>
        </w:rPr>
        <w:t xml:space="preserve"> 6 g cefotaksimo paros dozę reikia vartoti 14 - 21 parą. Paros dozė paprastai padalijama į tris dozes (po 2 g cefotaksimo tris kartus per parą), tačiau kai kuriais atvejais ji buvo suvartojama per du kartus (po 3 g cefotaksimo du kartus per parą). Dozavimo rekomendacijos yra pagrįstos ne kontroliuojamais tyrimais, bet individualių atvejų stebėjimais. </w:t>
      </w:r>
    </w:p>
    <w:p w:rsidR="00DE423C" w:rsidRDefault="00DE423C" w:rsidP="00DE423C">
      <w:pPr>
        <w:numPr>
          <w:ilvl w:val="12"/>
          <w:numId w:val="0"/>
        </w:numPr>
        <w:ind w:right="-2"/>
        <w:rPr>
          <w:szCs w:val="22"/>
          <w:lang w:eastAsia="en-US"/>
        </w:rPr>
      </w:pPr>
    </w:p>
    <w:p w:rsidR="00DE423C" w:rsidRPr="00334D4A" w:rsidRDefault="00DE423C" w:rsidP="00DE423C">
      <w:pPr>
        <w:numPr>
          <w:ilvl w:val="12"/>
          <w:numId w:val="0"/>
        </w:numPr>
        <w:ind w:right="-2"/>
        <w:rPr>
          <w:b/>
          <w:szCs w:val="22"/>
          <w:lang w:eastAsia="en-US"/>
        </w:rPr>
      </w:pPr>
      <w:r w:rsidRPr="00334D4A">
        <w:rPr>
          <w:b/>
          <w:szCs w:val="22"/>
          <w:lang w:eastAsia="en-US"/>
        </w:rPr>
        <w:t>Kombinuotas gydymas</w:t>
      </w:r>
    </w:p>
    <w:p w:rsidR="00DE423C" w:rsidRDefault="00DE423C" w:rsidP="00DE423C">
      <w:pPr>
        <w:numPr>
          <w:ilvl w:val="12"/>
          <w:numId w:val="0"/>
        </w:numPr>
        <w:ind w:right="-2"/>
        <w:rPr>
          <w:szCs w:val="22"/>
          <w:lang w:eastAsia="en-US"/>
        </w:rPr>
      </w:pPr>
      <w:r>
        <w:rPr>
          <w:szCs w:val="22"/>
          <w:lang w:eastAsia="en-US"/>
        </w:rPr>
        <w:t>Kombinuotas gydymas cefotaksimu ir aminoglikozidais be antibiotikogramos yra rekomenduojamas sunkių, gyvybei pavojingų infekcijų atveju. Vartojant derinyje su aminoglikozidais būtina sekti inkstų funkciją.</w:t>
      </w:r>
    </w:p>
    <w:p w:rsidR="00DE423C" w:rsidRDefault="00DE423C" w:rsidP="00DE423C">
      <w:pPr>
        <w:numPr>
          <w:ilvl w:val="12"/>
          <w:numId w:val="0"/>
        </w:numPr>
        <w:ind w:right="-2"/>
        <w:rPr>
          <w:szCs w:val="22"/>
          <w:lang w:eastAsia="en-US"/>
        </w:rPr>
      </w:pPr>
    </w:p>
    <w:p w:rsidR="00DE423C" w:rsidRDefault="00DE423C" w:rsidP="00DE423C">
      <w:pPr>
        <w:numPr>
          <w:ilvl w:val="12"/>
          <w:numId w:val="0"/>
        </w:numPr>
        <w:ind w:right="-2"/>
        <w:rPr>
          <w:szCs w:val="22"/>
          <w:lang w:eastAsia="en-US"/>
        </w:rPr>
      </w:pPr>
      <w:r w:rsidRPr="000D01F7">
        <w:rPr>
          <w:i/>
          <w:szCs w:val="22"/>
          <w:lang w:eastAsia="en-US"/>
        </w:rPr>
        <w:t>Pseudomonas aeruginosa</w:t>
      </w:r>
      <w:r>
        <w:rPr>
          <w:szCs w:val="22"/>
          <w:lang w:eastAsia="en-US"/>
        </w:rPr>
        <w:t xml:space="preserve"> sukeltų infekcijų atvejais gali būti reikalingas gydymas derinyje su kitu veiksmingu prieš </w:t>
      </w:r>
      <w:r w:rsidRPr="000D01F7">
        <w:rPr>
          <w:i/>
          <w:szCs w:val="22"/>
          <w:lang w:eastAsia="en-US"/>
        </w:rPr>
        <w:t>Pseudomonas aeruginosa</w:t>
      </w:r>
      <w:r w:rsidRPr="000D01F7">
        <w:rPr>
          <w:szCs w:val="22"/>
          <w:lang w:eastAsia="en-US"/>
        </w:rPr>
        <w:t xml:space="preserve"> </w:t>
      </w:r>
      <w:r>
        <w:rPr>
          <w:szCs w:val="22"/>
          <w:lang w:eastAsia="en-US"/>
        </w:rPr>
        <w:t>antibiotiku.</w:t>
      </w:r>
    </w:p>
    <w:p w:rsidR="00DE423C" w:rsidRPr="0073430A" w:rsidRDefault="00DE423C" w:rsidP="00DE423C">
      <w:pPr>
        <w:numPr>
          <w:ilvl w:val="12"/>
          <w:numId w:val="0"/>
        </w:numPr>
        <w:ind w:right="-2"/>
        <w:rPr>
          <w:szCs w:val="22"/>
          <w:lang w:eastAsia="en-US"/>
        </w:rPr>
      </w:pPr>
      <w:r>
        <w:rPr>
          <w:szCs w:val="22"/>
          <w:lang w:eastAsia="en-US"/>
        </w:rPr>
        <w:t>Infekcijos profilaktikai pacientams, kurių nusilpusi imuninė sistema, gali būti reikalingas gydymas derinyje su kitais tinkamais antibiotikais.</w:t>
      </w:r>
    </w:p>
    <w:p w:rsidR="00DE423C" w:rsidRDefault="00DE423C" w:rsidP="00DE423C">
      <w:pPr>
        <w:numPr>
          <w:ilvl w:val="12"/>
          <w:numId w:val="0"/>
        </w:numPr>
        <w:ind w:right="-2"/>
        <w:rPr>
          <w:szCs w:val="22"/>
          <w:u w:val="single"/>
          <w:lang w:eastAsia="en-US"/>
        </w:rPr>
      </w:pPr>
    </w:p>
    <w:p w:rsidR="00DE423C" w:rsidRDefault="00DE423C" w:rsidP="00DE423C">
      <w:pPr>
        <w:numPr>
          <w:ilvl w:val="12"/>
          <w:numId w:val="0"/>
        </w:numPr>
        <w:ind w:right="-2"/>
        <w:rPr>
          <w:szCs w:val="22"/>
          <w:lang w:eastAsia="en-US"/>
        </w:rPr>
      </w:pPr>
      <w:r w:rsidRPr="00E50E89">
        <w:rPr>
          <w:b/>
          <w:szCs w:val="22"/>
          <w:lang w:eastAsia="en-US"/>
        </w:rPr>
        <w:t>Kūdikiams ir vaikams iki 12 metų amžiaus</w:t>
      </w:r>
      <w:r w:rsidRPr="00E50E89">
        <w:rPr>
          <w:szCs w:val="22"/>
          <w:lang w:eastAsia="en-US"/>
        </w:rPr>
        <w:t xml:space="preserve"> </w:t>
      </w:r>
      <w:r>
        <w:rPr>
          <w:szCs w:val="22"/>
          <w:lang w:eastAsia="en-US"/>
        </w:rPr>
        <w:t xml:space="preserve">duodama nuo 50 m iki 100 mg (iki 150 mg) cefotaksimo </w:t>
      </w:r>
      <w:r w:rsidRPr="0073430A">
        <w:rPr>
          <w:szCs w:val="22"/>
          <w:lang w:eastAsia="en-US"/>
        </w:rPr>
        <w:t xml:space="preserve">kilogramui kūno svorio </w:t>
      </w:r>
      <w:r>
        <w:rPr>
          <w:szCs w:val="22"/>
          <w:lang w:eastAsia="en-US"/>
        </w:rPr>
        <w:t>per parą, ją padalijant į lygias vienkartines dozes, suleidžiamas 12 (6)</w:t>
      </w:r>
      <w:r w:rsidRPr="0073430A">
        <w:rPr>
          <w:szCs w:val="22"/>
          <w:lang w:eastAsia="en-US"/>
        </w:rPr>
        <w:t xml:space="preserve"> valandų</w:t>
      </w:r>
      <w:r>
        <w:rPr>
          <w:szCs w:val="22"/>
          <w:lang w:eastAsia="en-US"/>
        </w:rPr>
        <w:t xml:space="preserve"> intervalais</w:t>
      </w:r>
      <w:r w:rsidRPr="0073430A">
        <w:rPr>
          <w:szCs w:val="22"/>
          <w:lang w:eastAsia="en-US"/>
        </w:rPr>
        <w:t>.</w:t>
      </w:r>
      <w:r>
        <w:rPr>
          <w:szCs w:val="22"/>
          <w:lang w:eastAsia="en-US"/>
        </w:rPr>
        <w:t xml:space="preserve"> Individualiais atvejais, ypač gyvybei pavojingose situacijose, </w:t>
      </w:r>
      <w:r w:rsidRPr="0073430A">
        <w:rPr>
          <w:szCs w:val="22"/>
          <w:lang w:eastAsia="en-US"/>
        </w:rPr>
        <w:t>dozę galima padidinti iki 200 mg</w:t>
      </w:r>
      <w:r>
        <w:rPr>
          <w:szCs w:val="22"/>
          <w:lang w:eastAsia="en-US"/>
        </w:rPr>
        <w:t xml:space="preserve"> cefotaksimo</w:t>
      </w:r>
      <w:r w:rsidRPr="0073430A">
        <w:rPr>
          <w:szCs w:val="22"/>
          <w:lang w:eastAsia="en-US"/>
        </w:rPr>
        <w:t xml:space="preserve"> kilogramui kūno svorio per parą</w:t>
      </w:r>
      <w:r>
        <w:rPr>
          <w:szCs w:val="22"/>
          <w:lang w:eastAsia="en-US"/>
        </w:rPr>
        <w:t>.</w:t>
      </w:r>
    </w:p>
    <w:p w:rsidR="00DE423C" w:rsidRPr="0073430A" w:rsidRDefault="00DE423C" w:rsidP="00DE423C">
      <w:pPr>
        <w:numPr>
          <w:ilvl w:val="12"/>
          <w:numId w:val="0"/>
        </w:numPr>
        <w:ind w:right="-2"/>
        <w:rPr>
          <w:szCs w:val="22"/>
          <w:lang w:eastAsia="en-US"/>
        </w:rPr>
      </w:pPr>
    </w:p>
    <w:p w:rsidR="00DE423C" w:rsidRPr="0073430A" w:rsidRDefault="00DE423C" w:rsidP="00DE423C">
      <w:pPr>
        <w:numPr>
          <w:ilvl w:val="12"/>
          <w:numId w:val="0"/>
        </w:numPr>
        <w:ind w:right="-2"/>
        <w:rPr>
          <w:szCs w:val="22"/>
          <w:lang w:eastAsia="en-US"/>
        </w:rPr>
      </w:pPr>
      <w:r w:rsidRPr="00E50E89">
        <w:rPr>
          <w:b/>
          <w:szCs w:val="22"/>
          <w:lang w:eastAsia="en-US"/>
        </w:rPr>
        <w:t>Neišnešiotiems kūdikiams</w:t>
      </w:r>
      <w:r>
        <w:rPr>
          <w:szCs w:val="22"/>
          <w:lang w:eastAsia="en-US"/>
        </w:rPr>
        <w:t xml:space="preserve"> turi būti atsižvelgta į nevisiškai subrendusią inkstų funkciją. Turi</w:t>
      </w:r>
      <w:r w:rsidRPr="0034029F">
        <w:rPr>
          <w:szCs w:val="22"/>
          <w:lang w:eastAsia="en-US"/>
        </w:rPr>
        <w:t xml:space="preserve"> būti nevirš</w:t>
      </w:r>
      <w:r>
        <w:rPr>
          <w:szCs w:val="22"/>
          <w:lang w:eastAsia="en-US"/>
        </w:rPr>
        <w:t>yta</w:t>
      </w:r>
      <w:r>
        <w:rPr>
          <w:szCs w:val="22"/>
          <w:u w:val="single"/>
          <w:lang w:eastAsia="en-US"/>
        </w:rPr>
        <w:t xml:space="preserve"> </w:t>
      </w:r>
      <w:r w:rsidRPr="0073430A">
        <w:rPr>
          <w:szCs w:val="22"/>
          <w:lang w:eastAsia="en-US"/>
        </w:rPr>
        <w:t xml:space="preserve">50 mg </w:t>
      </w:r>
      <w:r>
        <w:rPr>
          <w:szCs w:val="22"/>
          <w:lang w:eastAsia="en-US"/>
        </w:rPr>
        <w:t>cefotaksimo kilogramui</w:t>
      </w:r>
      <w:r w:rsidRPr="0073430A">
        <w:rPr>
          <w:szCs w:val="22"/>
          <w:lang w:eastAsia="en-US"/>
        </w:rPr>
        <w:t xml:space="preserve"> kūno svorio </w:t>
      </w:r>
      <w:r>
        <w:rPr>
          <w:szCs w:val="22"/>
          <w:lang w:eastAsia="en-US"/>
        </w:rPr>
        <w:t>paros dozė</w:t>
      </w:r>
      <w:r w:rsidRPr="0073430A">
        <w:rPr>
          <w:szCs w:val="22"/>
          <w:lang w:eastAsia="en-US"/>
        </w:rPr>
        <w:t>.</w:t>
      </w:r>
    </w:p>
    <w:p w:rsidR="00DE423C" w:rsidRPr="0073430A" w:rsidRDefault="00DE423C" w:rsidP="00DE423C">
      <w:pPr>
        <w:tabs>
          <w:tab w:val="left" w:pos="567"/>
        </w:tabs>
        <w:autoSpaceDE w:val="0"/>
        <w:autoSpaceDN w:val="0"/>
        <w:adjustRightInd w:val="0"/>
        <w:rPr>
          <w:szCs w:val="22"/>
          <w:lang w:eastAsia="en-US"/>
        </w:rPr>
      </w:pPr>
    </w:p>
    <w:p w:rsidR="00DE423C" w:rsidRDefault="00DE423C" w:rsidP="00DE423C">
      <w:pPr>
        <w:rPr>
          <w:szCs w:val="22"/>
          <w:lang w:eastAsia="en-US"/>
        </w:rPr>
      </w:pPr>
      <w:r w:rsidRPr="00E50E89">
        <w:rPr>
          <w:b/>
          <w:szCs w:val="22"/>
          <w:lang w:eastAsia="en-US"/>
        </w:rPr>
        <w:t>Pacientams, kuri</w:t>
      </w:r>
      <w:r>
        <w:rPr>
          <w:b/>
          <w:szCs w:val="22"/>
          <w:lang w:eastAsia="en-US"/>
        </w:rPr>
        <w:t xml:space="preserve">ems yra sunkus </w:t>
      </w:r>
      <w:r w:rsidRPr="00E50E89">
        <w:rPr>
          <w:b/>
          <w:szCs w:val="22"/>
          <w:lang w:eastAsia="en-US"/>
        </w:rPr>
        <w:t xml:space="preserve"> inkstų funkcij</w:t>
      </w:r>
      <w:r>
        <w:rPr>
          <w:b/>
          <w:szCs w:val="22"/>
          <w:lang w:eastAsia="en-US"/>
        </w:rPr>
        <w:t>os</w:t>
      </w:r>
      <w:r w:rsidRPr="00E50E89">
        <w:rPr>
          <w:b/>
          <w:szCs w:val="22"/>
          <w:lang w:eastAsia="en-US"/>
        </w:rPr>
        <w:t xml:space="preserve"> sutrik</w:t>
      </w:r>
      <w:r>
        <w:rPr>
          <w:b/>
          <w:szCs w:val="22"/>
          <w:lang w:eastAsia="en-US"/>
        </w:rPr>
        <w:t>imas</w:t>
      </w:r>
      <w:r>
        <w:rPr>
          <w:szCs w:val="22"/>
          <w:lang w:eastAsia="en-US"/>
        </w:rPr>
        <w:t xml:space="preserve"> (</w:t>
      </w:r>
      <w:r w:rsidRPr="0073430A">
        <w:rPr>
          <w:szCs w:val="22"/>
          <w:lang w:eastAsia="en-US"/>
        </w:rPr>
        <w:t xml:space="preserve">kreatinino klirensas yra </w:t>
      </w:r>
      <w:r>
        <w:rPr>
          <w:szCs w:val="22"/>
          <w:lang w:eastAsia="en-US"/>
        </w:rPr>
        <w:t>mažesnis negu10</w:t>
      </w:r>
      <w:r w:rsidRPr="0073430A">
        <w:rPr>
          <w:szCs w:val="22"/>
          <w:lang w:eastAsia="en-US"/>
        </w:rPr>
        <w:t> ml/min</w:t>
      </w:r>
      <w:r>
        <w:rPr>
          <w:szCs w:val="22"/>
          <w:lang w:eastAsia="en-US"/>
        </w:rPr>
        <w:t>)</w:t>
      </w:r>
      <w:r w:rsidRPr="0073430A">
        <w:rPr>
          <w:szCs w:val="22"/>
          <w:lang w:eastAsia="en-US"/>
        </w:rPr>
        <w:t xml:space="preserve">, </w:t>
      </w:r>
      <w:r>
        <w:rPr>
          <w:szCs w:val="22"/>
          <w:lang w:eastAsia="en-US"/>
        </w:rPr>
        <w:t xml:space="preserve">po normalios pradinės dozės (pirmosios dozės pradedant gydymą), palaikomąją </w:t>
      </w:r>
      <w:r w:rsidRPr="0073430A">
        <w:rPr>
          <w:szCs w:val="22"/>
          <w:lang w:eastAsia="en-US"/>
        </w:rPr>
        <w:t xml:space="preserve">dozę reikia sumažinti </w:t>
      </w:r>
      <w:r>
        <w:rPr>
          <w:szCs w:val="22"/>
          <w:lang w:eastAsia="en-US"/>
        </w:rPr>
        <w:t xml:space="preserve">iki pusės normalios dozės </w:t>
      </w:r>
      <w:r w:rsidRPr="0073430A">
        <w:rPr>
          <w:szCs w:val="22"/>
          <w:lang w:eastAsia="en-US"/>
        </w:rPr>
        <w:t xml:space="preserve">nekeičiant </w:t>
      </w:r>
      <w:r>
        <w:rPr>
          <w:szCs w:val="22"/>
          <w:lang w:eastAsia="en-US"/>
        </w:rPr>
        <w:t>dozavimo intervalo</w:t>
      </w:r>
      <w:r w:rsidRPr="0073430A">
        <w:rPr>
          <w:szCs w:val="22"/>
          <w:lang w:eastAsia="en-US"/>
        </w:rPr>
        <w:t xml:space="preserve">. </w:t>
      </w:r>
    </w:p>
    <w:p w:rsidR="00DE423C" w:rsidRDefault="00DE423C" w:rsidP="00DE423C">
      <w:pPr>
        <w:rPr>
          <w:szCs w:val="22"/>
          <w:lang w:eastAsia="en-US"/>
        </w:rPr>
      </w:pPr>
    </w:p>
    <w:p w:rsidR="00DE423C" w:rsidRDefault="00DE423C" w:rsidP="00DE423C">
      <w:pPr>
        <w:rPr>
          <w:szCs w:val="22"/>
          <w:lang w:eastAsia="en-US"/>
        </w:rPr>
      </w:pPr>
      <w:r>
        <w:rPr>
          <w:szCs w:val="22"/>
          <w:lang w:eastAsia="en-US"/>
        </w:rPr>
        <w:t xml:space="preserve">Hemodializuojamiems pacientams skiriama nuo 1 g iki 2  g cefuroksimo per parą, atsižvelgiant į infekcijos sunkumą. Hemodializė dieną cefotaksimo reikia leisti po dializės. </w:t>
      </w:r>
    </w:p>
    <w:p w:rsidR="00DE423C" w:rsidRDefault="00DE423C" w:rsidP="00DE423C">
      <w:pPr>
        <w:rPr>
          <w:szCs w:val="22"/>
          <w:lang w:eastAsia="en-US"/>
        </w:rPr>
      </w:pPr>
    </w:p>
    <w:p w:rsidR="00DE423C" w:rsidRDefault="00DE423C" w:rsidP="00DE423C">
      <w:pPr>
        <w:rPr>
          <w:szCs w:val="22"/>
          <w:lang w:eastAsia="en-US"/>
        </w:rPr>
      </w:pPr>
      <w:r>
        <w:rPr>
          <w:szCs w:val="22"/>
          <w:lang w:eastAsia="en-US"/>
        </w:rPr>
        <w:t>Pacientams, kuriems taikoma peritoninė dializė, skiriama nuo 1 g iki 2  g cefuroksimo per parą, atsižvelgiant į infekcijos sunkumą. Cefotaksimas nėra pašalinamas peritonine dialize.</w:t>
      </w:r>
    </w:p>
    <w:p w:rsidR="00DE423C" w:rsidRDefault="00DE423C" w:rsidP="00DE423C">
      <w:pPr>
        <w:rPr>
          <w:szCs w:val="22"/>
          <w:lang w:eastAsia="en-US"/>
        </w:rPr>
      </w:pPr>
    </w:p>
    <w:p w:rsidR="00DE423C" w:rsidRDefault="00DE423C" w:rsidP="00DE423C">
      <w:pPr>
        <w:numPr>
          <w:ilvl w:val="12"/>
          <w:numId w:val="0"/>
        </w:numPr>
        <w:ind w:right="-2"/>
        <w:rPr>
          <w:snapToGrid w:val="0"/>
          <w:szCs w:val="22"/>
          <w:lang w:eastAsia="en-US"/>
        </w:rPr>
      </w:pPr>
      <w:r w:rsidRPr="00136F81">
        <w:rPr>
          <w:snapToGrid w:val="0"/>
          <w:szCs w:val="22"/>
          <w:lang w:eastAsia="en-US"/>
        </w:rPr>
        <w:t>MOXICEF</w:t>
      </w:r>
      <w:r>
        <w:rPr>
          <w:snapToGrid w:val="0"/>
          <w:szCs w:val="22"/>
          <w:lang w:eastAsia="en-US"/>
        </w:rPr>
        <w:t xml:space="preserve"> 1 g yra leidžiamas į veną (į vieną veną),  bet taip pat gali būti leidžiamas į raumenis. </w:t>
      </w:r>
    </w:p>
    <w:p w:rsidR="00DE423C" w:rsidRDefault="00DE423C" w:rsidP="00DE423C">
      <w:pPr>
        <w:numPr>
          <w:ilvl w:val="12"/>
          <w:numId w:val="0"/>
        </w:numPr>
        <w:ind w:right="-2"/>
        <w:rPr>
          <w:snapToGrid w:val="0"/>
          <w:szCs w:val="22"/>
          <w:lang w:eastAsia="en-US"/>
        </w:rPr>
      </w:pPr>
    </w:p>
    <w:p w:rsidR="00DE423C" w:rsidRDefault="00DE423C" w:rsidP="00DE423C">
      <w:pPr>
        <w:numPr>
          <w:ilvl w:val="12"/>
          <w:numId w:val="0"/>
        </w:numPr>
        <w:ind w:right="-2"/>
        <w:rPr>
          <w:snapToGrid w:val="0"/>
          <w:szCs w:val="22"/>
          <w:lang w:eastAsia="en-US"/>
        </w:rPr>
      </w:pPr>
      <w:r w:rsidRPr="00136F81">
        <w:rPr>
          <w:snapToGrid w:val="0"/>
          <w:szCs w:val="22"/>
          <w:highlight w:val="lightGray"/>
          <w:lang w:eastAsia="en-US"/>
        </w:rPr>
        <w:t>MOXICEF 2 g yra leidžiamas į veną (į vieną veną).</w:t>
      </w:r>
      <w:r>
        <w:rPr>
          <w:snapToGrid w:val="0"/>
          <w:szCs w:val="22"/>
          <w:lang w:eastAsia="en-US"/>
        </w:rPr>
        <w:t xml:space="preserve"> </w:t>
      </w:r>
    </w:p>
    <w:p w:rsidR="00DE423C" w:rsidRPr="0073430A" w:rsidRDefault="00DE423C" w:rsidP="00DE423C">
      <w:pPr>
        <w:numPr>
          <w:ilvl w:val="12"/>
          <w:numId w:val="0"/>
        </w:numPr>
        <w:ind w:right="-2"/>
        <w:rPr>
          <w:snapToGrid w:val="0"/>
          <w:szCs w:val="22"/>
          <w:lang w:eastAsia="en-US"/>
        </w:rPr>
      </w:pPr>
    </w:p>
    <w:p w:rsidR="00DE423C" w:rsidRPr="00136F81" w:rsidRDefault="00DE423C" w:rsidP="00DE423C">
      <w:pPr>
        <w:numPr>
          <w:ilvl w:val="12"/>
          <w:numId w:val="0"/>
        </w:numPr>
        <w:ind w:right="-2"/>
        <w:rPr>
          <w:b/>
          <w:snapToGrid w:val="0"/>
          <w:szCs w:val="22"/>
          <w:lang w:eastAsia="en-US"/>
        </w:rPr>
      </w:pPr>
      <w:r w:rsidRPr="00136F81">
        <w:rPr>
          <w:b/>
          <w:snapToGrid w:val="0"/>
          <w:szCs w:val="22"/>
          <w:lang w:eastAsia="en-US"/>
        </w:rPr>
        <w:t>Senyvi pacientai</w:t>
      </w:r>
    </w:p>
    <w:p w:rsidR="00DE423C" w:rsidRPr="0073430A" w:rsidRDefault="00DE423C" w:rsidP="00DE423C">
      <w:pPr>
        <w:numPr>
          <w:ilvl w:val="12"/>
          <w:numId w:val="0"/>
        </w:numPr>
        <w:ind w:right="-2"/>
        <w:rPr>
          <w:snapToGrid w:val="0"/>
          <w:szCs w:val="22"/>
          <w:lang w:eastAsia="en-US"/>
        </w:rPr>
      </w:pPr>
      <w:r>
        <w:rPr>
          <w:snapToGrid w:val="0"/>
          <w:szCs w:val="22"/>
          <w:lang w:eastAsia="en-US"/>
        </w:rPr>
        <w:t xml:space="preserve">Senyviems pacientams turi būti atidžiai sekama inkstų funkcija ir prireikus pakoreguota dozė. </w:t>
      </w:r>
    </w:p>
    <w:p w:rsidR="00DE423C" w:rsidRDefault="00DE423C" w:rsidP="00DE423C">
      <w:pPr>
        <w:numPr>
          <w:ilvl w:val="12"/>
          <w:numId w:val="0"/>
        </w:numPr>
        <w:ind w:right="-2"/>
        <w:rPr>
          <w:szCs w:val="22"/>
          <w:lang w:eastAsia="en-US"/>
        </w:rPr>
      </w:pPr>
    </w:p>
    <w:p w:rsidR="00DE423C" w:rsidRPr="00136F81" w:rsidRDefault="00DE423C" w:rsidP="00DE423C">
      <w:pPr>
        <w:numPr>
          <w:ilvl w:val="12"/>
          <w:numId w:val="0"/>
        </w:numPr>
        <w:ind w:right="-2"/>
        <w:rPr>
          <w:b/>
          <w:szCs w:val="22"/>
          <w:lang w:eastAsia="en-US"/>
        </w:rPr>
      </w:pPr>
      <w:r w:rsidRPr="00136F81">
        <w:rPr>
          <w:b/>
          <w:szCs w:val="22"/>
          <w:lang w:eastAsia="en-US"/>
        </w:rPr>
        <w:t>Injekcija į veną</w:t>
      </w:r>
    </w:p>
    <w:p w:rsidR="00DE423C" w:rsidRDefault="00DE423C" w:rsidP="00DE423C">
      <w:pPr>
        <w:autoSpaceDE w:val="0"/>
        <w:autoSpaceDN w:val="0"/>
        <w:adjustRightInd w:val="0"/>
        <w:rPr>
          <w:rFonts w:eastAsia="Calibri"/>
          <w:szCs w:val="22"/>
          <w:lang w:eastAsia="en-US"/>
        </w:rPr>
      </w:pPr>
      <w:r>
        <w:rPr>
          <w:rFonts w:eastAsia="Calibri"/>
          <w:szCs w:val="22"/>
          <w:lang w:eastAsia="en-US"/>
        </w:rPr>
        <w:t>Injekcijai į veną ištirpinkite 1 g cefotaksimo mažiausiai 4 ml injekcinio vandens ir po to suleisti tiesiai į veną per 3 -5 minutes.</w:t>
      </w:r>
    </w:p>
    <w:p w:rsidR="00DE423C" w:rsidRDefault="00DE423C" w:rsidP="00DE423C">
      <w:pPr>
        <w:autoSpaceDE w:val="0"/>
        <w:autoSpaceDN w:val="0"/>
        <w:adjustRightInd w:val="0"/>
        <w:rPr>
          <w:rFonts w:eastAsia="Calibri"/>
          <w:szCs w:val="22"/>
          <w:lang w:eastAsia="en-US"/>
        </w:rPr>
      </w:pPr>
    </w:p>
    <w:p w:rsidR="00DE423C" w:rsidRPr="001B5F7C" w:rsidRDefault="00DE423C" w:rsidP="00DE423C">
      <w:pPr>
        <w:autoSpaceDE w:val="0"/>
        <w:autoSpaceDN w:val="0"/>
        <w:adjustRightInd w:val="0"/>
        <w:rPr>
          <w:rFonts w:eastAsia="Calibri"/>
          <w:b/>
          <w:szCs w:val="22"/>
          <w:lang w:eastAsia="en-US"/>
        </w:rPr>
      </w:pPr>
      <w:r w:rsidRPr="001B5F7C">
        <w:rPr>
          <w:rFonts w:eastAsia="Calibri"/>
          <w:b/>
          <w:szCs w:val="22"/>
          <w:lang w:eastAsia="en-US"/>
        </w:rPr>
        <w:t>Infuzija į veną</w:t>
      </w:r>
    </w:p>
    <w:p w:rsidR="00DE423C" w:rsidRDefault="00DE423C" w:rsidP="00DE423C">
      <w:pPr>
        <w:autoSpaceDE w:val="0"/>
        <w:autoSpaceDN w:val="0"/>
        <w:adjustRightInd w:val="0"/>
        <w:rPr>
          <w:rFonts w:eastAsia="Calibri"/>
          <w:szCs w:val="22"/>
          <w:lang w:eastAsia="en-US"/>
        </w:rPr>
      </w:pPr>
      <w:r>
        <w:rPr>
          <w:rFonts w:eastAsia="Calibri"/>
          <w:szCs w:val="22"/>
          <w:lang w:eastAsia="en-US"/>
        </w:rPr>
        <w:t>Trumpalaikei intraveninei infuzijai 1 g arba 2 g cefotaksimo turi būti ištirpinama nuo 40 ml iki 50 ml injekcinio vandens ar paruošto tirpalo ir po to maždaug per 20 minučių infuzuojama į veną.</w:t>
      </w:r>
    </w:p>
    <w:p w:rsidR="00DE423C" w:rsidRDefault="00DE423C" w:rsidP="00DE423C">
      <w:pPr>
        <w:autoSpaceDE w:val="0"/>
        <w:autoSpaceDN w:val="0"/>
        <w:adjustRightInd w:val="0"/>
        <w:rPr>
          <w:rFonts w:eastAsia="Calibri"/>
          <w:szCs w:val="22"/>
          <w:lang w:eastAsia="en-US"/>
        </w:rPr>
      </w:pPr>
    </w:p>
    <w:p w:rsidR="00DE423C" w:rsidRPr="00136F81" w:rsidRDefault="00DE423C" w:rsidP="00DE423C">
      <w:pPr>
        <w:numPr>
          <w:ilvl w:val="12"/>
          <w:numId w:val="0"/>
        </w:numPr>
        <w:ind w:right="-2"/>
        <w:rPr>
          <w:b/>
          <w:szCs w:val="22"/>
          <w:lang w:eastAsia="en-US"/>
        </w:rPr>
      </w:pPr>
      <w:r w:rsidRPr="00136F81">
        <w:rPr>
          <w:b/>
          <w:szCs w:val="22"/>
          <w:lang w:eastAsia="en-US"/>
        </w:rPr>
        <w:t xml:space="preserve">Injekcija į </w:t>
      </w:r>
      <w:r>
        <w:rPr>
          <w:b/>
          <w:szCs w:val="22"/>
          <w:lang w:eastAsia="en-US"/>
        </w:rPr>
        <w:t>raumenis</w:t>
      </w:r>
    </w:p>
    <w:p w:rsidR="00DE423C" w:rsidRDefault="00DE423C" w:rsidP="00DE423C">
      <w:pPr>
        <w:autoSpaceDE w:val="0"/>
        <w:autoSpaceDN w:val="0"/>
        <w:adjustRightInd w:val="0"/>
        <w:rPr>
          <w:rFonts w:eastAsia="Calibri"/>
          <w:szCs w:val="22"/>
          <w:lang w:eastAsia="en-US"/>
        </w:rPr>
      </w:pPr>
      <w:r>
        <w:rPr>
          <w:rFonts w:eastAsia="Calibri"/>
          <w:szCs w:val="22"/>
          <w:lang w:eastAsia="en-US"/>
        </w:rPr>
        <w:t xml:space="preserve">Injekcijai į raumenis 1 g cefotaksimo reikia ištirpinti i 4 ml injekcinio vandens. Po to tirpalas suleidžiamas giliai į sėdmenis. Skausmo leidžiant į raumenis galima išvengti 1 g cefotaksimo ištirpinus 4 ml 1% lidokaino tirpalo. Reikia vengti injekcijos į kraujagyslę, nes lidokainas, suleistas į kraujagyslę, gali sukelti nerimavimą, tachikardiją, laidumo sutrikimą, vėmimą ir konvulsijas Cefotaksimo mišinio su lidokainu negalima vartoti jaunesniems kaip 30 mėnesių amžiaus vaikams. Būtina atsižvelgti į pakuotės lapelį dėl produkto, kurio sudėtyje yra lidokaino, paruošimo. </w:t>
      </w:r>
    </w:p>
    <w:p w:rsidR="00DE423C" w:rsidRDefault="00DE423C" w:rsidP="00DE423C">
      <w:pPr>
        <w:autoSpaceDE w:val="0"/>
        <w:autoSpaceDN w:val="0"/>
        <w:adjustRightInd w:val="0"/>
        <w:rPr>
          <w:rFonts w:eastAsia="Calibri"/>
          <w:szCs w:val="22"/>
          <w:lang w:eastAsia="en-US"/>
        </w:rPr>
      </w:pPr>
      <w:r w:rsidRPr="0073430A">
        <w:rPr>
          <w:rFonts w:eastAsia="Calibri"/>
          <w:szCs w:val="22"/>
          <w:lang w:eastAsia="en-US"/>
        </w:rPr>
        <w:t xml:space="preserve">Rekomenduojama </w:t>
      </w:r>
      <w:r>
        <w:rPr>
          <w:rFonts w:eastAsia="Calibri"/>
          <w:szCs w:val="22"/>
          <w:lang w:eastAsia="en-US"/>
        </w:rPr>
        <w:t>į vieną pusę</w:t>
      </w:r>
      <w:r w:rsidRPr="0073430A">
        <w:rPr>
          <w:rFonts w:eastAsia="Calibri"/>
          <w:szCs w:val="22"/>
          <w:lang w:eastAsia="en-US"/>
        </w:rPr>
        <w:t xml:space="preserve"> </w:t>
      </w:r>
      <w:r>
        <w:rPr>
          <w:rFonts w:eastAsia="Calibri"/>
          <w:szCs w:val="22"/>
          <w:lang w:eastAsia="en-US"/>
        </w:rPr>
        <w:t>suleisti</w:t>
      </w:r>
      <w:r w:rsidRPr="0073430A">
        <w:rPr>
          <w:rFonts w:eastAsia="Calibri"/>
          <w:szCs w:val="22"/>
          <w:lang w:eastAsia="en-US"/>
        </w:rPr>
        <w:t xml:space="preserve"> ne daugiau kaip 4 ml.</w:t>
      </w:r>
      <w:r>
        <w:rPr>
          <w:rFonts w:eastAsia="Calibri"/>
          <w:szCs w:val="22"/>
          <w:lang w:eastAsia="en-US"/>
        </w:rPr>
        <w:t xml:space="preserve"> Jeigu paros dozė yra didesnė negu 2 g cefotaksimo arba jeigu cefotaksimo injekuojama daugiau negu du kartus per parą, mes rekomenduojame injekuoti į veną.</w:t>
      </w:r>
    </w:p>
    <w:p w:rsidR="00DE423C" w:rsidRDefault="00DE423C" w:rsidP="00DE423C">
      <w:pPr>
        <w:autoSpaceDE w:val="0"/>
        <w:autoSpaceDN w:val="0"/>
        <w:adjustRightInd w:val="0"/>
        <w:rPr>
          <w:rFonts w:eastAsia="Calibri"/>
          <w:szCs w:val="22"/>
          <w:lang w:eastAsia="en-US"/>
        </w:rPr>
      </w:pPr>
    </w:p>
    <w:p w:rsidR="00DE423C" w:rsidRDefault="00DE423C" w:rsidP="00DE423C">
      <w:pPr>
        <w:autoSpaceDE w:val="0"/>
        <w:autoSpaceDN w:val="0"/>
        <w:adjustRightInd w:val="0"/>
        <w:rPr>
          <w:rFonts w:eastAsia="Calibri"/>
          <w:szCs w:val="22"/>
          <w:lang w:eastAsia="en-US"/>
        </w:rPr>
      </w:pPr>
      <w:r w:rsidRPr="00CE7E64">
        <w:rPr>
          <w:szCs w:val="22"/>
          <w:highlight w:val="lightGray"/>
          <w:lang w:eastAsia="ar-SA"/>
        </w:rPr>
        <w:t>MOXICEF</w:t>
      </w:r>
      <w:r w:rsidRPr="00CE7E64">
        <w:rPr>
          <w:szCs w:val="22"/>
          <w:highlight w:val="lightGray"/>
          <w:lang w:eastAsia="en-US"/>
        </w:rPr>
        <w:t xml:space="preserve"> 2 g nevartojamas į raumenis.</w:t>
      </w:r>
    </w:p>
    <w:p w:rsidR="00DE423C" w:rsidRDefault="00DE423C" w:rsidP="00DE423C">
      <w:pPr>
        <w:autoSpaceDE w:val="0"/>
        <w:autoSpaceDN w:val="0"/>
        <w:adjustRightInd w:val="0"/>
        <w:rPr>
          <w:rFonts w:eastAsia="Calibri"/>
          <w:szCs w:val="22"/>
          <w:lang w:eastAsia="en-US"/>
        </w:rPr>
      </w:pPr>
    </w:p>
    <w:p w:rsidR="00DE423C" w:rsidRPr="0073430A" w:rsidRDefault="00DE423C" w:rsidP="00DE423C">
      <w:pPr>
        <w:tabs>
          <w:tab w:val="left" w:pos="567"/>
        </w:tabs>
        <w:spacing w:line="260" w:lineRule="exact"/>
        <w:rPr>
          <w:szCs w:val="22"/>
          <w:lang w:eastAsia="en-US"/>
        </w:rPr>
      </w:pPr>
      <w:r>
        <w:rPr>
          <w:szCs w:val="22"/>
          <w:lang w:eastAsia="en-US"/>
        </w:rPr>
        <w:t>Išskyrus atvejus, kai yra įrodytas fizikocheminis stabilumas su kitais infuziniais tirpalais, cefotaksimo tirpalas iš esmės turi būti vartojamas atskirai nuo šių.</w:t>
      </w:r>
    </w:p>
    <w:p w:rsidR="00DE423C" w:rsidRDefault="00DE423C" w:rsidP="00DE423C">
      <w:pPr>
        <w:tabs>
          <w:tab w:val="left" w:pos="567"/>
        </w:tabs>
        <w:autoSpaceDE w:val="0"/>
        <w:autoSpaceDN w:val="0"/>
        <w:adjustRightInd w:val="0"/>
        <w:rPr>
          <w:bCs/>
          <w:snapToGrid w:val="0"/>
          <w:szCs w:val="22"/>
          <w:u w:val="single"/>
          <w:lang w:eastAsia="en-US"/>
        </w:rPr>
      </w:pPr>
    </w:p>
    <w:p w:rsidR="00DE423C" w:rsidRDefault="00DE423C" w:rsidP="00DE423C">
      <w:pPr>
        <w:tabs>
          <w:tab w:val="left" w:pos="567"/>
        </w:tabs>
        <w:spacing w:line="260" w:lineRule="exact"/>
        <w:rPr>
          <w:szCs w:val="22"/>
          <w:lang w:eastAsia="en-US"/>
        </w:rPr>
      </w:pPr>
      <w:r>
        <w:rPr>
          <w:szCs w:val="22"/>
          <w:lang w:eastAsia="en-US"/>
        </w:rPr>
        <w:t>Cefotaksimas yra nesuderinamas su:</w:t>
      </w:r>
    </w:p>
    <w:p w:rsidR="00DE423C" w:rsidRDefault="00DE423C" w:rsidP="00DE423C">
      <w:pPr>
        <w:numPr>
          <w:ilvl w:val="0"/>
          <w:numId w:val="6"/>
        </w:numPr>
        <w:tabs>
          <w:tab w:val="left" w:pos="567"/>
        </w:tabs>
        <w:spacing w:line="260" w:lineRule="exact"/>
        <w:ind w:left="567" w:hanging="567"/>
        <w:rPr>
          <w:szCs w:val="22"/>
          <w:lang w:eastAsia="en-US"/>
        </w:rPr>
      </w:pPr>
      <w:r>
        <w:rPr>
          <w:szCs w:val="22"/>
          <w:lang w:eastAsia="en-US"/>
        </w:rPr>
        <w:t>natrio vandenilio karbonato tirpalu;</w:t>
      </w:r>
    </w:p>
    <w:p w:rsidR="00DE423C" w:rsidRDefault="00DE423C" w:rsidP="00DE423C">
      <w:pPr>
        <w:numPr>
          <w:ilvl w:val="0"/>
          <w:numId w:val="6"/>
        </w:numPr>
        <w:tabs>
          <w:tab w:val="left" w:pos="567"/>
        </w:tabs>
        <w:spacing w:line="260" w:lineRule="exact"/>
        <w:ind w:left="567" w:hanging="567"/>
        <w:rPr>
          <w:szCs w:val="22"/>
          <w:lang w:eastAsia="en-US"/>
        </w:rPr>
      </w:pPr>
      <w:r>
        <w:rPr>
          <w:szCs w:val="22"/>
          <w:lang w:eastAsia="en-US"/>
        </w:rPr>
        <w:t>infuziniais tirpalais, kurių pH didesnis negu 7;</w:t>
      </w:r>
    </w:p>
    <w:p w:rsidR="00DE423C" w:rsidRDefault="00DE423C" w:rsidP="00DE423C">
      <w:pPr>
        <w:numPr>
          <w:ilvl w:val="0"/>
          <w:numId w:val="6"/>
        </w:numPr>
        <w:tabs>
          <w:tab w:val="left" w:pos="567"/>
        </w:tabs>
        <w:spacing w:line="260" w:lineRule="exact"/>
        <w:ind w:left="567" w:hanging="567"/>
        <w:rPr>
          <w:szCs w:val="22"/>
          <w:lang w:eastAsia="en-US"/>
        </w:rPr>
      </w:pPr>
      <w:r>
        <w:rPr>
          <w:szCs w:val="22"/>
          <w:lang w:eastAsia="en-US"/>
        </w:rPr>
        <w:t>aminoglikozidais</w:t>
      </w:r>
    </w:p>
    <w:p w:rsidR="00DE423C" w:rsidRDefault="00DE423C" w:rsidP="00DE423C">
      <w:pPr>
        <w:tabs>
          <w:tab w:val="left" w:pos="567"/>
        </w:tabs>
        <w:spacing w:line="260" w:lineRule="exact"/>
        <w:rPr>
          <w:szCs w:val="22"/>
          <w:lang w:eastAsia="en-US"/>
        </w:rPr>
      </w:pPr>
    </w:p>
    <w:p w:rsidR="00DE423C" w:rsidRDefault="00DE423C" w:rsidP="00DE423C">
      <w:pPr>
        <w:tabs>
          <w:tab w:val="left" w:pos="567"/>
        </w:tabs>
        <w:spacing w:line="260" w:lineRule="exact"/>
        <w:rPr>
          <w:szCs w:val="22"/>
          <w:lang w:eastAsia="en-US"/>
        </w:rPr>
      </w:pPr>
      <w:r>
        <w:rPr>
          <w:szCs w:val="22"/>
          <w:lang w:eastAsia="en-US"/>
        </w:rPr>
        <w:t>Apskritai, c</w:t>
      </w:r>
      <w:r w:rsidRPr="0073430A">
        <w:rPr>
          <w:szCs w:val="22"/>
          <w:lang w:eastAsia="en-US"/>
        </w:rPr>
        <w:t>efotaksim</w:t>
      </w:r>
      <w:r>
        <w:rPr>
          <w:szCs w:val="22"/>
          <w:lang w:eastAsia="en-US"/>
        </w:rPr>
        <w:t>as</w:t>
      </w:r>
      <w:r w:rsidRPr="0073430A">
        <w:rPr>
          <w:szCs w:val="22"/>
          <w:lang w:eastAsia="en-US"/>
        </w:rPr>
        <w:t xml:space="preserve"> </w:t>
      </w:r>
      <w:r>
        <w:rPr>
          <w:szCs w:val="22"/>
          <w:lang w:eastAsia="en-US"/>
        </w:rPr>
        <w:t>reikia nemaišyti ir nevartoti viename švirkšte su kitais antibiotikais ar vaistais. Cefotaksimo reikia nemaišyti infuzinėje sistemoje ar švirkšte su aminoglikozidų grupės antibiotikais.</w:t>
      </w:r>
    </w:p>
    <w:p w:rsidR="00DE423C" w:rsidRDefault="00DE423C" w:rsidP="00DE423C">
      <w:pPr>
        <w:tabs>
          <w:tab w:val="left" w:pos="567"/>
        </w:tabs>
        <w:spacing w:line="260" w:lineRule="exact"/>
        <w:rPr>
          <w:szCs w:val="22"/>
          <w:lang w:eastAsia="en-US"/>
        </w:rPr>
      </w:pPr>
    </w:p>
    <w:p w:rsidR="00DE423C" w:rsidRPr="00A8004D" w:rsidRDefault="00DE423C" w:rsidP="00DE423C">
      <w:pPr>
        <w:tabs>
          <w:tab w:val="left" w:pos="567"/>
        </w:tabs>
        <w:spacing w:line="260" w:lineRule="exact"/>
        <w:rPr>
          <w:b/>
          <w:szCs w:val="22"/>
          <w:lang w:eastAsia="en-US"/>
        </w:rPr>
      </w:pPr>
      <w:r w:rsidRPr="00A8004D">
        <w:rPr>
          <w:b/>
          <w:szCs w:val="22"/>
          <w:lang w:eastAsia="en-US"/>
        </w:rPr>
        <w:t>Suderinamumas su infuziniais tirpalais</w:t>
      </w:r>
    </w:p>
    <w:p w:rsidR="00DE423C" w:rsidRDefault="00DE423C" w:rsidP="00DE423C">
      <w:pPr>
        <w:numPr>
          <w:ilvl w:val="12"/>
          <w:numId w:val="0"/>
        </w:numPr>
        <w:ind w:right="-2"/>
        <w:rPr>
          <w:szCs w:val="22"/>
          <w:u w:val="single"/>
          <w:lang w:eastAsia="en-US"/>
        </w:rPr>
      </w:pPr>
      <w:r>
        <w:rPr>
          <w:szCs w:val="22"/>
          <w:lang w:eastAsia="en-US"/>
        </w:rPr>
        <w:t xml:space="preserve">Cefotaksimą taip pat galima tirpinti natrio laktato ar Ringerio tirpale </w:t>
      </w:r>
    </w:p>
    <w:p w:rsidR="00DE423C" w:rsidRDefault="00DE423C" w:rsidP="00DE423C">
      <w:pPr>
        <w:numPr>
          <w:ilvl w:val="12"/>
          <w:numId w:val="0"/>
        </w:numPr>
        <w:ind w:right="-2"/>
        <w:rPr>
          <w:szCs w:val="22"/>
          <w:lang w:eastAsia="en-US"/>
        </w:rPr>
      </w:pPr>
      <w:r w:rsidRPr="00A8004D">
        <w:rPr>
          <w:szCs w:val="22"/>
          <w:lang w:eastAsia="en-US"/>
        </w:rPr>
        <w:t>Gydymo trukmė priklauso nuo ligos eigos.</w:t>
      </w:r>
    </w:p>
    <w:p w:rsidR="00DE423C" w:rsidRPr="0073430A" w:rsidRDefault="00DE423C" w:rsidP="00DE423C">
      <w:pPr>
        <w:tabs>
          <w:tab w:val="left" w:pos="567"/>
        </w:tabs>
        <w:autoSpaceDE w:val="0"/>
        <w:autoSpaceDN w:val="0"/>
        <w:adjustRightInd w:val="0"/>
        <w:rPr>
          <w:b/>
          <w:snapToGrid w:val="0"/>
          <w:szCs w:val="22"/>
          <w:lang w:eastAsia="en-US"/>
        </w:rPr>
      </w:pPr>
    </w:p>
    <w:p w:rsidR="00DE423C" w:rsidRPr="0073430A" w:rsidRDefault="00DE423C" w:rsidP="00DE423C">
      <w:pPr>
        <w:numPr>
          <w:ilvl w:val="12"/>
          <w:numId w:val="0"/>
        </w:numPr>
        <w:ind w:right="-2"/>
        <w:outlineLvl w:val="0"/>
        <w:rPr>
          <w:snapToGrid w:val="0"/>
          <w:szCs w:val="22"/>
          <w:lang w:eastAsia="en-US"/>
        </w:rPr>
      </w:pPr>
      <w:r w:rsidRPr="0073430A">
        <w:rPr>
          <w:b/>
          <w:snapToGrid w:val="0"/>
          <w:szCs w:val="22"/>
          <w:lang w:eastAsia="en-US"/>
        </w:rPr>
        <w:t xml:space="preserve">Ką daryti pavartojus per didelę </w:t>
      </w:r>
      <w:r>
        <w:rPr>
          <w:b/>
          <w:snapToGrid w:val="0"/>
          <w:szCs w:val="22"/>
          <w:lang w:eastAsia="en-US"/>
        </w:rPr>
        <w:t>MOXICEF</w:t>
      </w:r>
      <w:r w:rsidRPr="0073430A">
        <w:rPr>
          <w:b/>
          <w:snapToGrid w:val="0"/>
          <w:szCs w:val="22"/>
          <w:lang w:eastAsia="en-US"/>
        </w:rPr>
        <w:t xml:space="preserve"> dozę</w:t>
      </w:r>
    </w:p>
    <w:p w:rsidR="00DE423C" w:rsidRDefault="00DE423C" w:rsidP="00DE423C">
      <w:pPr>
        <w:tabs>
          <w:tab w:val="left" w:pos="567"/>
        </w:tabs>
        <w:spacing w:line="260" w:lineRule="exact"/>
        <w:rPr>
          <w:szCs w:val="22"/>
          <w:lang w:eastAsia="en-US"/>
        </w:rPr>
      </w:pPr>
      <w:r>
        <w:rPr>
          <w:szCs w:val="22"/>
          <w:lang w:eastAsia="en-US"/>
        </w:rPr>
        <w:t xml:space="preserve">Beta laktamo grupės antibiotikų, įskaitant cefotaksimą, vartojimas gali sukelti taip vadinamą encefalopatiją, lydimą centrinės nervų sistemos sujaudinimo, mioklonuso, priepuolių, sumišimo, sąmonės pritemimo ir judesių sutrikimų. Jos  rizika pasireiškia vartojant dideles dozes, perdozavus, pacientams, kurių susilpnėjusi inkstų funkcija arba kuriuos kamuoja epilepsija, epilepsija ar meningitas. </w:t>
      </w:r>
    </w:p>
    <w:p w:rsidR="00DE423C" w:rsidRDefault="00DE423C" w:rsidP="00DE423C">
      <w:pPr>
        <w:tabs>
          <w:tab w:val="left" w:pos="567"/>
        </w:tabs>
        <w:spacing w:line="260" w:lineRule="exact"/>
        <w:rPr>
          <w:szCs w:val="22"/>
          <w:lang w:eastAsia="en-US"/>
        </w:rPr>
      </w:pPr>
      <w:r>
        <w:rPr>
          <w:szCs w:val="22"/>
          <w:lang w:eastAsia="en-US"/>
        </w:rPr>
        <w:t>Jeigu cefotaksimo injekuojama per centrinį venos kateterį (CVK) per greitai (greičiau negu per minutę) jis gali sukelti sunkų širdies ritmo sutrikimą.</w:t>
      </w:r>
    </w:p>
    <w:p w:rsidR="00DE423C" w:rsidRPr="0073430A" w:rsidRDefault="00DE423C" w:rsidP="00DE423C">
      <w:pPr>
        <w:numPr>
          <w:ilvl w:val="12"/>
          <w:numId w:val="0"/>
        </w:numPr>
        <w:rPr>
          <w:snapToGrid w:val="0"/>
          <w:szCs w:val="22"/>
          <w:lang w:eastAsia="en-US"/>
        </w:rPr>
      </w:pPr>
      <w:r w:rsidRPr="0073430A">
        <w:rPr>
          <w:snapToGrid w:val="0"/>
          <w:szCs w:val="22"/>
          <w:lang w:eastAsia="en-US"/>
        </w:rPr>
        <w:t>Jeigu manote, kad J</w:t>
      </w:r>
      <w:r>
        <w:rPr>
          <w:snapToGrid w:val="0"/>
          <w:szCs w:val="22"/>
          <w:lang w:eastAsia="en-US"/>
        </w:rPr>
        <w:t>ūs vartojate</w:t>
      </w:r>
      <w:r w:rsidRPr="0073430A">
        <w:rPr>
          <w:snapToGrid w:val="0"/>
          <w:szCs w:val="22"/>
          <w:lang w:eastAsia="en-US"/>
        </w:rPr>
        <w:t xml:space="preserve"> per daug </w:t>
      </w:r>
      <w:r>
        <w:rPr>
          <w:snapToGrid w:val="0"/>
          <w:szCs w:val="22"/>
          <w:lang w:eastAsia="en-US"/>
        </w:rPr>
        <w:t>cefotaksimo</w:t>
      </w:r>
      <w:r w:rsidRPr="0073430A">
        <w:rPr>
          <w:snapToGrid w:val="0"/>
          <w:szCs w:val="22"/>
          <w:lang w:eastAsia="en-US"/>
        </w:rPr>
        <w:t xml:space="preserve">, </w:t>
      </w:r>
      <w:r>
        <w:rPr>
          <w:snapToGrid w:val="0"/>
          <w:szCs w:val="22"/>
          <w:lang w:eastAsia="en-US"/>
        </w:rPr>
        <w:t xml:space="preserve"> nedelsiant pasakykite savo gydytojui ar medicinos personalui</w:t>
      </w:r>
      <w:r w:rsidRPr="0073430A">
        <w:rPr>
          <w:snapToGrid w:val="0"/>
          <w:szCs w:val="22"/>
          <w:lang w:eastAsia="en-US"/>
        </w:rPr>
        <w:t>.</w:t>
      </w:r>
    </w:p>
    <w:p w:rsidR="00DE423C" w:rsidRPr="0073430A" w:rsidRDefault="00DE423C" w:rsidP="00DE423C">
      <w:pPr>
        <w:numPr>
          <w:ilvl w:val="12"/>
          <w:numId w:val="0"/>
        </w:numPr>
        <w:rPr>
          <w:snapToGrid w:val="0"/>
          <w:szCs w:val="22"/>
          <w:lang w:eastAsia="en-US"/>
        </w:rPr>
      </w:pPr>
    </w:p>
    <w:p w:rsidR="00DE423C" w:rsidRPr="0073430A" w:rsidRDefault="00DE423C" w:rsidP="00DE423C">
      <w:pPr>
        <w:numPr>
          <w:ilvl w:val="12"/>
          <w:numId w:val="0"/>
        </w:numPr>
        <w:ind w:right="-2"/>
        <w:outlineLvl w:val="0"/>
        <w:rPr>
          <w:snapToGrid w:val="0"/>
          <w:szCs w:val="22"/>
          <w:lang w:eastAsia="en-US"/>
        </w:rPr>
      </w:pPr>
      <w:r w:rsidRPr="0073430A">
        <w:rPr>
          <w:b/>
          <w:snapToGrid w:val="0"/>
          <w:szCs w:val="22"/>
          <w:lang w:eastAsia="en-US"/>
        </w:rPr>
        <w:t xml:space="preserve">Pamiršus pavartoti </w:t>
      </w:r>
      <w:r>
        <w:rPr>
          <w:b/>
          <w:snapToGrid w:val="0"/>
          <w:szCs w:val="22"/>
          <w:lang w:eastAsia="en-US"/>
        </w:rPr>
        <w:t>MOXICEF</w:t>
      </w:r>
    </w:p>
    <w:p w:rsidR="00DE423C" w:rsidRPr="0073430A" w:rsidRDefault="00DE423C" w:rsidP="00DE423C">
      <w:pPr>
        <w:tabs>
          <w:tab w:val="left" w:pos="567"/>
        </w:tabs>
        <w:jc w:val="both"/>
        <w:rPr>
          <w:snapToGrid w:val="0"/>
          <w:szCs w:val="22"/>
          <w:lang w:eastAsia="en-US"/>
        </w:rPr>
      </w:pPr>
      <w:r>
        <w:rPr>
          <w:snapToGrid w:val="0"/>
          <w:szCs w:val="22"/>
          <w:lang w:eastAsia="en-US"/>
        </w:rPr>
        <w:t>Jūsų gydytojas ar slaugytoja yra apmokyti, kaip Jums duoti vaisto.  Yra neįtikėtina, jog Jūs negaunate Jums paskirto vaisto. Jeigu manote, kad galėjote praleisti dozę, pasakykite savo gydytojui ar slaugytojai</w:t>
      </w:r>
      <w:r w:rsidRPr="0073430A">
        <w:rPr>
          <w:snapToGrid w:val="0"/>
          <w:szCs w:val="22"/>
          <w:lang w:eastAsia="en-US"/>
        </w:rPr>
        <w:t xml:space="preserve">. Negalima vartoti dvigubos dozės norint kompensuoti praleistą dozę. </w:t>
      </w: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snapToGrid w:val="0"/>
          <w:szCs w:val="22"/>
          <w:lang w:eastAsia="en-US"/>
        </w:rPr>
      </w:pPr>
      <w:r w:rsidRPr="0073430A">
        <w:rPr>
          <w:snapToGrid w:val="0"/>
          <w:szCs w:val="22"/>
          <w:lang w:eastAsia="en-US"/>
        </w:rPr>
        <w:t>Jeigu kiltų daugiau klausimų dėl šio vaisto vartojimo, kreipkitės į gydytoją, vaistininką arba slaugytoją.</w:t>
      </w: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snapToGrid w:val="0"/>
          <w:szCs w:val="22"/>
          <w:lang w:eastAsia="en-US"/>
        </w:rPr>
      </w:pPr>
    </w:p>
    <w:p w:rsidR="00DE423C" w:rsidRPr="00417275" w:rsidRDefault="00DE423C" w:rsidP="00DE423C">
      <w:pPr>
        <w:pStyle w:val="Sraopastraipa"/>
        <w:keepNext/>
        <w:numPr>
          <w:ilvl w:val="0"/>
          <w:numId w:val="2"/>
        </w:numPr>
        <w:spacing w:line="260" w:lineRule="exact"/>
        <w:ind w:right="-2"/>
      </w:pPr>
      <w:r w:rsidRPr="00417275">
        <w:rPr>
          <w:b/>
        </w:rPr>
        <w:t>Galimas šalutinis poveikis</w:t>
      </w:r>
    </w:p>
    <w:p w:rsidR="00DE423C" w:rsidRPr="0073430A" w:rsidRDefault="00DE423C" w:rsidP="00DE423C">
      <w:pPr>
        <w:numPr>
          <w:ilvl w:val="12"/>
          <w:numId w:val="0"/>
        </w:numPr>
        <w:ind w:right="-29"/>
        <w:rPr>
          <w:snapToGrid w:val="0"/>
          <w:szCs w:val="22"/>
          <w:lang w:eastAsia="en-US"/>
        </w:rPr>
      </w:pPr>
    </w:p>
    <w:p w:rsidR="00DE423C" w:rsidRPr="0073430A" w:rsidRDefault="00DE423C" w:rsidP="00DE423C">
      <w:pPr>
        <w:numPr>
          <w:ilvl w:val="12"/>
          <w:numId w:val="0"/>
        </w:numPr>
        <w:ind w:right="-29"/>
        <w:rPr>
          <w:snapToGrid w:val="0"/>
          <w:szCs w:val="22"/>
          <w:lang w:eastAsia="en-US"/>
        </w:rPr>
      </w:pPr>
      <w:r w:rsidRPr="0073430A">
        <w:rPr>
          <w:snapToGrid w:val="0"/>
          <w:szCs w:val="22"/>
          <w:lang w:eastAsia="en-US"/>
        </w:rPr>
        <w:t>Šis vaistas, kaip ir visi kiti, gali sukelti šalutinį poveikį, nors jis pasireiškia ne visiems žmonėms.</w:t>
      </w:r>
    </w:p>
    <w:p w:rsidR="00DE423C" w:rsidRPr="0073430A" w:rsidRDefault="00DE423C" w:rsidP="00DE423C">
      <w:pPr>
        <w:numPr>
          <w:ilvl w:val="12"/>
          <w:numId w:val="0"/>
        </w:numPr>
        <w:ind w:right="-2"/>
        <w:rPr>
          <w:snapToGrid w:val="0"/>
          <w:szCs w:val="22"/>
          <w:lang w:eastAsia="en-US"/>
        </w:rPr>
      </w:pPr>
    </w:p>
    <w:p w:rsidR="00DE423C" w:rsidRPr="00066CEE" w:rsidRDefault="00DE423C" w:rsidP="00DE423C">
      <w:pPr>
        <w:tabs>
          <w:tab w:val="left" w:pos="567"/>
        </w:tabs>
        <w:rPr>
          <w:szCs w:val="22"/>
        </w:rPr>
      </w:pPr>
      <w:r w:rsidRPr="00417275">
        <w:rPr>
          <w:b/>
          <w:szCs w:val="22"/>
        </w:rPr>
        <w:t>Nebevartokite cefotaksimo ir nedelsdami kreipkitės pagalbos į gydytoją, pastebėję bent vieną iš toliau nurodytų simptomų:</w:t>
      </w:r>
    </w:p>
    <w:p w:rsidR="00DE423C" w:rsidRDefault="00DE423C" w:rsidP="00DE423C">
      <w:pPr>
        <w:pStyle w:val="Pagrindinistekstas"/>
        <w:tabs>
          <w:tab w:val="left" w:pos="567"/>
        </w:tabs>
        <w:spacing w:after="0"/>
        <w:ind w:left="567" w:hanging="567"/>
        <w:rPr>
          <w:szCs w:val="22"/>
        </w:rPr>
      </w:pPr>
      <w:r w:rsidRPr="00066CEE">
        <w:rPr>
          <w:szCs w:val="22"/>
        </w:rPr>
        <w:t>-</w:t>
      </w:r>
      <w:r w:rsidRPr="00066CEE">
        <w:rPr>
          <w:szCs w:val="22"/>
        </w:rPr>
        <w:tab/>
      </w:r>
      <w:r>
        <w:rPr>
          <w:szCs w:val="22"/>
        </w:rPr>
        <w:t>Priepuoliai (nedažnas šalutinis poveikis – gali pasireikšti mažiau kaip 1 iš 100 žmonių).</w:t>
      </w:r>
    </w:p>
    <w:p w:rsidR="00DE423C" w:rsidRDefault="00DE423C" w:rsidP="00DE423C">
      <w:pPr>
        <w:pStyle w:val="Pagrindinistekstas"/>
        <w:numPr>
          <w:ilvl w:val="0"/>
          <w:numId w:val="10"/>
        </w:numPr>
        <w:tabs>
          <w:tab w:val="left" w:pos="567"/>
        </w:tabs>
        <w:spacing w:after="0"/>
        <w:ind w:left="567" w:hanging="567"/>
        <w:rPr>
          <w:szCs w:val="22"/>
        </w:rPr>
      </w:pPr>
      <w:r>
        <w:rPr>
          <w:szCs w:val="22"/>
        </w:rPr>
        <w:t>Dažnis nežinomas (dažnis negali būti apskaičiuotas pagal turimus duomenis)</w:t>
      </w:r>
    </w:p>
    <w:p w:rsidR="00DE423C" w:rsidRDefault="00DE423C" w:rsidP="00DE423C">
      <w:pPr>
        <w:pStyle w:val="Pagrindinistekstas"/>
        <w:numPr>
          <w:ilvl w:val="0"/>
          <w:numId w:val="11"/>
        </w:numPr>
        <w:tabs>
          <w:tab w:val="left" w:pos="567"/>
        </w:tabs>
        <w:spacing w:after="0"/>
        <w:ind w:left="567" w:hanging="283"/>
        <w:rPr>
          <w:szCs w:val="22"/>
        </w:rPr>
      </w:pPr>
      <w:r>
        <w:rPr>
          <w:szCs w:val="22"/>
        </w:rPr>
        <w:t>Sunki padidėjusio jautrumo reakcija iki gyvybei pavojingos alerginės reakcijos, be to, pabrinkimas (Kvinkės (</w:t>
      </w:r>
      <w:r>
        <w:rPr>
          <w:i/>
          <w:szCs w:val="22"/>
        </w:rPr>
        <w:t>Quincke</w:t>
      </w:r>
      <w:r>
        <w:rPr>
          <w:szCs w:val="22"/>
        </w:rPr>
        <w:t>) edema) ir kvėpavimo takų susiaurėjimas (bronchų spazmas)</w:t>
      </w:r>
      <w:r w:rsidRPr="00C2685E">
        <w:rPr>
          <w:szCs w:val="22"/>
        </w:rPr>
        <w:t>. J</w:t>
      </w:r>
      <w:r>
        <w:rPr>
          <w:szCs w:val="22"/>
        </w:rPr>
        <w:t>eigu pasireiškia ankštumas krūtinėje, svaigulys, negalavimas ar silpnumas, tai gali būti tokios padidėjusio jautrumo reakcijos požymis</w:t>
      </w:r>
      <w:r w:rsidRPr="00C2685E">
        <w:rPr>
          <w:szCs w:val="22"/>
        </w:rPr>
        <w:t>.</w:t>
      </w:r>
    </w:p>
    <w:p w:rsidR="00DE423C" w:rsidRDefault="00DE423C" w:rsidP="00DE423C">
      <w:pPr>
        <w:pStyle w:val="Pagrindinistekstas"/>
        <w:numPr>
          <w:ilvl w:val="0"/>
          <w:numId w:val="11"/>
        </w:numPr>
        <w:tabs>
          <w:tab w:val="left" w:pos="567"/>
        </w:tabs>
        <w:spacing w:after="0"/>
        <w:ind w:left="567" w:hanging="283"/>
        <w:rPr>
          <w:szCs w:val="22"/>
        </w:rPr>
      </w:pPr>
      <w:r>
        <w:rPr>
          <w:szCs w:val="22"/>
        </w:rPr>
        <w:t>R</w:t>
      </w:r>
      <w:r w:rsidRPr="00417275">
        <w:rPr>
          <w:szCs w:val="22"/>
        </w:rPr>
        <w:t>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w:t>
      </w:r>
      <w:r>
        <w:rPr>
          <w:szCs w:val="22"/>
        </w:rPr>
        <w:t>.</w:t>
      </w:r>
    </w:p>
    <w:p w:rsidR="00DE423C" w:rsidRDefault="00DE423C" w:rsidP="00DE423C">
      <w:pPr>
        <w:pStyle w:val="Pagrindinistekstas"/>
        <w:numPr>
          <w:ilvl w:val="0"/>
          <w:numId w:val="11"/>
        </w:numPr>
        <w:tabs>
          <w:tab w:val="left" w:pos="567"/>
        </w:tabs>
        <w:spacing w:after="0"/>
        <w:ind w:left="567" w:hanging="283"/>
        <w:rPr>
          <w:szCs w:val="22"/>
        </w:rPr>
      </w:pPr>
      <w:r>
        <w:rPr>
          <w:szCs w:val="22"/>
        </w:rPr>
        <w:t>I</w:t>
      </w:r>
      <w:r w:rsidRPr="00417275">
        <w:rPr>
          <w:szCs w:val="22"/>
        </w:rPr>
        <w:t>šplitęs išbėrimas, pakilusi kūno temperatūra ir padidėję limfmazgiai (DRESS sindromas arba padidėjusio jautrumo vaistui sindromas)</w:t>
      </w:r>
      <w:r>
        <w:rPr>
          <w:szCs w:val="22"/>
        </w:rPr>
        <w:t>.</w:t>
      </w:r>
    </w:p>
    <w:p w:rsidR="00DE423C" w:rsidRPr="00C2685E" w:rsidRDefault="00DE423C" w:rsidP="00DE423C">
      <w:pPr>
        <w:pStyle w:val="Pagrindinistekstas"/>
        <w:numPr>
          <w:ilvl w:val="0"/>
          <w:numId w:val="11"/>
        </w:numPr>
        <w:tabs>
          <w:tab w:val="left" w:pos="567"/>
        </w:tabs>
        <w:spacing w:after="0"/>
        <w:ind w:left="567" w:hanging="283"/>
        <w:rPr>
          <w:szCs w:val="22"/>
        </w:rPr>
      </w:pPr>
      <w:r>
        <w:rPr>
          <w:szCs w:val="22"/>
        </w:rPr>
        <w:t>K</w:t>
      </w:r>
      <w:r w:rsidRPr="00417275">
        <w:rPr>
          <w:szCs w:val="22"/>
        </w:rPr>
        <w:t>artu su karščiavimu pasireiškiantis raudonas, žvynuotas, išplitęs išbėrimas su poodiniais gumbeliais ir pūslelėmis; simptomai paprastai pasireiškia gydymo pradžioje (ūminė generalizuota egzanteminė pustuliozė).</w:t>
      </w:r>
    </w:p>
    <w:p w:rsidR="00DE423C" w:rsidRPr="00066CEE" w:rsidRDefault="00DE423C" w:rsidP="00DE423C">
      <w:pPr>
        <w:pStyle w:val="Pagrindinistekstas"/>
        <w:numPr>
          <w:ilvl w:val="0"/>
          <w:numId w:val="11"/>
        </w:numPr>
        <w:tabs>
          <w:tab w:val="left" w:pos="567"/>
        </w:tabs>
        <w:spacing w:after="0"/>
        <w:ind w:left="567" w:hanging="283"/>
        <w:rPr>
          <w:szCs w:val="22"/>
        </w:rPr>
      </w:pPr>
      <w:r w:rsidRPr="00C2685E">
        <w:rPr>
          <w:szCs w:val="22"/>
        </w:rPr>
        <w:t>Stiprus</w:t>
      </w:r>
      <w:r>
        <w:rPr>
          <w:szCs w:val="22"/>
        </w:rPr>
        <w:t>, nuolatinis</w:t>
      </w:r>
      <w:r w:rsidRPr="00C2685E">
        <w:rPr>
          <w:szCs w:val="22"/>
        </w:rPr>
        <w:t xml:space="preserve"> viduriavimas </w:t>
      </w:r>
      <w:r>
        <w:rPr>
          <w:szCs w:val="22"/>
        </w:rPr>
        <w:t>ar kraujas išmatose dėl galimo gyvybei pavojingo žarnų uždegimo.</w:t>
      </w:r>
    </w:p>
    <w:p w:rsidR="00DE423C" w:rsidRDefault="00DE423C" w:rsidP="00DE423C">
      <w:pPr>
        <w:numPr>
          <w:ilvl w:val="0"/>
          <w:numId w:val="11"/>
        </w:numPr>
        <w:tabs>
          <w:tab w:val="left" w:pos="567"/>
        </w:tabs>
        <w:ind w:left="567" w:hanging="283"/>
        <w:rPr>
          <w:szCs w:val="22"/>
        </w:rPr>
      </w:pPr>
      <w:r>
        <w:rPr>
          <w:szCs w:val="22"/>
        </w:rPr>
        <w:t>Raudonųjų kraujo ląstelių irimas (hemolizinė anemija), rusvai raudonos spalvos šlapimas.</w:t>
      </w:r>
    </w:p>
    <w:p w:rsidR="00DE423C" w:rsidRDefault="00DE423C" w:rsidP="00DE423C">
      <w:pPr>
        <w:numPr>
          <w:ilvl w:val="0"/>
          <w:numId w:val="11"/>
        </w:numPr>
        <w:tabs>
          <w:tab w:val="left" w:pos="567"/>
        </w:tabs>
        <w:ind w:left="567" w:hanging="283"/>
        <w:rPr>
          <w:szCs w:val="22"/>
        </w:rPr>
      </w:pPr>
      <w:r>
        <w:rPr>
          <w:szCs w:val="22"/>
        </w:rPr>
        <w:t>Ūminis inkstų nepakankamumas.</w:t>
      </w:r>
    </w:p>
    <w:p w:rsidR="00DE423C" w:rsidRPr="002C6F95" w:rsidRDefault="00DE423C" w:rsidP="00DE423C">
      <w:pPr>
        <w:tabs>
          <w:tab w:val="left" w:pos="567"/>
        </w:tabs>
        <w:rPr>
          <w:szCs w:val="22"/>
        </w:rPr>
      </w:pPr>
    </w:p>
    <w:p w:rsidR="00DE423C" w:rsidRPr="002C6F95" w:rsidRDefault="00DE423C" w:rsidP="00DE423C">
      <w:pPr>
        <w:tabs>
          <w:tab w:val="left" w:pos="567"/>
        </w:tabs>
        <w:rPr>
          <w:szCs w:val="22"/>
        </w:rPr>
      </w:pPr>
      <w:r>
        <w:rPr>
          <w:b/>
          <w:szCs w:val="22"/>
        </w:rPr>
        <w:t>Pasakykite savo</w:t>
      </w:r>
      <w:r w:rsidRPr="004E1FC7">
        <w:rPr>
          <w:b/>
          <w:szCs w:val="22"/>
        </w:rPr>
        <w:t xml:space="preserve"> gydytoj</w:t>
      </w:r>
      <w:r>
        <w:rPr>
          <w:b/>
          <w:szCs w:val="22"/>
        </w:rPr>
        <w:t>ui ar slaugytojai</w:t>
      </w:r>
      <w:r w:rsidRPr="004E1FC7">
        <w:rPr>
          <w:b/>
          <w:szCs w:val="22"/>
        </w:rPr>
        <w:t xml:space="preserve">, jeigu pastebėjote bet kurį toliau išvardytą </w:t>
      </w:r>
      <w:r>
        <w:rPr>
          <w:b/>
          <w:szCs w:val="22"/>
        </w:rPr>
        <w:t xml:space="preserve">sunkų </w:t>
      </w:r>
      <w:r w:rsidRPr="004E1FC7">
        <w:rPr>
          <w:b/>
          <w:szCs w:val="22"/>
        </w:rPr>
        <w:t>šalutinį</w:t>
      </w:r>
      <w:r>
        <w:rPr>
          <w:b/>
          <w:szCs w:val="22"/>
        </w:rPr>
        <w:t xml:space="preserve"> poveikį, kurio dažnis nežinomas </w:t>
      </w:r>
      <w:r w:rsidRPr="002C6F95">
        <w:rPr>
          <w:b/>
          <w:szCs w:val="22"/>
        </w:rPr>
        <w:t>(dažnis negali būti apskaičiuotas pagal turimus duomenis)</w:t>
      </w:r>
    </w:p>
    <w:p w:rsidR="00DE423C" w:rsidRDefault="00DE423C" w:rsidP="00DE423C">
      <w:pPr>
        <w:tabs>
          <w:tab w:val="left" w:pos="567"/>
        </w:tabs>
        <w:rPr>
          <w:szCs w:val="22"/>
        </w:rPr>
      </w:pPr>
      <w:r>
        <w:rPr>
          <w:szCs w:val="22"/>
        </w:rPr>
        <w:t>Gelta kaip galimo kepenų uždegimo požymis</w:t>
      </w:r>
    </w:p>
    <w:p w:rsidR="00DE423C" w:rsidRDefault="00DE423C" w:rsidP="00DE423C">
      <w:pPr>
        <w:tabs>
          <w:tab w:val="left" w:pos="567"/>
        </w:tabs>
        <w:rPr>
          <w:szCs w:val="22"/>
        </w:rPr>
      </w:pPr>
      <w:r>
        <w:rPr>
          <w:szCs w:val="22"/>
        </w:rPr>
        <w:t>Stiprus baltųjų kraujo ląstelių sumažėjimas (agranulocitozė), tai gali būti aptikta pagal ūminių infekcijos požymių pasireiškimą, taip uždegimą  burnos, nosies, ryklės lyties organų bei išangės srityse.</w:t>
      </w:r>
    </w:p>
    <w:p w:rsidR="00DE423C" w:rsidRDefault="00DE423C" w:rsidP="00DE423C">
      <w:pPr>
        <w:tabs>
          <w:tab w:val="left" w:pos="567"/>
        </w:tabs>
        <w:rPr>
          <w:szCs w:val="22"/>
        </w:rPr>
      </w:pPr>
      <w:r>
        <w:rPr>
          <w:szCs w:val="22"/>
        </w:rPr>
        <w:t>Stiprus visų kraujo ląstelių kiekio sumažėjimas ir kaulų čiulpų nepakankamumas. Taip pat gali pasireikšti ūminiai infekcijos ir uždegimo požymiai (žr. aukščiau), kraujavimas, kraujosruvos (dėl sumažėjusio kraujo plokštelių kiekio), nuovargis, blyškumas ar kvėpavimo išsekimas (dėl raudonųjų kraujo ląstelių kiekio sumažėjimo).</w:t>
      </w:r>
    </w:p>
    <w:p w:rsidR="00DE423C" w:rsidRDefault="00DE423C" w:rsidP="00DE423C">
      <w:pPr>
        <w:tabs>
          <w:tab w:val="left" w:pos="567"/>
        </w:tabs>
        <w:rPr>
          <w:szCs w:val="22"/>
        </w:rPr>
      </w:pPr>
    </w:p>
    <w:p w:rsidR="00DE423C" w:rsidRPr="002C6F95" w:rsidRDefault="00DE423C" w:rsidP="00DE423C">
      <w:pPr>
        <w:tabs>
          <w:tab w:val="left" w:pos="567"/>
        </w:tabs>
        <w:rPr>
          <w:szCs w:val="22"/>
        </w:rPr>
      </w:pPr>
      <w:r>
        <w:rPr>
          <w:b/>
          <w:szCs w:val="22"/>
        </w:rPr>
        <w:t>Pasakykite savo</w:t>
      </w:r>
      <w:r w:rsidRPr="004E1FC7">
        <w:rPr>
          <w:b/>
          <w:szCs w:val="22"/>
        </w:rPr>
        <w:t xml:space="preserve"> gydytoj</w:t>
      </w:r>
      <w:r>
        <w:rPr>
          <w:b/>
          <w:szCs w:val="22"/>
        </w:rPr>
        <w:t>ui ar slaugytojai</w:t>
      </w:r>
      <w:r w:rsidRPr="004E1FC7">
        <w:rPr>
          <w:b/>
          <w:szCs w:val="22"/>
        </w:rPr>
        <w:t>, jeigu bet kur</w:t>
      </w:r>
      <w:r>
        <w:rPr>
          <w:b/>
          <w:szCs w:val="22"/>
        </w:rPr>
        <w:t>is</w:t>
      </w:r>
      <w:r w:rsidRPr="004E1FC7">
        <w:rPr>
          <w:b/>
          <w:szCs w:val="22"/>
        </w:rPr>
        <w:t xml:space="preserve"> toliau išvardyt</w:t>
      </w:r>
      <w:r>
        <w:rPr>
          <w:b/>
          <w:szCs w:val="22"/>
        </w:rPr>
        <w:t>as</w:t>
      </w:r>
      <w:r w:rsidRPr="004E1FC7">
        <w:rPr>
          <w:b/>
          <w:szCs w:val="22"/>
        </w:rPr>
        <w:t xml:space="preserve"> šalutin</w:t>
      </w:r>
      <w:r>
        <w:rPr>
          <w:b/>
          <w:szCs w:val="22"/>
        </w:rPr>
        <w:t xml:space="preserve">is poveikis pasunkėja arba trunka ilgiau negu keletą dienų: </w:t>
      </w:r>
    </w:p>
    <w:p w:rsidR="00DE423C" w:rsidRPr="00066CEE" w:rsidRDefault="00DE423C" w:rsidP="00DE423C">
      <w:pPr>
        <w:pStyle w:val="Pagrindinistekstas"/>
        <w:tabs>
          <w:tab w:val="left" w:pos="567"/>
        </w:tabs>
        <w:spacing w:after="0"/>
        <w:rPr>
          <w:szCs w:val="22"/>
        </w:rPr>
      </w:pPr>
    </w:p>
    <w:p w:rsidR="00DE423C" w:rsidRPr="00066CEE" w:rsidRDefault="00DE423C" w:rsidP="00DE423C">
      <w:pPr>
        <w:pStyle w:val="Pagrindinistekstas"/>
        <w:tabs>
          <w:tab w:val="left" w:pos="567"/>
        </w:tabs>
        <w:spacing w:after="0"/>
        <w:rPr>
          <w:b/>
          <w:szCs w:val="22"/>
        </w:rPr>
      </w:pPr>
      <w:r w:rsidRPr="009019B5">
        <w:rPr>
          <w:b/>
          <w:bCs/>
          <w:noProof/>
          <w:snapToGrid w:val="0"/>
          <w:szCs w:val="22"/>
          <w:lang w:eastAsia="en-US"/>
        </w:rPr>
        <w:t xml:space="preserve">Labai dažni šalutinio poveikio reiškiniai </w:t>
      </w:r>
      <w:r w:rsidRPr="003D0E88">
        <w:rPr>
          <w:b/>
        </w:rPr>
        <w:t xml:space="preserve">(gali pasireikšti </w:t>
      </w:r>
      <w:r w:rsidRPr="009019B5">
        <w:rPr>
          <w:b/>
          <w:bCs/>
          <w:noProof/>
          <w:snapToGrid w:val="0"/>
          <w:szCs w:val="22"/>
          <w:lang w:eastAsia="en-US"/>
        </w:rPr>
        <w:t>ne rečiau</w:t>
      </w:r>
      <w:r w:rsidRPr="003D0E88">
        <w:rPr>
          <w:b/>
        </w:rPr>
        <w:t xml:space="preserve"> kaip 1 iš 10 </w:t>
      </w:r>
      <w:r w:rsidRPr="009019B5">
        <w:rPr>
          <w:b/>
          <w:bCs/>
          <w:noProof/>
          <w:snapToGrid w:val="0"/>
          <w:szCs w:val="22"/>
          <w:lang w:eastAsia="en-US"/>
        </w:rPr>
        <w:t>asmenų</w:t>
      </w:r>
      <w:r w:rsidRPr="003D0E88">
        <w:rPr>
          <w:b/>
        </w:rPr>
        <w:t>):</w:t>
      </w:r>
      <w:r w:rsidRPr="00066CEE">
        <w:rPr>
          <w:b/>
          <w:szCs w:val="22"/>
        </w:rPr>
        <w:t xml:space="preserve"> </w:t>
      </w:r>
    </w:p>
    <w:p w:rsidR="00DE423C" w:rsidRPr="00066CEE" w:rsidRDefault="00DE423C" w:rsidP="00DE423C">
      <w:pPr>
        <w:pStyle w:val="Pagrindinistekstas"/>
        <w:numPr>
          <w:ilvl w:val="0"/>
          <w:numId w:val="9"/>
        </w:numPr>
        <w:spacing w:after="0"/>
        <w:rPr>
          <w:szCs w:val="22"/>
        </w:rPr>
      </w:pPr>
      <w:r w:rsidRPr="00066CEE">
        <w:rPr>
          <w:szCs w:val="22"/>
        </w:rPr>
        <w:t>skausmas injekcijos vietoje</w:t>
      </w:r>
      <w:r>
        <w:rPr>
          <w:szCs w:val="22"/>
        </w:rPr>
        <w:t>, taip pat sukietėjimas leidimo į raumenis vietoje</w:t>
      </w:r>
      <w:r w:rsidRPr="00066CEE">
        <w:rPr>
          <w:szCs w:val="22"/>
        </w:rPr>
        <w:t>.</w:t>
      </w:r>
    </w:p>
    <w:p w:rsidR="00DE423C" w:rsidRDefault="00DE423C" w:rsidP="00DE423C">
      <w:pPr>
        <w:pStyle w:val="Pagrindinistekstas"/>
        <w:tabs>
          <w:tab w:val="left" w:pos="567"/>
        </w:tabs>
        <w:spacing w:after="0"/>
        <w:rPr>
          <w:szCs w:val="22"/>
        </w:rPr>
      </w:pPr>
    </w:p>
    <w:p w:rsidR="00DE423C" w:rsidRPr="00066CEE" w:rsidRDefault="00DE423C" w:rsidP="00DE423C">
      <w:pPr>
        <w:pStyle w:val="Pagrindinistekstas"/>
        <w:tabs>
          <w:tab w:val="left" w:pos="567"/>
        </w:tabs>
        <w:spacing w:after="0"/>
        <w:rPr>
          <w:b/>
          <w:szCs w:val="22"/>
        </w:rPr>
      </w:pPr>
      <w:r w:rsidRPr="009019B5">
        <w:rPr>
          <w:b/>
          <w:bCs/>
          <w:noProof/>
          <w:snapToGrid w:val="0"/>
          <w:szCs w:val="22"/>
          <w:lang w:eastAsia="en-US"/>
        </w:rPr>
        <w:t xml:space="preserve">Dažni šalutinio poveikio reiškiniai </w:t>
      </w:r>
      <w:r w:rsidRPr="003D0E88">
        <w:rPr>
          <w:b/>
        </w:rPr>
        <w:t xml:space="preserve">(gali pasireikšti rečiau kaip 1 iš 10 </w:t>
      </w:r>
      <w:r w:rsidRPr="009019B5">
        <w:rPr>
          <w:b/>
          <w:bCs/>
          <w:noProof/>
          <w:snapToGrid w:val="0"/>
          <w:szCs w:val="22"/>
          <w:lang w:eastAsia="en-US"/>
        </w:rPr>
        <w:t>asmenų</w:t>
      </w:r>
      <w:r w:rsidRPr="003D0E88">
        <w:rPr>
          <w:b/>
        </w:rPr>
        <w:t>):</w:t>
      </w:r>
      <w:r w:rsidRPr="00066CEE">
        <w:rPr>
          <w:b/>
          <w:szCs w:val="22"/>
        </w:rPr>
        <w:t xml:space="preserve"> </w:t>
      </w:r>
    </w:p>
    <w:p w:rsidR="00DE423C" w:rsidRDefault="00DE423C" w:rsidP="00DE423C">
      <w:pPr>
        <w:pStyle w:val="Pagrindinistekstas"/>
        <w:tabs>
          <w:tab w:val="left" w:pos="567"/>
        </w:tabs>
        <w:spacing w:after="0"/>
        <w:rPr>
          <w:szCs w:val="22"/>
        </w:rPr>
      </w:pPr>
      <w:r w:rsidRPr="00DC7AAB">
        <w:rPr>
          <w:szCs w:val="22"/>
        </w:rPr>
        <w:t>-</w:t>
      </w:r>
      <w:r w:rsidRPr="00DC7AAB">
        <w:rPr>
          <w:szCs w:val="22"/>
        </w:rPr>
        <w:tab/>
        <w:t>s</w:t>
      </w:r>
      <w:r>
        <w:rPr>
          <w:szCs w:val="22"/>
        </w:rPr>
        <w:t>ąnarių problemos (pvz., pabrinkimas).</w:t>
      </w:r>
    </w:p>
    <w:p w:rsidR="00DE423C" w:rsidRPr="00DC7AAB" w:rsidRDefault="00DE423C" w:rsidP="00DE423C">
      <w:pPr>
        <w:pStyle w:val="Pagrindinistekstas"/>
        <w:tabs>
          <w:tab w:val="left" w:pos="567"/>
        </w:tabs>
        <w:spacing w:after="0"/>
        <w:rPr>
          <w:szCs w:val="22"/>
        </w:rPr>
      </w:pPr>
    </w:p>
    <w:p w:rsidR="00DE423C" w:rsidRPr="00066CEE" w:rsidRDefault="00DE423C" w:rsidP="00DE423C">
      <w:pPr>
        <w:pStyle w:val="Pagrindinistekstas"/>
        <w:tabs>
          <w:tab w:val="left" w:pos="567"/>
        </w:tabs>
        <w:spacing w:after="0"/>
        <w:rPr>
          <w:szCs w:val="22"/>
        </w:rPr>
      </w:pPr>
      <w:r w:rsidRPr="009019B5">
        <w:rPr>
          <w:b/>
          <w:bCs/>
          <w:noProof/>
          <w:snapToGrid w:val="0"/>
          <w:szCs w:val="22"/>
          <w:lang w:eastAsia="en-US"/>
        </w:rPr>
        <w:t>Nedažni šalutinio poveikio reiškiniai</w:t>
      </w:r>
      <w:r w:rsidRPr="003D0E88">
        <w:rPr>
          <w:b/>
        </w:rPr>
        <w:t xml:space="preserve"> (gali pasireikšti rečiau kaip 1 iš 100 </w:t>
      </w:r>
      <w:r w:rsidRPr="009019B5">
        <w:rPr>
          <w:b/>
          <w:bCs/>
          <w:noProof/>
          <w:snapToGrid w:val="0"/>
          <w:szCs w:val="22"/>
          <w:lang w:eastAsia="en-US"/>
        </w:rPr>
        <w:t>asmenų</w:t>
      </w:r>
      <w:r w:rsidRPr="003D0E88">
        <w:rPr>
          <w:b/>
        </w:rPr>
        <w:t>):</w:t>
      </w:r>
    </w:p>
    <w:p w:rsidR="00DE423C" w:rsidRPr="00066CEE" w:rsidRDefault="00DE423C" w:rsidP="00DE423C">
      <w:pPr>
        <w:pStyle w:val="Pagrindinistekstas"/>
        <w:tabs>
          <w:tab w:val="left" w:pos="567"/>
        </w:tabs>
        <w:spacing w:after="0"/>
        <w:rPr>
          <w:szCs w:val="22"/>
        </w:rPr>
      </w:pPr>
      <w:r w:rsidRPr="00066CEE">
        <w:rPr>
          <w:szCs w:val="22"/>
        </w:rPr>
        <w:t>-</w:t>
      </w:r>
      <w:r w:rsidRPr="00066CEE">
        <w:rPr>
          <w:szCs w:val="22"/>
        </w:rPr>
        <w:tab/>
      </w:r>
      <w:r>
        <w:rPr>
          <w:szCs w:val="22"/>
        </w:rPr>
        <w:t>padidėjęs eozinofilų kiekis kraujyje (eozinofilija);</w:t>
      </w:r>
    </w:p>
    <w:p w:rsidR="00DE423C" w:rsidRPr="00066CEE" w:rsidRDefault="00DE423C" w:rsidP="00DE423C">
      <w:pPr>
        <w:pStyle w:val="Pagrindinistekstas"/>
        <w:tabs>
          <w:tab w:val="left" w:pos="567"/>
        </w:tabs>
        <w:spacing w:after="0"/>
        <w:ind w:left="567" w:hanging="567"/>
        <w:rPr>
          <w:szCs w:val="22"/>
        </w:rPr>
      </w:pPr>
      <w:r w:rsidRPr="00066CEE">
        <w:rPr>
          <w:szCs w:val="22"/>
        </w:rPr>
        <w:t>-</w:t>
      </w:r>
      <w:r w:rsidRPr="00066CEE">
        <w:rPr>
          <w:szCs w:val="22"/>
        </w:rPr>
        <w:tab/>
      </w:r>
      <w:r>
        <w:rPr>
          <w:szCs w:val="22"/>
        </w:rPr>
        <w:t>sumažėjęs kraujo plokštelių (trombocitų) ir tam tirų baltųjų kraujo ląstelių kiekis (leukopenija, granulocitopenija) kraujyje</w:t>
      </w:r>
      <w:r w:rsidRPr="00066CEE">
        <w:rPr>
          <w:szCs w:val="22"/>
        </w:rPr>
        <w:t>;</w:t>
      </w:r>
    </w:p>
    <w:p w:rsidR="00DE423C" w:rsidRDefault="00DE423C" w:rsidP="00DE423C">
      <w:pPr>
        <w:tabs>
          <w:tab w:val="left" w:pos="567"/>
        </w:tabs>
        <w:rPr>
          <w:szCs w:val="22"/>
          <w:lang w:eastAsia="en-US"/>
        </w:rPr>
      </w:pPr>
      <w:r w:rsidRPr="00066CEE">
        <w:rPr>
          <w:szCs w:val="22"/>
        </w:rPr>
        <w:t>-</w:t>
      </w:r>
      <w:r w:rsidRPr="00066CEE">
        <w:rPr>
          <w:szCs w:val="22"/>
        </w:rPr>
        <w:tab/>
      </w:r>
      <w:r w:rsidRPr="00F8002C">
        <w:rPr>
          <w:szCs w:val="22"/>
          <w:lang w:eastAsia="en-US"/>
        </w:rPr>
        <w:t>Jarišo</w:t>
      </w:r>
      <w:r>
        <w:rPr>
          <w:szCs w:val="22"/>
          <w:lang w:eastAsia="en-US"/>
        </w:rPr>
        <w:t>-</w:t>
      </w:r>
      <w:r w:rsidRPr="00F8002C">
        <w:rPr>
          <w:szCs w:val="22"/>
          <w:lang w:eastAsia="en-US"/>
        </w:rPr>
        <w:t>Herksheimerio (</w:t>
      </w:r>
      <w:r w:rsidRPr="00C42278">
        <w:rPr>
          <w:i/>
          <w:szCs w:val="22"/>
          <w:lang w:eastAsia="en-US"/>
        </w:rPr>
        <w:t>Jarisch–Herxheimer</w:t>
      </w:r>
      <w:r w:rsidRPr="00F8002C">
        <w:rPr>
          <w:szCs w:val="22"/>
          <w:lang w:eastAsia="en-US"/>
        </w:rPr>
        <w:t>) reakcija</w:t>
      </w:r>
      <w:r>
        <w:rPr>
          <w:szCs w:val="22"/>
          <w:lang w:eastAsia="en-US"/>
        </w:rPr>
        <w:t xml:space="preserve"> (žr. paaiškinimą žemiau);</w:t>
      </w:r>
    </w:p>
    <w:p w:rsidR="00DE423C" w:rsidRDefault="00DE423C" w:rsidP="00DE423C">
      <w:pPr>
        <w:numPr>
          <w:ilvl w:val="0"/>
          <w:numId w:val="10"/>
        </w:numPr>
        <w:tabs>
          <w:tab w:val="left" w:pos="567"/>
        </w:tabs>
        <w:ind w:left="567" w:hanging="567"/>
        <w:rPr>
          <w:szCs w:val="22"/>
        </w:rPr>
      </w:pPr>
      <w:r>
        <w:rPr>
          <w:szCs w:val="22"/>
        </w:rPr>
        <w:t>viduriavimas;</w:t>
      </w:r>
    </w:p>
    <w:p w:rsidR="00DE423C" w:rsidRPr="00066CEE" w:rsidRDefault="00DE423C" w:rsidP="00DE423C">
      <w:pPr>
        <w:numPr>
          <w:ilvl w:val="0"/>
          <w:numId w:val="10"/>
        </w:numPr>
        <w:tabs>
          <w:tab w:val="left" w:pos="567"/>
        </w:tabs>
        <w:ind w:left="567" w:hanging="567"/>
        <w:rPr>
          <w:szCs w:val="22"/>
        </w:rPr>
      </w:pPr>
      <w:r>
        <w:rPr>
          <w:szCs w:val="22"/>
        </w:rPr>
        <w:t>apetito netekimas</w:t>
      </w:r>
      <w:r w:rsidRPr="00066CEE">
        <w:rPr>
          <w:szCs w:val="22"/>
        </w:rPr>
        <w:t>;</w:t>
      </w:r>
    </w:p>
    <w:p w:rsidR="00DE423C" w:rsidRPr="00066CEE" w:rsidRDefault="00DE423C" w:rsidP="00DE423C">
      <w:pPr>
        <w:tabs>
          <w:tab w:val="left" w:pos="567"/>
        </w:tabs>
        <w:ind w:left="567" w:hanging="567"/>
        <w:rPr>
          <w:szCs w:val="22"/>
        </w:rPr>
      </w:pPr>
      <w:r w:rsidRPr="00066CEE">
        <w:rPr>
          <w:szCs w:val="22"/>
        </w:rPr>
        <w:t>-</w:t>
      </w:r>
      <w:r w:rsidRPr="00066CEE">
        <w:rPr>
          <w:szCs w:val="22"/>
        </w:rPr>
        <w:tab/>
      </w:r>
      <w:r>
        <w:rPr>
          <w:szCs w:val="22"/>
          <w:lang w:eastAsia="en-US"/>
        </w:rPr>
        <w:t>p</w:t>
      </w:r>
      <w:r w:rsidRPr="0073430A">
        <w:rPr>
          <w:szCs w:val="22"/>
          <w:lang w:eastAsia="en-US"/>
        </w:rPr>
        <w:t xml:space="preserve">adidėjęs bilirubino kiekis </w:t>
      </w:r>
      <w:r>
        <w:rPr>
          <w:szCs w:val="22"/>
          <w:lang w:eastAsia="en-US"/>
        </w:rPr>
        <w:t xml:space="preserve">(tulžies pigmentas kraujyje) ir (arba) </w:t>
      </w:r>
      <w:r w:rsidRPr="0073430A">
        <w:rPr>
          <w:szCs w:val="22"/>
          <w:lang w:eastAsia="en-US"/>
        </w:rPr>
        <w:t>kepenų fermentų (</w:t>
      </w:r>
      <w:r>
        <w:rPr>
          <w:szCs w:val="22"/>
          <w:lang w:eastAsia="en-US"/>
        </w:rPr>
        <w:t>SGOT</w:t>
      </w:r>
      <w:r w:rsidRPr="0073430A">
        <w:rPr>
          <w:szCs w:val="22"/>
          <w:lang w:eastAsia="en-US"/>
        </w:rPr>
        <w:t xml:space="preserve">, </w:t>
      </w:r>
      <w:r>
        <w:rPr>
          <w:szCs w:val="22"/>
          <w:lang w:eastAsia="en-US"/>
        </w:rPr>
        <w:t>SGPT</w:t>
      </w:r>
      <w:r w:rsidRPr="0073430A">
        <w:rPr>
          <w:szCs w:val="22"/>
          <w:lang w:eastAsia="en-US"/>
        </w:rPr>
        <w:t>, gama-GT</w:t>
      </w:r>
      <w:r>
        <w:rPr>
          <w:szCs w:val="22"/>
          <w:lang w:eastAsia="en-US"/>
        </w:rPr>
        <w:t>,</w:t>
      </w:r>
      <w:r w:rsidRPr="0073430A">
        <w:rPr>
          <w:szCs w:val="22"/>
          <w:lang w:eastAsia="en-US"/>
        </w:rPr>
        <w:t xml:space="preserve"> šarminės fosfatazės) aktyvumas </w:t>
      </w:r>
      <w:r>
        <w:rPr>
          <w:szCs w:val="22"/>
          <w:lang w:eastAsia="en-US"/>
        </w:rPr>
        <w:t>kraujo serume</w:t>
      </w:r>
      <w:r w:rsidRPr="00066CEE">
        <w:rPr>
          <w:szCs w:val="22"/>
        </w:rPr>
        <w:t>;</w:t>
      </w:r>
    </w:p>
    <w:p w:rsidR="00DE423C" w:rsidRPr="00066CEE" w:rsidRDefault="00DE423C" w:rsidP="00DE423C">
      <w:pPr>
        <w:pStyle w:val="Pagrindinistekstas"/>
        <w:tabs>
          <w:tab w:val="left" w:pos="567"/>
        </w:tabs>
        <w:spacing w:after="0"/>
        <w:rPr>
          <w:szCs w:val="22"/>
        </w:rPr>
      </w:pPr>
      <w:r w:rsidRPr="00066CEE">
        <w:rPr>
          <w:szCs w:val="22"/>
        </w:rPr>
        <w:t>-</w:t>
      </w:r>
      <w:r w:rsidRPr="00066CEE">
        <w:rPr>
          <w:szCs w:val="22"/>
        </w:rPr>
        <w:tab/>
      </w:r>
      <w:r>
        <w:rPr>
          <w:szCs w:val="22"/>
        </w:rPr>
        <w:t>alerginės reakcijos išbėrimo, niežulio dilgėlinės pavidalu;</w:t>
      </w:r>
    </w:p>
    <w:p w:rsidR="00DE423C" w:rsidRDefault="00DE423C" w:rsidP="00DE423C">
      <w:pPr>
        <w:tabs>
          <w:tab w:val="left" w:pos="567"/>
        </w:tabs>
        <w:rPr>
          <w:szCs w:val="22"/>
        </w:rPr>
      </w:pPr>
      <w:r w:rsidRPr="00066CEE">
        <w:rPr>
          <w:szCs w:val="22"/>
        </w:rPr>
        <w:t>-</w:t>
      </w:r>
      <w:r w:rsidRPr="00066CEE">
        <w:rPr>
          <w:szCs w:val="22"/>
        </w:rPr>
        <w:tab/>
      </w:r>
      <w:r>
        <w:rPr>
          <w:szCs w:val="22"/>
        </w:rPr>
        <w:t xml:space="preserve">susilpnėjusi inkstų funkcija, pvz., padidėjusi kreatinino ir šlapalo koncentracija kraujo serume; </w:t>
      </w:r>
    </w:p>
    <w:p w:rsidR="00DE423C" w:rsidRPr="00066CEE" w:rsidRDefault="00DE423C" w:rsidP="00DE423C">
      <w:pPr>
        <w:numPr>
          <w:ilvl w:val="0"/>
          <w:numId w:val="12"/>
        </w:numPr>
        <w:tabs>
          <w:tab w:val="left" w:pos="567"/>
        </w:tabs>
        <w:ind w:left="567" w:hanging="567"/>
        <w:rPr>
          <w:szCs w:val="22"/>
        </w:rPr>
      </w:pPr>
      <w:r w:rsidRPr="00066CEE">
        <w:rPr>
          <w:szCs w:val="22"/>
        </w:rPr>
        <w:t>karščiavimas;</w:t>
      </w:r>
    </w:p>
    <w:p w:rsidR="00DE423C" w:rsidRPr="00066CEE" w:rsidRDefault="00DE423C" w:rsidP="00DE423C">
      <w:pPr>
        <w:tabs>
          <w:tab w:val="left" w:pos="567"/>
        </w:tabs>
        <w:rPr>
          <w:szCs w:val="22"/>
        </w:rPr>
      </w:pPr>
      <w:r w:rsidRPr="00066CEE">
        <w:rPr>
          <w:szCs w:val="22"/>
        </w:rPr>
        <w:t>-</w:t>
      </w:r>
      <w:r w:rsidRPr="00066CEE">
        <w:rPr>
          <w:szCs w:val="22"/>
        </w:rPr>
        <w:tab/>
        <w:t>uždegiminės reakcijos injekcijos vietoje</w:t>
      </w:r>
      <w:r>
        <w:rPr>
          <w:szCs w:val="22"/>
        </w:rPr>
        <w:t xml:space="preserve"> iki venos uždegimo (</w:t>
      </w:r>
      <w:r w:rsidRPr="00066CEE">
        <w:rPr>
          <w:szCs w:val="22"/>
        </w:rPr>
        <w:t>flebit</w:t>
      </w:r>
      <w:r>
        <w:rPr>
          <w:szCs w:val="22"/>
        </w:rPr>
        <w:t>o</w:t>
      </w:r>
      <w:r w:rsidRPr="00066CEE">
        <w:rPr>
          <w:szCs w:val="22"/>
        </w:rPr>
        <w:t>/ tromboflebit</w:t>
      </w:r>
      <w:r>
        <w:rPr>
          <w:szCs w:val="22"/>
        </w:rPr>
        <w:t>o).</w:t>
      </w:r>
      <w:r w:rsidRPr="00066CEE">
        <w:rPr>
          <w:szCs w:val="22"/>
        </w:rPr>
        <w:t xml:space="preserve"> </w:t>
      </w:r>
    </w:p>
    <w:p w:rsidR="00DE423C" w:rsidRDefault="00DE423C" w:rsidP="00DE423C">
      <w:pPr>
        <w:pStyle w:val="Pagrindinistekstas"/>
        <w:tabs>
          <w:tab w:val="left" w:pos="567"/>
        </w:tabs>
        <w:spacing w:after="0"/>
        <w:rPr>
          <w:b/>
          <w:szCs w:val="22"/>
        </w:rPr>
      </w:pPr>
    </w:p>
    <w:p w:rsidR="00DE423C" w:rsidRPr="00066CEE" w:rsidRDefault="00DE423C" w:rsidP="00DE423C">
      <w:pPr>
        <w:pStyle w:val="Pagrindinistekstas"/>
        <w:tabs>
          <w:tab w:val="left" w:pos="567"/>
        </w:tabs>
        <w:spacing w:after="0"/>
        <w:rPr>
          <w:b/>
          <w:szCs w:val="22"/>
        </w:rPr>
      </w:pPr>
      <w:r w:rsidRPr="009019B5">
        <w:rPr>
          <w:b/>
          <w:bCs/>
          <w:noProof/>
          <w:snapToGrid w:val="0"/>
          <w:szCs w:val="22"/>
          <w:lang w:eastAsia="en-US"/>
        </w:rPr>
        <w:t xml:space="preserve">Šalutinio poveikio reiškiniai, kurių dažnis nežinomas </w:t>
      </w:r>
      <w:r w:rsidRPr="003D0E88">
        <w:rPr>
          <w:b/>
        </w:rPr>
        <w:t>(negali būti apskaičiuotas pagal turimus duomenis</w:t>
      </w:r>
      <w:r w:rsidRPr="009019B5">
        <w:rPr>
          <w:b/>
          <w:bCs/>
          <w:noProof/>
          <w:snapToGrid w:val="0"/>
          <w:szCs w:val="22"/>
          <w:lang w:eastAsia="en-US"/>
        </w:rPr>
        <w:t>):</w:t>
      </w:r>
    </w:p>
    <w:p w:rsidR="00DE423C" w:rsidRDefault="00DE423C" w:rsidP="00DE423C">
      <w:pPr>
        <w:tabs>
          <w:tab w:val="left" w:pos="567"/>
        </w:tabs>
        <w:rPr>
          <w:szCs w:val="22"/>
        </w:rPr>
      </w:pPr>
      <w:r w:rsidRPr="00066CEE">
        <w:rPr>
          <w:szCs w:val="22"/>
        </w:rPr>
        <w:t>-</w:t>
      </w:r>
      <w:r w:rsidRPr="00066CEE">
        <w:rPr>
          <w:szCs w:val="22"/>
        </w:rPr>
        <w:tab/>
      </w:r>
      <w:r>
        <w:rPr>
          <w:szCs w:val="22"/>
        </w:rPr>
        <w:t>bakterijų ar grybelių sukelta antrinė infekcija (pvz., burnoje ar makštyje);</w:t>
      </w:r>
    </w:p>
    <w:p w:rsidR="00DE423C" w:rsidRPr="00066CEE" w:rsidRDefault="00DE423C" w:rsidP="00DE423C">
      <w:pPr>
        <w:tabs>
          <w:tab w:val="left" w:pos="567"/>
        </w:tabs>
        <w:rPr>
          <w:szCs w:val="22"/>
        </w:rPr>
      </w:pPr>
      <w:r w:rsidRPr="00066CEE">
        <w:rPr>
          <w:szCs w:val="22"/>
        </w:rPr>
        <w:t>-</w:t>
      </w:r>
      <w:r w:rsidRPr="00066CEE">
        <w:rPr>
          <w:szCs w:val="22"/>
        </w:rPr>
        <w:tab/>
      </w:r>
      <w:r>
        <w:rPr>
          <w:szCs w:val="22"/>
        </w:rPr>
        <w:t>sumažėjęs tam tikrų baltųjų kraujo ląstelių kiekis (neutropenija)</w:t>
      </w:r>
      <w:r w:rsidRPr="00066CEE">
        <w:rPr>
          <w:szCs w:val="22"/>
        </w:rPr>
        <w:t>;</w:t>
      </w:r>
    </w:p>
    <w:p w:rsidR="00DE423C" w:rsidRPr="00066CEE" w:rsidRDefault="00DE423C" w:rsidP="00DE423C">
      <w:pPr>
        <w:tabs>
          <w:tab w:val="left" w:pos="567"/>
        </w:tabs>
        <w:rPr>
          <w:szCs w:val="22"/>
        </w:rPr>
      </w:pPr>
      <w:r w:rsidRPr="00066CEE">
        <w:rPr>
          <w:szCs w:val="22"/>
        </w:rPr>
        <w:t>-</w:t>
      </w:r>
      <w:r w:rsidRPr="00066CEE">
        <w:rPr>
          <w:szCs w:val="22"/>
        </w:rPr>
        <w:tab/>
      </w:r>
      <w:r>
        <w:rPr>
          <w:szCs w:val="22"/>
        </w:rPr>
        <w:t>tachikardija, širdies aritmija, (po greito suleidimo per centrinę venos prieigą)</w:t>
      </w:r>
      <w:r w:rsidRPr="00066CEE">
        <w:rPr>
          <w:szCs w:val="22"/>
        </w:rPr>
        <w:t>;</w:t>
      </w:r>
    </w:p>
    <w:p w:rsidR="00DE423C" w:rsidRDefault="00DE423C" w:rsidP="00DE423C">
      <w:pPr>
        <w:pStyle w:val="Pagrindinistekstas"/>
        <w:tabs>
          <w:tab w:val="left" w:pos="567"/>
        </w:tabs>
        <w:spacing w:after="0"/>
        <w:ind w:left="540" w:hanging="540"/>
        <w:rPr>
          <w:szCs w:val="22"/>
        </w:rPr>
      </w:pPr>
      <w:r w:rsidRPr="00066CEE">
        <w:rPr>
          <w:szCs w:val="22"/>
        </w:rPr>
        <w:t>-</w:t>
      </w:r>
      <w:r w:rsidRPr="00066CEE">
        <w:rPr>
          <w:szCs w:val="22"/>
        </w:rPr>
        <w:tab/>
      </w:r>
      <w:r>
        <w:rPr>
          <w:szCs w:val="22"/>
        </w:rPr>
        <w:t>centrinės nervų sistemos sujaudinimas, sąmonės pritemimas, sumišimas, judesių sutrikimai, raumenų trūkčiojimas (encefalopatijos simptomai, ypač vartojant didelėmis dozėmis, perdozavus ir inkstų funkcijos susilpnėjimo atveju);</w:t>
      </w:r>
    </w:p>
    <w:p w:rsidR="00DE423C" w:rsidRPr="00066CEE" w:rsidRDefault="00DE423C" w:rsidP="00DE423C">
      <w:pPr>
        <w:pStyle w:val="Pagrindinistekstas"/>
        <w:tabs>
          <w:tab w:val="left" w:pos="567"/>
        </w:tabs>
        <w:spacing w:after="0"/>
        <w:rPr>
          <w:szCs w:val="22"/>
        </w:rPr>
      </w:pPr>
      <w:r w:rsidRPr="00066CEE">
        <w:rPr>
          <w:szCs w:val="22"/>
        </w:rPr>
        <w:t>-</w:t>
      </w:r>
      <w:r w:rsidRPr="00066CEE">
        <w:rPr>
          <w:szCs w:val="22"/>
        </w:rPr>
        <w:tab/>
      </w:r>
      <w:r>
        <w:rPr>
          <w:szCs w:val="22"/>
        </w:rPr>
        <w:t>galvos skausmas</w:t>
      </w:r>
      <w:r w:rsidRPr="00066CEE">
        <w:rPr>
          <w:szCs w:val="22"/>
        </w:rPr>
        <w:t>;</w:t>
      </w:r>
    </w:p>
    <w:p w:rsidR="00DE423C" w:rsidRDefault="00DE423C" w:rsidP="00DE423C">
      <w:pPr>
        <w:tabs>
          <w:tab w:val="left" w:pos="567"/>
        </w:tabs>
        <w:rPr>
          <w:szCs w:val="22"/>
        </w:rPr>
      </w:pPr>
      <w:r w:rsidRPr="00066CEE">
        <w:rPr>
          <w:szCs w:val="22"/>
        </w:rPr>
        <w:t>-</w:t>
      </w:r>
      <w:r w:rsidRPr="00066CEE">
        <w:rPr>
          <w:szCs w:val="22"/>
        </w:rPr>
        <w:tab/>
      </w:r>
      <w:r>
        <w:rPr>
          <w:szCs w:val="22"/>
        </w:rPr>
        <w:t>svaigulys;</w:t>
      </w:r>
    </w:p>
    <w:p w:rsidR="00DE423C" w:rsidRPr="00066CEE" w:rsidRDefault="00DE423C" w:rsidP="00DE423C">
      <w:pPr>
        <w:tabs>
          <w:tab w:val="left" w:pos="567"/>
        </w:tabs>
        <w:rPr>
          <w:szCs w:val="22"/>
        </w:rPr>
      </w:pPr>
      <w:r w:rsidRPr="00066CEE">
        <w:rPr>
          <w:szCs w:val="22"/>
        </w:rPr>
        <w:t xml:space="preserve"> -</w:t>
      </w:r>
      <w:r w:rsidRPr="00066CEE">
        <w:rPr>
          <w:szCs w:val="22"/>
        </w:rPr>
        <w:tab/>
      </w:r>
      <w:r>
        <w:rPr>
          <w:szCs w:val="22"/>
        </w:rPr>
        <w:t>pykinimas, vėmimas, pilvo skausmas;</w:t>
      </w:r>
    </w:p>
    <w:p w:rsidR="00DE423C" w:rsidRPr="00066CEE" w:rsidRDefault="00DE423C" w:rsidP="00DE423C">
      <w:pPr>
        <w:pStyle w:val="Pagrindinistekstas"/>
        <w:tabs>
          <w:tab w:val="left" w:pos="567"/>
        </w:tabs>
        <w:spacing w:after="0"/>
        <w:rPr>
          <w:szCs w:val="22"/>
        </w:rPr>
      </w:pPr>
      <w:r w:rsidRPr="00066CEE">
        <w:rPr>
          <w:szCs w:val="22"/>
        </w:rPr>
        <w:t>-</w:t>
      </w:r>
      <w:r w:rsidRPr="00066CEE">
        <w:rPr>
          <w:szCs w:val="22"/>
        </w:rPr>
        <w:tab/>
      </w:r>
      <w:r>
        <w:rPr>
          <w:szCs w:val="22"/>
        </w:rPr>
        <w:t>inkstų uždegimas (intersticinis nefritas)</w:t>
      </w:r>
      <w:r w:rsidRPr="00066CEE">
        <w:rPr>
          <w:szCs w:val="22"/>
        </w:rPr>
        <w:t>;</w:t>
      </w:r>
    </w:p>
    <w:p w:rsidR="00DE423C" w:rsidRPr="00066CEE" w:rsidRDefault="00DE423C" w:rsidP="00DE423C">
      <w:pPr>
        <w:tabs>
          <w:tab w:val="left" w:pos="567"/>
        </w:tabs>
        <w:ind w:left="567" w:hanging="567"/>
        <w:rPr>
          <w:b/>
          <w:szCs w:val="22"/>
        </w:rPr>
      </w:pPr>
      <w:r w:rsidRPr="00066CEE">
        <w:rPr>
          <w:szCs w:val="22"/>
        </w:rPr>
        <w:t>-</w:t>
      </w:r>
      <w:r w:rsidRPr="00066CEE">
        <w:rPr>
          <w:szCs w:val="22"/>
        </w:rPr>
        <w:tab/>
      </w:r>
      <w:r>
        <w:rPr>
          <w:szCs w:val="22"/>
        </w:rPr>
        <w:t>netoleravimo reakcijos karščio pojūčio ar pykinimo forma, susijusios su greitesniu suleidimu į veną</w:t>
      </w:r>
      <w:r w:rsidRPr="00066CEE">
        <w:rPr>
          <w:szCs w:val="22"/>
        </w:rPr>
        <w:t>.</w:t>
      </w:r>
    </w:p>
    <w:p w:rsidR="00DE423C" w:rsidRDefault="00DE423C" w:rsidP="00DE423C">
      <w:pPr>
        <w:pStyle w:val="Pagrindinistekstas"/>
        <w:tabs>
          <w:tab w:val="left" w:pos="567"/>
        </w:tabs>
        <w:spacing w:after="0"/>
        <w:rPr>
          <w:szCs w:val="22"/>
          <w:lang w:eastAsia="en-US"/>
        </w:rPr>
      </w:pPr>
    </w:p>
    <w:p w:rsidR="00DE423C" w:rsidRPr="001B7DA5" w:rsidRDefault="00DE423C" w:rsidP="00DE423C">
      <w:pPr>
        <w:pStyle w:val="Pagrindinistekstas"/>
        <w:tabs>
          <w:tab w:val="left" w:pos="567"/>
        </w:tabs>
        <w:spacing w:after="0"/>
        <w:rPr>
          <w:b/>
          <w:szCs w:val="22"/>
        </w:rPr>
      </w:pPr>
      <w:r w:rsidRPr="001B7DA5">
        <w:rPr>
          <w:b/>
          <w:szCs w:val="22"/>
          <w:lang w:eastAsia="en-US"/>
        </w:rPr>
        <w:t>Jarišo-Herksheimerio (</w:t>
      </w:r>
      <w:r w:rsidRPr="00C42278">
        <w:rPr>
          <w:b/>
          <w:i/>
          <w:szCs w:val="22"/>
          <w:lang w:eastAsia="en-US"/>
        </w:rPr>
        <w:t>Jarisch–Herxheimer</w:t>
      </w:r>
      <w:r w:rsidRPr="001B7DA5">
        <w:rPr>
          <w:b/>
          <w:szCs w:val="22"/>
          <w:lang w:eastAsia="en-US"/>
        </w:rPr>
        <w:t>) reakcija</w:t>
      </w:r>
    </w:p>
    <w:p w:rsidR="00DE423C" w:rsidRDefault="00DE423C" w:rsidP="00DE423C">
      <w:pPr>
        <w:tabs>
          <w:tab w:val="left" w:pos="0"/>
        </w:tabs>
        <w:spacing w:line="260" w:lineRule="exact"/>
        <w:rPr>
          <w:szCs w:val="22"/>
          <w:lang w:eastAsia="en-US"/>
        </w:rPr>
      </w:pPr>
      <w:r>
        <w:rPr>
          <w:szCs w:val="22"/>
          <w:lang w:eastAsia="en-US"/>
        </w:rPr>
        <w:t>Pradedant gydyti</w:t>
      </w:r>
      <w:r w:rsidRPr="0073430A">
        <w:rPr>
          <w:szCs w:val="22"/>
          <w:lang w:eastAsia="en-US"/>
        </w:rPr>
        <w:t xml:space="preserve"> </w:t>
      </w:r>
      <w:r>
        <w:rPr>
          <w:szCs w:val="22"/>
          <w:lang w:eastAsia="en-US"/>
        </w:rPr>
        <w:t xml:space="preserve">nuo spirochetų sukeltos infekcijos (pvz., Laimo ligos) Jums gali pasireikšti karščiavimas, drebulys, galvos skausmas ir sąnarių skausmas. Po kelių savaičių gydymo nuo Laimo ligos, buvo pranešta apie vieną ar daugiau šių simptomų: </w:t>
      </w:r>
      <w:r w:rsidRPr="0073430A">
        <w:rPr>
          <w:szCs w:val="22"/>
          <w:lang w:eastAsia="en-US"/>
        </w:rPr>
        <w:t xml:space="preserve">odos </w:t>
      </w:r>
      <w:r>
        <w:rPr>
          <w:szCs w:val="22"/>
          <w:lang w:eastAsia="en-US"/>
        </w:rPr>
        <w:t>iš</w:t>
      </w:r>
      <w:r w:rsidRPr="0073430A">
        <w:rPr>
          <w:szCs w:val="22"/>
          <w:lang w:eastAsia="en-US"/>
        </w:rPr>
        <w:t>bėrim</w:t>
      </w:r>
      <w:r>
        <w:rPr>
          <w:szCs w:val="22"/>
          <w:lang w:eastAsia="en-US"/>
        </w:rPr>
        <w:t>ą</w:t>
      </w:r>
      <w:r w:rsidRPr="0073430A">
        <w:rPr>
          <w:szCs w:val="22"/>
          <w:lang w:eastAsia="en-US"/>
        </w:rPr>
        <w:t>, niežėjim</w:t>
      </w:r>
      <w:r>
        <w:rPr>
          <w:szCs w:val="22"/>
          <w:lang w:eastAsia="en-US"/>
        </w:rPr>
        <w:t>ą</w:t>
      </w:r>
      <w:r w:rsidRPr="0073430A">
        <w:rPr>
          <w:szCs w:val="22"/>
          <w:lang w:eastAsia="en-US"/>
        </w:rPr>
        <w:t>, karščiavim</w:t>
      </w:r>
      <w:r>
        <w:rPr>
          <w:szCs w:val="22"/>
          <w:lang w:eastAsia="en-US"/>
        </w:rPr>
        <w:t>ą</w:t>
      </w:r>
      <w:r w:rsidRPr="0073430A">
        <w:rPr>
          <w:szCs w:val="22"/>
          <w:lang w:eastAsia="en-US"/>
        </w:rPr>
        <w:t xml:space="preserve">, </w:t>
      </w:r>
      <w:r>
        <w:rPr>
          <w:szCs w:val="22"/>
          <w:lang w:eastAsia="en-US"/>
        </w:rPr>
        <w:t>baltųjų kraujo ląstelių kiekio sumažėjimą</w:t>
      </w:r>
      <w:r w:rsidRPr="0073430A">
        <w:rPr>
          <w:szCs w:val="22"/>
          <w:lang w:eastAsia="en-US"/>
        </w:rPr>
        <w:t>, kepenų fermentų aktyvum</w:t>
      </w:r>
      <w:r>
        <w:rPr>
          <w:szCs w:val="22"/>
          <w:lang w:eastAsia="en-US"/>
        </w:rPr>
        <w:t>o padidėjimą</w:t>
      </w:r>
      <w:r w:rsidRPr="0073430A">
        <w:rPr>
          <w:szCs w:val="22"/>
          <w:lang w:eastAsia="en-US"/>
        </w:rPr>
        <w:t>, kvėpavim</w:t>
      </w:r>
      <w:r>
        <w:rPr>
          <w:szCs w:val="22"/>
          <w:lang w:eastAsia="en-US"/>
        </w:rPr>
        <w:t>o sunkumus</w:t>
      </w:r>
      <w:r w:rsidRPr="0073430A">
        <w:rPr>
          <w:szCs w:val="22"/>
          <w:lang w:eastAsia="en-US"/>
        </w:rPr>
        <w:t>, sąnari</w:t>
      </w:r>
      <w:r>
        <w:rPr>
          <w:szCs w:val="22"/>
          <w:lang w:eastAsia="en-US"/>
        </w:rPr>
        <w:t>ų skausmą</w:t>
      </w:r>
      <w:r w:rsidRPr="0073430A">
        <w:rPr>
          <w:szCs w:val="22"/>
          <w:lang w:eastAsia="en-US"/>
        </w:rPr>
        <w:t>.</w:t>
      </w:r>
      <w:r>
        <w:rPr>
          <w:szCs w:val="22"/>
          <w:lang w:eastAsia="en-US"/>
        </w:rPr>
        <w:t xml:space="preserve"> Šie simptomai iš dalies atitinka gydomų pacientų pagrindinės ligos simptomus.</w:t>
      </w:r>
    </w:p>
    <w:p w:rsidR="00DE423C" w:rsidRPr="00066CEE" w:rsidRDefault="00DE423C" w:rsidP="00DE423C">
      <w:pPr>
        <w:pStyle w:val="Pagrindinistekstas"/>
        <w:tabs>
          <w:tab w:val="left" w:pos="567"/>
        </w:tabs>
        <w:spacing w:after="0"/>
        <w:rPr>
          <w:b/>
          <w:szCs w:val="22"/>
        </w:rPr>
      </w:pPr>
    </w:p>
    <w:p w:rsidR="00DE423C" w:rsidRPr="00B34FA1" w:rsidRDefault="00DE423C" w:rsidP="00DE423C">
      <w:pPr>
        <w:rPr>
          <w:b/>
          <w:szCs w:val="24"/>
        </w:rPr>
      </w:pPr>
      <w:r w:rsidRPr="00B34FA1">
        <w:rPr>
          <w:b/>
          <w:noProof/>
          <w:szCs w:val="24"/>
        </w:rPr>
        <w:t>Pranešimas apie šalutinį poveikį</w:t>
      </w:r>
    </w:p>
    <w:p w:rsidR="00DE423C" w:rsidRPr="003D0E88" w:rsidRDefault="00DE423C" w:rsidP="00DE423C">
      <w:pPr>
        <w:pStyle w:val="BodytextAgency"/>
        <w:spacing w:after="0" w:line="100" w:lineRule="atLeast"/>
        <w:rPr>
          <w:rFonts w:ascii="Times New Roman" w:hAnsi="Times New Roman"/>
          <w:sz w:val="22"/>
        </w:rPr>
      </w:pPr>
      <w:r w:rsidRPr="003D0E88">
        <w:rPr>
          <w:rFonts w:ascii="Times New Roman" w:hAnsi="Times New Roman"/>
          <w:color w:val="auto"/>
          <w:sz w:val="22"/>
        </w:rPr>
        <w:t xml:space="preserve">Jeigu pasireiškė šalutinis poveikis, įskaitant šiame lapelyje nenurodytą, pasakykite gydytojui arba vaistininkui. </w:t>
      </w:r>
      <w:r w:rsidRPr="00457F39">
        <w:rPr>
          <w:rFonts w:ascii="Times New Roman" w:eastAsia="Times New Roman" w:hAnsi="Times New Roman" w:cs="Times New Roman"/>
          <w:snapToGrid w:val="0"/>
          <w:color w:val="auto"/>
          <w:sz w:val="22"/>
          <w:szCs w:val="20"/>
          <w:lang w:eastAsia="en-US"/>
        </w:rPr>
        <w:t xml:space="preserve">Pranešimą apie šalutinį poveikį galite </w:t>
      </w:r>
      <w:r w:rsidRPr="003D0E88">
        <w:rPr>
          <w:rFonts w:ascii="Times New Roman" w:hAnsi="Times New Roman"/>
          <w:color w:val="auto"/>
          <w:sz w:val="22"/>
        </w:rPr>
        <w:t xml:space="preserve">pateikti </w:t>
      </w:r>
      <w:r w:rsidRPr="00457F39">
        <w:rPr>
          <w:rFonts w:ascii="Times New Roman" w:eastAsia="Times New Roman" w:hAnsi="Times New Roman" w:cs="Times New Roman"/>
          <w:snapToGrid w:val="0"/>
          <w:color w:val="auto"/>
          <w:sz w:val="22"/>
          <w:szCs w:val="20"/>
          <w:lang w:eastAsia="en-US"/>
        </w:rPr>
        <w:t>šiais būdais: tiesiogiai užpildant formą internetu</w:t>
      </w:r>
      <w:r w:rsidRPr="003D0E88">
        <w:rPr>
          <w:rFonts w:ascii="Times New Roman" w:hAnsi="Times New Roman"/>
          <w:color w:val="auto"/>
          <w:sz w:val="22"/>
        </w:rPr>
        <w:t xml:space="preserve"> Valstybinės vaistų kontrolės tarnybos prie Lietuvos Respublikos sveikatos apsaugos ministerijos </w:t>
      </w:r>
      <w:r w:rsidRPr="00457F39">
        <w:rPr>
          <w:rFonts w:ascii="Times New Roman" w:eastAsia="Times New Roman" w:hAnsi="Times New Roman" w:cs="Times New Roman"/>
          <w:snapToGrid w:val="0"/>
          <w:color w:val="auto"/>
          <w:sz w:val="22"/>
          <w:szCs w:val="20"/>
          <w:lang w:eastAsia="en-US"/>
        </w:rPr>
        <w:t xml:space="preserve">Vaistinių preparatų informacinėje sistemoje </w:t>
      </w:r>
      <w:hyperlink r:id="rId5"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6"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7"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w:t>
      </w:r>
      <w:r w:rsidRPr="003D0E88">
        <w:rPr>
          <w:rFonts w:ascii="Times New Roman" w:hAnsi="Times New Roman"/>
          <w:color w:val="auto"/>
          <w:sz w:val="22"/>
        </w:rPr>
        <w:t xml:space="preserve"> Pranešdami apie šalutinį poveikį galite mums padėti gauti daugiau informacijos apie šio vaisto saugumą</w:t>
      </w:r>
      <w:r w:rsidRPr="00457F39">
        <w:rPr>
          <w:rFonts w:ascii="Times New Roman" w:eastAsia="Times New Roman" w:hAnsi="Times New Roman" w:cs="Times New Roman"/>
          <w:snapToGrid w:val="0"/>
          <w:color w:val="auto"/>
          <w:sz w:val="22"/>
          <w:szCs w:val="20"/>
          <w:lang w:eastAsia="en-US"/>
        </w:rPr>
        <w:t>.</w:t>
      </w:r>
    </w:p>
    <w:p w:rsidR="00DE423C" w:rsidRPr="0073430A" w:rsidRDefault="00DE423C" w:rsidP="00DE423C">
      <w:pPr>
        <w:numPr>
          <w:ilvl w:val="12"/>
          <w:numId w:val="0"/>
        </w:numPr>
        <w:ind w:right="-2"/>
        <w:rPr>
          <w:snapToGrid w:val="0"/>
          <w:szCs w:val="22"/>
          <w:lang w:eastAsia="en-US"/>
        </w:rPr>
      </w:pPr>
    </w:p>
    <w:p w:rsidR="00DE423C" w:rsidRDefault="00DE423C" w:rsidP="00DE423C">
      <w:pPr>
        <w:numPr>
          <w:ilvl w:val="12"/>
          <w:numId w:val="0"/>
        </w:numPr>
        <w:ind w:left="567" w:right="-2" w:hanging="567"/>
        <w:rPr>
          <w:b/>
          <w:snapToGrid w:val="0"/>
          <w:szCs w:val="22"/>
          <w:lang w:eastAsia="en-US"/>
        </w:rPr>
      </w:pPr>
    </w:p>
    <w:p w:rsidR="00DE423C" w:rsidRPr="0073430A" w:rsidRDefault="00DE423C" w:rsidP="00DE423C">
      <w:pPr>
        <w:numPr>
          <w:ilvl w:val="12"/>
          <w:numId w:val="0"/>
        </w:numPr>
        <w:ind w:left="567" w:right="-2" w:hanging="567"/>
        <w:rPr>
          <w:snapToGrid w:val="0"/>
          <w:szCs w:val="22"/>
          <w:lang w:eastAsia="en-US"/>
        </w:rPr>
      </w:pPr>
      <w:r w:rsidRPr="0073430A">
        <w:rPr>
          <w:b/>
          <w:snapToGrid w:val="0"/>
          <w:szCs w:val="22"/>
          <w:lang w:eastAsia="en-US"/>
        </w:rPr>
        <w:t>5.</w:t>
      </w:r>
      <w:r w:rsidRPr="0073430A">
        <w:rPr>
          <w:b/>
          <w:snapToGrid w:val="0"/>
          <w:szCs w:val="22"/>
          <w:lang w:eastAsia="en-US"/>
        </w:rPr>
        <w:tab/>
        <w:t xml:space="preserve">Kaip laikyti </w:t>
      </w:r>
      <w:r>
        <w:rPr>
          <w:b/>
          <w:snapToGrid w:val="0"/>
          <w:szCs w:val="22"/>
          <w:lang w:eastAsia="en-US"/>
        </w:rPr>
        <w:t>MOXICEF</w:t>
      </w: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snapToGrid w:val="0"/>
          <w:szCs w:val="22"/>
          <w:lang w:eastAsia="en-US"/>
        </w:rPr>
      </w:pPr>
      <w:r w:rsidRPr="0073430A">
        <w:rPr>
          <w:snapToGrid w:val="0"/>
          <w:szCs w:val="22"/>
          <w:lang w:eastAsia="en-US"/>
        </w:rPr>
        <w:t>Šį vaistą laikykite vaikams nepastebimoje ir nepasiekiamoje vietoje.</w:t>
      </w:r>
    </w:p>
    <w:p w:rsidR="00DE423C"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snapToGrid w:val="0"/>
          <w:szCs w:val="22"/>
          <w:lang w:eastAsia="en-US"/>
        </w:rPr>
      </w:pPr>
      <w:r w:rsidRPr="0073430A">
        <w:rPr>
          <w:snapToGrid w:val="0"/>
          <w:szCs w:val="22"/>
          <w:lang w:eastAsia="en-US"/>
        </w:rPr>
        <w:t>Ant etiketės ir ant išorinės dėžutės po „</w:t>
      </w:r>
      <w:r>
        <w:rPr>
          <w:snapToGrid w:val="0"/>
          <w:szCs w:val="22"/>
          <w:lang w:eastAsia="en-US"/>
        </w:rPr>
        <w:t>EXP</w:t>
      </w:r>
      <w:r w:rsidRPr="0073430A">
        <w:rPr>
          <w:snapToGrid w:val="0"/>
          <w:szCs w:val="22"/>
          <w:lang w:eastAsia="en-US"/>
        </w:rPr>
        <w:t>“ nurodytam tinkamumo laikui pasibaigus, šio vaisto vartoti negalima. Vaistas tinkamas vartoti iki paskutinės nurodyto mėnesio dienos.</w:t>
      </w:r>
    </w:p>
    <w:p w:rsidR="00DE423C" w:rsidRDefault="00DE423C" w:rsidP="00DE423C">
      <w:pPr>
        <w:numPr>
          <w:ilvl w:val="12"/>
          <w:numId w:val="0"/>
        </w:numPr>
        <w:ind w:right="-2"/>
        <w:rPr>
          <w:snapToGrid w:val="0"/>
          <w:szCs w:val="22"/>
          <w:lang w:eastAsia="en-US"/>
        </w:rPr>
      </w:pPr>
    </w:p>
    <w:p w:rsidR="00DE423C" w:rsidRDefault="00DE423C" w:rsidP="00DE423C">
      <w:pPr>
        <w:rPr>
          <w:szCs w:val="22"/>
          <w:lang w:eastAsia="en-US"/>
        </w:rPr>
      </w:pPr>
      <w:r w:rsidRPr="00153901">
        <w:t>Šio vaisto laikymui specialių temperatūros sąlygų nereikalaujama</w:t>
      </w:r>
      <w:r>
        <w:t xml:space="preserve">. Flakoną laikyti išorinėje dėžutėje, </w:t>
      </w:r>
      <w:r w:rsidRPr="00153901">
        <w:t xml:space="preserve">kad </w:t>
      </w:r>
      <w:r>
        <w:t>vaist</w:t>
      </w:r>
      <w:r w:rsidRPr="00153901">
        <w:t>as būtų apsaugotas nuo šviesos</w:t>
      </w:r>
      <w:r>
        <w:t>.</w:t>
      </w:r>
    </w:p>
    <w:p w:rsidR="00DE423C" w:rsidRDefault="00DE423C" w:rsidP="00DE423C">
      <w:pPr>
        <w:rPr>
          <w:szCs w:val="22"/>
          <w:u w:val="single"/>
          <w:lang w:eastAsia="en-US"/>
        </w:rPr>
      </w:pPr>
    </w:p>
    <w:p w:rsidR="00DE423C" w:rsidRPr="001B7DA5" w:rsidRDefault="00DE423C" w:rsidP="00DE423C">
      <w:pPr>
        <w:rPr>
          <w:szCs w:val="22"/>
          <w:lang w:eastAsia="en-US"/>
        </w:rPr>
      </w:pPr>
      <w:r w:rsidRPr="001B7DA5">
        <w:rPr>
          <w:szCs w:val="22"/>
          <w:lang w:eastAsia="en-US"/>
        </w:rPr>
        <w:t>Paruoštas tirpalas</w:t>
      </w:r>
    </w:p>
    <w:p w:rsidR="00DE423C" w:rsidRDefault="00DE423C" w:rsidP="00DE423C">
      <w:pPr>
        <w:rPr>
          <w:bCs/>
          <w:iCs/>
          <w:szCs w:val="22"/>
          <w:lang w:eastAsia="en-US"/>
        </w:rPr>
      </w:pPr>
      <w:r w:rsidRPr="0073430A">
        <w:rPr>
          <w:szCs w:val="22"/>
          <w:lang w:eastAsia="en-US"/>
        </w:rPr>
        <w:t xml:space="preserve">Cheminis ir fizinis paruošto tirpalo stabilumas išlieka </w:t>
      </w:r>
      <w:r>
        <w:rPr>
          <w:szCs w:val="22"/>
          <w:lang w:eastAsia="en-US"/>
        </w:rPr>
        <w:t>24</w:t>
      </w:r>
      <w:r w:rsidRPr="0073430A">
        <w:rPr>
          <w:szCs w:val="22"/>
          <w:lang w:eastAsia="en-US"/>
        </w:rPr>
        <w:t> valandas 2</w:t>
      </w:r>
      <w:r>
        <w:rPr>
          <w:szCs w:val="22"/>
          <w:lang w:eastAsia="en-US"/>
        </w:rPr>
        <w:t> </w:t>
      </w:r>
      <w:r w:rsidRPr="0073430A">
        <w:rPr>
          <w:szCs w:val="22"/>
          <w:lang w:eastAsia="en-US"/>
        </w:rPr>
        <w:t>°C-8</w:t>
      </w:r>
      <w:r>
        <w:rPr>
          <w:szCs w:val="22"/>
          <w:lang w:eastAsia="en-US"/>
        </w:rPr>
        <w:t> </w:t>
      </w:r>
      <w:r w:rsidRPr="0073430A">
        <w:rPr>
          <w:szCs w:val="22"/>
          <w:lang w:eastAsia="en-US"/>
        </w:rPr>
        <w:t xml:space="preserve">°C temperatūroje. </w:t>
      </w:r>
      <w:r>
        <w:rPr>
          <w:szCs w:val="22"/>
          <w:lang w:eastAsia="en-US"/>
        </w:rPr>
        <w:t>Vis dėlto, m</w:t>
      </w:r>
      <w:r w:rsidRPr="0073430A">
        <w:rPr>
          <w:szCs w:val="22"/>
          <w:lang w:eastAsia="en-US"/>
        </w:rPr>
        <w:t>ikrobiologiniu požiūriu paruoštas tirpalas turi būti vartojamas nedelsiant</w:t>
      </w:r>
      <w:r>
        <w:rPr>
          <w:szCs w:val="22"/>
          <w:lang w:eastAsia="en-US"/>
        </w:rPr>
        <w:t>, nebent atidarymo/tirpinimo metodas neleidžia atsirasti mikrobiologinio užterštumo rizikai</w:t>
      </w:r>
      <w:r w:rsidRPr="0073430A">
        <w:rPr>
          <w:szCs w:val="22"/>
          <w:lang w:eastAsia="en-US"/>
        </w:rPr>
        <w:t xml:space="preserve">. </w:t>
      </w:r>
      <w:r w:rsidRPr="0073430A">
        <w:rPr>
          <w:bCs/>
          <w:iCs/>
          <w:szCs w:val="22"/>
          <w:lang w:eastAsia="en-US"/>
        </w:rPr>
        <w:t>Paruošto tirpalo nesuvartojus nedelsiant, už jo laikymo trukmę ir sąlygas atsakingas pats vartotojas.</w:t>
      </w: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snapToGrid w:val="0"/>
          <w:szCs w:val="22"/>
          <w:lang w:eastAsia="en-US"/>
        </w:rPr>
      </w:pPr>
      <w:r w:rsidRPr="0073430A">
        <w:rPr>
          <w:snapToGrid w:val="0"/>
          <w:szCs w:val="22"/>
          <w:lang w:eastAsia="en-US"/>
        </w:rPr>
        <w:t>Vaistų negalima išmesti į kanalizaciją arba su buitinėmis atliekomis. Kaip išmesti nereikalingus vaistus, klauskite vaistininko. Šios priemonės padės apsaugoti aplinką.</w:t>
      </w: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snapToGrid w:val="0"/>
          <w:szCs w:val="22"/>
          <w:lang w:eastAsia="en-US"/>
        </w:rPr>
      </w:pPr>
    </w:p>
    <w:p w:rsidR="00DE423C" w:rsidRPr="0073430A" w:rsidRDefault="00DE423C" w:rsidP="00DE423C">
      <w:pPr>
        <w:numPr>
          <w:ilvl w:val="12"/>
          <w:numId w:val="0"/>
        </w:numPr>
        <w:ind w:right="-2"/>
        <w:rPr>
          <w:b/>
          <w:snapToGrid w:val="0"/>
          <w:szCs w:val="22"/>
          <w:lang w:eastAsia="en-US"/>
        </w:rPr>
      </w:pPr>
      <w:r w:rsidRPr="0073430A">
        <w:rPr>
          <w:b/>
          <w:snapToGrid w:val="0"/>
          <w:szCs w:val="22"/>
          <w:lang w:eastAsia="en-US"/>
        </w:rPr>
        <w:t>6.</w:t>
      </w:r>
      <w:r w:rsidRPr="0073430A">
        <w:rPr>
          <w:b/>
          <w:snapToGrid w:val="0"/>
          <w:szCs w:val="22"/>
          <w:lang w:eastAsia="en-US"/>
        </w:rPr>
        <w:tab/>
        <w:t>Pakuotės turinys ir kita informacija</w:t>
      </w:r>
    </w:p>
    <w:p w:rsidR="00DE423C" w:rsidRPr="0073430A" w:rsidRDefault="00DE423C" w:rsidP="00DE423C">
      <w:pPr>
        <w:numPr>
          <w:ilvl w:val="12"/>
          <w:numId w:val="0"/>
        </w:numPr>
        <w:ind w:right="-2"/>
        <w:rPr>
          <w:b/>
          <w:bCs/>
          <w:snapToGrid w:val="0"/>
          <w:szCs w:val="22"/>
          <w:lang w:eastAsia="en-US"/>
        </w:rPr>
      </w:pPr>
    </w:p>
    <w:p w:rsidR="00DE423C" w:rsidRPr="0073430A" w:rsidRDefault="00DE423C" w:rsidP="00DE423C">
      <w:pPr>
        <w:numPr>
          <w:ilvl w:val="12"/>
          <w:numId w:val="0"/>
        </w:numPr>
        <w:ind w:right="-2"/>
        <w:rPr>
          <w:b/>
          <w:snapToGrid w:val="0"/>
          <w:szCs w:val="22"/>
          <w:lang w:eastAsia="en-US"/>
        </w:rPr>
      </w:pPr>
      <w:r>
        <w:rPr>
          <w:b/>
          <w:bCs/>
          <w:snapToGrid w:val="0"/>
          <w:szCs w:val="22"/>
          <w:lang w:eastAsia="en-US"/>
        </w:rPr>
        <w:t>MOXICEF</w:t>
      </w:r>
      <w:r w:rsidRPr="0073430A">
        <w:rPr>
          <w:b/>
          <w:bCs/>
          <w:snapToGrid w:val="0"/>
          <w:szCs w:val="22"/>
          <w:lang w:eastAsia="en-US"/>
        </w:rPr>
        <w:t xml:space="preserve"> sudėtis</w:t>
      </w:r>
    </w:p>
    <w:p w:rsidR="00DE423C" w:rsidRPr="0073430A" w:rsidRDefault="00DE423C" w:rsidP="00DE423C">
      <w:pPr>
        <w:numPr>
          <w:ilvl w:val="0"/>
          <w:numId w:val="4"/>
        </w:numPr>
        <w:tabs>
          <w:tab w:val="left" w:pos="567"/>
        </w:tabs>
        <w:suppressAutoHyphens/>
        <w:spacing w:line="260" w:lineRule="exact"/>
        <w:ind w:left="567" w:right="-2" w:hanging="567"/>
        <w:rPr>
          <w:i/>
          <w:snapToGrid w:val="0"/>
          <w:szCs w:val="22"/>
          <w:lang w:eastAsia="en-US"/>
        </w:rPr>
      </w:pPr>
      <w:r w:rsidRPr="0073430A">
        <w:rPr>
          <w:snapToGrid w:val="0"/>
          <w:szCs w:val="22"/>
          <w:lang w:eastAsia="en-US"/>
        </w:rPr>
        <w:t>Veiklioji medžiaga yra cefotaksim</w:t>
      </w:r>
      <w:r>
        <w:rPr>
          <w:snapToGrid w:val="0"/>
          <w:szCs w:val="22"/>
          <w:lang w:eastAsia="en-US"/>
        </w:rPr>
        <w:t>as (cefotaksimo</w:t>
      </w:r>
      <w:r w:rsidRPr="0073430A">
        <w:rPr>
          <w:snapToGrid w:val="0"/>
          <w:szCs w:val="22"/>
          <w:lang w:eastAsia="en-US"/>
        </w:rPr>
        <w:t xml:space="preserve"> natrio drusk</w:t>
      </w:r>
      <w:r>
        <w:rPr>
          <w:snapToGrid w:val="0"/>
          <w:szCs w:val="22"/>
          <w:lang w:eastAsia="en-US"/>
        </w:rPr>
        <w:t>os pavidalu)</w:t>
      </w:r>
      <w:r w:rsidRPr="0073430A">
        <w:rPr>
          <w:snapToGrid w:val="0"/>
          <w:szCs w:val="22"/>
          <w:lang w:eastAsia="en-US"/>
        </w:rPr>
        <w:t>.</w:t>
      </w:r>
    </w:p>
    <w:p w:rsidR="00DE423C" w:rsidRPr="001B7DA5" w:rsidRDefault="00DE423C" w:rsidP="00DE423C">
      <w:pPr>
        <w:tabs>
          <w:tab w:val="left" w:pos="567"/>
        </w:tabs>
        <w:suppressAutoHyphens/>
        <w:spacing w:line="260" w:lineRule="exact"/>
        <w:ind w:left="567" w:right="-2"/>
        <w:rPr>
          <w:snapToGrid w:val="0"/>
          <w:szCs w:val="22"/>
          <w:lang w:eastAsia="en-US"/>
        </w:rPr>
      </w:pPr>
      <w:r w:rsidRPr="001B7DA5">
        <w:rPr>
          <w:snapToGrid w:val="0"/>
          <w:szCs w:val="22"/>
          <w:lang w:eastAsia="en-US"/>
        </w:rPr>
        <w:t>Kiekviename MOXICEF 1</w:t>
      </w:r>
      <w:r>
        <w:rPr>
          <w:snapToGrid w:val="0"/>
          <w:szCs w:val="22"/>
          <w:lang w:eastAsia="en-US"/>
        </w:rPr>
        <w:t> </w:t>
      </w:r>
      <w:r w:rsidRPr="001B7DA5">
        <w:rPr>
          <w:snapToGrid w:val="0"/>
          <w:szCs w:val="22"/>
          <w:lang w:eastAsia="en-US"/>
        </w:rPr>
        <w:t>g flakone yra 1</w:t>
      </w:r>
      <w:r>
        <w:rPr>
          <w:snapToGrid w:val="0"/>
          <w:szCs w:val="22"/>
          <w:lang w:eastAsia="en-US"/>
        </w:rPr>
        <w:t> </w:t>
      </w:r>
      <w:r w:rsidRPr="001B7DA5">
        <w:rPr>
          <w:snapToGrid w:val="0"/>
          <w:szCs w:val="22"/>
          <w:lang w:eastAsia="en-US"/>
        </w:rPr>
        <w:t>g cefotaksimo (cefotaksimo natrio druskos pavidalu).</w:t>
      </w:r>
    </w:p>
    <w:p w:rsidR="00DE423C" w:rsidRPr="001B7DA5" w:rsidRDefault="00DE423C" w:rsidP="00DE423C">
      <w:pPr>
        <w:tabs>
          <w:tab w:val="left" w:pos="567"/>
        </w:tabs>
        <w:suppressAutoHyphens/>
        <w:spacing w:line="260" w:lineRule="exact"/>
        <w:ind w:left="567" w:right="-2"/>
        <w:rPr>
          <w:snapToGrid w:val="0"/>
          <w:szCs w:val="22"/>
          <w:lang w:eastAsia="en-US"/>
        </w:rPr>
      </w:pPr>
      <w:r w:rsidRPr="00E56D0A">
        <w:rPr>
          <w:snapToGrid w:val="0"/>
          <w:szCs w:val="22"/>
          <w:highlight w:val="lightGray"/>
          <w:lang w:eastAsia="en-US"/>
        </w:rPr>
        <w:t>Kiekviename MOXICEF 2</w:t>
      </w:r>
      <w:r>
        <w:rPr>
          <w:snapToGrid w:val="0"/>
          <w:szCs w:val="22"/>
          <w:highlight w:val="lightGray"/>
          <w:lang w:eastAsia="en-US"/>
        </w:rPr>
        <w:t> </w:t>
      </w:r>
      <w:r w:rsidRPr="00E56D0A">
        <w:rPr>
          <w:snapToGrid w:val="0"/>
          <w:szCs w:val="22"/>
          <w:highlight w:val="lightGray"/>
          <w:lang w:eastAsia="en-US"/>
        </w:rPr>
        <w:t>g flakone yra 2</w:t>
      </w:r>
      <w:r>
        <w:rPr>
          <w:snapToGrid w:val="0"/>
          <w:szCs w:val="22"/>
          <w:highlight w:val="lightGray"/>
          <w:lang w:eastAsia="en-US"/>
        </w:rPr>
        <w:t> </w:t>
      </w:r>
      <w:r w:rsidRPr="00E56D0A">
        <w:rPr>
          <w:snapToGrid w:val="0"/>
          <w:szCs w:val="22"/>
          <w:highlight w:val="lightGray"/>
          <w:lang w:eastAsia="en-US"/>
        </w:rPr>
        <w:t>g cefotaksimo (cefotaksimo natrio druskos pavidalu).</w:t>
      </w:r>
    </w:p>
    <w:p w:rsidR="00DE423C" w:rsidRPr="0073430A" w:rsidRDefault="00DE423C" w:rsidP="00DE423C">
      <w:pPr>
        <w:numPr>
          <w:ilvl w:val="0"/>
          <w:numId w:val="4"/>
        </w:numPr>
        <w:tabs>
          <w:tab w:val="left" w:pos="567"/>
        </w:tabs>
        <w:suppressAutoHyphens/>
        <w:spacing w:line="260" w:lineRule="exact"/>
        <w:ind w:left="567" w:right="-2" w:hanging="567"/>
        <w:rPr>
          <w:snapToGrid w:val="0"/>
          <w:szCs w:val="22"/>
          <w:lang w:eastAsia="en-US"/>
        </w:rPr>
      </w:pPr>
      <w:r w:rsidRPr="0073430A">
        <w:rPr>
          <w:snapToGrid w:val="0"/>
          <w:szCs w:val="22"/>
          <w:lang w:eastAsia="en-US"/>
        </w:rPr>
        <w:t>Pagalbinių medžiagų nėra.</w:t>
      </w:r>
    </w:p>
    <w:p w:rsidR="00DE423C" w:rsidRPr="0073430A" w:rsidRDefault="00DE423C" w:rsidP="00DE423C">
      <w:pPr>
        <w:ind w:right="-2"/>
        <w:rPr>
          <w:snapToGrid w:val="0"/>
          <w:szCs w:val="22"/>
          <w:lang w:eastAsia="en-US"/>
        </w:rPr>
      </w:pPr>
    </w:p>
    <w:p w:rsidR="00DE423C" w:rsidRPr="0073430A" w:rsidRDefault="00DE423C" w:rsidP="00DE423C">
      <w:pPr>
        <w:numPr>
          <w:ilvl w:val="12"/>
          <w:numId w:val="0"/>
        </w:numPr>
        <w:ind w:right="-2"/>
        <w:rPr>
          <w:b/>
          <w:snapToGrid w:val="0"/>
          <w:szCs w:val="22"/>
          <w:lang w:eastAsia="en-US"/>
        </w:rPr>
      </w:pPr>
      <w:r>
        <w:rPr>
          <w:b/>
          <w:bCs/>
          <w:snapToGrid w:val="0"/>
          <w:szCs w:val="22"/>
          <w:lang w:eastAsia="en-US"/>
        </w:rPr>
        <w:t>MOXICEF</w:t>
      </w:r>
      <w:r w:rsidRPr="0073430A">
        <w:rPr>
          <w:b/>
          <w:bCs/>
          <w:snapToGrid w:val="0"/>
          <w:szCs w:val="22"/>
          <w:lang w:eastAsia="en-US"/>
        </w:rPr>
        <w:t xml:space="preserve"> išvaizda ir kiekis pakuotėje</w:t>
      </w:r>
    </w:p>
    <w:p w:rsidR="00DE423C" w:rsidRDefault="00DE423C" w:rsidP="00DE423C">
      <w:pPr>
        <w:numPr>
          <w:ilvl w:val="12"/>
          <w:numId w:val="0"/>
        </w:numPr>
        <w:ind w:right="-2"/>
        <w:rPr>
          <w:bCs/>
          <w:snapToGrid w:val="0"/>
          <w:szCs w:val="22"/>
          <w:lang w:eastAsia="en-US"/>
        </w:rPr>
      </w:pPr>
      <w:r w:rsidRPr="007A4E9D">
        <w:rPr>
          <w:bCs/>
          <w:szCs w:val="22"/>
          <w:lang w:eastAsia="en-US"/>
        </w:rPr>
        <w:t xml:space="preserve">Balti arba </w:t>
      </w:r>
      <w:r>
        <w:rPr>
          <w:bCs/>
          <w:szCs w:val="22"/>
          <w:lang w:eastAsia="en-US"/>
        </w:rPr>
        <w:t>šiek tiek gelsvi</w:t>
      </w:r>
      <w:r w:rsidRPr="007A4E9D">
        <w:rPr>
          <w:bCs/>
          <w:szCs w:val="22"/>
          <w:lang w:eastAsia="en-US"/>
        </w:rPr>
        <w:t xml:space="preserve"> milteliai</w:t>
      </w:r>
      <w:r>
        <w:rPr>
          <w:bCs/>
          <w:szCs w:val="22"/>
          <w:lang w:eastAsia="en-US"/>
        </w:rPr>
        <w:t xml:space="preserve"> skaidraus stiklo flakonuose,</w:t>
      </w:r>
      <w:r w:rsidRPr="00E56D0A">
        <w:rPr>
          <w:szCs w:val="22"/>
          <w:lang w:eastAsia="en-US"/>
        </w:rPr>
        <w:t xml:space="preserve"> </w:t>
      </w:r>
      <w:r>
        <w:rPr>
          <w:szCs w:val="22"/>
          <w:lang w:eastAsia="en-US"/>
        </w:rPr>
        <w:t>užkimštuose</w:t>
      </w:r>
      <w:r w:rsidRPr="0073430A">
        <w:rPr>
          <w:szCs w:val="22"/>
          <w:lang w:eastAsia="en-US"/>
        </w:rPr>
        <w:t xml:space="preserve"> bromobutilo gumos kamšči</w:t>
      </w:r>
      <w:r>
        <w:rPr>
          <w:szCs w:val="22"/>
          <w:lang w:eastAsia="en-US"/>
        </w:rPr>
        <w:t>u, kuris užsandarintas</w:t>
      </w:r>
      <w:r w:rsidRPr="0073430A">
        <w:rPr>
          <w:szCs w:val="22"/>
          <w:lang w:eastAsia="en-US"/>
        </w:rPr>
        <w:t xml:space="preserve"> </w:t>
      </w:r>
      <w:r>
        <w:rPr>
          <w:szCs w:val="22"/>
          <w:lang w:eastAsia="en-US"/>
        </w:rPr>
        <w:t>aliuminio</w:t>
      </w:r>
      <w:r w:rsidRPr="0073430A">
        <w:rPr>
          <w:szCs w:val="22"/>
          <w:lang w:eastAsia="en-US"/>
        </w:rPr>
        <w:t xml:space="preserve"> dangteli</w:t>
      </w:r>
      <w:r>
        <w:rPr>
          <w:szCs w:val="22"/>
          <w:lang w:eastAsia="en-US"/>
        </w:rPr>
        <w:t>u.</w:t>
      </w:r>
    </w:p>
    <w:p w:rsidR="00DE423C" w:rsidRDefault="00DE423C" w:rsidP="00DE423C">
      <w:pPr>
        <w:numPr>
          <w:ilvl w:val="12"/>
          <w:numId w:val="0"/>
        </w:numPr>
        <w:ind w:right="-2"/>
        <w:rPr>
          <w:bCs/>
          <w:snapToGrid w:val="0"/>
          <w:szCs w:val="22"/>
          <w:lang w:eastAsia="en-US"/>
        </w:rPr>
      </w:pPr>
      <w:r>
        <w:rPr>
          <w:bCs/>
          <w:snapToGrid w:val="0"/>
          <w:szCs w:val="22"/>
          <w:lang w:eastAsia="en-US"/>
        </w:rPr>
        <w:t>Flakonai tiekiami</w:t>
      </w:r>
      <w:r w:rsidRPr="0073430A">
        <w:rPr>
          <w:bCs/>
          <w:snapToGrid w:val="0"/>
          <w:szCs w:val="22"/>
          <w:lang w:eastAsia="en-US"/>
        </w:rPr>
        <w:t xml:space="preserve"> </w:t>
      </w:r>
      <w:r>
        <w:rPr>
          <w:bCs/>
          <w:snapToGrid w:val="0"/>
          <w:szCs w:val="22"/>
          <w:lang w:eastAsia="en-US"/>
        </w:rPr>
        <w:t xml:space="preserve">kartono dėžutėmis, kurių kiekvienoje yra </w:t>
      </w:r>
      <w:r w:rsidRPr="0073430A">
        <w:rPr>
          <w:snapToGrid w:val="0"/>
          <w:szCs w:val="22"/>
          <w:lang w:eastAsia="en-US"/>
        </w:rPr>
        <w:t>1, 10</w:t>
      </w:r>
      <w:r>
        <w:rPr>
          <w:snapToGrid w:val="0"/>
          <w:szCs w:val="22"/>
          <w:lang w:eastAsia="en-US"/>
        </w:rPr>
        <w:t>, 50</w:t>
      </w:r>
      <w:r w:rsidRPr="0073430A">
        <w:rPr>
          <w:snapToGrid w:val="0"/>
          <w:szCs w:val="22"/>
          <w:lang w:eastAsia="en-US"/>
        </w:rPr>
        <w:t xml:space="preserve"> </w:t>
      </w:r>
      <w:r>
        <w:rPr>
          <w:snapToGrid w:val="0"/>
          <w:szCs w:val="22"/>
          <w:lang w:eastAsia="en-US"/>
        </w:rPr>
        <w:t>arba 100</w:t>
      </w:r>
      <w:r w:rsidRPr="0073430A">
        <w:rPr>
          <w:bCs/>
          <w:snapToGrid w:val="0"/>
          <w:szCs w:val="22"/>
          <w:lang w:eastAsia="en-US"/>
        </w:rPr>
        <w:t xml:space="preserve"> flakonų</w:t>
      </w:r>
      <w:r>
        <w:rPr>
          <w:bCs/>
          <w:snapToGrid w:val="0"/>
          <w:szCs w:val="22"/>
          <w:lang w:eastAsia="en-US"/>
        </w:rPr>
        <w:t>.</w:t>
      </w:r>
    </w:p>
    <w:p w:rsidR="00DE423C" w:rsidRDefault="00DE423C" w:rsidP="00DE423C">
      <w:pPr>
        <w:numPr>
          <w:ilvl w:val="12"/>
          <w:numId w:val="0"/>
        </w:numPr>
        <w:ind w:right="-2"/>
        <w:rPr>
          <w:snapToGrid w:val="0"/>
          <w:szCs w:val="22"/>
          <w:lang w:eastAsia="en-US"/>
        </w:rPr>
      </w:pPr>
      <w:r>
        <w:rPr>
          <w:snapToGrid w:val="0"/>
          <w:szCs w:val="22"/>
          <w:lang w:eastAsia="en-US"/>
        </w:rPr>
        <w:t>G</w:t>
      </w:r>
      <w:r w:rsidRPr="0073430A">
        <w:rPr>
          <w:snapToGrid w:val="0"/>
          <w:szCs w:val="22"/>
          <w:lang w:eastAsia="en-US"/>
        </w:rPr>
        <w:t>ali būti tiekiamos ne visų dydžių pakuotės.</w:t>
      </w:r>
    </w:p>
    <w:p w:rsidR="00DE423C" w:rsidRPr="00F6724D" w:rsidRDefault="00DE423C" w:rsidP="00DE423C">
      <w:pPr>
        <w:tabs>
          <w:tab w:val="left" w:pos="567"/>
        </w:tabs>
        <w:rPr>
          <w:noProof/>
          <w:u w:val="single"/>
        </w:rPr>
      </w:pPr>
    </w:p>
    <w:p w:rsidR="00DE423C" w:rsidRPr="00E56D0A" w:rsidRDefault="00DE423C" w:rsidP="00DE423C">
      <w:pPr>
        <w:spacing w:line="220" w:lineRule="exact"/>
        <w:rPr>
          <w:b/>
          <w:bCs/>
          <w:color w:val="000000"/>
          <w:szCs w:val="22"/>
          <w:lang w:eastAsia="en-US"/>
        </w:rPr>
      </w:pPr>
      <w:r w:rsidRPr="00E56D0A">
        <w:rPr>
          <w:b/>
          <w:bCs/>
          <w:color w:val="000000"/>
          <w:szCs w:val="22"/>
          <w:lang w:eastAsia="en-US"/>
        </w:rPr>
        <w:t>Registruotojas ir gamintoja</w:t>
      </w:r>
      <w:r>
        <w:rPr>
          <w:b/>
          <w:bCs/>
          <w:color w:val="000000"/>
          <w:szCs w:val="22"/>
          <w:lang w:eastAsia="en-US"/>
        </w:rPr>
        <w:t>s</w:t>
      </w:r>
    </w:p>
    <w:p w:rsidR="00DE423C" w:rsidRPr="00E854CF" w:rsidRDefault="00DE423C" w:rsidP="00DE423C">
      <w:pPr>
        <w:rPr>
          <w:i/>
          <w:color w:val="000000"/>
          <w:szCs w:val="22"/>
          <w:lang w:eastAsia="en-US"/>
        </w:rPr>
      </w:pPr>
      <w:r w:rsidRPr="00E854CF">
        <w:rPr>
          <w:i/>
          <w:color w:val="000000"/>
          <w:szCs w:val="22"/>
          <w:lang w:eastAsia="en-US"/>
        </w:rPr>
        <w:t>Registruotojas</w:t>
      </w:r>
    </w:p>
    <w:p w:rsidR="00DE423C" w:rsidRPr="00E854CF" w:rsidRDefault="00DE423C" w:rsidP="00DE423C">
      <w:pPr>
        <w:rPr>
          <w:szCs w:val="22"/>
        </w:rPr>
      </w:pPr>
      <w:r w:rsidRPr="00E854CF">
        <w:rPr>
          <w:szCs w:val="22"/>
        </w:rPr>
        <w:t xml:space="preserve">Medochemie Ltd. </w:t>
      </w:r>
    </w:p>
    <w:p w:rsidR="00DE423C" w:rsidRPr="0065180D" w:rsidRDefault="00DE423C" w:rsidP="00DE423C">
      <w:pPr>
        <w:rPr>
          <w:szCs w:val="22"/>
        </w:rPr>
      </w:pPr>
      <w:r w:rsidRPr="0065180D">
        <w:rPr>
          <w:szCs w:val="22"/>
        </w:rPr>
        <w:t xml:space="preserve">1-10 Constantinoupoleos Street </w:t>
      </w:r>
    </w:p>
    <w:p w:rsidR="00DE423C" w:rsidRPr="0065180D" w:rsidRDefault="00DE423C" w:rsidP="00DE423C">
      <w:pPr>
        <w:rPr>
          <w:szCs w:val="22"/>
        </w:rPr>
      </w:pPr>
      <w:r w:rsidRPr="0065180D">
        <w:rPr>
          <w:szCs w:val="22"/>
        </w:rPr>
        <w:t xml:space="preserve">3011 Limassol </w:t>
      </w:r>
    </w:p>
    <w:p w:rsidR="00DE423C" w:rsidRPr="0065180D" w:rsidRDefault="00DE423C" w:rsidP="00DE423C">
      <w:pPr>
        <w:rPr>
          <w:szCs w:val="22"/>
        </w:rPr>
      </w:pPr>
      <w:r w:rsidRPr="00E854CF">
        <w:rPr>
          <w:szCs w:val="22"/>
        </w:rPr>
        <w:t>Kipras</w:t>
      </w:r>
    </w:p>
    <w:p w:rsidR="00DE423C" w:rsidRPr="0065180D" w:rsidRDefault="00DE423C" w:rsidP="00DE423C">
      <w:pPr>
        <w:overflowPunct w:val="0"/>
        <w:autoSpaceDE w:val="0"/>
        <w:autoSpaceDN w:val="0"/>
        <w:adjustRightInd w:val="0"/>
        <w:textAlignment w:val="baseline"/>
        <w:rPr>
          <w:noProof/>
          <w:szCs w:val="22"/>
          <w:lang w:eastAsia="x-none"/>
        </w:rPr>
      </w:pPr>
    </w:p>
    <w:p w:rsidR="00DE423C" w:rsidRPr="0065180D" w:rsidRDefault="00DE423C" w:rsidP="00DE423C">
      <w:pPr>
        <w:overflowPunct w:val="0"/>
        <w:autoSpaceDE w:val="0"/>
        <w:autoSpaceDN w:val="0"/>
        <w:adjustRightInd w:val="0"/>
        <w:textAlignment w:val="baseline"/>
        <w:rPr>
          <w:i/>
          <w:noProof/>
          <w:szCs w:val="22"/>
          <w:lang w:eastAsia="x-none"/>
        </w:rPr>
      </w:pPr>
      <w:r w:rsidRPr="0065180D">
        <w:rPr>
          <w:i/>
          <w:noProof/>
          <w:szCs w:val="22"/>
          <w:lang w:eastAsia="x-none"/>
        </w:rPr>
        <w:t>Gamintojas</w:t>
      </w:r>
    </w:p>
    <w:p w:rsidR="00DE423C" w:rsidRPr="00E854CF" w:rsidRDefault="00DE423C" w:rsidP="00DE423C">
      <w:pPr>
        <w:rPr>
          <w:color w:val="000000"/>
          <w:szCs w:val="22"/>
          <w:lang w:eastAsia="en-US"/>
        </w:rPr>
      </w:pPr>
      <w:r w:rsidRPr="00E854CF">
        <w:rPr>
          <w:color w:val="000000"/>
          <w:szCs w:val="22"/>
          <w:lang w:eastAsia="en-US"/>
        </w:rPr>
        <w:t>Medochemie Ltd.</w:t>
      </w:r>
    </w:p>
    <w:p w:rsidR="00DE423C" w:rsidRPr="0065180D" w:rsidRDefault="00DE423C" w:rsidP="00DE423C">
      <w:pPr>
        <w:overflowPunct w:val="0"/>
        <w:autoSpaceDE w:val="0"/>
        <w:autoSpaceDN w:val="0"/>
        <w:adjustRightInd w:val="0"/>
        <w:textAlignment w:val="baseline"/>
        <w:rPr>
          <w:noProof/>
          <w:szCs w:val="22"/>
          <w:lang w:eastAsia="x-none"/>
        </w:rPr>
      </w:pPr>
      <w:r w:rsidRPr="0065180D">
        <w:rPr>
          <w:noProof/>
          <w:szCs w:val="22"/>
          <w:lang w:eastAsia="x-none"/>
        </w:rPr>
        <w:t>Factory C: 2 Michael Erakleous street, Agios Athanassios</w:t>
      </w:r>
    </w:p>
    <w:p w:rsidR="00DE423C" w:rsidRPr="0065180D" w:rsidRDefault="00DE423C" w:rsidP="00DE423C">
      <w:pPr>
        <w:overflowPunct w:val="0"/>
        <w:autoSpaceDE w:val="0"/>
        <w:autoSpaceDN w:val="0"/>
        <w:adjustRightInd w:val="0"/>
        <w:textAlignment w:val="baseline"/>
        <w:rPr>
          <w:noProof/>
          <w:szCs w:val="22"/>
          <w:lang w:eastAsia="x-none"/>
        </w:rPr>
      </w:pPr>
      <w:r w:rsidRPr="0065180D">
        <w:rPr>
          <w:noProof/>
          <w:szCs w:val="22"/>
          <w:lang w:eastAsia="x-none"/>
        </w:rPr>
        <w:t>Industrial Area, Agios Athanassios</w:t>
      </w:r>
    </w:p>
    <w:p w:rsidR="00DE423C" w:rsidRPr="00E854CF" w:rsidRDefault="00DE423C" w:rsidP="00DE423C">
      <w:pPr>
        <w:rPr>
          <w:color w:val="000000"/>
          <w:szCs w:val="22"/>
          <w:lang w:eastAsia="en-US"/>
        </w:rPr>
      </w:pPr>
      <w:r w:rsidRPr="00E854CF">
        <w:rPr>
          <w:color w:val="000000"/>
          <w:szCs w:val="22"/>
          <w:lang w:eastAsia="en-US"/>
        </w:rPr>
        <w:t xml:space="preserve">4101, Limassol </w:t>
      </w:r>
    </w:p>
    <w:p w:rsidR="00DE423C" w:rsidRPr="00E854CF" w:rsidRDefault="00DE423C" w:rsidP="00DE423C">
      <w:pPr>
        <w:rPr>
          <w:color w:val="000000"/>
          <w:szCs w:val="22"/>
          <w:lang w:eastAsia="en-US"/>
        </w:rPr>
      </w:pPr>
      <w:r w:rsidRPr="00E854CF">
        <w:rPr>
          <w:color w:val="000000"/>
          <w:szCs w:val="22"/>
          <w:lang w:eastAsia="en-US"/>
        </w:rPr>
        <w:t>Kipras</w:t>
      </w:r>
    </w:p>
    <w:p w:rsidR="00DE423C" w:rsidRPr="0065180D" w:rsidRDefault="00DE423C" w:rsidP="00DE423C">
      <w:pPr>
        <w:overflowPunct w:val="0"/>
        <w:autoSpaceDE w:val="0"/>
        <w:autoSpaceDN w:val="0"/>
        <w:adjustRightInd w:val="0"/>
        <w:textAlignment w:val="baseline"/>
        <w:rPr>
          <w:noProof/>
          <w:szCs w:val="22"/>
          <w:lang w:eastAsia="x-none"/>
        </w:rPr>
      </w:pPr>
    </w:p>
    <w:p w:rsidR="00DE423C" w:rsidRPr="00E56D0A" w:rsidRDefault="00DE423C" w:rsidP="00DE423C">
      <w:pPr>
        <w:rPr>
          <w:color w:val="000000"/>
          <w:szCs w:val="22"/>
          <w:lang w:eastAsia="en-US"/>
        </w:rPr>
      </w:pPr>
      <w:r w:rsidRPr="00E56D0A">
        <w:rPr>
          <w:color w:val="000000"/>
          <w:szCs w:val="22"/>
          <w:lang w:eastAsia="en-US"/>
        </w:rPr>
        <w:t>Jeigu apie šį vaistą norite sužinoti daugiau, kreipkitės į vietinį registruotojo atstovą.</w:t>
      </w:r>
    </w:p>
    <w:p w:rsidR="00DE423C" w:rsidRPr="00E56D0A" w:rsidRDefault="00DE423C" w:rsidP="00DE423C">
      <w:pPr>
        <w:rPr>
          <w:color w:val="000000"/>
          <w:szCs w:val="22"/>
          <w:lang w:eastAsia="en-US"/>
        </w:rPr>
      </w:pPr>
    </w:p>
    <w:tbl>
      <w:tblPr>
        <w:tblW w:w="4678" w:type="dxa"/>
        <w:tblInd w:w="-34" w:type="dxa"/>
        <w:tblLayout w:type="fixed"/>
        <w:tblLook w:val="0000" w:firstRow="0" w:lastRow="0" w:firstColumn="0" w:lastColumn="0" w:noHBand="0" w:noVBand="0"/>
      </w:tblPr>
      <w:tblGrid>
        <w:gridCol w:w="4678"/>
      </w:tblGrid>
      <w:tr w:rsidR="00DE423C" w:rsidRPr="00E56D0A" w:rsidTr="00D41BF3">
        <w:tc>
          <w:tcPr>
            <w:tcW w:w="4678" w:type="dxa"/>
          </w:tcPr>
          <w:p w:rsidR="00DE423C" w:rsidRDefault="00DE423C" w:rsidP="00D41BF3">
            <w:pPr>
              <w:rPr>
                <w:szCs w:val="22"/>
              </w:rPr>
            </w:pPr>
            <w:r w:rsidRPr="00F6724D">
              <w:rPr>
                <w:szCs w:val="22"/>
              </w:rPr>
              <w:t xml:space="preserve">UAB “Medochemie Lithuania” </w:t>
            </w:r>
          </w:p>
          <w:p w:rsidR="00DE423C" w:rsidRDefault="00DE423C" w:rsidP="00D41BF3">
            <w:pPr>
              <w:rPr>
                <w:szCs w:val="22"/>
              </w:rPr>
            </w:pPr>
            <w:r w:rsidRPr="00F6724D">
              <w:rPr>
                <w:szCs w:val="22"/>
              </w:rPr>
              <w:t xml:space="preserve">Gintaro 9-36 </w:t>
            </w:r>
          </w:p>
          <w:p w:rsidR="00DE423C" w:rsidRPr="00F6724D" w:rsidRDefault="00DE423C" w:rsidP="00D41BF3">
            <w:pPr>
              <w:rPr>
                <w:szCs w:val="22"/>
              </w:rPr>
            </w:pPr>
            <w:r w:rsidRPr="00F6724D">
              <w:rPr>
                <w:szCs w:val="22"/>
              </w:rPr>
              <w:t>Kaunas LT- 47198</w:t>
            </w:r>
          </w:p>
          <w:p w:rsidR="00DE423C" w:rsidRPr="00F6724D" w:rsidRDefault="00DE423C" w:rsidP="00D41BF3">
            <w:pPr>
              <w:rPr>
                <w:szCs w:val="22"/>
              </w:rPr>
            </w:pPr>
            <w:r w:rsidRPr="00F6724D">
              <w:rPr>
                <w:szCs w:val="22"/>
              </w:rPr>
              <w:t>Tel. +370 37 338358</w:t>
            </w:r>
          </w:p>
          <w:p w:rsidR="00DE423C" w:rsidRPr="00F6724D" w:rsidRDefault="00DE423C" w:rsidP="00D41BF3">
            <w:pPr>
              <w:rPr>
                <w:szCs w:val="22"/>
              </w:rPr>
            </w:pPr>
            <w:r w:rsidRPr="00F6724D">
              <w:rPr>
                <w:szCs w:val="22"/>
              </w:rPr>
              <w:t>el. paštas: lithuania@medochemie.com</w:t>
            </w:r>
          </w:p>
          <w:p w:rsidR="00DE423C" w:rsidRPr="00E56D0A" w:rsidRDefault="00DE423C" w:rsidP="00D41BF3">
            <w:pPr>
              <w:rPr>
                <w:color w:val="000000"/>
                <w:szCs w:val="22"/>
                <w:lang w:eastAsia="en-US"/>
              </w:rPr>
            </w:pPr>
          </w:p>
        </w:tc>
      </w:tr>
    </w:tbl>
    <w:p w:rsidR="00DE423C" w:rsidRPr="007A2065" w:rsidRDefault="00DE423C" w:rsidP="00DE423C">
      <w:pPr>
        <w:tabs>
          <w:tab w:val="left" w:pos="567"/>
        </w:tabs>
        <w:overflowPunct w:val="0"/>
        <w:autoSpaceDE w:val="0"/>
        <w:autoSpaceDN w:val="0"/>
        <w:adjustRightInd w:val="0"/>
        <w:spacing w:after="120"/>
        <w:textAlignment w:val="baseline"/>
        <w:rPr>
          <w:iCs/>
          <w:noProof/>
          <w:szCs w:val="22"/>
          <w:lang w:eastAsia="en-US"/>
        </w:rPr>
      </w:pPr>
      <w:r w:rsidRPr="007A2065">
        <w:rPr>
          <w:rFonts w:ascii="TimesLT" w:hAnsi="TimesLT"/>
          <w:b/>
          <w:noProof/>
          <w:szCs w:val="22"/>
          <w:lang w:eastAsia="en-US"/>
        </w:rPr>
        <w:t xml:space="preserve">Šis vaistas </w:t>
      </w:r>
      <w:r w:rsidRPr="009019B5">
        <w:rPr>
          <w:b/>
          <w:snapToGrid w:val="0"/>
          <w:lang w:eastAsia="en-US"/>
        </w:rPr>
        <w:t>Europos ekonominės erdvės</w:t>
      </w:r>
      <w:r w:rsidRPr="003D0E88">
        <w:rPr>
          <w:b/>
        </w:rPr>
        <w:t xml:space="preserve"> </w:t>
      </w:r>
      <w:r w:rsidRPr="007A2065">
        <w:rPr>
          <w:rFonts w:ascii="TimesLT" w:hAnsi="TimesLT"/>
          <w:b/>
          <w:noProof/>
          <w:szCs w:val="22"/>
          <w:lang w:eastAsia="en-US"/>
        </w:rPr>
        <w:t>valstybėse narėse registruotas tokiais pavadinimais:</w:t>
      </w:r>
    </w:p>
    <w:tbl>
      <w:tblPr>
        <w:tblW w:w="0" w:type="auto"/>
        <w:tblLook w:val="01E0" w:firstRow="1" w:lastRow="1" w:firstColumn="1" w:lastColumn="1" w:noHBand="0" w:noVBand="0"/>
      </w:tblPr>
      <w:tblGrid>
        <w:gridCol w:w="1573"/>
        <w:gridCol w:w="6473"/>
      </w:tblGrid>
      <w:tr w:rsidR="00DE423C" w:rsidRPr="007A2065" w:rsidTr="00D41BF3">
        <w:tc>
          <w:tcPr>
            <w:tcW w:w="15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Portugalija</w:t>
            </w:r>
          </w:p>
        </w:tc>
        <w:tc>
          <w:tcPr>
            <w:tcW w:w="64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FOTAXIL</w:t>
            </w:r>
          </w:p>
        </w:tc>
      </w:tr>
      <w:tr w:rsidR="00DE423C" w:rsidRPr="007A2065" w:rsidTr="00D41BF3">
        <w:tc>
          <w:tcPr>
            <w:tcW w:w="15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Bulgarija</w:t>
            </w:r>
          </w:p>
        </w:tc>
        <w:tc>
          <w:tcPr>
            <w:tcW w:w="6473" w:type="dxa"/>
          </w:tcPr>
          <w:p w:rsidR="00DE423C" w:rsidRPr="007A2065" w:rsidRDefault="00DE423C" w:rsidP="00D41BF3">
            <w:pPr>
              <w:tabs>
                <w:tab w:val="left" w:pos="567"/>
              </w:tabs>
              <w:overflowPunct w:val="0"/>
              <w:autoSpaceDE w:val="0"/>
              <w:autoSpaceDN w:val="0"/>
              <w:adjustRightInd w:val="0"/>
              <w:textAlignment w:val="baseline"/>
              <w:rPr>
                <w:iCs/>
                <w:noProof/>
                <w:szCs w:val="22"/>
                <w:lang w:eastAsia="en-US"/>
              </w:rPr>
            </w:pPr>
            <w:r>
              <w:rPr>
                <w:szCs w:val="22"/>
                <w:lang w:val="bg-BG"/>
              </w:rPr>
              <w:t>Валоран</w:t>
            </w:r>
            <w:r w:rsidRPr="007A2065">
              <w:rPr>
                <w:iCs/>
                <w:noProof/>
                <w:szCs w:val="22"/>
                <w:lang w:eastAsia="en-US"/>
              </w:rPr>
              <w:t xml:space="preserve"> 1g прах за инжекционен/инфузионен разтвор</w:t>
            </w:r>
          </w:p>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szCs w:val="22"/>
                <w:lang w:val="bg-BG"/>
              </w:rPr>
              <w:t>Валоран</w:t>
            </w:r>
            <w:r w:rsidRPr="007A2065">
              <w:rPr>
                <w:iCs/>
                <w:noProof/>
                <w:szCs w:val="22"/>
                <w:lang w:eastAsia="en-US"/>
              </w:rPr>
              <w:t xml:space="preserve"> 2g прах за инжекционен/инфузионен разтвор</w:t>
            </w:r>
          </w:p>
        </w:tc>
      </w:tr>
      <w:tr w:rsidR="00DE423C" w:rsidRPr="007A2065" w:rsidTr="00D41BF3">
        <w:tc>
          <w:tcPr>
            <w:tcW w:w="15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Latvija</w:t>
            </w:r>
          </w:p>
        </w:tc>
        <w:tc>
          <w:tcPr>
            <w:tcW w:w="64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Valoran</w:t>
            </w:r>
            <w:r w:rsidRPr="007A2065">
              <w:rPr>
                <w:iCs/>
                <w:noProof/>
                <w:szCs w:val="22"/>
                <w:lang w:eastAsia="en-US"/>
              </w:rPr>
              <w:t xml:space="preserve"> 2g pulveris injekciju/ infūziju šķīduma pagatavošanai</w:t>
            </w:r>
          </w:p>
        </w:tc>
      </w:tr>
      <w:tr w:rsidR="00DE423C" w:rsidRPr="007A2065" w:rsidTr="00D41BF3">
        <w:tc>
          <w:tcPr>
            <w:tcW w:w="15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Lietuva</w:t>
            </w:r>
          </w:p>
        </w:tc>
        <w:tc>
          <w:tcPr>
            <w:tcW w:w="6473" w:type="dxa"/>
          </w:tcPr>
          <w:p w:rsidR="00DE423C" w:rsidRPr="007A2065" w:rsidRDefault="00DE423C" w:rsidP="00D41BF3">
            <w:pPr>
              <w:tabs>
                <w:tab w:val="left" w:pos="567"/>
              </w:tabs>
              <w:overflowPunct w:val="0"/>
              <w:autoSpaceDE w:val="0"/>
              <w:autoSpaceDN w:val="0"/>
              <w:adjustRightInd w:val="0"/>
              <w:textAlignment w:val="baseline"/>
              <w:rPr>
                <w:iCs/>
                <w:noProof/>
                <w:szCs w:val="22"/>
                <w:lang w:eastAsia="en-US"/>
              </w:rPr>
            </w:pPr>
            <w:r w:rsidRPr="007A2065">
              <w:rPr>
                <w:iCs/>
                <w:noProof/>
                <w:szCs w:val="22"/>
                <w:lang w:eastAsia="en-US"/>
              </w:rPr>
              <w:t>MOXICEF 1</w:t>
            </w:r>
            <w:r>
              <w:rPr>
                <w:iCs/>
                <w:noProof/>
                <w:szCs w:val="22"/>
                <w:lang w:eastAsia="en-US"/>
              </w:rPr>
              <w:t> </w:t>
            </w:r>
            <w:r w:rsidRPr="007A2065">
              <w:rPr>
                <w:iCs/>
                <w:noProof/>
                <w:szCs w:val="22"/>
                <w:lang w:eastAsia="en-US"/>
              </w:rPr>
              <w:t>g milteliai injekciniam ar infuziniam tirpalui</w:t>
            </w:r>
          </w:p>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MOXICEF 2</w:t>
            </w:r>
            <w:r>
              <w:rPr>
                <w:iCs/>
                <w:noProof/>
                <w:szCs w:val="22"/>
                <w:lang w:eastAsia="en-US"/>
              </w:rPr>
              <w:t> </w:t>
            </w:r>
            <w:r w:rsidRPr="007A2065">
              <w:rPr>
                <w:iCs/>
                <w:noProof/>
                <w:szCs w:val="22"/>
                <w:lang w:eastAsia="en-US"/>
              </w:rPr>
              <w:t>g milteliai injekciniam ar infuziniam tirpalui</w:t>
            </w:r>
          </w:p>
        </w:tc>
      </w:tr>
      <w:tr w:rsidR="00DE423C" w:rsidRPr="007A2065" w:rsidTr="00D41BF3">
        <w:tc>
          <w:tcPr>
            <w:tcW w:w="15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Malta</w:t>
            </w:r>
          </w:p>
        </w:tc>
        <w:tc>
          <w:tcPr>
            <w:tcW w:w="6473" w:type="dxa"/>
          </w:tcPr>
          <w:p w:rsidR="00DE423C" w:rsidRPr="007A2065" w:rsidRDefault="00DE423C" w:rsidP="00D41BF3">
            <w:pPr>
              <w:tabs>
                <w:tab w:val="left" w:pos="567"/>
              </w:tabs>
              <w:overflowPunct w:val="0"/>
              <w:autoSpaceDE w:val="0"/>
              <w:autoSpaceDN w:val="0"/>
              <w:adjustRightInd w:val="0"/>
              <w:textAlignment w:val="baseline"/>
              <w:rPr>
                <w:iCs/>
                <w:noProof/>
                <w:szCs w:val="22"/>
                <w:lang w:eastAsia="en-US"/>
              </w:rPr>
            </w:pPr>
            <w:r>
              <w:rPr>
                <w:iCs/>
                <w:noProof/>
                <w:szCs w:val="22"/>
                <w:lang w:eastAsia="en-US"/>
              </w:rPr>
              <w:t>Valoran</w:t>
            </w:r>
            <w:r w:rsidRPr="007A2065">
              <w:rPr>
                <w:iCs/>
                <w:noProof/>
                <w:szCs w:val="22"/>
                <w:lang w:eastAsia="en-US"/>
              </w:rPr>
              <w:t xml:space="preserve"> 1g powder for solution for injection/infusion</w:t>
            </w:r>
          </w:p>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Valoran</w:t>
            </w:r>
            <w:r w:rsidRPr="007A2065">
              <w:rPr>
                <w:iCs/>
                <w:noProof/>
                <w:szCs w:val="22"/>
                <w:lang w:eastAsia="en-US"/>
              </w:rPr>
              <w:t xml:space="preserve"> 2g powder for solution for injection/infusion</w:t>
            </w:r>
          </w:p>
        </w:tc>
      </w:tr>
      <w:tr w:rsidR="00DE423C" w:rsidRPr="007A2065" w:rsidTr="00D41BF3">
        <w:tc>
          <w:tcPr>
            <w:tcW w:w="15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Slovėnija</w:t>
            </w:r>
            <w:r w:rsidRPr="007A2065">
              <w:rPr>
                <w:iCs/>
                <w:noProof/>
                <w:szCs w:val="22"/>
                <w:lang w:eastAsia="en-US"/>
              </w:rPr>
              <w:t>i</w:t>
            </w:r>
          </w:p>
        </w:tc>
        <w:tc>
          <w:tcPr>
            <w:tcW w:w="6473" w:type="dxa"/>
          </w:tcPr>
          <w:p w:rsidR="00DE423C" w:rsidRPr="0011323B" w:rsidRDefault="00DE423C" w:rsidP="00D41BF3">
            <w:pPr>
              <w:tabs>
                <w:tab w:val="left" w:pos="567"/>
              </w:tabs>
              <w:overflowPunct w:val="0"/>
              <w:autoSpaceDE w:val="0"/>
              <w:autoSpaceDN w:val="0"/>
              <w:adjustRightInd w:val="0"/>
              <w:textAlignment w:val="baseline"/>
              <w:rPr>
                <w:iCs/>
                <w:noProof/>
                <w:szCs w:val="22"/>
                <w:lang w:eastAsia="en-US"/>
              </w:rPr>
            </w:pPr>
            <w:r>
              <w:rPr>
                <w:iCs/>
                <w:noProof/>
                <w:szCs w:val="22"/>
                <w:lang w:eastAsia="en-US"/>
              </w:rPr>
              <w:t>Valoran</w:t>
            </w:r>
            <w:r w:rsidRPr="0011323B">
              <w:rPr>
                <w:iCs/>
                <w:noProof/>
                <w:szCs w:val="22"/>
                <w:lang w:eastAsia="en-US"/>
              </w:rPr>
              <w:t xml:space="preserve"> 1g prašek za raztopino za injiciranje/infundiranje</w:t>
            </w:r>
          </w:p>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Valoran</w:t>
            </w:r>
            <w:r w:rsidRPr="0011323B">
              <w:rPr>
                <w:iCs/>
                <w:noProof/>
                <w:szCs w:val="22"/>
                <w:lang w:eastAsia="en-US"/>
              </w:rPr>
              <w:t xml:space="preserve"> 2g prašek za raztopino za injiciranje/infundiranje</w:t>
            </w:r>
          </w:p>
        </w:tc>
      </w:tr>
      <w:tr w:rsidR="00DE423C" w:rsidRPr="007A2065" w:rsidTr="00D41BF3">
        <w:tc>
          <w:tcPr>
            <w:tcW w:w="1573" w:type="dxa"/>
          </w:tcPr>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Ispanija</w:t>
            </w:r>
          </w:p>
        </w:tc>
        <w:tc>
          <w:tcPr>
            <w:tcW w:w="6473" w:type="dxa"/>
          </w:tcPr>
          <w:p w:rsidR="00DE423C" w:rsidRPr="0011323B" w:rsidRDefault="00DE423C" w:rsidP="00D41BF3">
            <w:pPr>
              <w:tabs>
                <w:tab w:val="left" w:pos="567"/>
              </w:tabs>
              <w:overflowPunct w:val="0"/>
              <w:autoSpaceDE w:val="0"/>
              <w:autoSpaceDN w:val="0"/>
              <w:adjustRightInd w:val="0"/>
              <w:textAlignment w:val="baseline"/>
              <w:rPr>
                <w:iCs/>
                <w:noProof/>
                <w:szCs w:val="22"/>
                <w:lang w:eastAsia="en-US"/>
              </w:rPr>
            </w:pPr>
            <w:r w:rsidRPr="0011323B">
              <w:rPr>
                <w:iCs/>
                <w:noProof/>
                <w:szCs w:val="22"/>
                <w:lang w:eastAsia="en-US"/>
              </w:rPr>
              <w:t>VALORAN 1g polvo para solución inyectable y para perfusión</w:t>
            </w:r>
          </w:p>
          <w:p w:rsidR="00DE423C" w:rsidRPr="007A2065" w:rsidRDefault="00DE423C" w:rsidP="00D41BF3">
            <w:pPr>
              <w:tabs>
                <w:tab w:val="left" w:pos="567"/>
              </w:tabs>
              <w:overflowPunct w:val="0"/>
              <w:autoSpaceDE w:val="0"/>
              <w:autoSpaceDN w:val="0"/>
              <w:adjustRightInd w:val="0"/>
              <w:textAlignment w:val="baseline"/>
              <w:rPr>
                <w:iCs/>
                <w:noProof/>
                <w:sz w:val="24"/>
                <w:szCs w:val="22"/>
                <w:lang w:eastAsia="en-US"/>
              </w:rPr>
            </w:pPr>
            <w:r w:rsidRPr="0011323B">
              <w:rPr>
                <w:iCs/>
                <w:noProof/>
                <w:szCs w:val="22"/>
                <w:lang w:eastAsia="en-US"/>
              </w:rPr>
              <w:t>VALORAN 2g polvo para solución inyectable y para perfusión</w:t>
            </w:r>
          </w:p>
        </w:tc>
      </w:tr>
    </w:tbl>
    <w:p w:rsidR="00DE423C" w:rsidRPr="00E854CF" w:rsidRDefault="00DE423C" w:rsidP="00DE423C">
      <w:pPr>
        <w:rPr>
          <w:color w:val="000000"/>
          <w:szCs w:val="22"/>
          <w:lang w:val="pt-PT" w:eastAsia="en-US"/>
        </w:rPr>
      </w:pPr>
    </w:p>
    <w:p w:rsidR="00DE423C" w:rsidRPr="00E56D0A" w:rsidRDefault="00DE423C" w:rsidP="00DE423C">
      <w:pPr>
        <w:rPr>
          <w:i/>
          <w:color w:val="000000"/>
          <w:szCs w:val="22"/>
          <w:lang w:eastAsia="en-US"/>
        </w:rPr>
      </w:pPr>
      <w:r w:rsidRPr="00E56D0A">
        <w:rPr>
          <w:b/>
          <w:bCs/>
          <w:color w:val="000000"/>
          <w:szCs w:val="22"/>
          <w:lang w:eastAsia="en-US"/>
        </w:rPr>
        <w:t>Šis pakuotės lapelis</w:t>
      </w:r>
      <w:r w:rsidRPr="00E56D0A">
        <w:rPr>
          <w:b/>
          <w:color w:val="000000"/>
          <w:szCs w:val="22"/>
          <w:lang w:eastAsia="en-US"/>
        </w:rPr>
        <w:t xml:space="preserve"> paskutinį kartą peržiūrėtas</w:t>
      </w:r>
      <w:r>
        <w:rPr>
          <w:b/>
          <w:color w:val="000000"/>
          <w:szCs w:val="22"/>
          <w:lang w:eastAsia="en-US"/>
        </w:rPr>
        <w:t xml:space="preserve"> 2024-05-21.</w:t>
      </w:r>
    </w:p>
    <w:p w:rsidR="00DE423C" w:rsidRPr="00E56D0A" w:rsidRDefault="00DE423C" w:rsidP="00DE423C">
      <w:pPr>
        <w:rPr>
          <w:color w:val="000000"/>
          <w:szCs w:val="22"/>
          <w:lang w:eastAsia="en-US"/>
        </w:rPr>
      </w:pPr>
    </w:p>
    <w:p w:rsidR="00DE423C" w:rsidRPr="00E56D0A" w:rsidRDefault="00DE423C" w:rsidP="00DE423C">
      <w:pPr>
        <w:rPr>
          <w:szCs w:val="22"/>
          <w:lang w:eastAsia="en-US"/>
        </w:rPr>
      </w:pPr>
      <w:r w:rsidRPr="00E56D0A">
        <w:rPr>
          <w:szCs w:val="22"/>
          <w:lang w:eastAsia="en-US"/>
        </w:rPr>
        <w:t xml:space="preserve">Išsami informacija apie šį vaistą pateikiama Valstybinės vaistų kontrolės tarnybos prie Lietuvos Respublikos sveikatos apsaugos ministerijos tinklalapyje </w:t>
      </w:r>
      <w:hyperlink r:id="rId8" w:history="1">
        <w:r w:rsidRPr="00E56D0A">
          <w:rPr>
            <w:color w:val="0000FF"/>
            <w:szCs w:val="22"/>
            <w:u w:val="single"/>
            <w:lang w:eastAsia="en-US"/>
          </w:rPr>
          <w:t>http://www.vvkt.lt/</w:t>
        </w:r>
      </w:hyperlink>
      <w:r w:rsidRPr="00E56D0A">
        <w:rPr>
          <w:color w:val="0000FF"/>
          <w:szCs w:val="22"/>
          <w:lang w:eastAsia="en-US"/>
        </w:rPr>
        <w:t>.</w:t>
      </w:r>
    </w:p>
    <w:p w:rsidR="00DE423C" w:rsidRDefault="00DE423C" w:rsidP="00DE423C"/>
    <w:p w:rsidR="00DE423C" w:rsidRDefault="00DE423C" w:rsidP="00DE423C"/>
    <w:p w:rsidR="00DE423C" w:rsidRDefault="00DE423C" w:rsidP="00DE423C"/>
    <w:p w:rsidR="00DE423C" w:rsidRDefault="00DE423C" w:rsidP="00DE423C"/>
    <w:p w:rsidR="00BA6577" w:rsidRDefault="00BA6577">
      <w:bookmarkStart w:id="0" w:name="_GoBack"/>
      <w:bookmarkEnd w:id="0"/>
    </w:p>
    <w:sectPr w:rsidR="00BA6577" w:rsidSect="000112CD">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0B" w:rsidRDefault="00DE423C">
    <w:pPr>
      <w:pStyle w:val="Porat"/>
      <w:jc w:val="center"/>
    </w:pPr>
    <w:r>
      <w:fldChar w:fldCharType="begin"/>
    </w:r>
    <w:r>
      <w:instrText>PAGE   \* MERGEFORMAT</w:instrText>
    </w:r>
    <w:r>
      <w:fldChar w:fldCharType="separate"/>
    </w:r>
    <w:r>
      <w:rPr>
        <w:noProof/>
      </w:rPr>
      <w:t>1</w:t>
    </w:r>
    <w:r>
      <w:fldChar w:fldCharType="end"/>
    </w:r>
  </w:p>
  <w:p w:rsidR="00E40B0B" w:rsidRDefault="00DE423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0B" w:rsidRDefault="00DE42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157506"/>
    <w:multiLevelType w:val="hybridMultilevel"/>
    <w:tmpl w:val="5C32753A"/>
    <w:lvl w:ilvl="0" w:tplc="03E47A94">
      <w:numFmt w:val="bullet"/>
      <w:lvlText w:val="-"/>
      <w:lvlJc w:val="left"/>
      <w:pPr>
        <w:ind w:left="360" w:hanging="360"/>
      </w:pPr>
      <w:rPr>
        <w:rFonts w:ascii="Times New Roman" w:hAnsi="Times New Roman"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A9F4276"/>
    <w:multiLevelType w:val="hybridMultilevel"/>
    <w:tmpl w:val="D4984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15:restartNumberingAfterBreak="0">
    <w:nsid w:val="34F71A8C"/>
    <w:multiLevelType w:val="hybridMultilevel"/>
    <w:tmpl w:val="563821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D824BF"/>
    <w:multiLevelType w:val="hybridMultilevel"/>
    <w:tmpl w:val="880C9DD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2E15CD"/>
    <w:multiLevelType w:val="hybridMultilevel"/>
    <w:tmpl w:val="1AEEA5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0A086E"/>
    <w:multiLevelType w:val="hybridMultilevel"/>
    <w:tmpl w:val="5268D752"/>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767262EE">
      <w:start w:val="6"/>
      <w:numFmt w:val="bullet"/>
      <w:lvlText w:val="-"/>
      <w:lvlJc w:val="left"/>
      <w:pPr>
        <w:tabs>
          <w:tab w:val="num" w:pos="567"/>
        </w:tabs>
        <w:ind w:left="0" w:firstLine="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97117"/>
    <w:multiLevelType w:val="hybridMultilevel"/>
    <w:tmpl w:val="ADF4027A"/>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B56C73"/>
    <w:multiLevelType w:val="hybridMultilevel"/>
    <w:tmpl w:val="4B3CC5F0"/>
    <w:lvl w:ilvl="0" w:tplc="3F32F5E8">
      <w:start w:val="2"/>
      <w:numFmt w:val="decimal"/>
      <w:lvlText w:val="%1."/>
      <w:lvlJc w:val="left"/>
      <w:pPr>
        <w:tabs>
          <w:tab w:val="num" w:pos="570"/>
        </w:tabs>
        <w:ind w:left="570" w:hanging="570"/>
      </w:pPr>
      <w:rPr>
        <w:rFonts w:cs="Times New Roman" w:hint="default"/>
        <w:b/>
        <w:bCs/>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5B73200A"/>
    <w:multiLevelType w:val="hybridMultilevel"/>
    <w:tmpl w:val="A7FCECE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num w:numId="1">
    <w:abstractNumId w:val="11"/>
  </w:num>
  <w:num w:numId="2">
    <w:abstractNumId w:val="9"/>
  </w:num>
  <w:num w:numId="3">
    <w:abstractNumId w:val="3"/>
  </w:num>
  <w:num w:numId="4">
    <w:abstractNumId w:val="0"/>
    <w:lvlOverride w:ilvl="0">
      <w:lvl w:ilvl="0">
        <w:start w:val="1"/>
        <w:numFmt w:val="bullet"/>
        <w:lvlText w:val="-"/>
        <w:lvlJc w:val="left"/>
        <w:pPr>
          <w:ind w:left="360" w:hanging="360"/>
        </w:pPr>
      </w:lvl>
    </w:lvlOverride>
  </w:num>
  <w:num w:numId="5">
    <w:abstractNumId w:val="1"/>
  </w:num>
  <w:num w:numId="6">
    <w:abstractNumId w:val="10"/>
  </w:num>
  <w:num w:numId="7">
    <w:abstractNumId w:val="8"/>
  </w:num>
  <w:num w:numId="8">
    <w:abstractNumId w:val="4"/>
  </w:num>
  <w:num w:numId="9">
    <w:abstractNumId w:val="7"/>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3C"/>
    <w:rsid w:val="00072F85"/>
    <w:rsid w:val="00181364"/>
    <w:rsid w:val="002945D9"/>
    <w:rsid w:val="00305C48"/>
    <w:rsid w:val="003362C6"/>
    <w:rsid w:val="00742EBF"/>
    <w:rsid w:val="00B4219F"/>
    <w:rsid w:val="00BA6577"/>
    <w:rsid w:val="00C30905"/>
    <w:rsid w:val="00D358F2"/>
    <w:rsid w:val="00DE423C"/>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B6DAE-A48F-4EE7-BEAC-334095CE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423C"/>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423C"/>
    <w:pPr>
      <w:ind w:left="720"/>
      <w:contextualSpacing/>
    </w:pPr>
  </w:style>
  <w:style w:type="paragraph" w:styleId="Pagrindinistekstas">
    <w:name w:val="Body Text"/>
    <w:basedOn w:val="prastasis"/>
    <w:link w:val="PagrindinistekstasDiagrama"/>
    <w:rsid w:val="00DE423C"/>
    <w:pPr>
      <w:spacing w:after="120"/>
    </w:pPr>
  </w:style>
  <w:style w:type="character" w:customStyle="1" w:styleId="PagrindinistekstasDiagrama">
    <w:name w:val="Pagrindinis tekstas Diagrama"/>
    <w:basedOn w:val="Numatytasispastraiposriftas"/>
    <w:link w:val="Pagrindinistekstas"/>
    <w:rsid w:val="00DE423C"/>
    <w:rPr>
      <w:rFonts w:ascii="Times New Roman" w:eastAsia="Times New Roman" w:hAnsi="Times New Roman" w:cs="Times New Roman"/>
      <w:szCs w:val="20"/>
      <w:lang w:eastAsia="lt-LT"/>
    </w:rPr>
  </w:style>
  <w:style w:type="paragraph" w:styleId="Porat">
    <w:name w:val="footer"/>
    <w:basedOn w:val="prastasis"/>
    <w:link w:val="PoratDiagrama"/>
    <w:uiPriority w:val="99"/>
    <w:rsid w:val="00DE423C"/>
    <w:pPr>
      <w:tabs>
        <w:tab w:val="center" w:pos="4153"/>
        <w:tab w:val="right" w:pos="8306"/>
      </w:tabs>
    </w:pPr>
  </w:style>
  <w:style w:type="character" w:customStyle="1" w:styleId="PoratDiagrama">
    <w:name w:val="Poraštė Diagrama"/>
    <w:basedOn w:val="Numatytasispastraiposriftas"/>
    <w:link w:val="Porat"/>
    <w:uiPriority w:val="99"/>
    <w:rsid w:val="00DE423C"/>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DE423C"/>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DE423C"/>
    <w:rPr>
      <w:rFonts w:ascii="Times New Roman" w:eastAsia="Times New Roman" w:hAnsi="Times New Roman" w:cs="Times New Roman"/>
      <w:sz w:val="24"/>
      <w:szCs w:val="24"/>
    </w:rPr>
  </w:style>
  <w:style w:type="paragraph" w:customStyle="1" w:styleId="BodytextAgency">
    <w:name w:val="Body text (Agency)"/>
    <w:basedOn w:val="prastasis"/>
    <w:rsid w:val="00DE423C"/>
    <w:pPr>
      <w:suppressAutoHyphens/>
      <w:spacing w:after="140" w:line="280" w:lineRule="atLeast"/>
    </w:pPr>
    <w:rPr>
      <w:rFonts w:ascii="Verdana" w:eastAsia="Verdana" w:hAnsi="Verdana" w:cs="Verdana"/>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15659</Words>
  <Characters>8926</Characters>
  <Application>Microsoft Office Word</Application>
  <DocSecurity>0</DocSecurity>
  <Lines>74</Lines>
  <Paragraphs>49</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Apie ką rašoma šiame lapelyje?</vt:lpstr>
      <vt:lpstr/>
      <vt:lpstr/>
      <vt:lpstr>MOXICEF vartoti draudžiama</vt:lpstr>
      <vt:lpstr>Įspėjimai ir atsargumo priemonės</vt:lpstr>
      <vt:lpstr/>
      <vt:lpstr>Nėštumas</vt:lpstr>
      <vt:lpstr>Pakankamų duomenų apie cefotaksimo vartojimą nėščioms moterims nėra. Tyrimai su </vt:lpstr>
      <vt:lpstr>Nepaisant to, cefotaksimo nėštumo metu turi būti vartojama, ypač pirmus tris mėn</vt:lpstr>
      <vt:lpstr/>
      <vt:lpstr>Žindymas</vt:lpstr>
      <vt:lpstr/>
      <vt:lpstr>Vairavimas ir mechanizmų valdymas</vt:lpstr>
      <vt:lpstr>MOXICEF sudėtyje yra natrio</vt:lpstr>
      <vt:lpstr>Ką daryti pavartojus per didelę MOXICEF dozę</vt:lpstr>
      <vt:lpstr>Pamiršus pavartoti MOXICEF</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2024-05-31T10:27:00Z</dcterms:created>
  <dcterms:modified xsi:type="dcterms:W3CDTF">2024-05-31T10:27:00Z</dcterms:modified>
</cp:coreProperties>
</file>