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BEBD2" w14:textId="77777777" w:rsidR="00ED78CE" w:rsidRDefault="00ED78CE" w:rsidP="00ED78CE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</w:rPr>
      </w:pPr>
    </w:p>
    <w:p w14:paraId="32728AEA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6F48129D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3AFF088C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64F7B1E8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0D710353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43994C29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6B0BA5E5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38E83CB3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406D7844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42ABAF5B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4F730A0D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0B558651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6B0E92FC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2929CB47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436834D7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0FBFF1FA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51B2BD70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511A65AD" w14:textId="77777777" w:rsidR="00ED78CE" w:rsidRDefault="00ED78CE" w:rsidP="00ED78CE">
      <w:pPr>
        <w:keepNext/>
        <w:tabs>
          <w:tab w:val="left" w:pos="567"/>
        </w:tabs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iCs/>
        </w:rPr>
        <w:t>A. ŽENKLINIMAS</w:t>
      </w:r>
    </w:p>
    <w:p w14:paraId="7CBB7E94" w14:textId="77777777" w:rsidR="00ED78CE" w:rsidRDefault="00ED78CE" w:rsidP="00ED78CE">
      <w:pPr>
        <w:pageBreakBefore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FF3E0B6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INFORMACIJA ANT IŠORINĖS PAKUOTĖS</w:t>
      </w:r>
    </w:p>
    <w:p w14:paraId="0A008428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</w:rPr>
      </w:pPr>
    </w:p>
    <w:p w14:paraId="50DAA46F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IŠORINĖ KARTONINĖ DĖŽUTĖ</w:t>
      </w:r>
    </w:p>
    <w:p w14:paraId="6EE30F1D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7C7AEBE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2877561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01AEF996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0A99FD2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</w:rPr>
        <w:t xml:space="preserve"> 0,5 </w:t>
      </w:r>
      <w:proofErr w:type="spellStart"/>
      <w:r>
        <w:rPr>
          <w:rFonts w:ascii="Times New Roman" w:eastAsia="Times New Roman" w:hAnsi="Times New Roman" w:cs="Times New Roman"/>
        </w:rPr>
        <w:t>mmol</w:t>
      </w:r>
      <w:proofErr w:type="spellEnd"/>
      <w:r>
        <w:rPr>
          <w:rFonts w:ascii="Times New Roman" w:eastAsia="Times New Roman" w:hAnsi="Times New Roman" w:cs="Times New Roman"/>
        </w:rPr>
        <w:t xml:space="preserve">/ml injekcinis tirpalas </w:t>
      </w:r>
    </w:p>
    <w:p w14:paraId="76651B32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Gadotero</w:t>
      </w:r>
      <w:proofErr w:type="spellEnd"/>
      <w:r>
        <w:rPr>
          <w:rFonts w:ascii="Times New Roman" w:eastAsia="Times New Roman" w:hAnsi="Times New Roman" w:cs="Times New Roman"/>
        </w:rPr>
        <w:t xml:space="preserve"> rūgštis</w:t>
      </w:r>
    </w:p>
    <w:p w14:paraId="1FD15131" w14:textId="77777777" w:rsidR="00ED78CE" w:rsidRDefault="00ED78CE" w:rsidP="00ED78CE">
      <w:pPr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3C247A60" w14:textId="77777777" w:rsidR="00ED78CE" w:rsidRDefault="00ED78CE" w:rsidP="00ED78CE">
      <w:pPr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</w:p>
    <w:p w14:paraId="5E7789D8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2AEFFC8F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3B8D2AA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 ml tirpalo yra 279,32 mg (0,5 </w:t>
      </w:r>
      <w:proofErr w:type="spellStart"/>
      <w:r>
        <w:rPr>
          <w:rFonts w:ascii="Times New Roman" w:eastAsia="Times New Roman" w:hAnsi="Times New Roman" w:cs="Times New Roman"/>
        </w:rPr>
        <w:t>mmol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gadotero</w:t>
      </w:r>
      <w:proofErr w:type="spellEnd"/>
      <w:r>
        <w:rPr>
          <w:rFonts w:ascii="Times New Roman" w:eastAsia="Times New Roman" w:hAnsi="Times New Roman" w:cs="Times New Roman"/>
        </w:rPr>
        <w:t xml:space="preserve"> rūgšties (</w:t>
      </w:r>
      <w:proofErr w:type="spellStart"/>
      <w:r>
        <w:rPr>
          <w:rFonts w:ascii="Times New Roman" w:eastAsia="Times New Roman" w:hAnsi="Times New Roman" w:cs="Times New Roman"/>
        </w:rPr>
        <w:t>megliumino</w:t>
      </w:r>
      <w:proofErr w:type="spellEnd"/>
      <w:r>
        <w:rPr>
          <w:rFonts w:ascii="Times New Roman" w:eastAsia="Times New Roman" w:hAnsi="Times New Roman" w:cs="Times New Roman"/>
        </w:rPr>
        <w:t xml:space="preserve"> druskos pavidalu), turinčios 78,6 mg </w:t>
      </w:r>
      <w:proofErr w:type="spellStart"/>
      <w:r>
        <w:rPr>
          <w:rFonts w:ascii="Times New Roman" w:eastAsia="Times New Roman" w:hAnsi="Times New Roman" w:cs="Times New Roman"/>
        </w:rPr>
        <w:t>gadolinio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4769FFE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5E4C41F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4447BA8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42489DD2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6DB4732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Megliuminas</w:t>
      </w:r>
      <w:proofErr w:type="spellEnd"/>
      <w:r>
        <w:rPr>
          <w:rFonts w:ascii="Times New Roman" w:eastAsia="Times New Roman" w:hAnsi="Times New Roman" w:cs="Times New Roman"/>
        </w:rPr>
        <w:t>, DOTA, injekcinis vanduo.</w:t>
      </w:r>
    </w:p>
    <w:p w14:paraId="5547350F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CB6FDF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28F754F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494337D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4880972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Injekcinis tirpalas</w:t>
      </w:r>
    </w:p>
    <w:p w14:paraId="41DF1562" w14:textId="77777777" w:rsidR="00ED78CE" w:rsidRDefault="00ED78CE" w:rsidP="00ED78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buteliukas po 10 ml injekcinio tirpalo</w:t>
      </w:r>
    </w:p>
    <w:p w14:paraId="26442892" w14:textId="77777777" w:rsidR="00ED78CE" w:rsidRDefault="00ED78CE" w:rsidP="00ED78CE">
      <w:pPr>
        <w:spacing w:after="0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10 buteliukų po 10 ml injekcinio tirpalo</w:t>
      </w:r>
    </w:p>
    <w:p w14:paraId="1FD525F5" w14:textId="77777777" w:rsidR="00ED78CE" w:rsidRDefault="00ED78CE" w:rsidP="00ED78CE">
      <w:pPr>
        <w:spacing w:after="0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1 buteliukas po 15 ml injekcinio tirpalo</w:t>
      </w:r>
    </w:p>
    <w:p w14:paraId="4F1DF554" w14:textId="77777777" w:rsidR="00ED78CE" w:rsidRDefault="00ED78CE" w:rsidP="00ED78CE">
      <w:pPr>
        <w:spacing w:after="0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10 buteliukų po 15 ml injekcinio tirpalo</w:t>
      </w:r>
    </w:p>
    <w:p w14:paraId="4B5982BD" w14:textId="77777777" w:rsidR="00ED78CE" w:rsidRDefault="00ED78CE" w:rsidP="00ED78CE">
      <w:pPr>
        <w:spacing w:after="0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1 buteliukas po 20 ml injekcinio tirpalo</w:t>
      </w:r>
    </w:p>
    <w:p w14:paraId="43F963BA" w14:textId="77777777" w:rsidR="00ED78CE" w:rsidRDefault="00ED78CE" w:rsidP="00ED78CE">
      <w:pPr>
        <w:spacing w:after="0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10 buteliukų po 20 ml injekcinio tirpalo</w:t>
      </w:r>
    </w:p>
    <w:p w14:paraId="5173B2F5" w14:textId="77777777" w:rsidR="00ED78CE" w:rsidRDefault="00ED78CE" w:rsidP="00ED78CE">
      <w:pPr>
        <w:spacing w:after="0"/>
        <w:rPr>
          <w:rFonts w:ascii="Times New Roman" w:hAnsi="Times New Roman" w:cs="Times New Roman"/>
          <w:highlight w:val="lightGray"/>
        </w:rPr>
      </w:pPr>
    </w:p>
    <w:p w14:paraId="5EA5396B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398A49A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1EF5C8C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6BE2DF8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</w:p>
    <w:p w14:paraId="68F64507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Leisti į veną.</w:t>
      </w:r>
    </w:p>
    <w:p w14:paraId="4AC317C0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Tik vienkartinei dozei. Po atidarymo suvartoti nedelsiant. Likutį išmesti.</w:t>
      </w:r>
    </w:p>
    <w:p w14:paraId="39730468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Prieš vartojimą perskaitykite pakuotės lapelį.</w:t>
      </w:r>
    </w:p>
    <w:p w14:paraId="0C7CD397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BCDF81C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7B4231D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4B3DA50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2CB138B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3B9854D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F3BB196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018C6CB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lastRenderedPageBreak/>
        <w:t>7.</w:t>
      </w:r>
      <w:r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18F4AF7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13BAAD0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Nuplėšiamą buteliuko etiketę įklijuokite į paciento ligos istoriją ir įrašykite vaisto dozę arba elektroninėje paciento ligos istorijoje įrašykite vaisto pavadinimą, serijos numerį ir dozę. </w:t>
      </w:r>
    </w:p>
    <w:p w14:paraId="4914D989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FEA2CCB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5C5414A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  <w:b/>
        </w:rPr>
        <w:tab/>
        <w:t>TINKAMUMO LAIKAS</w:t>
      </w:r>
    </w:p>
    <w:p w14:paraId="4B6669AE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2F12216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Tinka iki: {mm/MMMM/}</w:t>
      </w:r>
    </w:p>
    <w:p w14:paraId="67B572B7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6FED6AF" w14:textId="77777777" w:rsidR="00ED78CE" w:rsidRDefault="00ED78CE" w:rsidP="00ED78C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97EC93E" w14:textId="77777777" w:rsidR="00ED78CE" w:rsidRDefault="00ED78CE" w:rsidP="00ED78C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9.</w:t>
      </w:r>
      <w:r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FFB4F47" w14:textId="77777777" w:rsidR="00ED78CE" w:rsidRDefault="00ED78CE" w:rsidP="00ED78CE">
      <w:pPr>
        <w:keepNext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1D2505" w14:textId="77777777" w:rsidR="00ED78CE" w:rsidRDefault="00ED78CE" w:rsidP="00ED78CE">
      <w:p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</w:p>
    <w:p w14:paraId="2421FC92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10.</w:t>
      </w:r>
      <w:r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TVARKYMO, JEI REIKIA</w:t>
      </w:r>
    </w:p>
    <w:p w14:paraId="46E33904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60F2F57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F97CAC2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LYGIAGRETUS IMPORTUOTOJAS</w:t>
      </w:r>
    </w:p>
    <w:p w14:paraId="5D4A707B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BCA1021" w14:textId="77777777" w:rsidR="00ED78CE" w:rsidRDefault="00ED78CE" w:rsidP="00ED78C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Lygiagretus importuotojas: UAB „</w:t>
      </w:r>
      <w:proofErr w:type="spellStart"/>
      <w:r>
        <w:rPr>
          <w:rFonts w:ascii="Times New Roman" w:hAnsi="Times New Roman" w:cs="Times New Roman"/>
        </w:rPr>
        <w:t>PharmaDIA</w:t>
      </w:r>
      <w:proofErr w:type="spellEnd"/>
      <w:r>
        <w:rPr>
          <w:rFonts w:ascii="Times New Roman" w:hAnsi="Times New Roman" w:cs="Times New Roman"/>
        </w:rPr>
        <w:t>“</w:t>
      </w:r>
    </w:p>
    <w:p w14:paraId="61D9759D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12.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LYGIAGRETAUS IMPORTO LEIDIMO NUMERIS</w:t>
      </w:r>
    </w:p>
    <w:p w14:paraId="6E81E7A4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8A07618" w14:textId="77777777" w:rsidR="00ED78CE" w:rsidRDefault="00ED78CE" w:rsidP="00ED78CE">
      <w:pPr>
        <w:tabs>
          <w:tab w:val="left" w:pos="567"/>
        </w:tabs>
        <w:suppressAutoHyphens/>
        <w:autoSpaceDN w:val="0"/>
        <w:snapToGrid w:val="0"/>
        <w:spacing w:after="0" w:line="260" w:lineRule="exact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 ml, N1 – LT/L/17/0519/001</w:t>
      </w:r>
    </w:p>
    <w:p w14:paraId="0EDF1F68" w14:textId="77777777" w:rsidR="00ED78CE" w:rsidRPr="006E0A35" w:rsidRDefault="00ED78CE" w:rsidP="00ED78CE">
      <w:pPr>
        <w:tabs>
          <w:tab w:val="left" w:pos="567"/>
        </w:tabs>
        <w:suppressAutoHyphens/>
        <w:autoSpaceDN w:val="0"/>
        <w:snapToGrid w:val="0"/>
        <w:spacing w:after="0" w:line="260" w:lineRule="exact"/>
        <w:textAlignment w:val="baseline"/>
        <w:rPr>
          <w:rFonts w:ascii="Times New Roman" w:eastAsia="Times New Roman" w:hAnsi="Times New Roman" w:cs="Times New Roman"/>
          <w:highlight w:val="lightGray"/>
          <w:shd w:val="clear" w:color="auto" w:fill="C0C0C0"/>
        </w:rPr>
      </w:pPr>
      <w:r w:rsidRPr="006E0A35">
        <w:rPr>
          <w:rFonts w:ascii="Times New Roman" w:eastAsia="Times New Roman" w:hAnsi="Times New Roman" w:cs="Times New Roman"/>
          <w:highlight w:val="lightGray"/>
        </w:rPr>
        <w:t>10 ml,</w:t>
      </w:r>
      <w:r>
        <w:rPr>
          <w:rFonts w:ascii="Times New Roman" w:eastAsia="Times New Roman" w:hAnsi="Times New Roman" w:cs="Times New Roman"/>
          <w:highlight w:val="lightGray"/>
        </w:rPr>
        <w:t xml:space="preserve"> </w:t>
      </w:r>
      <w:r w:rsidRPr="006E0A35">
        <w:rPr>
          <w:rFonts w:ascii="Times New Roman" w:eastAsia="Times New Roman" w:hAnsi="Times New Roman" w:cs="Times New Roman"/>
          <w:highlight w:val="lightGray"/>
        </w:rPr>
        <w:t>N10 – LT/L/17/0519/002</w:t>
      </w:r>
    </w:p>
    <w:p w14:paraId="20C4A476" w14:textId="77777777" w:rsidR="00ED78CE" w:rsidRPr="006E0A35" w:rsidRDefault="00ED78CE" w:rsidP="00ED78CE">
      <w:pPr>
        <w:tabs>
          <w:tab w:val="left" w:pos="567"/>
        </w:tabs>
        <w:suppressAutoHyphens/>
        <w:autoSpaceDN w:val="0"/>
        <w:snapToGrid w:val="0"/>
        <w:spacing w:after="0" w:line="260" w:lineRule="exact"/>
        <w:textAlignment w:val="baseline"/>
        <w:rPr>
          <w:rFonts w:ascii="Times New Roman" w:eastAsia="Times New Roman" w:hAnsi="Times New Roman" w:cs="Times New Roman"/>
          <w:highlight w:val="lightGray"/>
          <w:shd w:val="clear" w:color="auto" w:fill="C0C0C0"/>
        </w:rPr>
      </w:pPr>
      <w:r w:rsidRPr="006E0A35">
        <w:rPr>
          <w:rFonts w:ascii="Times New Roman" w:eastAsia="Times New Roman" w:hAnsi="Times New Roman" w:cs="Times New Roman"/>
          <w:highlight w:val="lightGray"/>
          <w:shd w:val="clear" w:color="auto" w:fill="C0C0C0"/>
        </w:rPr>
        <w:t xml:space="preserve">15 ml, N1 – </w:t>
      </w:r>
      <w:r w:rsidRPr="006E0A35">
        <w:rPr>
          <w:rFonts w:ascii="Times New Roman" w:eastAsia="Times New Roman" w:hAnsi="Times New Roman" w:cs="Times New Roman"/>
          <w:highlight w:val="lightGray"/>
        </w:rPr>
        <w:t>LT/L/17/0519/003</w:t>
      </w:r>
    </w:p>
    <w:p w14:paraId="32E607E1" w14:textId="77777777" w:rsidR="00ED78CE" w:rsidRPr="006E0A35" w:rsidRDefault="00ED78CE" w:rsidP="00ED78CE">
      <w:pPr>
        <w:tabs>
          <w:tab w:val="left" w:pos="567"/>
        </w:tabs>
        <w:suppressAutoHyphens/>
        <w:autoSpaceDN w:val="0"/>
        <w:snapToGrid w:val="0"/>
        <w:spacing w:after="0" w:line="260" w:lineRule="exact"/>
        <w:textAlignment w:val="baseline"/>
        <w:rPr>
          <w:rFonts w:ascii="Times New Roman" w:eastAsia="Times New Roman" w:hAnsi="Times New Roman" w:cs="Times New Roman"/>
          <w:highlight w:val="lightGray"/>
          <w:shd w:val="clear" w:color="auto" w:fill="C0C0C0"/>
        </w:rPr>
      </w:pPr>
      <w:r w:rsidRPr="006E0A35">
        <w:rPr>
          <w:rFonts w:ascii="Times New Roman" w:eastAsia="Times New Roman" w:hAnsi="Times New Roman" w:cs="Times New Roman"/>
          <w:highlight w:val="lightGray"/>
          <w:shd w:val="clear" w:color="auto" w:fill="C0C0C0"/>
        </w:rPr>
        <w:t xml:space="preserve">15 ml, N10 – </w:t>
      </w:r>
      <w:r w:rsidRPr="006E0A35">
        <w:rPr>
          <w:rFonts w:ascii="Times New Roman" w:eastAsia="Times New Roman" w:hAnsi="Times New Roman" w:cs="Times New Roman"/>
          <w:highlight w:val="lightGray"/>
        </w:rPr>
        <w:t>LT/L/17/0519/004</w:t>
      </w:r>
    </w:p>
    <w:p w14:paraId="3DC90161" w14:textId="77777777" w:rsidR="00ED78CE" w:rsidRPr="006E0A35" w:rsidRDefault="00ED78CE" w:rsidP="00ED78CE">
      <w:pPr>
        <w:tabs>
          <w:tab w:val="left" w:pos="567"/>
        </w:tabs>
        <w:suppressAutoHyphens/>
        <w:autoSpaceDN w:val="0"/>
        <w:snapToGrid w:val="0"/>
        <w:spacing w:after="0" w:line="260" w:lineRule="exact"/>
        <w:textAlignment w:val="baseline"/>
        <w:rPr>
          <w:rFonts w:ascii="Times New Roman" w:eastAsia="Times New Roman" w:hAnsi="Times New Roman" w:cs="Times New Roman"/>
          <w:highlight w:val="lightGray"/>
          <w:shd w:val="clear" w:color="auto" w:fill="C0C0C0"/>
        </w:rPr>
      </w:pPr>
      <w:r w:rsidRPr="006E0A35">
        <w:rPr>
          <w:rFonts w:ascii="Times New Roman" w:eastAsia="Times New Roman" w:hAnsi="Times New Roman" w:cs="Times New Roman"/>
          <w:highlight w:val="lightGray"/>
          <w:shd w:val="clear" w:color="auto" w:fill="C0C0C0"/>
        </w:rPr>
        <w:t xml:space="preserve">20 ml, N1 – </w:t>
      </w:r>
      <w:r w:rsidRPr="006E0A35">
        <w:rPr>
          <w:rFonts w:ascii="Times New Roman" w:eastAsia="Times New Roman" w:hAnsi="Times New Roman" w:cs="Times New Roman"/>
          <w:highlight w:val="lightGray"/>
        </w:rPr>
        <w:t>LT/L/17/0519/005</w:t>
      </w:r>
    </w:p>
    <w:p w14:paraId="6346BA62" w14:textId="77777777" w:rsidR="00ED78CE" w:rsidRDefault="00ED78CE" w:rsidP="00ED78CE">
      <w:pPr>
        <w:tabs>
          <w:tab w:val="left" w:pos="567"/>
        </w:tabs>
        <w:suppressAutoHyphens/>
        <w:autoSpaceDN w:val="0"/>
        <w:snapToGrid w:val="0"/>
        <w:spacing w:after="0" w:line="260" w:lineRule="exact"/>
        <w:textAlignment w:val="baseline"/>
        <w:rPr>
          <w:rFonts w:ascii="Times New Roman" w:eastAsia="Times New Roman" w:hAnsi="Times New Roman" w:cs="Times New Roman"/>
          <w:shd w:val="clear" w:color="auto" w:fill="C0C0C0"/>
        </w:rPr>
      </w:pPr>
      <w:r w:rsidRPr="006E0A35">
        <w:rPr>
          <w:rFonts w:ascii="Times New Roman" w:eastAsia="Times New Roman" w:hAnsi="Times New Roman" w:cs="Times New Roman"/>
          <w:highlight w:val="lightGray"/>
          <w:shd w:val="clear" w:color="auto" w:fill="C0C0C0"/>
        </w:rPr>
        <w:t xml:space="preserve">20 ml, N10 – </w:t>
      </w:r>
      <w:r w:rsidRPr="006E0A35">
        <w:rPr>
          <w:rFonts w:ascii="Times New Roman" w:eastAsia="Times New Roman" w:hAnsi="Times New Roman" w:cs="Times New Roman"/>
          <w:highlight w:val="lightGray"/>
        </w:rPr>
        <w:t>LT/L/17/0519/006</w:t>
      </w:r>
    </w:p>
    <w:p w14:paraId="2B691AC5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A34B0E2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272CC94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13.</w:t>
      </w:r>
      <w:r>
        <w:rPr>
          <w:rFonts w:ascii="Times New Roman" w:eastAsia="Times New Roman" w:hAnsi="Times New Roman" w:cs="Times New Roman"/>
          <w:b/>
        </w:rPr>
        <w:tab/>
        <w:t>SERIJOS NUMERIS</w:t>
      </w:r>
    </w:p>
    <w:p w14:paraId="191F3AFC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E269AA1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Serija: </w:t>
      </w:r>
    </w:p>
    <w:p w14:paraId="0A06FE77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95CC4E4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6FA385F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14.</w:t>
      </w:r>
      <w:r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48514A4F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19CA292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szCs w:val="20"/>
        </w:rPr>
        <w:t>Receptinis vaistas</w:t>
      </w:r>
    </w:p>
    <w:p w14:paraId="2115AE22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7C601D4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240F3B0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15.</w:t>
      </w:r>
      <w:r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70D18053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034E4BE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83818C6" w14:textId="77777777" w:rsidR="00ED78CE" w:rsidRDefault="00ED78CE" w:rsidP="00ED78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</w:rPr>
        <w:t>16.</w:t>
      </w:r>
      <w:r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1B1B5646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2C9761A" w14:textId="77777777" w:rsidR="00ED78CE" w:rsidRDefault="00ED78CE" w:rsidP="00ED7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Priimtas pagrindimas informacijos Brailio raštu nepateikti.</w:t>
      </w:r>
    </w:p>
    <w:p w14:paraId="05C47F8B" w14:textId="77777777" w:rsidR="00ED78CE" w:rsidRDefault="00ED78CE" w:rsidP="00ED78CE">
      <w:pPr>
        <w:rPr>
          <w:b/>
          <w:lang w:eastAsia="lt-LT"/>
        </w:rPr>
      </w:pPr>
      <w:r>
        <w:rPr>
          <w:lang w:eastAsia="lt-LT"/>
        </w:rPr>
        <w:lastRenderedPageBreak/>
        <w:t>-----------------------------------------------------------------------------------------------------------------</w:t>
      </w:r>
    </w:p>
    <w:p w14:paraId="5E5D9E89" w14:textId="4BFAF836" w:rsidR="00ED78CE" w:rsidRPr="006F504B" w:rsidRDefault="00ED78CE" w:rsidP="00ED78CE">
      <w:pPr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bCs/>
          <w:noProof/>
          <w:lang w:eastAsia="lt-LT"/>
        </w:rPr>
        <w:t xml:space="preserve">Gamintojas: </w:t>
      </w:r>
      <w:proofErr w:type="spellStart"/>
      <w:r>
        <w:rPr>
          <w:rFonts w:ascii="Times New Roman" w:hAnsi="Times New Roman" w:cs="Times New Roman"/>
          <w:color w:val="000000"/>
          <w:lang w:val="de-DE"/>
        </w:rPr>
        <w:t>Sanochemia</w:t>
      </w:r>
      <w:proofErr w:type="spellEnd"/>
      <w:r>
        <w:rPr>
          <w:rFonts w:ascii="Times New Roman" w:hAnsi="Times New Roman" w:cs="Times New Roman"/>
          <w:color w:val="000000"/>
          <w:lang w:val="de-DE"/>
        </w:rPr>
        <w:t xml:space="preserve"> Pharmazeutika </w:t>
      </w:r>
      <w:r w:rsidR="007E2422">
        <w:rPr>
          <w:rFonts w:ascii="Times New Roman" w:hAnsi="Times New Roman" w:cs="Times New Roman"/>
          <w:color w:val="000000"/>
          <w:lang w:val="de-DE"/>
        </w:rPr>
        <w:t xml:space="preserve">GmbH </w:t>
      </w:r>
    </w:p>
    <w:p w14:paraId="4897D097" w14:textId="77777777" w:rsidR="00ED78CE" w:rsidRDefault="00ED78CE" w:rsidP="00ED78C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Perpakavo: BĮ UAB “Norfachema”.</w:t>
      </w:r>
    </w:p>
    <w:p w14:paraId="032A11D1" w14:textId="77777777" w:rsidR="00ED78CE" w:rsidRDefault="00ED78CE" w:rsidP="00ED78C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Perpak. serija:</w:t>
      </w:r>
    </w:p>
    <w:p w14:paraId="7FFA340C" w14:textId="77777777" w:rsidR="00ED78CE" w:rsidRDefault="00ED78CE" w:rsidP="00ED78CE">
      <w:pPr>
        <w:tabs>
          <w:tab w:val="left" w:pos="0"/>
        </w:tabs>
        <w:rPr>
          <w:b/>
        </w:rPr>
      </w:pPr>
      <w:r w:rsidRPr="006E0A35">
        <w:rPr>
          <w:rFonts w:ascii="Times New Roman" w:hAnsi="Times New Roman" w:cs="Times New Roman"/>
          <w:i/>
        </w:rPr>
        <w:t xml:space="preserve">Lygiagrečiai importuojamas vaistinis preparatas nuo referencinio vaistinio preparato skiriasi pagalbinėmis medžiagomis - referencinio vaistinio preparato – </w:t>
      </w:r>
      <w:proofErr w:type="spellStart"/>
      <w:r w:rsidRPr="006E0A35">
        <w:rPr>
          <w:rFonts w:ascii="Times New Roman" w:hAnsi="Times New Roman" w:cs="Times New Roman"/>
          <w:i/>
        </w:rPr>
        <w:t>megliuminas</w:t>
      </w:r>
      <w:proofErr w:type="spellEnd"/>
      <w:r w:rsidRPr="006E0A35">
        <w:rPr>
          <w:rFonts w:ascii="Times New Roman" w:hAnsi="Times New Roman" w:cs="Times New Roman"/>
          <w:i/>
        </w:rPr>
        <w:t xml:space="preserve"> ir injekcinis vanduo, o lygiagrečiai importuojamo vaistinio preparato -  </w:t>
      </w:r>
      <w:proofErr w:type="spellStart"/>
      <w:r w:rsidRPr="006E0A35">
        <w:rPr>
          <w:rFonts w:ascii="Times New Roman" w:hAnsi="Times New Roman" w:cs="Times New Roman"/>
          <w:i/>
        </w:rPr>
        <w:t>megliuminas</w:t>
      </w:r>
      <w:proofErr w:type="spellEnd"/>
      <w:r w:rsidRPr="006E0A35">
        <w:rPr>
          <w:rFonts w:ascii="Times New Roman" w:hAnsi="Times New Roman" w:cs="Times New Roman"/>
          <w:i/>
        </w:rPr>
        <w:t>, DOTA  ir injekcinis vanduo</w:t>
      </w:r>
      <w:r>
        <w:rPr>
          <w:rFonts w:ascii="Times New Roman" w:hAnsi="Times New Roman" w:cs="Times New Roman"/>
        </w:rPr>
        <w:t>.</w:t>
      </w:r>
    </w:p>
    <w:p w14:paraId="3CABA83F" w14:textId="77777777" w:rsidR="00ED78CE" w:rsidRDefault="00ED78CE" w:rsidP="00ED78CE">
      <w:pPr>
        <w:pStyle w:val="Pavadinimas"/>
        <w:tabs>
          <w:tab w:val="left" w:pos="567"/>
        </w:tabs>
        <w:rPr>
          <w:szCs w:val="22"/>
          <w:lang w:val="lt-LT"/>
        </w:rPr>
      </w:pPr>
    </w:p>
    <w:p w14:paraId="20625B6B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859EC3D" w14:textId="77777777" w:rsidR="00ED78CE" w:rsidRDefault="00ED78CE" w:rsidP="00ED78C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CC8CE3B" w14:textId="77777777" w:rsidR="00ED78CE" w:rsidRDefault="00ED78CE" w:rsidP="00ED78CE"/>
    <w:p w14:paraId="2E9C80D5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4507253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E2BDE3D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3F99E88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0A438F1E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CD61EDB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D6A90CD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C41C8C3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2BFB4D6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F8940F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F8E5205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1ED612F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AB619F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70F2D63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C4D1730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47F7FAE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A51F7C7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59B3E4C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FB1BB82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073322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E5810C1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387AF5B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75EF79F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14E6620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67B0D1E2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0570B97A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0881FC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1385124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88D93DE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A6E718F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6A07407B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3419E1A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75B291A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F44CC98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0D69D0B1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F77D850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3B24FE1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0AAF23EA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C016BD2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D9250BF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1309A2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096EA84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48AF98B4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3820790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7E68CE70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5C4A88F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348331D1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81AFDC9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E86E036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07544971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47923503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4F08A070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8FFB531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24D6DDBD" w14:textId="77777777" w:rsidR="00ED78CE" w:rsidRDefault="00ED78CE" w:rsidP="00ED78CE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B. PAKUOTĖS LAPELIS</w:t>
      </w:r>
    </w:p>
    <w:p w14:paraId="62055355" w14:textId="77777777" w:rsidR="00ED78CE" w:rsidRDefault="00ED78CE" w:rsidP="00ED78CE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eastAsia="x-none"/>
        </w:rPr>
      </w:pPr>
      <w:r>
        <w:rPr>
          <w:rFonts w:ascii="Times New Roman" w:eastAsia="SimSun" w:hAnsi="Times New Roman" w:cs="Times New Roman"/>
          <w:b/>
          <w:i/>
          <w:lang w:eastAsia="x-none"/>
        </w:rPr>
        <w:br w:type="page"/>
      </w:r>
      <w:r>
        <w:rPr>
          <w:rFonts w:ascii="Times New Roman" w:eastAsia="SimSun" w:hAnsi="Times New Roman" w:cs="Times New Roman"/>
          <w:b/>
          <w:lang w:eastAsia="x-none"/>
        </w:rPr>
        <w:lastRenderedPageBreak/>
        <w:t>Pakuotės lapelis: informacija vartotojui</w:t>
      </w:r>
    </w:p>
    <w:p w14:paraId="015ABC26" w14:textId="77777777" w:rsidR="00ED78CE" w:rsidRDefault="00ED78CE" w:rsidP="00ED78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10F0B03C" w14:textId="77777777" w:rsidR="00ED78CE" w:rsidRDefault="00ED78CE" w:rsidP="00ED78C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</w:rPr>
      </w:pPr>
      <w:proofErr w:type="spellStart"/>
      <w:r w:rsidRPr="00A758D4">
        <w:rPr>
          <w:rFonts w:ascii="Times New Roman" w:hAnsi="Times New Roman" w:cs="Times New Roman"/>
          <w:b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 0,5 </w:t>
      </w:r>
      <w:proofErr w:type="spellStart"/>
      <w:r>
        <w:rPr>
          <w:rFonts w:ascii="Times New Roman" w:eastAsia="Times New Roman" w:hAnsi="Times New Roman" w:cs="Times New Roman"/>
          <w:b/>
          <w:snapToGrid w:val="0"/>
        </w:rPr>
        <w:t>mmol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/ml injekcinis tirpalas </w:t>
      </w:r>
    </w:p>
    <w:p w14:paraId="7CA5AAA3" w14:textId="77777777" w:rsidR="00ED78CE" w:rsidRDefault="00ED78CE" w:rsidP="00ED78C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Gadotero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rūgštis</w:t>
      </w:r>
    </w:p>
    <w:p w14:paraId="7A90276F" w14:textId="77777777" w:rsidR="00ED78CE" w:rsidRDefault="00ED78CE" w:rsidP="00ED78C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</w:p>
    <w:p w14:paraId="0745CB6F" w14:textId="77777777" w:rsidR="00ED78CE" w:rsidRDefault="00ED78CE" w:rsidP="00ED78CE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Atidžiai perskaitykite visą šį lapelį, prieš pradėdami vartoti vaistą, nes jame pateikiama Jums svarbi informacija.</w:t>
      </w:r>
    </w:p>
    <w:p w14:paraId="1B9A096A" w14:textId="77777777" w:rsidR="00ED78CE" w:rsidRDefault="00ED78CE" w:rsidP="00ED78C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Neišmeskite šio lapelio, nes vėl gali prireikti jį perskaityti.</w:t>
      </w:r>
    </w:p>
    <w:p w14:paraId="7F67E1CC" w14:textId="77777777" w:rsidR="00ED78CE" w:rsidRDefault="00ED78CE" w:rsidP="00ED78C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kiltų daugiau klausimų, kreipkitės į gydytoją arba radiologą.</w:t>
      </w:r>
    </w:p>
    <w:p w14:paraId="4F4E5B73" w14:textId="77777777" w:rsidR="00ED78CE" w:rsidRDefault="00ED78CE" w:rsidP="00ED78C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pasireiškė šalutinis poveikis (net jeigu jis šiame lapelyje nenurodytas), kreipkitės į gydytoją, radiologą arba vaistininką.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Žr. 4 skyrių.</w:t>
      </w:r>
    </w:p>
    <w:p w14:paraId="0C172CDD" w14:textId="77777777" w:rsidR="00ED78CE" w:rsidRDefault="00ED78CE" w:rsidP="00ED78CE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020C4D8" w14:textId="77777777" w:rsidR="00ED78CE" w:rsidRDefault="00ED78CE" w:rsidP="00ED78CE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42C72E7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Apie ką rašoma šiame lapelyje?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2840D911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snapToGrid w:val="0"/>
        </w:rPr>
      </w:pPr>
    </w:p>
    <w:p w14:paraId="5AD43026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1.</w:t>
      </w:r>
      <w:r>
        <w:rPr>
          <w:rFonts w:ascii="Times New Roman" w:eastAsia="Times New Roman" w:hAnsi="Times New Roman" w:cs="Times New Roman"/>
          <w:snapToGrid w:val="0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ir kam jis vartojamas</w:t>
      </w:r>
    </w:p>
    <w:p w14:paraId="19480CE1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2.</w:t>
      </w:r>
      <w:r>
        <w:rPr>
          <w:rFonts w:ascii="Times New Roman" w:eastAsia="Times New Roman" w:hAnsi="Times New Roman" w:cs="Times New Roman"/>
          <w:snapToGrid w:val="0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</w:p>
    <w:p w14:paraId="7C22DCDD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3.</w:t>
      </w:r>
      <w:r>
        <w:rPr>
          <w:rFonts w:ascii="Times New Roman" w:eastAsia="Times New Roman" w:hAnsi="Times New Roman" w:cs="Times New Roman"/>
          <w:snapToGrid w:val="0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60801547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4.</w:t>
      </w:r>
      <w:r>
        <w:rPr>
          <w:rFonts w:ascii="Times New Roman" w:eastAsia="Times New Roman" w:hAnsi="Times New Roman" w:cs="Times New Roman"/>
          <w:snapToGrid w:val="0"/>
        </w:rPr>
        <w:tab/>
        <w:t>Galimas šalutinis poveikis</w:t>
      </w:r>
    </w:p>
    <w:p w14:paraId="2CBD1C89" w14:textId="77777777" w:rsidR="00ED78CE" w:rsidRDefault="00ED78CE" w:rsidP="00ED78CE">
      <w:pPr>
        <w:numPr>
          <w:ilvl w:val="0"/>
          <w:numId w:val="2"/>
        </w:numPr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Kaip laikyti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</w:p>
    <w:p w14:paraId="6DFC8224" w14:textId="77777777" w:rsidR="00ED78CE" w:rsidRDefault="00ED78CE" w:rsidP="00ED78CE">
      <w:p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6.</w:t>
      </w:r>
      <w:r>
        <w:rPr>
          <w:rFonts w:ascii="Times New Roman" w:eastAsia="Times New Roman" w:hAnsi="Times New Roman" w:cs="Times New Roman"/>
          <w:snapToGrid w:val="0"/>
        </w:rPr>
        <w:tab/>
        <w:t>Pakuotės turinys ir kita informacija</w:t>
      </w:r>
    </w:p>
    <w:p w14:paraId="0B199F22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0FA9F29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9B8D07E" w14:textId="77777777" w:rsidR="00ED78CE" w:rsidRDefault="00ED78CE" w:rsidP="00ED78CE">
      <w:pPr>
        <w:numPr>
          <w:ilvl w:val="0"/>
          <w:numId w:val="3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Kas yra </w:t>
      </w:r>
      <w:proofErr w:type="spellStart"/>
      <w:r w:rsidRPr="00A758D4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 ir kam jis vartojamas</w:t>
      </w:r>
    </w:p>
    <w:p w14:paraId="2223617E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25FF1F2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yra diagnostinis preparatas vartojamas suaugusiesiems ir vaikams. Jis priskiriamas kontrastinių medžiagų, naudojamų atliekant magnetinio rezonanso tyrimą (MRT), grupei.</w:t>
      </w:r>
    </w:p>
    <w:p w14:paraId="75D19C37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562D8E1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vartojamas kontrastui sustiprinti, atliekant magnetinio rezonanso tomografijos (MRT) tyrimą. Toks kontrasto sustiprinimas suteikia galimybę geriau įvertinti:</w:t>
      </w:r>
    </w:p>
    <w:p w14:paraId="3C26DC9F" w14:textId="77777777" w:rsidR="00ED78CE" w:rsidRDefault="00ED78CE" w:rsidP="00ED78CE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galvos smegenų, nugaros smegenų ir aplinkinių audinių defektus (pažeidimus);</w:t>
      </w:r>
    </w:p>
    <w:p w14:paraId="39EA9209" w14:textId="77777777" w:rsidR="00ED78CE" w:rsidRDefault="00ED78CE" w:rsidP="00ED78CE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kepenų, inkstų, kasos, dubens, plaučių, širdies, krūties, skeleto ir raumenų sistemos defektus (pažeidimus);</w:t>
      </w:r>
    </w:p>
    <w:p w14:paraId="76F127AD" w14:textId="77777777" w:rsidR="00ED78CE" w:rsidRDefault="00ED78CE" w:rsidP="00ED78CE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arterijų, išskyrus širdies vainikinių arterijų, defektus (pažeidimus) ir susiaurėjimą (stenozę) (tik suaugusiesiems).</w:t>
      </w:r>
    </w:p>
    <w:p w14:paraId="1C8C11D5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4494E721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Šis vaistas vartojamas tik diagnostikai.</w:t>
      </w:r>
    </w:p>
    <w:p w14:paraId="1F73B328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34ACDB07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665B58AF" w14:textId="77777777" w:rsidR="00ED78CE" w:rsidRDefault="00ED78CE" w:rsidP="00ED78CE">
      <w:pPr>
        <w:numPr>
          <w:ilvl w:val="0"/>
          <w:numId w:val="5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Kas žinotina prieš vartojant </w:t>
      </w:r>
      <w:proofErr w:type="spellStart"/>
      <w:r w:rsidRPr="00A758D4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</w:p>
    <w:p w14:paraId="596613CE" w14:textId="77777777" w:rsidR="00ED78CE" w:rsidRDefault="00ED78CE" w:rsidP="00ED78CE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C12A4B2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Būtina atidžiai perskaityti šiame skyriuje pateiktą informaciją.</w:t>
      </w:r>
    </w:p>
    <w:p w14:paraId="324518DB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Prieš Jums paskiriant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Jus gydantis gydytojas ar radiologas turi su Jumis apsvarstyti šią informaciją.</w:t>
      </w:r>
    </w:p>
    <w:p w14:paraId="1FD75B62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3D97F91" w14:textId="77777777" w:rsidR="00ED78CE" w:rsidRDefault="00ED78CE" w:rsidP="00ED78CE">
      <w:pPr>
        <w:numPr>
          <w:ilvl w:val="12"/>
          <w:numId w:val="0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 w:rsidRPr="00D81549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vartoti negalima:</w:t>
      </w:r>
    </w:p>
    <w:p w14:paraId="69FFA3A8" w14:textId="77777777" w:rsidR="00ED78CE" w:rsidRDefault="00ED78CE" w:rsidP="00ED78CE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yra alergija veikliajai medžiagai arba bet kuriai pagalbinei šio vaisto medžiagai (jos išvardytos 6 skyriuje);</w:t>
      </w:r>
    </w:p>
    <w:p w14:paraId="0F3656E6" w14:textId="77777777" w:rsidR="00ED78CE" w:rsidRDefault="00ED78CE" w:rsidP="00ED78CE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jeigu esate alergiški vaistams, kurių sudėtyje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gadolinio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(kitiems kontrastiniams preparatams, naudojamiems atliekant magnetinio rezonanso tyrimą).</w:t>
      </w:r>
    </w:p>
    <w:p w14:paraId="32B07A7D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757EB72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Įspėjimai ir atsargumo priemonės</w:t>
      </w:r>
    </w:p>
    <w:p w14:paraId="42F04CA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Pasakykite gydytojui ar radiologui, jeigu:</w:t>
      </w:r>
    </w:p>
    <w:p w14:paraId="17BA8801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praeityje atliekant tyrimą Jums pasireiškė reakcija kontrastinei medžiagai,</w:t>
      </w:r>
    </w:p>
    <w:p w14:paraId="6A004B34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sergate astma,</w:t>
      </w:r>
    </w:p>
    <w:p w14:paraId="2851F69D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praeityje Jums buvo alergija (pavyzdžiui, alergija jūros produktams, dilgėlinė, šienligė),</w:t>
      </w:r>
    </w:p>
    <w:p w14:paraId="6B6EAE03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vartojate beta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adrenoblokatorių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(vaistų nuo širdies ir kraujospūdžio sutrikimų, pavyzdžiui,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metoprololio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>),</w:t>
      </w:r>
    </w:p>
    <w:p w14:paraId="1016A626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Jūsų inkstų veikla sutrikusi,</w:t>
      </w:r>
    </w:p>
    <w:p w14:paraId="4FF0B96D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Jums neseniai atlikta kepenų persodinimo operacija arba tokia operacija Jums yra planuojama,</w:t>
      </w:r>
    </w:p>
    <w:p w14:paraId="61065839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sergate širdies ar kraujagyslių liga,</w:t>
      </w:r>
    </w:p>
    <w:p w14:paraId="4B736370" w14:textId="77777777" w:rsidR="00ED78CE" w:rsidRDefault="00ED78CE" w:rsidP="00ED78CE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Jums buvo traukulių arba gydotės nuo epilepsijos.</w:t>
      </w:r>
    </w:p>
    <w:p w14:paraId="24BAACA3" w14:textId="77777777" w:rsidR="00ED78CE" w:rsidRDefault="00ED78CE" w:rsidP="00ED78CE">
      <w:pPr>
        <w:spacing w:after="0" w:line="240" w:lineRule="auto"/>
        <w:rPr>
          <w:rFonts w:ascii="Times New Roman" w:eastAsia="MS Mincho" w:hAnsi="Times New Roman" w:cs="Times New Roman"/>
          <w:color w:val="000000"/>
          <w:lang w:eastAsia="zh-CN"/>
        </w:rPr>
      </w:pPr>
    </w:p>
    <w:p w14:paraId="287DA0BD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Visais šiais atvejais Jus gydantis gydytojas ar radiologas įvertins naudos ir rizikos santykį bei nuspręs, ar Jums reikia skirti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. Jei Jums bus švirkščiama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, gydytojas ar radiologas imsis reikiamų atsargumo priemonių ir atidžiai stebės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švirkštimo procedūrą.</w:t>
      </w:r>
    </w:p>
    <w:p w14:paraId="768C3CFC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snapToGrid w:val="0"/>
          <w:color w:val="000000"/>
        </w:rPr>
      </w:pPr>
    </w:p>
    <w:p w14:paraId="7D0C96F0" w14:textId="77777777" w:rsidR="00ED78CE" w:rsidRPr="00D81549" w:rsidRDefault="00ED78CE" w:rsidP="00ED78CE">
      <w:pPr>
        <w:rPr>
          <w:rFonts w:ascii="Times New Roman" w:hAnsi="Times New Roman" w:cs="Times New Roman"/>
          <w:snapToGrid w:val="0"/>
          <w:lang w:eastAsia="lt-LT"/>
        </w:rPr>
      </w:pPr>
      <w:r w:rsidRPr="00D81549">
        <w:rPr>
          <w:rFonts w:ascii="Times New Roman" w:hAnsi="Times New Roman" w:cs="Times New Roman"/>
          <w:snapToGrid w:val="0"/>
          <w:lang w:eastAsia="lt-LT"/>
        </w:rPr>
        <w:t xml:space="preserve">Prieš </w:t>
      </w:r>
      <w:proofErr w:type="spellStart"/>
      <w:r w:rsidRPr="00D81549"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 w:rsidRPr="00D81549">
        <w:rPr>
          <w:rFonts w:ascii="Times New Roman" w:hAnsi="Times New Roman" w:cs="Times New Roman"/>
          <w:snapToGrid w:val="0"/>
          <w:lang w:eastAsia="lt-LT"/>
        </w:rPr>
        <w:t xml:space="preserve"> vartojimą, ypač jeigu esate vyresnis kaip 65 metų amžiaus, Jūsų gydytojas ar radiologas gali skirti kraujo tyrimą tam, kad nustatytų ar nesutrikusi inkstų veikla.</w:t>
      </w:r>
    </w:p>
    <w:p w14:paraId="67077E14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57CC013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snapToGrid w:val="0"/>
          <w:color w:val="000000"/>
          <w:u w:val="single"/>
        </w:rPr>
      </w:pPr>
      <w:r>
        <w:rPr>
          <w:rFonts w:ascii="Times New Roman" w:eastAsia="Times New Roman" w:hAnsi="Times New Roman" w:cs="Times New Roman"/>
          <w:snapToGrid w:val="0"/>
          <w:color w:val="000000"/>
          <w:u w:val="single"/>
        </w:rPr>
        <w:t>Naujagimiai ir kūdikiai</w:t>
      </w:r>
    </w:p>
    <w:p w14:paraId="3DE16794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Dėl nepakankamo naujagimių iki 4 savaičių ir kūdikių iki 1 metų amžiaus inkstų funkcijos išsivystymo, šiems pacientams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vartoti tik po nuodugnaus gydytojo apsvarstymo.</w:t>
      </w:r>
    </w:p>
    <w:p w14:paraId="0B4F67F8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0544859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Prieš tyrimą nusiimkite visus nešiojamus metalinius daiktus. Pasakykite gydytojui ar radiologui, jeigu Jums:</w:t>
      </w:r>
    </w:p>
    <w:p w14:paraId="3C683B19" w14:textId="77777777" w:rsidR="00ED78CE" w:rsidRDefault="00ED78CE" w:rsidP="00ED78CE">
      <w:pPr>
        <w:numPr>
          <w:ilvl w:val="0"/>
          <w:numId w:val="6"/>
        </w:numPr>
        <w:tabs>
          <w:tab w:val="num" w:pos="-2552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implantuotas širdies stimuliatorius,</w:t>
      </w:r>
    </w:p>
    <w:p w14:paraId="05B013D7" w14:textId="77777777" w:rsidR="00ED78CE" w:rsidRDefault="00ED78CE" w:rsidP="00ED78CE">
      <w:pPr>
        <w:numPr>
          <w:ilvl w:val="0"/>
          <w:numId w:val="6"/>
        </w:numPr>
        <w:tabs>
          <w:tab w:val="num" w:pos="-2552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implantuotas kraujagyslės spaustukas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klipsas</w:t>
      </w:r>
      <w:proofErr w:type="spellEnd"/>
      <w:r>
        <w:rPr>
          <w:rFonts w:ascii="Times New Roman" w:eastAsia="Times New Roman" w:hAnsi="Times New Roman" w:cs="Times New Roman"/>
          <w:snapToGrid w:val="0"/>
        </w:rPr>
        <w:t>),</w:t>
      </w:r>
    </w:p>
    <w:p w14:paraId="4EF5D43B" w14:textId="77777777" w:rsidR="00ED78CE" w:rsidRDefault="00ED78CE" w:rsidP="00ED78CE">
      <w:pPr>
        <w:numPr>
          <w:ilvl w:val="0"/>
          <w:numId w:val="6"/>
        </w:numPr>
        <w:tabs>
          <w:tab w:val="num" w:pos="-2552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prijungtas infuzijos siurblys,</w:t>
      </w:r>
    </w:p>
    <w:p w14:paraId="47DBACF5" w14:textId="77777777" w:rsidR="00ED78CE" w:rsidRDefault="00ED78CE" w:rsidP="00ED78CE">
      <w:pPr>
        <w:numPr>
          <w:ilvl w:val="0"/>
          <w:numId w:val="6"/>
        </w:numPr>
        <w:tabs>
          <w:tab w:val="num" w:pos="-2552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implantuotas nervų stimuliatorius,</w:t>
      </w:r>
    </w:p>
    <w:p w14:paraId="5186FE75" w14:textId="77777777" w:rsidR="00ED78CE" w:rsidRDefault="00ED78CE" w:rsidP="00ED78CE">
      <w:pPr>
        <w:numPr>
          <w:ilvl w:val="0"/>
          <w:numId w:val="6"/>
        </w:numPr>
        <w:tabs>
          <w:tab w:val="num" w:pos="-2552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implantuotas sraigės implantas (vidinės ausies implantas),</w:t>
      </w:r>
    </w:p>
    <w:p w14:paraId="42DCA4F9" w14:textId="77777777" w:rsidR="00ED78CE" w:rsidRDefault="00ED78CE" w:rsidP="00ED78CE">
      <w:pPr>
        <w:numPr>
          <w:ilvl w:val="0"/>
          <w:numId w:val="6"/>
        </w:numPr>
        <w:tabs>
          <w:tab w:val="num" w:pos="-3119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įtariami bet kokie metaliniai svetimkūniai, ypač akyje.</w:t>
      </w:r>
    </w:p>
    <w:p w14:paraId="25B1AF76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Tai yra svarbu, nes esant anksčiau išvardytiems punktams, magnetinio rezonanso tyrimams naudojamų prietaisų skleidžiami labai stiprūs magnetiniai laukai gali sukelti sunkių problemų.</w:t>
      </w:r>
    </w:p>
    <w:p w14:paraId="2CA514E4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41F2C32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Kiti vaistai ir </w:t>
      </w: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</w:p>
    <w:p w14:paraId="775B7188" w14:textId="77777777" w:rsidR="004960A6" w:rsidRPr="004960A6" w:rsidRDefault="004960A6" w:rsidP="004960A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B44000">
        <w:rPr>
          <w:rFonts w:ascii="Times New Roman" w:eastAsia="Times New Roman" w:hAnsi="Times New Roman" w:cs="Times New Roman"/>
          <w:snapToGrid w:val="0"/>
          <w:szCs w:val="20"/>
        </w:rPr>
        <w:t>Jeigu vartojate ar neseniai vartojote arba planuojate vartoti kitų vaistų, apie tai pasakykite gydytojui arba radiologui.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FF26F5">
        <w:rPr>
          <w:rFonts w:ascii="Times New Roman" w:eastAsia="Times New Roman" w:hAnsi="Times New Roman" w:cs="Times New Roman"/>
          <w:snapToGrid w:val="0"/>
          <w:szCs w:val="20"/>
        </w:rPr>
        <w:t xml:space="preserve">Ypač svarbu pasakyti gydytojui, radiologui ar vaistininkui, jei vartojate ar neseniai vartojote vaistų nuo širdies ir kraujospūdžio sutrikimų, tokių kaip, beta </w:t>
      </w:r>
      <w:proofErr w:type="spellStart"/>
      <w:r w:rsidRPr="00FF26F5">
        <w:rPr>
          <w:rFonts w:ascii="Times New Roman" w:eastAsia="Times New Roman" w:hAnsi="Times New Roman" w:cs="Times New Roman"/>
          <w:snapToGrid w:val="0"/>
          <w:szCs w:val="20"/>
        </w:rPr>
        <w:t>adrenoblokatorių</w:t>
      </w:r>
      <w:proofErr w:type="spellEnd"/>
      <w:r w:rsidRPr="00FF26F5">
        <w:rPr>
          <w:rFonts w:ascii="Times New Roman" w:eastAsia="Times New Roman" w:hAnsi="Times New Roman" w:cs="Times New Roman"/>
          <w:snapToGrid w:val="0"/>
          <w:szCs w:val="20"/>
        </w:rPr>
        <w:t xml:space="preserve"> preparatų, kraujagysles veikiančių vaistų, </w:t>
      </w:r>
      <w:proofErr w:type="spellStart"/>
      <w:r w:rsidRPr="00FF26F5">
        <w:rPr>
          <w:rFonts w:ascii="Times New Roman" w:eastAsia="Times New Roman" w:hAnsi="Times New Roman" w:cs="Times New Roman"/>
          <w:snapToGrid w:val="0"/>
          <w:szCs w:val="20"/>
        </w:rPr>
        <w:t>angiotenziną</w:t>
      </w:r>
      <w:proofErr w:type="spellEnd"/>
      <w:r w:rsidRPr="00FF26F5">
        <w:rPr>
          <w:rFonts w:ascii="Times New Roman" w:eastAsia="Times New Roman" w:hAnsi="Times New Roman" w:cs="Times New Roman"/>
          <w:snapToGrid w:val="0"/>
          <w:szCs w:val="20"/>
        </w:rPr>
        <w:t xml:space="preserve"> konvertuojančio fermento inhibitorių, </w:t>
      </w:r>
      <w:proofErr w:type="spellStart"/>
      <w:r w:rsidRPr="00FF26F5">
        <w:rPr>
          <w:rFonts w:ascii="Times New Roman" w:eastAsia="Times New Roman" w:hAnsi="Times New Roman" w:cs="Times New Roman"/>
          <w:snapToGrid w:val="0"/>
          <w:szCs w:val="20"/>
        </w:rPr>
        <w:t>angiotenzino</w:t>
      </w:r>
      <w:proofErr w:type="spellEnd"/>
      <w:r w:rsidRPr="00FF26F5">
        <w:rPr>
          <w:rFonts w:ascii="Times New Roman" w:eastAsia="Times New Roman" w:hAnsi="Times New Roman" w:cs="Times New Roman"/>
          <w:snapToGrid w:val="0"/>
          <w:szCs w:val="20"/>
        </w:rPr>
        <w:t xml:space="preserve"> II receptorių blokatorių.</w:t>
      </w:r>
    </w:p>
    <w:p w14:paraId="591AABAF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6F3931E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 w:rsidRPr="00D81549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</w:rPr>
        <w:t>vartojimas su maistu ir gėrimais</w:t>
      </w:r>
    </w:p>
    <w:p w14:paraId="003BBF17" w14:textId="77777777" w:rsidR="00ED78CE" w:rsidRDefault="00ED78CE" w:rsidP="00ED78CE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sąveika su maistu ir gėrimais nežinoma. Tačiau gydytojo, radiologo ar vaistininko paklauskite, ar prieš tyrimą nereikalaujama kurį laiką nevalgyti ar negerti.</w:t>
      </w:r>
    </w:p>
    <w:p w14:paraId="0F1E7EF2" w14:textId="77777777" w:rsidR="00ED78CE" w:rsidRDefault="00ED78CE" w:rsidP="00ED78CE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1FF8B620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Nėštumas ir žindymo laikotarpis</w:t>
      </w:r>
    </w:p>
    <w:p w14:paraId="236FB1EA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esate nėščia, žindote kūdikį, manote, kad galbūt esate nėščia, arba planuojate pastoti, tai prieš vartodama šį vaistą pasitarkite su gydytoju arba radiologu.</w:t>
      </w:r>
    </w:p>
    <w:p w14:paraId="0F092438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i/>
          <w:snapToGrid w:val="0"/>
        </w:rPr>
      </w:pPr>
    </w:p>
    <w:p w14:paraId="6CBF3363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u w:val="single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>Nėštumas</w:t>
      </w:r>
    </w:p>
    <w:p w14:paraId="7E233BE5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nėštumo metu vartoti negalima, išskyrus absoliučiai būtinus atvejus.</w:t>
      </w:r>
    </w:p>
    <w:p w14:paraId="28BDC5CA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</w:rPr>
      </w:pPr>
    </w:p>
    <w:p w14:paraId="1359AB21" w14:textId="77777777" w:rsidR="00ED78CE" w:rsidRDefault="00ED78CE" w:rsidP="00ED78CE">
      <w:pPr>
        <w:tabs>
          <w:tab w:val="left" w:pos="567"/>
        </w:tabs>
        <w:spacing w:after="0" w:line="260" w:lineRule="exact"/>
        <w:ind w:left="708" w:hanging="708"/>
        <w:rPr>
          <w:rFonts w:ascii="Times New Roman" w:eastAsia="Times New Roman" w:hAnsi="Times New Roman" w:cs="Times New Roman"/>
          <w:snapToGrid w:val="0"/>
          <w:color w:val="000000"/>
          <w:u w:val="single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>Žindymo laikotarpis</w:t>
      </w:r>
    </w:p>
    <w:p w14:paraId="7206D52C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Gydytojas arba radiologas Jums patars, ar žindymą galima tęsti, ar jį nutraukti 24 valandoms po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vartojimo.</w:t>
      </w:r>
    </w:p>
    <w:p w14:paraId="0B2CDE11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napToGrid w:val="0"/>
        </w:rPr>
      </w:pPr>
    </w:p>
    <w:p w14:paraId="534FE700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Vairavimas ir mechanizmų valdymas</w:t>
      </w:r>
    </w:p>
    <w:p w14:paraId="27421486" w14:textId="77777777" w:rsidR="004960A6" w:rsidRPr="00FF26F5" w:rsidRDefault="004960A6" w:rsidP="004960A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0"/>
        </w:rPr>
      </w:pPr>
      <w:r w:rsidRPr="00FF26F5">
        <w:rPr>
          <w:rFonts w:ascii="Times New Roman" w:eastAsia="Times New Roman" w:hAnsi="Times New Roman" w:cs="Times New Roman"/>
          <w:snapToGrid w:val="0"/>
          <w:szCs w:val="20"/>
        </w:rPr>
        <w:t xml:space="preserve">Duomenų apie DOTAREM poveikį gebėjimui vairuoti ir valdyti mechanizmus nėra. </w:t>
      </w:r>
      <w:r w:rsidRPr="00B44000">
        <w:rPr>
          <w:rFonts w:ascii="Times New Roman" w:eastAsia="Times New Roman" w:hAnsi="Times New Roman" w:cs="Times New Roman"/>
          <w:snapToGrid w:val="0"/>
          <w:szCs w:val="20"/>
        </w:rPr>
        <w:t>Jei blogai jaučiatės po patikrinimo, kaip pykinimas (šleikštulys), jūs neturėtumėte vairuoti ar valdyti mechanizmus.</w:t>
      </w:r>
    </w:p>
    <w:p w14:paraId="3A29D38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71A421AD" w14:textId="77777777" w:rsidR="00ED78CE" w:rsidRDefault="00ED78CE" w:rsidP="00ED78CE">
      <w:pPr>
        <w:keepNext/>
        <w:numPr>
          <w:ilvl w:val="12"/>
          <w:numId w:val="0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3.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b/>
          <w:snapToGrid w:val="0"/>
        </w:rPr>
        <w:t xml:space="preserve">Kaip vartoti </w:t>
      </w: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</w:p>
    <w:p w14:paraId="40ACE8ED" w14:textId="77777777" w:rsidR="00ED78CE" w:rsidRDefault="00ED78CE" w:rsidP="00ED78CE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470A856" w14:textId="77777777" w:rsidR="00ED78CE" w:rsidRDefault="00ED78CE" w:rsidP="00ED78CE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Jums bus suleistas į veną. </w:t>
      </w:r>
    </w:p>
    <w:p w14:paraId="30F6B5B9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3A642D1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Tyrimo metu</w:t>
      </w:r>
      <w:r>
        <w:rPr>
          <w:rFonts w:ascii="Times New Roman" w:eastAsia="Times New Roman" w:hAnsi="Times New Roman" w:cs="Times New Roman"/>
          <w:snapToGrid w:val="0"/>
        </w:rPr>
        <w:t xml:space="preserve"> Jus stebės gydytojas arba radiologas. Jūsų venoje bus paliktas kateteris, tai suteiks galimybę gydytojui ar radiologui prireikus Jums sušvirkšti skubiai pagalbai tinkamų vaistų. Jei Jums pasireikš alerginė reakcija,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skyrimas bus nutrauktas.</w:t>
      </w:r>
    </w:p>
    <w:p w14:paraId="1C5DFFC7" w14:textId="77777777" w:rsidR="00ED78CE" w:rsidRDefault="00ED78CE" w:rsidP="00ED78CE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D2A4371" w14:textId="77777777" w:rsidR="00ED78CE" w:rsidRDefault="00ED78CE" w:rsidP="00ED78C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gali būti švirkščiamas rankomis arba naudojant automatinį švirkštą. </w:t>
      </w:r>
      <w:r>
        <w:rPr>
          <w:rFonts w:ascii="Times New Roman" w:eastAsia="Times New Roman" w:hAnsi="Times New Roman" w:cs="Times New Roman"/>
          <w:snapToGrid w:val="0"/>
          <w:szCs w:val="20"/>
        </w:rPr>
        <w:t>Naujagimiams ir kūdikiams</w:t>
      </w:r>
      <w:r>
        <w:rPr>
          <w:rFonts w:ascii="Times New Roman" w:eastAsia="Times New Roman" w:hAnsi="Times New Roman" w:cs="Times New Roman"/>
          <w:snapToGrid w:val="0"/>
        </w:rPr>
        <w:t xml:space="preserve"> preparato galima švirkšti tik rankomis.</w:t>
      </w:r>
    </w:p>
    <w:p w14:paraId="396A313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9EE41A0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Procedūra bus atliekama ligoninėje, klinikoje ar privačios praktikos kabinete. Dirbantis personalas žino, kokių atsargumo priemonių reikia imtis atliekant tyrimą. Jie taip pat žino, kokių komplikacijų gali išsivystyti.</w:t>
      </w:r>
    </w:p>
    <w:p w14:paraId="045877A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0F259E4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Dozavimas</w:t>
      </w:r>
    </w:p>
    <w:p w14:paraId="7C6F6A1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Jus gydantis gydytojas ar radiologas nustatys, kokią dozę Jums reikia skirti ir stebės, kaip atliekama injekcija.</w:t>
      </w:r>
    </w:p>
    <w:p w14:paraId="59454A78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246C944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Vartojimas specialioms pacientų populiacijoms</w:t>
      </w:r>
    </w:p>
    <w:p w14:paraId="00A41038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nerekomenduojama vartoti pacientams, kuriems yra sunkių inkstų funkcijos sutrikimų ir pacientams, kuriems neseniai atlikta arba planuojama kepenų persodinimo operacija. Tačiau jeigu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vartojimas būtinas, skenavimo metu Jums bus suleista viena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dozė, kitas skenavimas bus atliekamas ne anksčiau kaip po 7 parų.</w:t>
      </w:r>
    </w:p>
    <w:p w14:paraId="310EF801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64D1908" w14:textId="77777777" w:rsidR="00ED78CE" w:rsidRPr="00D81549" w:rsidRDefault="00ED78CE" w:rsidP="00ED78CE">
      <w:pPr>
        <w:spacing w:after="0"/>
        <w:rPr>
          <w:rFonts w:ascii="Times New Roman" w:hAnsi="Times New Roman" w:cs="Times New Roman"/>
          <w:b/>
          <w:snapToGrid w:val="0"/>
        </w:rPr>
      </w:pPr>
      <w:r w:rsidRPr="00D81549">
        <w:rPr>
          <w:rFonts w:ascii="Times New Roman" w:hAnsi="Times New Roman" w:cs="Times New Roman"/>
          <w:b/>
          <w:snapToGrid w:val="0"/>
        </w:rPr>
        <w:t>Naujagimiai, kūdikiai, vaikai ir paaugliai</w:t>
      </w:r>
    </w:p>
    <w:p w14:paraId="76C5FEA3" w14:textId="77777777" w:rsidR="00ED78CE" w:rsidRPr="00D81549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D81549">
        <w:rPr>
          <w:rFonts w:ascii="Times New Roman" w:eastAsia="Times New Roman" w:hAnsi="Times New Roman" w:cs="Times New Roman"/>
          <w:snapToGrid w:val="0"/>
        </w:rPr>
        <w:t xml:space="preserve">Dėl nepakankamo naujagimių iki 4 savaičių ir kūdikių iki 1 metų amžiaus inkstų funkcijos išsivystymo, šiems pacientams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 w:rsidRPr="00D81549">
        <w:rPr>
          <w:rFonts w:ascii="Times New Roman" w:eastAsia="Times New Roman" w:hAnsi="Times New Roman" w:cs="Times New Roman"/>
          <w:snapToGrid w:val="0"/>
        </w:rPr>
        <w:t xml:space="preserve"> vartoti tik po nuodugnaus gydytojo apsvarstymo. Vaikams skenavimo metu vartoti vieną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 w:rsidRPr="00D81549">
        <w:rPr>
          <w:rFonts w:ascii="Times New Roman" w:eastAsia="Times New Roman" w:hAnsi="Times New Roman" w:cs="Times New Roman"/>
          <w:snapToGrid w:val="0"/>
        </w:rPr>
        <w:t xml:space="preserve"> dozę, kitas skenavimas neturi būti atliekamas anksčiau kaip po 7 parų.</w:t>
      </w:r>
    </w:p>
    <w:p w14:paraId="24C6BAA6" w14:textId="77777777" w:rsidR="00ED78CE" w:rsidRPr="00D81549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snapToGrid w:val="0"/>
        </w:rPr>
      </w:pPr>
      <w:r w:rsidRPr="00D81549">
        <w:rPr>
          <w:rFonts w:ascii="Times New Roman" w:eastAsia="Times New Roman" w:hAnsi="Times New Roman" w:cs="Times New Roman"/>
          <w:snapToGrid w:val="0"/>
        </w:rPr>
        <w:t>Jaunesniems kaip 18 metų amžiaus vaikams atlikti angiografiją nerekomenduojama.</w:t>
      </w:r>
    </w:p>
    <w:p w14:paraId="76F34519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snapToGrid w:val="0"/>
        </w:rPr>
      </w:pPr>
    </w:p>
    <w:p w14:paraId="6DAEC544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u w:val="single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>Senyvo amžiaus pacientai</w:t>
      </w:r>
    </w:p>
    <w:p w14:paraId="64D2C53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esate 65 metų amžiaus ar vyresni, dozės keisti nebūtina, tačiau gydytojas gali skirti kraujo tyrimą tam, kad nustatytų ar nesutrikusi inkstų veikla.</w:t>
      </w:r>
    </w:p>
    <w:p w14:paraId="04E42D57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0AC2717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Ką daryti pavartojus per didelę</w:t>
      </w:r>
      <w:r w:rsidRPr="00D81549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 dozę?</w:t>
      </w:r>
    </w:p>
    <w:p w14:paraId="276477F2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 xml:space="preserve">Mažai tikėtina, kad vaisto Jums būtų perdozuota.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Jums bus sušvirkšta gydymo įstaigoje apmokyto personalo. Jei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būtų perdozuota, jį iš organizmo galima pašalinti atliekant hemodializę (valant kraują).</w:t>
      </w:r>
    </w:p>
    <w:p w14:paraId="545A498B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6C4300A" w14:textId="77777777" w:rsidR="00ED78CE" w:rsidRDefault="00ED78CE" w:rsidP="00ED78C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Daugiau informacijos apie preparato naudojimą ir tvarkymą medicinos ar sveikatos priežiūros darbuotojams pateikiama šio lapelio pabaigoje.</w:t>
      </w:r>
    </w:p>
    <w:p w14:paraId="4F73C19B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6D72636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kiltų daugiau klausimų dėl šio vaisto vartojimo, kreipkitės į gydytoją arba radiologą.</w:t>
      </w:r>
    </w:p>
    <w:p w14:paraId="26E1A35C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944CDAC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snapToGrid w:val="0"/>
        </w:rPr>
      </w:pPr>
    </w:p>
    <w:p w14:paraId="1F9323B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4.</w:t>
      </w:r>
      <w:r>
        <w:rPr>
          <w:rFonts w:ascii="Times New Roman" w:eastAsia="Times New Roman" w:hAnsi="Times New Roman" w:cs="Times New Roman"/>
          <w:b/>
          <w:snapToGrid w:val="0"/>
        </w:rPr>
        <w:tab/>
        <w:t>Galimas šalutinis poveikis</w:t>
      </w:r>
    </w:p>
    <w:p w14:paraId="6ACEE4D8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1E2E34D9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Šis vaistas, kaip ir visi kiti, gali sukelti šalutinį poveikį, nors jis pasireiškia ne visiems žmonėms.</w:t>
      </w:r>
    </w:p>
    <w:p w14:paraId="6DAE1E67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BD150C0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Sušvirkštus vaisto</w:t>
      </w:r>
      <w:r>
        <w:rPr>
          <w:rFonts w:ascii="Times New Roman" w:eastAsia="Times New Roman" w:hAnsi="Times New Roman" w:cs="Times New Roman"/>
          <w:snapToGrid w:val="0"/>
        </w:rPr>
        <w:t xml:space="preserve"> mažiausiai pusvalandį Jūs būsite stebimi. Dauguma šalutinių poveikių pasireiškia iš karto, o tam tikrais atvejais – vėliau. Po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injekcijos kai kurie poveikiai gali pasireikšti per septynias paras.</w:t>
      </w:r>
    </w:p>
    <w:p w14:paraId="3813AEF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trike/>
          <w:snapToGrid w:val="0"/>
        </w:rPr>
      </w:pPr>
    </w:p>
    <w:p w14:paraId="662D068F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Yra nedidelis pavojus, kad Jums gali pasireikšti </w:t>
      </w: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 sukelta alerginė reakcija</w:t>
      </w:r>
      <w:r>
        <w:rPr>
          <w:rFonts w:ascii="Times New Roman" w:eastAsia="Times New Roman" w:hAnsi="Times New Roman" w:cs="Times New Roman"/>
          <w:snapToGrid w:val="0"/>
        </w:rPr>
        <w:t xml:space="preserve">. Šios reakcijos gali būti sunkios ir </w:t>
      </w:r>
      <w:r>
        <w:rPr>
          <w:rFonts w:ascii="Times New Roman" w:eastAsia="Times New Roman" w:hAnsi="Times New Roman" w:cs="Times New Roman"/>
          <w:b/>
          <w:snapToGrid w:val="0"/>
        </w:rPr>
        <w:t>sukelti šoką</w:t>
      </w:r>
      <w:r>
        <w:rPr>
          <w:rFonts w:ascii="Times New Roman" w:eastAsia="Times New Roman" w:hAnsi="Times New Roman" w:cs="Times New Roman"/>
          <w:snapToGrid w:val="0"/>
        </w:rPr>
        <w:t xml:space="preserve"> (alerginės reakcijos tipas, galintis sukelti pavojų gyvybei). Toliau aprašyti simptomai gali būti pirmieji šoko požymiai. Jei pajutote kurį nors iš jų, nedelsdami pasakykite gydytojui, radiologui ar sveikatos priežiūros specialistui: </w:t>
      </w:r>
    </w:p>
    <w:p w14:paraId="6861964E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veido, burnos ar gerklės patinimas, galintis apsunkinti rijimą ar kvėpavimą,</w:t>
      </w:r>
    </w:p>
    <w:p w14:paraId="02D01FEE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plaštakų ar pėdų patinimas,</w:t>
      </w:r>
    </w:p>
    <w:p w14:paraId="0565AF07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lengvas galvos svaigimas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hipotenzija</w:t>
      </w:r>
      <w:proofErr w:type="spellEnd"/>
      <w:r>
        <w:rPr>
          <w:rFonts w:ascii="Times New Roman" w:eastAsia="Times New Roman" w:hAnsi="Times New Roman" w:cs="Times New Roman"/>
          <w:snapToGrid w:val="0"/>
        </w:rPr>
        <w:t>),</w:t>
      </w:r>
    </w:p>
    <w:p w14:paraId="28F8508D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pasunkėjęs kvėpavimas,</w:t>
      </w:r>
    </w:p>
    <w:p w14:paraId="5936F3C0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kvėpavimas su švilpesiu,</w:t>
      </w:r>
    </w:p>
    <w:p w14:paraId="2C31E2BB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kosulys,</w:t>
      </w:r>
    </w:p>
    <w:p w14:paraId="10D3F727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niežėjimas,</w:t>
      </w:r>
    </w:p>
    <w:p w14:paraId="2EBD5721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varvėjimas iš nosies,</w:t>
      </w:r>
    </w:p>
    <w:p w14:paraId="30C45D2A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čiaudulys,</w:t>
      </w:r>
    </w:p>
    <w:p w14:paraId="7836D55E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akių dirginimas,</w:t>
      </w:r>
    </w:p>
    <w:p w14:paraId="6AA4716E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dilgėlinė,</w:t>
      </w:r>
    </w:p>
    <w:p w14:paraId="41A07396" w14:textId="77777777" w:rsidR="00ED78CE" w:rsidRDefault="00ED78CE" w:rsidP="00ED78C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odos bėrimas.</w:t>
      </w:r>
    </w:p>
    <w:p w14:paraId="437F072D" w14:textId="77777777" w:rsidR="00ED78CE" w:rsidRDefault="00ED78CE" w:rsidP="00ED78CE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8C84C4F" w14:textId="77777777" w:rsidR="00DA69B1" w:rsidRPr="00CA3320" w:rsidRDefault="00DA69B1" w:rsidP="00DA69B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Nedažnas šalutinis poveikis (gali pasireikšti ne daugiau kaip 1 iš 100 žmonių):</w:t>
      </w:r>
    </w:p>
    <w:p w14:paraId="37246305" w14:textId="77777777" w:rsidR="00DA69B1" w:rsidRPr="00CA3320" w:rsidRDefault="00DA69B1" w:rsidP="00DA69B1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padidėjęs jautrumas,</w:t>
      </w:r>
    </w:p>
    <w:p w14:paraId="09F77516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galvos skausmas,</w:t>
      </w:r>
    </w:p>
    <w:p w14:paraId="75537E4B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neįprastas skonis burnoje,</w:t>
      </w:r>
    </w:p>
    <w:p w14:paraId="1F20F105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svaigulys,</w:t>
      </w:r>
    </w:p>
    <w:p w14:paraId="4DCB0456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mieguistumas,</w:t>
      </w:r>
    </w:p>
    <w:p w14:paraId="007247F0" w14:textId="77777777" w:rsidR="00DA69B1" w:rsidRPr="00CA3320" w:rsidRDefault="00DA69B1" w:rsidP="00DA69B1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pojūtis dilgčiojimas, šilumos, šalto ir / ar skausmas</w:t>
      </w:r>
    </w:p>
    <w:p w14:paraId="3B3E7CDB" w14:textId="77777777" w:rsidR="00DA69B1" w:rsidRPr="00CA3320" w:rsidRDefault="00DA69B1" w:rsidP="00DA69B1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žemas arba aukštas kraujospūdis,</w:t>
      </w:r>
    </w:p>
    <w:p w14:paraId="6748C003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pykinimas (šleikštulys),</w:t>
      </w:r>
    </w:p>
    <w:p w14:paraId="6CFB3251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skrandžio skausmas,</w:t>
      </w:r>
    </w:p>
    <w:p w14:paraId="7BC63799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išbėrimas,</w:t>
      </w:r>
    </w:p>
    <w:p w14:paraId="7E4FD141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karščio pylimas, šalimas,</w:t>
      </w:r>
    </w:p>
    <w:p w14:paraId="571BA160" w14:textId="77777777" w:rsidR="00DA69B1" w:rsidRPr="00CA3320" w:rsidRDefault="00DA69B1" w:rsidP="00DA69B1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CA3320">
        <w:rPr>
          <w:rFonts w:ascii="Times New Roman" w:eastAsia="Times New Roman" w:hAnsi="Times New Roman" w:cs="Times New Roman"/>
          <w:snapToGrid w:val="0"/>
        </w:rPr>
        <w:t>astenija</w:t>
      </w:r>
      <w:proofErr w:type="spellEnd"/>
      <w:r w:rsidRPr="00CA3320">
        <w:rPr>
          <w:rFonts w:ascii="Times New Roman" w:eastAsia="Times New Roman" w:hAnsi="Times New Roman" w:cs="Times New Roman"/>
          <w:snapToGrid w:val="0"/>
        </w:rPr>
        <w:t>,</w:t>
      </w:r>
    </w:p>
    <w:p w14:paraId="5A0AB5F7" w14:textId="77777777" w:rsidR="00DA69B1" w:rsidRPr="00CA3320" w:rsidRDefault="00DA69B1" w:rsidP="00DA69B1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lastRenderedPageBreak/>
        <w:t>diskomfortas injekcijos vietoje, reakcija injekcijos vietoje, šalčio jutimas injekcijos vietoje, patinimas injekcijos vietoje, produkto pasklidimas už kraujagyslių ribų, kuris gali sukelti uždegimą (paraudimas ir skausmingos vietos).</w:t>
      </w:r>
    </w:p>
    <w:p w14:paraId="67F3B99E" w14:textId="77777777" w:rsidR="00DA69B1" w:rsidRPr="00CA3320" w:rsidRDefault="00DA69B1" w:rsidP="00DA69B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C24CA07" w14:textId="77777777" w:rsidR="00DA69B1" w:rsidRPr="00CA3320" w:rsidRDefault="00DA69B1" w:rsidP="00DA69B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Retas šalutinis poveikis (gali pasireikšti ne daugiau kaip 1 iš 1000 žmonių):</w:t>
      </w:r>
    </w:p>
    <w:p w14:paraId="7A672A08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nerimas, alpimas (galvos svaigimas ir neišvengiamo sąmonės netekimo jausmas),</w:t>
      </w:r>
    </w:p>
    <w:p w14:paraId="62C47DA6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akių vokų patinimas,</w:t>
      </w:r>
    </w:p>
    <w:p w14:paraId="2715362D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CA3320">
        <w:rPr>
          <w:rFonts w:ascii="Times New Roman" w:eastAsia="Times New Roman" w:hAnsi="Times New Roman" w:cs="Times New Roman"/>
          <w:snapToGrid w:val="0"/>
        </w:rPr>
        <w:t>palpitacija</w:t>
      </w:r>
      <w:proofErr w:type="spellEnd"/>
      <w:r w:rsidRPr="00CA3320">
        <w:rPr>
          <w:rFonts w:ascii="Times New Roman" w:eastAsia="Times New Roman" w:hAnsi="Times New Roman" w:cs="Times New Roman"/>
          <w:snapToGrid w:val="0"/>
        </w:rPr>
        <w:t>.</w:t>
      </w:r>
    </w:p>
    <w:p w14:paraId="73CC3343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 xml:space="preserve">čiaudulys, </w:t>
      </w:r>
    </w:p>
    <w:p w14:paraId="7BD78626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vėmimas (šleikštulys),</w:t>
      </w:r>
    </w:p>
    <w:p w14:paraId="164266E7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viduriavimas,</w:t>
      </w:r>
    </w:p>
    <w:p w14:paraId="0C727294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padidėjusi seilių sekrecija,</w:t>
      </w:r>
    </w:p>
    <w:p w14:paraId="1DA25642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dilgėlinė, niežulys, prakaitavimas,</w:t>
      </w:r>
    </w:p>
    <w:p w14:paraId="77D3E82E" w14:textId="77777777" w:rsidR="00DA69B1" w:rsidRPr="00CA3320" w:rsidRDefault="00DA69B1" w:rsidP="00DA69B1">
      <w:pPr>
        <w:numPr>
          <w:ilvl w:val="0"/>
          <w:numId w:val="8"/>
        </w:numPr>
        <w:tabs>
          <w:tab w:val="num" w:pos="-297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 xml:space="preserve">krūtinės skausmas, </w:t>
      </w:r>
      <w:proofErr w:type="spellStart"/>
      <w:r w:rsidRPr="00CA3320">
        <w:rPr>
          <w:rFonts w:ascii="Times New Roman" w:eastAsia="Times New Roman" w:hAnsi="Times New Roman" w:cs="Times New Roman"/>
          <w:snapToGrid w:val="0"/>
        </w:rPr>
        <w:t>šaltkrėtis</w:t>
      </w:r>
      <w:proofErr w:type="spellEnd"/>
      <w:r w:rsidRPr="00CA3320">
        <w:rPr>
          <w:rFonts w:ascii="Times New Roman" w:eastAsia="Times New Roman" w:hAnsi="Times New Roman" w:cs="Times New Roman"/>
          <w:snapToGrid w:val="0"/>
        </w:rPr>
        <w:t>.</w:t>
      </w:r>
    </w:p>
    <w:p w14:paraId="177F347C" w14:textId="77777777" w:rsidR="00DA69B1" w:rsidRPr="00CA3320" w:rsidRDefault="00DA69B1" w:rsidP="00DA69B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60D319F" w14:textId="77777777" w:rsidR="00DA69B1" w:rsidRPr="00CA3320" w:rsidRDefault="00DA69B1" w:rsidP="00DA69B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Labai retas šalutinis poveikis (gali pasireikšti ne daugiau kaip 1 iš 10 000 žmonių):</w:t>
      </w:r>
    </w:p>
    <w:p w14:paraId="4335598F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anafilaksinės ar anafilaksinio tipo reakcijos,</w:t>
      </w:r>
    </w:p>
    <w:p w14:paraId="70B990A6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susijaudinimas,</w:t>
      </w:r>
    </w:p>
    <w:p w14:paraId="19EF1802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koma, traukuliai, sinkopė (trumpalaikis sąmonės praradimas), kvapų pojūčio sutrikimas (dažnai nemalonaus kvapo jutimas), tremoras,</w:t>
      </w:r>
    </w:p>
    <w:p w14:paraId="0478C731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 xml:space="preserve">konjunktyvitas, akių paraudimas, neryškus matymas, sustiprėjęs ašarojimas, </w:t>
      </w:r>
    </w:p>
    <w:p w14:paraId="287E5AB3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 xml:space="preserve">širdies sustojimas, pagreitėjęs ar sulėtėjęs širdies plakimas, neritmiškas širdies plakimas, kraujagyslių išsiplėtimas, blyškumas, </w:t>
      </w:r>
    </w:p>
    <w:p w14:paraId="126A4BD6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kvėpavimo sustojimas, plaučių pabrinkimas (edema), kvėpavimo sunkumai, švokštimas, nosies užgulimas, kosulys, gerklės džiūvimas, gerklės spazmas su uždusimo jausmu, kvėpavimo spazmai, gerklės patinimas,</w:t>
      </w:r>
    </w:p>
    <w:p w14:paraId="12EC1D2C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egzema, odos paraudimas, lūpų patinimas ir lokalizuota į burną</w:t>
      </w:r>
    </w:p>
    <w:p w14:paraId="0727DEF4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>raumenų spazmai, raumenų silpnumas, nugaros skausmas,</w:t>
      </w:r>
    </w:p>
    <w:p w14:paraId="1FA0F270" w14:textId="77777777" w:rsidR="00DA69B1" w:rsidRPr="00CA3320" w:rsidRDefault="00DA69B1" w:rsidP="00DA69B1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A3320">
        <w:rPr>
          <w:rFonts w:ascii="Times New Roman" w:eastAsia="Times New Roman" w:hAnsi="Times New Roman" w:cs="Times New Roman"/>
          <w:snapToGrid w:val="0"/>
        </w:rPr>
        <w:t xml:space="preserve">negalavimas, nemalonus jausmas krūtinėje, karščiavimas, veido patinimas, preparato pasklidimas už kraujagyslių ribų, galintis sukelti audinių žūtį injekcijos vietoje, venos uždegimas, </w:t>
      </w:r>
    </w:p>
    <w:p w14:paraId="7C816436" w14:textId="77777777" w:rsidR="00DA69B1" w:rsidRPr="00524EFC" w:rsidRDefault="00DA69B1" w:rsidP="00DA69B1">
      <w:pPr>
        <w:pStyle w:val="Sraopastraipa"/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524EFC">
        <w:rPr>
          <w:rFonts w:ascii="Times New Roman" w:eastAsia="Times New Roman" w:hAnsi="Times New Roman" w:cs="Times New Roman"/>
          <w:snapToGrid w:val="0"/>
        </w:rPr>
        <w:t>deguonies koncentracijos kraujyje sumažėjimas.</w:t>
      </w:r>
    </w:p>
    <w:p w14:paraId="2967D6C9" w14:textId="77777777" w:rsidR="00ED78CE" w:rsidRDefault="00ED78CE" w:rsidP="00ED78CE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FA7B237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Vartojant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, gauta pranešimų apie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nefrogeninės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sisteminės fibrozės atvejus (pasireiškia odos sukietėjimu, kuris taip pat gali paveikti minkštuosius bei vidaus organų audinius). Dauguma šių atvejų pasitaikė pacientams, kurie kartu vartojo kitų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gadolinio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sudėtyje turinčių kontrastinių medžiagų. Jei per keletą savaičių po magnetinio rezonanso tyrimo pastebėtumėte bet kurios kūno vietos odos spalvos ir (arba) storio pokyčių, apie tai pasakykite tyrimą atlikusiam radiologui.</w:t>
      </w:r>
    </w:p>
    <w:p w14:paraId="2F6CAF9D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799E662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Pranešimas apie šalutinį poveikį</w:t>
      </w:r>
    </w:p>
    <w:p w14:paraId="6628415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Jeigu pasireiškė šalutinis poveikis, įskaitant šiame lapelyje nenurodytą, pasakykite gydytojui arba radiologui. </w:t>
      </w:r>
      <w:r>
        <w:rPr>
          <w:rFonts w:ascii="Times New Roman" w:hAnsi="Times New Roman" w:cs="Times New Roman"/>
        </w:rPr>
        <w:t>Apie šalutinį poveikį taip pat galite pranešti Valstybinei vaistų kontrolės tarnybai prie Lietuvos Respublikos sveikatos apsaugos ministerijos nemokamu t</w:t>
      </w:r>
      <w:r>
        <w:rPr>
          <w:rFonts w:ascii="Times New Roman" w:hAnsi="Times New Roman" w:cs="Times New Roman"/>
          <w:lang w:eastAsia="zh-CN"/>
        </w:rPr>
        <w:t>elefonu 8 800 73568</w:t>
      </w:r>
      <w:r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hAnsi="Times New Roman" w:cs="Times New Roman"/>
          <w:lang w:eastAsia="zh-CN"/>
        </w:rPr>
        <w:t xml:space="preserve">nemokamu </w:t>
      </w:r>
      <w:r>
        <w:rPr>
          <w:rFonts w:ascii="Times New Roman" w:hAnsi="Times New Roman" w:cs="Times New Roman"/>
        </w:rPr>
        <w:t>fakso numeriu 8 800 20131</w:t>
      </w:r>
      <w:r>
        <w:rPr>
          <w:rFonts w:ascii="Times New Roman" w:hAnsi="Times New Roman" w:cs="Times New Roman"/>
          <w:lang w:eastAsia="zh-CN"/>
        </w:rPr>
        <w:t xml:space="preserve">, </w:t>
      </w:r>
      <w:r>
        <w:rPr>
          <w:rFonts w:ascii="Times New Roman" w:hAnsi="Times New Roman" w:cs="Times New Roman"/>
        </w:rPr>
        <w:t xml:space="preserve">el. paštu </w:t>
      </w:r>
      <w:hyperlink r:id="rId6" w:history="1">
        <w:r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>
        <w:rPr>
          <w:rFonts w:ascii="Times New Roman" w:hAnsi="Times New Roman" w:cs="Times New Roman"/>
        </w:rPr>
        <w:t xml:space="preserve">). Pranešdami apie šalutinį poveikį galite mums padėti gauti daugiau informacijos apie šio vaisto saugumą. </w:t>
      </w:r>
    </w:p>
    <w:p w14:paraId="315EF395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2B35A38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598EDEF" w14:textId="77777777" w:rsidR="00ED78CE" w:rsidRPr="00D81549" w:rsidRDefault="00ED78CE" w:rsidP="00ED78CE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5.</w:t>
      </w:r>
      <w:r>
        <w:rPr>
          <w:rFonts w:ascii="Times New Roman" w:eastAsia="Times New Roman" w:hAnsi="Times New Roman" w:cs="Times New Roman"/>
          <w:b/>
          <w:snapToGrid w:val="0"/>
        </w:rPr>
        <w:tab/>
        <w:t xml:space="preserve">Kaip laikyti </w:t>
      </w: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</w:p>
    <w:p w14:paraId="66ECD0A0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60C6C0F" w14:textId="77777777" w:rsidR="00ED78CE" w:rsidRDefault="00ED78CE" w:rsidP="00ED78CE">
      <w:pPr>
        <w:numPr>
          <w:ilvl w:val="12"/>
          <w:numId w:val="0"/>
        </w:numPr>
        <w:tabs>
          <w:tab w:val="left" w:pos="567"/>
          <w:tab w:val="left" w:pos="708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Šį vaistą laikykite vaikams nepastebimoje ir nepasiekiamoje vietoje.</w:t>
      </w:r>
    </w:p>
    <w:p w14:paraId="459A3E6F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95A1100" w14:textId="77777777" w:rsidR="00ED78CE" w:rsidRDefault="00ED78CE" w:rsidP="00ED78C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Šiam vaistui specialių laikymo sąlygų nereikia.</w:t>
      </w:r>
    </w:p>
    <w:p w14:paraId="1F4AFD5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1AE52834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Ant buteliuko ir dėžutės po „Tinka iki“ nurodytam tinkamumo laikui pasibaigus, šio vaisto vartoti negalima. Vaistas tinkamas vartoti iki paskutinės nurodyto mėnesio dienos.</w:t>
      </w:r>
    </w:p>
    <w:p w14:paraId="64441E91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24558C0D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Mažai tikėtina, kad Jūsų paprašytų išmesti nesunaudotą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00EA8D5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13DFCE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21D0FA2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6.</w:t>
      </w:r>
      <w:r>
        <w:rPr>
          <w:rFonts w:ascii="Times New Roman" w:eastAsia="Times New Roman" w:hAnsi="Times New Roman" w:cs="Times New Roman"/>
          <w:b/>
          <w:snapToGrid w:val="0"/>
        </w:rPr>
        <w:tab/>
        <w:t>Pakuotės turinys ir kita informacija</w:t>
      </w:r>
    </w:p>
    <w:p w14:paraId="2FED5846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F604588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 sudėtis</w:t>
      </w:r>
    </w:p>
    <w:p w14:paraId="6B58438D" w14:textId="77777777" w:rsidR="00ED78CE" w:rsidRDefault="00ED78CE" w:rsidP="00ED78C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gadotero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rūgštis. Viename mililitre injekcinio tirpalo yra 279,32 mg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gadotero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rūgšties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megliumino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druskos pavidalu), tai atitinka 0,5 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gadotero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rūgšties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megliumino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druskos pavidalu).</w:t>
      </w:r>
    </w:p>
    <w:p w14:paraId="34246D90" w14:textId="77777777" w:rsidR="00ED78CE" w:rsidRDefault="00ED78CE" w:rsidP="00ED78C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Pagalbinės medžiagos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megliuminas</w:t>
      </w:r>
      <w:proofErr w:type="spellEnd"/>
      <w:r>
        <w:rPr>
          <w:rFonts w:ascii="Times New Roman" w:eastAsia="Times New Roman" w:hAnsi="Times New Roman" w:cs="Times New Roman"/>
          <w:snapToGrid w:val="0"/>
        </w:rPr>
        <w:t>, DOTA ir injekcinis vanduo.</w:t>
      </w:r>
      <w:r>
        <w:rPr>
          <w:rFonts w:ascii="Times New Roman" w:eastAsia="Times New Roman" w:hAnsi="Times New Roman" w:cs="Times New Roman"/>
          <w:i/>
          <w:snapToGrid w:val="0"/>
          <w:color w:val="008000"/>
        </w:rPr>
        <w:t xml:space="preserve"> </w:t>
      </w:r>
    </w:p>
    <w:p w14:paraId="748BF22B" w14:textId="77777777" w:rsidR="00ED78CE" w:rsidRDefault="00ED78CE" w:rsidP="00ED78CE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7D6590D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 xml:space="preserve"> išvaizda ir kiekis pakuotėje</w:t>
      </w:r>
    </w:p>
    <w:p w14:paraId="35232443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yra skaidrus, bespalvis ar gelsvas injekcinis tirpalas. </w:t>
      </w:r>
    </w:p>
    <w:p w14:paraId="2032DE55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pakuotėje yra vienas arba dešimt buteliukų, kuriame yra 10 ml, 15 ml ar 20 ml injekcinio tirpalo.</w:t>
      </w:r>
    </w:p>
    <w:p w14:paraId="5A881B00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Gali būti tiekiamos ne visų dydžių pakuotės.</w:t>
      </w:r>
    </w:p>
    <w:p w14:paraId="3280AAB7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iCs/>
          <w:lang w:eastAsia="zh-CN"/>
        </w:rPr>
      </w:pPr>
    </w:p>
    <w:p w14:paraId="0D21EE8C" w14:textId="526A88D6" w:rsidR="00ED78CE" w:rsidRDefault="00ED78CE" w:rsidP="00ED78CE">
      <w:pPr>
        <w:spacing w:after="0"/>
        <w:rPr>
          <w:rFonts w:ascii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>Registruotojas</w:t>
      </w:r>
      <w:r w:rsidRPr="00D81549">
        <w:rPr>
          <w:rFonts w:ascii="Times New Roman" w:hAnsi="Times New Roman" w:cs="Times New Roman"/>
          <w:b/>
        </w:rPr>
        <w:t xml:space="preserve"> </w:t>
      </w:r>
      <w:r w:rsidRPr="00D81549">
        <w:rPr>
          <w:rFonts w:ascii="Times New Roman" w:hAnsi="Times New Roman" w:cs="Times New Roman"/>
          <w:b/>
          <w:lang w:eastAsia="lt-LT"/>
        </w:rPr>
        <w:t xml:space="preserve">eksportuojančioje valstybėje </w:t>
      </w:r>
      <w:r w:rsidR="007E2422">
        <w:rPr>
          <w:rFonts w:ascii="Times New Roman" w:hAnsi="Times New Roman" w:cs="Times New Roman"/>
          <w:b/>
          <w:lang w:eastAsia="lt-LT"/>
        </w:rPr>
        <w:t>ir gamintojas</w:t>
      </w:r>
    </w:p>
    <w:p w14:paraId="4FADDDDC" w14:textId="77777777" w:rsidR="00ED78CE" w:rsidRPr="00ED78CE" w:rsidRDefault="00ED78CE" w:rsidP="00ED78CE">
      <w:pPr>
        <w:spacing w:before="2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D78CE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Sanochemia Pharmazeutika GmbH</w:t>
      </w:r>
    </w:p>
    <w:p w14:paraId="5C251A03" w14:textId="77777777" w:rsidR="00ED78CE" w:rsidRPr="00ED78CE" w:rsidRDefault="00ED78CE" w:rsidP="00ED78CE">
      <w:pPr>
        <w:spacing w:before="2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D78CE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Landegger Straße 7</w:t>
      </w:r>
    </w:p>
    <w:p w14:paraId="1663BDCF" w14:textId="77777777" w:rsidR="00ED78CE" w:rsidRPr="00ED78CE" w:rsidRDefault="00ED78CE" w:rsidP="00ED78CE">
      <w:pPr>
        <w:spacing w:before="2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D78CE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2491 Neufeld an der Leitha</w:t>
      </w:r>
    </w:p>
    <w:p w14:paraId="0B756414" w14:textId="318CF762" w:rsidR="00ED78CE" w:rsidRPr="00ED78CE" w:rsidRDefault="00ED78CE" w:rsidP="00ED78CE">
      <w:pPr>
        <w:spacing w:before="2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D78CE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Aus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t</w:t>
      </w:r>
      <w:r w:rsidRPr="00ED78CE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rija</w:t>
      </w:r>
    </w:p>
    <w:p w14:paraId="0594B0B6" w14:textId="4869BCF8" w:rsidR="00ED78CE" w:rsidRPr="00D81549" w:rsidRDefault="00ED78CE" w:rsidP="00ED78CE">
      <w:pPr>
        <w:spacing w:after="0"/>
        <w:rPr>
          <w:rFonts w:ascii="Times New Roman" w:hAnsi="Times New Roman" w:cs="Times New Roman"/>
          <w:lang w:val="fr-FR"/>
        </w:rPr>
      </w:pPr>
    </w:p>
    <w:p w14:paraId="344BF92E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</w:p>
    <w:p w14:paraId="37953344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</w:p>
    <w:p w14:paraId="71DC83C1" w14:textId="77777777" w:rsidR="00ED78CE" w:rsidRPr="00D81549" w:rsidRDefault="00ED78CE" w:rsidP="00ED78CE">
      <w:pPr>
        <w:spacing w:after="0"/>
        <w:rPr>
          <w:rFonts w:ascii="Times New Roman" w:hAnsi="Times New Roman" w:cs="Times New Roman"/>
          <w:b/>
        </w:rPr>
      </w:pPr>
      <w:r w:rsidRPr="00D81549">
        <w:rPr>
          <w:rFonts w:ascii="Times New Roman" w:hAnsi="Times New Roman" w:cs="Times New Roman"/>
          <w:b/>
        </w:rPr>
        <w:t xml:space="preserve">Lygiagretus importuotojas </w:t>
      </w:r>
    </w:p>
    <w:p w14:paraId="33B76AF7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  <w:r w:rsidRPr="00D81549">
        <w:rPr>
          <w:rFonts w:ascii="Times New Roman" w:hAnsi="Times New Roman" w:cs="Times New Roman"/>
        </w:rPr>
        <w:t>UAB „</w:t>
      </w:r>
      <w:proofErr w:type="spellStart"/>
      <w:r w:rsidRPr="00D81549">
        <w:rPr>
          <w:rFonts w:ascii="Times New Roman" w:hAnsi="Times New Roman" w:cs="Times New Roman"/>
        </w:rPr>
        <w:t>PharmaDIA</w:t>
      </w:r>
      <w:proofErr w:type="spellEnd"/>
      <w:r w:rsidRPr="00D81549">
        <w:rPr>
          <w:rFonts w:ascii="Times New Roman" w:hAnsi="Times New Roman" w:cs="Times New Roman"/>
        </w:rPr>
        <w:t>"</w:t>
      </w:r>
    </w:p>
    <w:p w14:paraId="1E8F5648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  <w:r w:rsidRPr="00D81549">
        <w:rPr>
          <w:rFonts w:ascii="Times New Roman" w:hAnsi="Times New Roman" w:cs="Times New Roman"/>
          <w:color w:val="333333"/>
          <w:shd w:val="clear" w:color="auto" w:fill="FFFFFF"/>
        </w:rPr>
        <w:t>Jonavos g. 6 - 5</w:t>
      </w:r>
      <w:r w:rsidRPr="00D81549">
        <w:rPr>
          <w:rFonts w:ascii="Times New Roman" w:hAnsi="Times New Roman" w:cs="Times New Roman"/>
        </w:rPr>
        <w:t>, Kaunas</w:t>
      </w:r>
    </w:p>
    <w:p w14:paraId="7BEDC5BE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  <w:r w:rsidRPr="00D81549">
        <w:rPr>
          <w:rFonts w:ascii="Times New Roman" w:hAnsi="Times New Roman" w:cs="Times New Roman"/>
        </w:rPr>
        <w:t>Tel. +370 699 47612</w:t>
      </w:r>
    </w:p>
    <w:p w14:paraId="6BC81610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  <w:r w:rsidRPr="00D81549">
        <w:rPr>
          <w:rFonts w:ascii="Times New Roman" w:hAnsi="Times New Roman" w:cs="Times New Roman"/>
        </w:rPr>
        <w:t>El. Paštas info@pharmadia.eu</w:t>
      </w:r>
    </w:p>
    <w:p w14:paraId="76035061" w14:textId="77777777" w:rsidR="00ED78CE" w:rsidRPr="00D81549" w:rsidRDefault="00ED78CE" w:rsidP="00ED78CE">
      <w:pPr>
        <w:spacing w:after="0"/>
        <w:rPr>
          <w:rFonts w:ascii="Times New Roman" w:hAnsi="Times New Roman" w:cs="Times New Roman"/>
        </w:rPr>
      </w:pPr>
    </w:p>
    <w:p w14:paraId="782FA115" w14:textId="77777777" w:rsidR="00ED78CE" w:rsidRPr="00D81549" w:rsidRDefault="00ED78CE" w:rsidP="00ED78CE">
      <w:pPr>
        <w:spacing w:after="0"/>
        <w:rPr>
          <w:rFonts w:ascii="Times New Roman" w:hAnsi="Times New Roman" w:cs="Times New Roman"/>
          <w:b/>
        </w:rPr>
      </w:pPr>
      <w:r w:rsidRPr="00D81549">
        <w:rPr>
          <w:rFonts w:ascii="Times New Roman" w:hAnsi="Times New Roman" w:cs="Times New Roman"/>
          <w:b/>
        </w:rPr>
        <w:t xml:space="preserve">Perpakavo </w:t>
      </w:r>
    </w:p>
    <w:p w14:paraId="5643889B" w14:textId="14E49446" w:rsidR="00ED78CE" w:rsidRPr="00D81549" w:rsidRDefault="00ED78CE" w:rsidP="00ED78CE">
      <w:pPr>
        <w:spacing w:after="0"/>
        <w:rPr>
          <w:rFonts w:ascii="Times New Roman" w:hAnsi="Times New Roman" w:cs="Times New Roman"/>
          <w:lang w:eastAsia="lt-LT"/>
        </w:rPr>
      </w:pPr>
      <w:r w:rsidRPr="00D81549">
        <w:rPr>
          <w:rFonts w:ascii="Times New Roman" w:hAnsi="Times New Roman" w:cs="Times New Roman"/>
          <w:lang w:eastAsia="lt-LT"/>
        </w:rPr>
        <w:t xml:space="preserve">BĮ UAB </w:t>
      </w:r>
      <w:r w:rsidR="00075081">
        <w:rPr>
          <w:rFonts w:ascii="Times New Roman" w:hAnsi="Times New Roman" w:cs="Times New Roman"/>
          <w:lang w:eastAsia="lt-LT"/>
        </w:rPr>
        <w:t>,,</w:t>
      </w:r>
      <w:proofErr w:type="spellStart"/>
      <w:r w:rsidRPr="00D81549">
        <w:rPr>
          <w:rFonts w:ascii="Times New Roman" w:hAnsi="Times New Roman" w:cs="Times New Roman"/>
          <w:lang w:eastAsia="lt-LT"/>
        </w:rPr>
        <w:t>Norfachema</w:t>
      </w:r>
      <w:proofErr w:type="spellEnd"/>
      <w:r w:rsidRPr="00D81549">
        <w:rPr>
          <w:rFonts w:ascii="Times New Roman" w:hAnsi="Times New Roman" w:cs="Times New Roman"/>
          <w:lang w:eastAsia="lt-LT"/>
        </w:rPr>
        <w:t>”</w:t>
      </w:r>
    </w:p>
    <w:p w14:paraId="77DC8463" w14:textId="77777777" w:rsidR="00ED78CE" w:rsidRPr="00D81549" w:rsidRDefault="00ED78CE" w:rsidP="00ED78CE">
      <w:pPr>
        <w:spacing w:after="0"/>
        <w:rPr>
          <w:rFonts w:ascii="Times New Roman" w:hAnsi="Times New Roman" w:cs="Times New Roman"/>
          <w:lang w:eastAsia="lt-LT"/>
        </w:rPr>
      </w:pPr>
      <w:r w:rsidRPr="00D81549">
        <w:rPr>
          <w:rFonts w:ascii="Times New Roman" w:hAnsi="Times New Roman" w:cs="Times New Roman"/>
          <w:lang w:eastAsia="lt-LT"/>
        </w:rPr>
        <w:t>Vytauto g. 6, LT-55175 Jonava</w:t>
      </w:r>
    </w:p>
    <w:p w14:paraId="61CFC140" w14:textId="77777777" w:rsidR="00ED78CE" w:rsidRPr="00D81549" w:rsidRDefault="00ED78CE" w:rsidP="00ED78CE">
      <w:pPr>
        <w:spacing w:after="0"/>
        <w:rPr>
          <w:rFonts w:ascii="Times New Roman" w:hAnsi="Times New Roman" w:cs="Times New Roman"/>
          <w:lang w:eastAsia="lt-LT"/>
        </w:rPr>
      </w:pPr>
      <w:r w:rsidRPr="00D81549">
        <w:rPr>
          <w:rFonts w:ascii="Times New Roman" w:hAnsi="Times New Roman" w:cs="Times New Roman"/>
          <w:lang w:eastAsia="lt-LT"/>
        </w:rPr>
        <w:t>Lietuva</w:t>
      </w:r>
    </w:p>
    <w:p w14:paraId="7A3594AE" w14:textId="77777777" w:rsidR="00ED78CE" w:rsidRPr="00D81549" w:rsidRDefault="00ED78CE" w:rsidP="00ED78CE">
      <w:pPr>
        <w:spacing w:after="0"/>
        <w:rPr>
          <w:rFonts w:ascii="Times New Roman" w:hAnsi="Times New Roman" w:cs="Times New Roman"/>
          <w:noProof/>
        </w:rPr>
      </w:pPr>
    </w:p>
    <w:p w14:paraId="7495CEA5" w14:textId="77777777" w:rsidR="00ED78CE" w:rsidRPr="00D81549" w:rsidRDefault="00ED78CE" w:rsidP="00ED78CE">
      <w:pPr>
        <w:pStyle w:val="BTEMEASMCA"/>
        <w:rPr>
          <w:noProof w:val="0"/>
        </w:rPr>
      </w:pPr>
    </w:p>
    <w:p w14:paraId="32257E76" w14:textId="17EF6C0F" w:rsidR="00ED78CE" w:rsidRPr="00D81549" w:rsidRDefault="00ED78CE" w:rsidP="00ED78CE">
      <w:pPr>
        <w:pStyle w:val="BTbEMEASMCA"/>
        <w:rPr>
          <w:noProof w:val="0"/>
        </w:rPr>
      </w:pPr>
      <w:r w:rsidRPr="00D81549">
        <w:rPr>
          <w:bCs/>
          <w:noProof w:val="0"/>
        </w:rPr>
        <w:t>Šis pakuotės lapelis</w:t>
      </w:r>
      <w:r w:rsidRPr="00D81549">
        <w:rPr>
          <w:noProof w:val="0"/>
        </w:rPr>
        <w:t xml:space="preserve"> paskutinį kartą peržiūrėtas</w:t>
      </w:r>
      <w:r w:rsidRPr="00D81549">
        <w:rPr>
          <w:b w:val="0"/>
          <w:noProof w:val="0"/>
        </w:rPr>
        <w:t xml:space="preserve"> </w:t>
      </w:r>
      <w:r w:rsidR="00075081">
        <w:t>2021-</w:t>
      </w:r>
      <w:r w:rsidR="006F504B">
        <w:t xml:space="preserve">03-12. </w:t>
      </w:r>
    </w:p>
    <w:p w14:paraId="63714BB5" w14:textId="77777777" w:rsidR="00ED78CE" w:rsidRPr="00D81549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0C724C9A" w14:textId="77777777" w:rsidR="00ED78CE" w:rsidRPr="00D81549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17F16E5D" w14:textId="77777777" w:rsidR="00ED78CE" w:rsidRDefault="00ED78CE" w:rsidP="00ED78C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D81549">
        <w:rPr>
          <w:rFonts w:ascii="Times New Roman" w:eastAsia="Times New Roman" w:hAnsi="Times New Roman" w:cs="Times New Roman"/>
          <w:snapToGrid w:val="0"/>
        </w:rPr>
        <w:t>Išsami informacija apie š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į </w:t>
      </w:r>
      <w:r>
        <w:rPr>
          <w:rFonts w:ascii="Times New Roman" w:eastAsia="Times New Roman" w:hAnsi="Times New Roman" w:cs="Times New Roman"/>
          <w:snapToGrid w:val="0"/>
          <w:szCs w:val="24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 w:cs="Times New Roman"/>
            <w:snapToGrid w:val="0"/>
            <w:szCs w:val="20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2423A507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-------------------------------------------------------------------------------------------------------------------------</w:t>
      </w:r>
    </w:p>
    <w:p w14:paraId="067EBCB6" w14:textId="77777777" w:rsidR="00ED78CE" w:rsidRPr="001416A5" w:rsidRDefault="00ED78CE" w:rsidP="00ED78CE">
      <w:pPr>
        <w:tabs>
          <w:tab w:val="left" w:pos="0"/>
        </w:tabs>
        <w:rPr>
          <w:b/>
          <w:i/>
        </w:rPr>
      </w:pPr>
      <w:r w:rsidRPr="001416A5">
        <w:rPr>
          <w:rFonts w:ascii="Times New Roman" w:hAnsi="Times New Roman" w:cs="Times New Roman"/>
          <w:i/>
        </w:rPr>
        <w:t xml:space="preserve">Lygiagrečiai importuojamas vaistinis preparatas nuo referencinio vaistinio preparato skiriasi pagalbinėmis medžiagomis - referencinio vaistinio preparato – </w:t>
      </w:r>
      <w:proofErr w:type="spellStart"/>
      <w:r w:rsidRPr="001416A5">
        <w:rPr>
          <w:rFonts w:ascii="Times New Roman" w:hAnsi="Times New Roman" w:cs="Times New Roman"/>
          <w:i/>
        </w:rPr>
        <w:t>megliuminas</w:t>
      </w:r>
      <w:proofErr w:type="spellEnd"/>
      <w:r w:rsidRPr="001416A5">
        <w:rPr>
          <w:rFonts w:ascii="Times New Roman" w:hAnsi="Times New Roman" w:cs="Times New Roman"/>
          <w:i/>
        </w:rPr>
        <w:t xml:space="preserve"> ir injekcinis vanduo, o lygiagrečiai importuojamo vaistinio preparato -  </w:t>
      </w:r>
      <w:proofErr w:type="spellStart"/>
      <w:r w:rsidRPr="001416A5">
        <w:rPr>
          <w:rFonts w:ascii="Times New Roman" w:hAnsi="Times New Roman" w:cs="Times New Roman"/>
          <w:i/>
        </w:rPr>
        <w:t>megliuminas</w:t>
      </w:r>
      <w:proofErr w:type="spellEnd"/>
      <w:r w:rsidRPr="001416A5">
        <w:rPr>
          <w:rFonts w:ascii="Times New Roman" w:hAnsi="Times New Roman" w:cs="Times New Roman"/>
          <w:i/>
        </w:rPr>
        <w:t>, DOTA  ir injekcinis vanduo.</w:t>
      </w:r>
    </w:p>
    <w:p w14:paraId="471A4A50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6A1C1B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Toliau pateikiama informacija skirta tik medicinos ar sveikatos priežiūros specialistams:</w:t>
      </w:r>
    </w:p>
    <w:p w14:paraId="16927855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lang w:eastAsia="x-none"/>
        </w:rPr>
      </w:pPr>
    </w:p>
    <w:p w14:paraId="0C1F1459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lang w:eastAsia="x-none"/>
        </w:rPr>
      </w:pPr>
      <w:r>
        <w:rPr>
          <w:rFonts w:ascii="Times New Roman" w:eastAsia="SimSun" w:hAnsi="Times New Roman" w:cs="Times New Roman"/>
          <w:b/>
          <w:color w:val="000000"/>
          <w:lang w:eastAsia="x-none"/>
        </w:rPr>
        <w:t>Dozavimas</w:t>
      </w:r>
    </w:p>
    <w:p w14:paraId="1F5C480A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lang w:eastAsia="x-none"/>
        </w:rPr>
      </w:pPr>
      <w:r>
        <w:rPr>
          <w:rFonts w:ascii="Times New Roman" w:eastAsia="SimSun" w:hAnsi="Times New Roman" w:cs="Times New Roman"/>
          <w:bCs/>
          <w:iCs/>
          <w:color w:val="000000"/>
          <w:lang w:eastAsia="x-none"/>
        </w:rPr>
        <w:t>Suaugusiųjų populiacija</w:t>
      </w:r>
    </w:p>
    <w:p w14:paraId="324479D5" w14:textId="77777777" w:rsidR="00ED78CE" w:rsidRDefault="00ED78CE" w:rsidP="00ED78C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Cs/>
          <w:iCs/>
          <w:snapToGrid w:val="0"/>
        </w:rPr>
        <w:t>Smegenų ir nugaros MRT</w:t>
      </w:r>
      <w:r>
        <w:rPr>
          <w:rFonts w:ascii="Times New Roman" w:eastAsia="Times New Roman" w:hAnsi="Times New Roman" w:cs="Times New Roman"/>
          <w:snapToGrid w:val="0"/>
        </w:rPr>
        <w:t>:</w:t>
      </w:r>
    </w:p>
    <w:p w14:paraId="08029DD3" w14:textId="77777777" w:rsidR="00ED78CE" w:rsidRDefault="00ED78CE" w:rsidP="00ED78C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SimSun" w:hAnsi="Times New Roman" w:cs="Times New Roman"/>
          <w:color w:val="000000"/>
          <w:lang w:eastAsia="x-none"/>
        </w:rPr>
      </w:pPr>
      <w:r>
        <w:rPr>
          <w:rFonts w:ascii="Times New Roman" w:eastAsia="SimSun" w:hAnsi="Times New Roman" w:cs="Times New Roman"/>
          <w:bCs/>
          <w:color w:val="000000"/>
          <w:lang w:eastAsia="x-none"/>
        </w:rPr>
        <w:t>Atliekant neurologinius tyrimus dozė gali kisti nuo 0,1 iki 0,3 </w:t>
      </w:r>
      <w:proofErr w:type="spellStart"/>
      <w:r>
        <w:rPr>
          <w:rFonts w:ascii="Times New Roman" w:eastAsia="SimSun" w:hAnsi="Times New Roman" w:cs="Times New Roman"/>
          <w:bCs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bCs/>
          <w:color w:val="000000"/>
          <w:lang w:eastAsia="x-none"/>
        </w:rPr>
        <w:t>/kg kūno svorio, atitinkamai nuo 0,2 iki 0,6 ml/kg kūno svorio. Smegenų naviku sergantiems pacientams sušvirkštus 0,1 </w:t>
      </w:r>
      <w:proofErr w:type="spellStart"/>
      <w:r>
        <w:rPr>
          <w:rFonts w:ascii="Times New Roman" w:eastAsia="SimSun" w:hAnsi="Times New Roman" w:cs="Times New Roman"/>
          <w:bCs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bCs/>
          <w:color w:val="000000"/>
          <w:lang w:eastAsia="x-none"/>
        </w:rPr>
        <w:t>/kg kūno svorio, papildoma 0,2 </w:t>
      </w:r>
      <w:proofErr w:type="spellStart"/>
      <w:r>
        <w:rPr>
          <w:rFonts w:ascii="Times New Roman" w:eastAsia="SimSun" w:hAnsi="Times New Roman" w:cs="Times New Roman"/>
          <w:bCs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bCs/>
          <w:color w:val="000000"/>
          <w:lang w:eastAsia="x-none"/>
        </w:rPr>
        <w:t>/kg kūno svorio dozė gali padėti geriau apibūdinti naviką ir palengvinti sprendimą dėl gydymo.</w:t>
      </w:r>
    </w:p>
    <w:p w14:paraId="676D5907" w14:textId="77777777" w:rsidR="00ED78CE" w:rsidRDefault="00ED78CE" w:rsidP="00ED78CE">
      <w:pPr>
        <w:keepNext/>
        <w:numPr>
          <w:ilvl w:val="0"/>
          <w:numId w:val="11"/>
        </w:numPr>
        <w:tabs>
          <w:tab w:val="num" w:pos="-3119"/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iCs/>
          <w:color w:val="000000"/>
          <w:lang w:eastAsia="x-none"/>
        </w:rPr>
      </w:pPr>
      <w:r>
        <w:rPr>
          <w:rFonts w:ascii="Times New Roman" w:eastAsia="SimSun" w:hAnsi="Times New Roman" w:cs="Times New Roman"/>
          <w:bCs/>
          <w:iCs/>
          <w:color w:val="000000"/>
          <w:lang w:eastAsia="x-none"/>
        </w:rPr>
        <w:t>Viso kūno MRT</w:t>
      </w:r>
      <w:r>
        <w:rPr>
          <w:rFonts w:ascii="Times New Roman" w:eastAsia="SimSun" w:hAnsi="Times New Roman" w:cs="Times New Roman"/>
          <w:b/>
          <w:color w:val="000000"/>
          <w:lang w:eastAsia="x-none"/>
        </w:rPr>
        <w:t xml:space="preserve"> </w:t>
      </w:r>
      <w:r>
        <w:rPr>
          <w:rFonts w:ascii="Times New Roman" w:eastAsia="SimSun" w:hAnsi="Times New Roman" w:cs="Times New Roman"/>
          <w:color w:val="000000"/>
          <w:lang w:eastAsia="x-none"/>
        </w:rPr>
        <w:t xml:space="preserve">ir angiografija: </w:t>
      </w:r>
    </w:p>
    <w:p w14:paraId="68FD5647" w14:textId="77777777" w:rsidR="00ED78CE" w:rsidRDefault="00ED78CE" w:rsidP="00ED78CE">
      <w:pPr>
        <w:keepNext/>
        <w:spacing w:after="0" w:line="240" w:lineRule="auto"/>
        <w:ind w:left="567"/>
        <w:rPr>
          <w:rFonts w:ascii="Times New Roman" w:eastAsia="SimSun" w:hAnsi="Times New Roman" w:cs="Times New Roman"/>
          <w:iCs/>
          <w:color w:val="000000"/>
          <w:lang w:eastAsia="x-none"/>
        </w:rPr>
      </w:pPr>
      <w:r>
        <w:rPr>
          <w:rFonts w:ascii="Times New Roman" w:eastAsia="SimSun" w:hAnsi="Times New Roman" w:cs="Times New Roman"/>
          <w:color w:val="000000"/>
          <w:lang w:eastAsia="x-none"/>
        </w:rPr>
        <w:t>Diagnostiniu požiūriu tinkamą kontrastą užtikrinanti injekcijos į veną rekomenduojama dozė yra 0,1 </w:t>
      </w:r>
      <w:proofErr w:type="spellStart"/>
      <w:r>
        <w:rPr>
          <w:rFonts w:ascii="Times New Roman" w:eastAsia="SimSun" w:hAnsi="Times New Roman" w:cs="Times New Roman"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>/kg (t. y., 0,2 ml/kg).</w:t>
      </w:r>
    </w:p>
    <w:p w14:paraId="59E3E1D8" w14:textId="77777777" w:rsidR="00ED78CE" w:rsidRDefault="00ED78CE" w:rsidP="00ED78CE">
      <w:pPr>
        <w:numPr>
          <w:ilvl w:val="0"/>
          <w:numId w:val="11"/>
        </w:numPr>
        <w:tabs>
          <w:tab w:val="num" w:pos="-3119"/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iCs/>
          <w:color w:val="000000"/>
          <w:lang w:eastAsia="x-none"/>
        </w:rPr>
      </w:pPr>
      <w:r>
        <w:rPr>
          <w:rFonts w:ascii="Times New Roman" w:eastAsia="SimSun" w:hAnsi="Times New Roman" w:cs="Times New Roman"/>
          <w:color w:val="000000"/>
          <w:lang w:eastAsia="x-none"/>
        </w:rPr>
        <w:t>Angiografija: išskirtinėmis aplinkybėmis (pvz., nepavykus gauti didelės kraujagyslių dalies vaizdo pakankamos kokybės) gali būti pagrįstas antros iš eilės injekcijos 0,1 </w:t>
      </w:r>
      <w:proofErr w:type="spellStart"/>
      <w:r>
        <w:rPr>
          <w:rFonts w:ascii="Times New Roman" w:eastAsia="SimSun" w:hAnsi="Times New Roman" w:cs="Times New Roman"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/kg kūno svorio, atitinkančios 0,2 ml/kg kūno svorio, skyrimas. Tačiau jei dviejų iš eilės švirkščiamų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 dozių vartojimas numatomas dar prieš atliekant angiografiją, priklausomai nuo turimų vaizdo tyrimo prietaisų, gali būti naudinga du kartus sušvirkšti 0,05 </w:t>
      </w:r>
      <w:proofErr w:type="spellStart"/>
      <w:r>
        <w:rPr>
          <w:rFonts w:ascii="Times New Roman" w:eastAsia="SimSun" w:hAnsi="Times New Roman" w:cs="Times New Roman"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>/kg kūno svorio, atitinkančią 0,1 ml/kg kūno svorio, dozę.</w:t>
      </w:r>
    </w:p>
    <w:p w14:paraId="165C0592" w14:textId="77777777" w:rsidR="00ED78CE" w:rsidRDefault="00ED78CE" w:rsidP="00ED78CE">
      <w:pPr>
        <w:spacing w:after="0" w:line="240" w:lineRule="auto"/>
        <w:rPr>
          <w:rFonts w:ascii="Times New Roman" w:eastAsia="SimSun" w:hAnsi="Times New Roman" w:cs="Times New Roman"/>
          <w:iCs/>
          <w:color w:val="000000"/>
          <w:lang w:eastAsia="x-none"/>
        </w:rPr>
      </w:pPr>
    </w:p>
    <w:p w14:paraId="634E6D4E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</w:rPr>
        <w:t>Vaikų populiacija</w:t>
      </w:r>
      <w:r>
        <w:rPr>
          <w:rFonts w:ascii="Times New Roman" w:eastAsia="Times New Roman" w:hAnsi="Times New Roman" w:cs="Times New Roman"/>
          <w:i/>
          <w:snapToGrid w:val="0"/>
          <w:szCs w:val="20"/>
        </w:rPr>
        <w:t xml:space="preserve"> (0-18 metų)</w:t>
      </w:r>
    </w:p>
    <w:p w14:paraId="52C43D2D" w14:textId="77777777" w:rsidR="00ED78CE" w:rsidRDefault="00ED78CE" w:rsidP="00ED78CE">
      <w:pPr>
        <w:numPr>
          <w:ilvl w:val="0"/>
          <w:numId w:val="11"/>
        </w:numPr>
        <w:tabs>
          <w:tab w:val="num" w:pos="-3119"/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x-none"/>
        </w:rPr>
      </w:pPr>
      <w:r>
        <w:rPr>
          <w:rFonts w:ascii="Times New Roman" w:eastAsia="SimSun" w:hAnsi="Times New Roman" w:cs="Times New Roman"/>
          <w:color w:val="000000"/>
          <w:lang w:eastAsia="x-none"/>
        </w:rPr>
        <w:t xml:space="preserve">Smegenų ir nugaros MRT / viso kūno MRT: rekomenduojama ir maksimali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 dozė yra 0,1 </w:t>
      </w:r>
      <w:proofErr w:type="spellStart"/>
      <w:r>
        <w:rPr>
          <w:rFonts w:ascii="Times New Roman" w:eastAsia="SimSun" w:hAnsi="Times New Roman" w:cs="Times New Roman"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>/kg kūno svorio. Vieno tyrimo metu negali būti vartojama daugiau nei viena dozė.</w:t>
      </w:r>
    </w:p>
    <w:p w14:paraId="4D6BBA25" w14:textId="77777777" w:rsidR="00ED78CE" w:rsidRDefault="00ED78CE" w:rsidP="00ED78CE">
      <w:pPr>
        <w:spacing w:after="0" w:line="240" w:lineRule="auto"/>
        <w:ind w:left="567"/>
        <w:rPr>
          <w:rFonts w:ascii="Times New Roman" w:eastAsia="SimSun" w:hAnsi="Times New Roman" w:cs="Times New Roman"/>
          <w:color w:val="000000"/>
          <w:lang w:eastAsia="x-none"/>
        </w:rPr>
      </w:pPr>
      <w:r>
        <w:rPr>
          <w:rFonts w:ascii="Times New Roman" w:eastAsia="SimSun" w:hAnsi="Times New Roman" w:cs="Times New Roman"/>
          <w:color w:val="000000"/>
          <w:lang w:eastAsia="x-none"/>
        </w:rPr>
        <w:t xml:space="preserve">Dėl nepakankamo naujagimių iki 4 savaičių ir kūdikių iki 1 metų amžiaus inkstų funkcijos išsivystymo,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 vartoti tik po nuodugnaus apsvarstymo, vartojama dozė neturi viršyti 0,1 </w:t>
      </w:r>
      <w:proofErr w:type="spellStart"/>
      <w:r>
        <w:rPr>
          <w:rFonts w:ascii="Times New Roman" w:eastAsia="SimSun" w:hAnsi="Times New Roman" w:cs="Times New Roman"/>
          <w:color w:val="000000"/>
          <w:lang w:eastAsia="x-none"/>
        </w:rPr>
        <w:t>mmol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/kg kūno svorio. Skenavimo metu vartoti daugiau negu vieną dozę draudžiama. Duomenų apie kartotinį vartojimą nepakanka, todėl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 injekcijas kartoti draudžiama, nebent intervalas tarp injekcijų yra ne mažesnis kaip 7 paros.</w:t>
      </w:r>
    </w:p>
    <w:p w14:paraId="38D0EC44" w14:textId="77777777" w:rsidR="00ED78CE" w:rsidRDefault="00ED78CE" w:rsidP="00ED78CE">
      <w:pPr>
        <w:numPr>
          <w:ilvl w:val="0"/>
          <w:numId w:val="11"/>
        </w:numPr>
        <w:tabs>
          <w:tab w:val="num" w:pos="-3119"/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x-none"/>
        </w:rPr>
      </w:pPr>
      <w:r>
        <w:rPr>
          <w:rFonts w:ascii="Times New Roman" w:eastAsia="SimSun" w:hAnsi="Times New Roman" w:cs="Times New Roman"/>
          <w:color w:val="000000"/>
          <w:lang w:eastAsia="x-none"/>
        </w:rPr>
        <w:t xml:space="preserve">Angiografija: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SimSun" w:hAnsi="Times New Roman" w:cs="Times New Roman"/>
          <w:color w:val="000000"/>
          <w:lang w:eastAsia="x-none"/>
        </w:rPr>
        <w:t xml:space="preserve"> nerekomenduojama skirti atliekant angiografiją jaunesniems kaip 18 metų amžiaus vaikams, nes duomenų apie veiksmingumą ir saugumą šiai indikacijai nepakanka.</w:t>
      </w:r>
    </w:p>
    <w:p w14:paraId="4204C9D7" w14:textId="77777777" w:rsidR="00ED78CE" w:rsidRDefault="00ED78CE" w:rsidP="00ED78CE">
      <w:pPr>
        <w:spacing w:after="0" w:line="240" w:lineRule="auto"/>
        <w:ind w:left="567"/>
        <w:rPr>
          <w:rFonts w:ascii="Times New Roman" w:eastAsia="SimSun" w:hAnsi="Times New Roman" w:cs="Times New Roman"/>
          <w:color w:val="000000"/>
          <w:lang w:eastAsia="x-none"/>
        </w:rPr>
      </w:pPr>
    </w:p>
    <w:p w14:paraId="4CC00E7A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Ypatingos populiacijos</w:t>
      </w:r>
    </w:p>
    <w:p w14:paraId="7EF84232" w14:textId="77777777" w:rsidR="00ED78CE" w:rsidRDefault="00ED78CE" w:rsidP="00ED78C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Pacientai, kurių inkstų funkcija sutrikusi: Pacientams, kuriems yra lengvas ar vidutinis inkstų funkcijos sutrikimas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glomerulų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filtracijos greitis (GFG) </w:t>
      </w:r>
      <w:r>
        <w:rPr>
          <w:rFonts w:ascii="Times New Roman" w:eastAsia="Times New Roman" w:hAnsi="Times New Roman" w:cs="Times New Roman"/>
          <w:snapToGrid w:val="0"/>
        </w:rPr>
        <w:sym w:font="Symbol" w:char="F0B3"/>
      </w:r>
      <w:r>
        <w:rPr>
          <w:rFonts w:ascii="Times New Roman" w:eastAsia="Times New Roman" w:hAnsi="Times New Roman" w:cs="Times New Roman"/>
          <w:snapToGrid w:val="0"/>
        </w:rPr>
        <w:t> 30 ml/min/1,73m</w:t>
      </w:r>
      <w:r>
        <w:rPr>
          <w:rFonts w:ascii="Times New Roman" w:eastAsia="Times New Roman" w:hAnsi="Times New Roman" w:cs="Times New Roman"/>
          <w:snapToGrid w:val="0"/>
          <w:vertAlign w:val="superscript"/>
        </w:rPr>
        <w:t>2</w:t>
      </w:r>
      <w:r>
        <w:rPr>
          <w:rFonts w:ascii="Times New Roman" w:eastAsia="Times New Roman" w:hAnsi="Times New Roman" w:cs="Times New Roman"/>
          <w:snapToGrid w:val="0"/>
        </w:rPr>
        <w:t xml:space="preserve">) skiriama suaugusiųjų dozė. Taip pat žiūrėkite žemiau „Pacientai, kurių inkstų funkcija sutrikusi“. </w:t>
      </w:r>
    </w:p>
    <w:p w14:paraId="15107D3D" w14:textId="77777777" w:rsidR="00ED78CE" w:rsidRDefault="00ED78CE" w:rsidP="00ED78CE">
      <w:pPr>
        <w:numPr>
          <w:ilvl w:val="0"/>
          <w:numId w:val="12"/>
        </w:numPr>
        <w:tabs>
          <w:tab w:val="num" w:pos="-3119"/>
          <w:tab w:val="left" w:pos="-2977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Pacientai, kurių kepenų funkcija sutrikusi: šiems pacientams galima skirti suaugusiųjų dozę. Vaisto skirti rekomenduojama atsargiai, ypač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perioperacinio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kepenų transplantacijos laikotarpio metu.</w:t>
      </w:r>
    </w:p>
    <w:p w14:paraId="34A1576A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CA35793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x-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x-none"/>
        </w:rPr>
        <w:t>Vartojimo metodas</w:t>
      </w:r>
    </w:p>
    <w:p w14:paraId="1163629E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skirtas vartoti tik į veną.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 negalima švirkšti atliekant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subarachnoidinę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(ar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epidurinę</w:t>
      </w:r>
      <w:proofErr w:type="spellEnd"/>
      <w:r>
        <w:rPr>
          <w:rFonts w:ascii="Times New Roman" w:eastAsia="Times New Roman" w:hAnsi="Times New Roman" w:cs="Times New Roman"/>
          <w:snapToGrid w:val="0"/>
        </w:rPr>
        <w:t>) injekciją.</w:t>
      </w:r>
    </w:p>
    <w:p w14:paraId="2CCB146D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 xml:space="preserve">Infuzijos greitis: 3-5 ml/min. (didesnis infuzijos greitis – iki 120 ml/min., t. y., 2 ml/s gali būti naudojamas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angiografinėms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procedūroms).</w:t>
      </w:r>
    </w:p>
    <w:p w14:paraId="05DB68F3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Tinkamiausias vaizdas: per 45 minutes po injekcijos.</w:t>
      </w:r>
    </w:p>
    <w:p w14:paraId="4D55F377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Tinkamiausia vaizdų seka: T1 režimu.</w:t>
      </w:r>
    </w:p>
    <w:p w14:paraId="7569F71E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0000"/>
          <w:lang w:eastAsia="x-none"/>
        </w:rPr>
      </w:pPr>
      <w:r>
        <w:rPr>
          <w:rFonts w:ascii="Times New Roman" w:eastAsia="SimSun" w:hAnsi="Times New Roman" w:cs="Times New Roman"/>
          <w:bCs/>
          <w:color w:val="000000"/>
          <w:lang w:eastAsia="x-none"/>
        </w:rPr>
        <w:t>Jei įmanoma, kontrastinė medžiaga turi būti švirkščiama į kraujagysles pacientui gulint. Sušvirkštus pacientą reikia stebėti mažiausiai pusvalandį, nes, remiantis patirtimi, dauguma nepageidaujamų poveikių pasireiškia per šį laikotarpį.</w:t>
      </w:r>
    </w:p>
    <w:p w14:paraId="7D3A2066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Paruoškite švirkštą su adata. Nuimkite plastiko diską. Kamštelį nuvalę alkoholiu sumirkytu tamponėliu, adata pradurkite kamštį. Ištraukite tyrimui atlikti reikalingą preparato kiekį ir sušvirkškite jį į veną.</w:t>
      </w:r>
    </w:p>
    <w:p w14:paraId="39F9D57A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0000"/>
          <w:lang w:eastAsia="x-none"/>
        </w:rPr>
      </w:pPr>
      <w:r>
        <w:rPr>
          <w:rFonts w:ascii="Times New Roman" w:eastAsia="SimSun" w:hAnsi="Times New Roman" w:cs="Times New Roman"/>
          <w:bCs/>
          <w:color w:val="000000"/>
          <w:lang w:eastAsia="x-none"/>
        </w:rPr>
        <w:t>Skirtas tik vienkartiniam vartojimui, nesuvartotą tirpalą reikia išmesti</w:t>
      </w:r>
      <w:r>
        <w:rPr>
          <w:rFonts w:ascii="Times New Roman" w:eastAsia="SimSun" w:hAnsi="Times New Roman" w:cs="Times New Roman"/>
          <w:b/>
          <w:bCs/>
          <w:color w:val="000000"/>
          <w:lang w:eastAsia="x-none"/>
        </w:rPr>
        <w:t>.</w:t>
      </w:r>
    </w:p>
    <w:p w14:paraId="407F7CDE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Prieš vartojant injekcinį tirpalą reikia patikrinti vizualiai. Galima naudoti tik skaidrius, be matomų nuosėdų tirpalus.</w:t>
      </w:r>
    </w:p>
    <w:p w14:paraId="75E6186D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17440E41" w14:textId="77777777" w:rsidR="00ED78CE" w:rsidRDefault="00ED78CE" w:rsidP="00ED78CE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bCs/>
          <w:iCs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Vaikų populiacija </w:t>
      </w:r>
      <w:r>
        <w:rPr>
          <w:rFonts w:ascii="Times New Roman" w:eastAsia="Times New Roman" w:hAnsi="Times New Roman" w:cs="Times New Roman"/>
          <w:snapToGrid w:val="0"/>
          <w:szCs w:val="20"/>
        </w:rPr>
        <w:t>(0-18 metų)</w:t>
      </w:r>
    </w:p>
    <w:p w14:paraId="28E38272" w14:textId="77777777" w:rsidR="00ED78CE" w:rsidRDefault="00ED78CE" w:rsidP="00ED78C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Priklausomai nuo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kiekio, kuri reikės duoti vaikui, rekomenduotina naudoti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buteliukas su vienkartinio naudojimo švirkštu, kuris pritaikytas šiam kiekiui, tam, kad būtų pasiektas geresnis injekcijos kiekio tikslumas.</w:t>
      </w:r>
    </w:p>
    <w:p w14:paraId="3B10170C" w14:textId="77777777" w:rsidR="00ED78CE" w:rsidRDefault="00ED78CE" w:rsidP="00ED78C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Naujagimiams ir kūdikiams reikiama dozė turi būti administruojama rankiniu būdu.</w:t>
      </w:r>
    </w:p>
    <w:p w14:paraId="7350F3B5" w14:textId="77777777" w:rsidR="00ED78CE" w:rsidRDefault="00ED78CE" w:rsidP="00ED78C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3A26A7B" w14:textId="77777777" w:rsidR="00ED78CE" w:rsidRDefault="00ED78CE" w:rsidP="00ED78CE">
      <w:pPr>
        <w:numPr>
          <w:ilvl w:val="12"/>
          <w:numId w:val="0"/>
        </w:numPr>
        <w:spacing w:after="0" w:line="240" w:lineRule="auto"/>
        <w:outlineLvl w:val="3"/>
        <w:rPr>
          <w:rFonts w:ascii="Calibri" w:eastAsia="Times New Roman" w:hAnsi="Calibri" w:cs="Times New Roman"/>
          <w:b/>
          <w:snapToGrid w:val="0"/>
          <w:lang w:eastAsia="x-none"/>
        </w:rPr>
      </w:pPr>
    </w:p>
    <w:p w14:paraId="08DBB0C0" w14:textId="77777777" w:rsidR="00ED78CE" w:rsidRDefault="00ED78CE" w:rsidP="00ED78CE">
      <w:pPr>
        <w:numPr>
          <w:ilvl w:val="12"/>
          <w:numId w:val="0"/>
        </w:numPr>
        <w:spacing w:after="0" w:line="240" w:lineRule="auto"/>
        <w:outlineLvl w:val="3"/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Pacientai, kurių inkstų funkcija sutrikusi</w:t>
      </w:r>
    </w:p>
    <w:p w14:paraId="6F1874D6" w14:textId="77777777" w:rsidR="00ED78CE" w:rsidRDefault="00ED78CE" w:rsidP="00ED78CE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iCs/>
          <w:snapToGrid w:val="0"/>
          <w:color w:val="000000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</w:rPr>
        <w:t xml:space="preserve">Prieš </w:t>
      </w:r>
      <w:proofErr w:type="spellStart"/>
      <w:r w:rsidRPr="00D81549">
        <w:rPr>
          <w:rFonts w:ascii="Times New Roman" w:eastAsia="Times New Roman" w:hAnsi="Times New Roman" w:cs="Times New Roman"/>
          <w:b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b/>
          <w:snapToGrid w:val="0"/>
          <w:color w:val="000000"/>
        </w:rPr>
        <w:t xml:space="preserve"> vartojimą, visiems pacientams rekomenduojama atlikti laboratorinius tyrimus, ištirti dėl inkstų funkcijos sutrikimų.</w:t>
      </w:r>
    </w:p>
    <w:p w14:paraId="184733B3" w14:textId="77777777" w:rsidR="00ED78CE" w:rsidRDefault="00ED78CE" w:rsidP="00ED78CE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snapToGrid w:val="0"/>
          <w:color w:val="000000"/>
        </w:rPr>
      </w:pPr>
    </w:p>
    <w:p w14:paraId="7E971A8A" w14:textId="77777777" w:rsidR="00ED78CE" w:rsidRDefault="00ED78CE" w:rsidP="00ED78CE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Vartojant kai kuriuos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gadolinio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sudėtyje turinčius kontrastinius preparatus pacientams, kuriems yra sunkus arba lėtinis sunkus inkstų funkcijos sutrikimas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glomerulų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filtracijos greitis (GFG) &lt; 30 ml/min/1,73m</w:t>
      </w:r>
      <w:r>
        <w:rPr>
          <w:rFonts w:ascii="Times New Roman" w:eastAsia="Times New Roman" w:hAnsi="Times New Roman" w:cs="Times New Roman"/>
          <w:snapToGrid w:val="0"/>
          <w:vertAlign w:val="superscript"/>
        </w:rPr>
        <w:t>2</w:t>
      </w:r>
      <w:r>
        <w:rPr>
          <w:rFonts w:ascii="Times New Roman" w:eastAsia="Times New Roman" w:hAnsi="Times New Roman" w:cs="Times New Roman"/>
          <w:snapToGrid w:val="0"/>
        </w:rPr>
        <w:t xml:space="preserve">), gauta pranešimų apie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nefrogeninės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sisteminės fibrozės (NSF) atvejus. Pacientai, kuriems atliekama kepenų transplantacija, priklauso padidintos rizikos grupei, kadangi šioje grupėje yra didelis sunkaus inkstų funkcijos sutrikimo pasireiškimo dažnis. </w:t>
      </w:r>
      <w:r>
        <w:rPr>
          <w:rFonts w:ascii="Times New Roman" w:eastAsia="Times New Roman" w:hAnsi="Times New Roman" w:cs="Times New Roman"/>
          <w:snapToGrid w:val="0"/>
          <w:color w:val="000000"/>
        </w:rPr>
        <w:t xml:space="preserve">Kadangi vartojant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</w:rPr>
        <w:t xml:space="preserve"> gali pasireikšti NSF,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</w:rPr>
        <w:t xml:space="preserve"> vartoti tik pacientams, kuriems yra sunkus inkstų funkcijos sutrikimas, pacientams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perioperacinio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kepenų transplantacijos laikotarpio metu,</w:t>
      </w:r>
      <w:r>
        <w:rPr>
          <w:rFonts w:ascii="Times New Roman" w:eastAsia="Times New Roman" w:hAnsi="Times New Roman" w:cs="Times New Roman"/>
          <w:snapToGrid w:val="0"/>
          <w:color w:val="000000"/>
        </w:rPr>
        <w:t xml:space="preserve"> tik įvertinus naudos ir rizikos santykį.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</w:rPr>
        <w:t xml:space="preserve"> vartoti tik tuo atveju, jeigu diagnostinė informacija būtina ir jos negalima gauti nekontrastinio magnetinio rezonanso tyrimo (MRT) pagalba. </w:t>
      </w:r>
      <w:r>
        <w:rPr>
          <w:rFonts w:ascii="Times New Roman" w:eastAsia="Times New Roman" w:hAnsi="Times New Roman" w:cs="Times New Roman"/>
          <w:snapToGrid w:val="0"/>
        </w:rPr>
        <w:t xml:space="preserve">Jei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vartojimo išvengti neįmanoma, dozė neturi viršyti 0,1 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/kg kūno svorio. Skenavimo metu vartoti daugiau negu vieną dozę draudžiama. Duomenų apie kartotinį vartojimą nepakanka, todėl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injekcijas kartoti draudžiama, nebent intervalas tarp injekcijų yra ne mažesnis kaip 7 paros.</w:t>
      </w:r>
    </w:p>
    <w:p w14:paraId="05E20909" w14:textId="77777777" w:rsidR="00ED78CE" w:rsidRDefault="00ED78CE" w:rsidP="00ED78CE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color w:val="000000"/>
        </w:rPr>
      </w:pPr>
    </w:p>
    <w:p w14:paraId="4B815D22" w14:textId="77777777" w:rsidR="00ED78CE" w:rsidRDefault="00ED78CE" w:rsidP="00ED78CE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color w:val="000000"/>
        </w:rPr>
      </w:pPr>
      <w:r>
        <w:rPr>
          <w:rFonts w:ascii="Times New Roman" w:eastAsia="Times New Roman" w:hAnsi="Times New Roman" w:cs="Times New Roman"/>
          <w:snapToGrid w:val="0"/>
        </w:rPr>
        <w:t xml:space="preserve">Netrukus po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vartojimo, hemodializė gali padėti pašalinti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iš organizmo. Nėra įrodymų, kad hemodializė yra veiksminga NSF gydymui arba prevencijai pacientams, kuriems hemodializė, neatliekama.</w:t>
      </w:r>
    </w:p>
    <w:p w14:paraId="3CDECA67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A079E38" w14:textId="77777777" w:rsidR="00ED78CE" w:rsidRDefault="00ED78CE" w:rsidP="00ED78CE">
      <w:pPr>
        <w:tabs>
          <w:tab w:val="left" w:pos="567"/>
        </w:tabs>
        <w:spacing w:after="0" w:line="240" w:lineRule="auto"/>
        <w:outlineLvl w:val="3"/>
        <w:rPr>
          <w:rFonts w:ascii="Calibri" w:eastAsia="MS Mincho" w:hAnsi="Calibri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Senyvi pacientai</w:t>
      </w:r>
    </w:p>
    <w:p w14:paraId="214DAB27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color w:val="000000"/>
        </w:rPr>
        <w:t xml:space="preserve">Dėl galimo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</w:rPr>
        <w:t>gadotero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</w:rPr>
        <w:t xml:space="preserve"> rūgšties klirenso sumažėjimo senyviems pacientams, yra ypatingai</w:t>
      </w:r>
      <w:r>
        <w:rPr>
          <w:rFonts w:ascii="Times New Roman" w:eastAsia="Times New Roman" w:hAnsi="Times New Roman" w:cs="Times New Roman"/>
          <w:i/>
          <w:snapToGrid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</w:rPr>
        <w:t>svarbu tirti 65 metų amžiaus ir vyresnius pacientus dėl inkstų funkcijos sutrikimų</w:t>
      </w:r>
      <w:r>
        <w:rPr>
          <w:rFonts w:ascii="Times New Roman" w:eastAsia="Times New Roman" w:hAnsi="Times New Roman" w:cs="Times New Roman"/>
          <w:snapToGrid w:val="0"/>
        </w:rPr>
        <w:t>.</w:t>
      </w:r>
    </w:p>
    <w:p w14:paraId="3BABC4B8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7A6A09C" w14:textId="77777777" w:rsidR="00ED78CE" w:rsidRDefault="00ED78CE" w:rsidP="00ED78CE">
      <w:pPr>
        <w:tabs>
          <w:tab w:val="left" w:pos="567"/>
        </w:tabs>
        <w:spacing w:after="0" w:line="240" w:lineRule="auto"/>
        <w:outlineLvl w:val="3"/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Naujagimiai ir kūdikiai</w:t>
      </w:r>
    </w:p>
    <w:p w14:paraId="5E6C4B60" w14:textId="77777777" w:rsidR="00ED78CE" w:rsidRDefault="00ED78CE" w:rsidP="00ED78CE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snapToGrid w:val="0"/>
          <w:lang w:eastAsia="x-none"/>
        </w:rPr>
      </w:pPr>
      <w:r>
        <w:rPr>
          <w:rFonts w:ascii="Times New Roman" w:eastAsia="Times New Roman" w:hAnsi="Times New Roman" w:cs="Times New Roman"/>
          <w:bCs/>
          <w:snapToGrid w:val="0"/>
          <w:lang w:eastAsia="x-none"/>
        </w:rPr>
        <w:t>Žr. skyrelį „Dozavimas ir vartojimo metodas“, Vaikų populiacija.</w:t>
      </w:r>
    </w:p>
    <w:p w14:paraId="7B947F62" w14:textId="77777777" w:rsidR="00ED78CE" w:rsidRDefault="00ED78CE" w:rsidP="00ED78CE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napToGrid w:val="0"/>
          <w:lang w:eastAsia="x-none"/>
        </w:rPr>
      </w:pPr>
    </w:p>
    <w:p w14:paraId="0AE7C6D2" w14:textId="77777777" w:rsidR="00ED78CE" w:rsidRDefault="00ED78CE" w:rsidP="00ED78CE">
      <w:pPr>
        <w:tabs>
          <w:tab w:val="left" w:pos="567"/>
        </w:tabs>
        <w:spacing w:after="0" w:line="240" w:lineRule="auto"/>
        <w:outlineLvl w:val="3"/>
        <w:rPr>
          <w:rFonts w:ascii="Calibri" w:eastAsia="MS Mincho" w:hAnsi="Calibri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Nėštumas ir žindymo laikotarpis</w:t>
      </w:r>
    </w:p>
    <w:p w14:paraId="78C30F46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snapToGrid w:val="0"/>
          <w:color w:val="00000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nėštumo metu vartoti negalima, nebent moters klinikinė būklė yra tokia, kad jai reikia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gadotero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rūgšties skirti.</w:t>
      </w:r>
    </w:p>
    <w:p w14:paraId="6E2DD7FA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 xml:space="preserve">Gydantis gydytojas ir žindyvė turi nuspręsti, ar žindymą galima tęsti ar jį nutraukti 24 valandoms po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Cyclolux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vartojimo</w:t>
      </w:r>
      <w:r>
        <w:rPr>
          <w:rFonts w:ascii="Times New Roman" w:eastAsia="Times New Roman" w:hAnsi="Times New Roman" w:cs="Times New Roman"/>
          <w:snapToGrid w:val="0"/>
          <w:color w:val="000000"/>
        </w:rPr>
        <w:t>.</w:t>
      </w:r>
    </w:p>
    <w:p w14:paraId="6FC39338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CF3BFDC" w14:textId="77777777" w:rsidR="00ED78CE" w:rsidRDefault="00ED78CE" w:rsidP="00ED78CE">
      <w:pPr>
        <w:tabs>
          <w:tab w:val="left" w:pos="567"/>
        </w:tabs>
        <w:spacing w:after="0" w:line="240" w:lineRule="auto"/>
        <w:outlineLvl w:val="3"/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Tvarkymo nurodymai</w:t>
      </w:r>
    </w:p>
    <w:p w14:paraId="6E141FC7" w14:textId="77777777" w:rsidR="00ED78CE" w:rsidRDefault="00ED78CE" w:rsidP="00ED78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Nuplėšiama buteliuko etiketė turi būti klijuojama į paciento ligos istoriją, kad būtų išsaugota informacija apie vartotas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gadolinio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sudėtyje turinčias kontrastines medžiagas. Taip pat turi būti įrašytas vartotojo dozės dydis. Jei naudojami elektroniniai paciento įrašai, į paciento ligos istoriją reikia įrašyti vaistinio preparato pavadinimą, serijos numerį ir dozę.</w:t>
      </w:r>
    </w:p>
    <w:p w14:paraId="151412BA" w14:textId="77777777" w:rsidR="00ED78CE" w:rsidRDefault="00ED78CE" w:rsidP="00ED78CE"/>
    <w:p w14:paraId="357C440B" w14:textId="77777777" w:rsidR="00411546" w:rsidRPr="00ED78CE" w:rsidRDefault="00411546" w:rsidP="00ED78CE"/>
    <w:sectPr w:rsidR="00411546" w:rsidRPr="00ED7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4107"/>
    <w:multiLevelType w:val="hybridMultilevel"/>
    <w:tmpl w:val="BF3294AA"/>
    <w:lvl w:ilvl="0" w:tplc="FFFFFFFF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4BF1F7B"/>
    <w:multiLevelType w:val="hybridMultilevel"/>
    <w:tmpl w:val="C70815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745D48"/>
    <w:multiLevelType w:val="hybridMultilevel"/>
    <w:tmpl w:val="D1C8A1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8A3157"/>
    <w:multiLevelType w:val="hybridMultilevel"/>
    <w:tmpl w:val="1DB279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7B2385"/>
    <w:multiLevelType w:val="hybridMultilevel"/>
    <w:tmpl w:val="DB363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8" w15:restartNumberingAfterBreak="0">
    <w:nsid w:val="72381284"/>
    <w:multiLevelType w:val="hybridMultilevel"/>
    <w:tmpl w:val="26388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80137E"/>
    <w:multiLevelType w:val="hybridMultilevel"/>
    <w:tmpl w:val="D56E8C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186C21"/>
    <w:multiLevelType w:val="hybridMultilevel"/>
    <w:tmpl w:val="EF285D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428A6"/>
    <w:multiLevelType w:val="hybridMultilevel"/>
    <w:tmpl w:val="2310A1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CE"/>
    <w:rsid w:val="00075081"/>
    <w:rsid w:val="00246A61"/>
    <w:rsid w:val="00281C3F"/>
    <w:rsid w:val="00411546"/>
    <w:rsid w:val="004960A6"/>
    <w:rsid w:val="006F504B"/>
    <w:rsid w:val="007E2422"/>
    <w:rsid w:val="009143A9"/>
    <w:rsid w:val="00941B21"/>
    <w:rsid w:val="00DA69B1"/>
    <w:rsid w:val="00E11814"/>
    <w:rsid w:val="00E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F539"/>
  <w15:chartTrackingRefBased/>
  <w15:docId w15:val="{84785AAC-E36D-43D9-B83D-D9A478FA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8C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D78CE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ED78CE"/>
    <w:pPr>
      <w:spacing w:after="0" w:line="240" w:lineRule="auto"/>
    </w:pPr>
    <w:rPr>
      <w:rFonts w:ascii="Times New Roman" w:eastAsia="SimSun" w:hAnsi="Times New Roman" w:cs="Times New Roman"/>
      <w:noProof/>
    </w:rPr>
  </w:style>
  <w:style w:type="character" w:customStyle="1" w:styleId="BTEMEASMCAChar">
    <w:name w:val="BT EMEA_SMCA Char"/>
    <w:link w:val="BTEMEASMCA"/>
    <w:locked/>
    <w:rsid w:val="00ED78CE"/>
    <w:rPr>
      <w:rFonts w:ascii="Times New Roman" w:eastAsia="SimSun" w:hAnsi="Times New Roman" w:cs="Times New Roman"/>
      <w:noProof/>
      <w:lang w:val="lt-LT"/>
    </w:rPr>
  </w:style>
  <w:style w:type="paragraph" w:customStyle="1" w:styleId="BTbEMEASMCA">
    <w:name w:val="BT(b) EMEA_SMCA"/>
    <w:basedOn w:val="BTEMEASMCA"/>
    <w:autoRedefine/>
    <w:rsid w:val="00ED78CE"/>
    <w:rPr>
      <w:rFonts w:eastAsia="Times New Roman"/>
      <w:b/>
    </w:rPr>
  </w:style>
  <w:style w:type="paragraph" w:styleId="Pavadinimas">
    <w:name w:val="Title"/>
    <w:basedOn w:val="prastasis"/>
    <w:link w:val="PavadinimasDiagrama"/>
    <w:uiPriority w:val="99"/>
    <w:qFormat/>
    <w:rsid w:val="00ED78CE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78CE"/>
    <w:rPr>
      <w:rFonts w:ascii="Times New Roman" w:eastAsia="SimSun" w:hAnsi="Times New Roman" w:cs="Times New Roman"/>
      <w:b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60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60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60A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60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60A6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0A6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DA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14485</Words>
  <Characters>8257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Putniene</dc:creator>
  <cp:keywords/>
  <dc:description/>
  <cp:lastModifiedBy>Božena Kuntelija</cp:lastModifiedBy>
  <cp:revision>3</cp:revision>
  <dcterms:created xsi:type="dcterms:W3CDTF">2021-03-08T11:49:00Z</dcterms:created>
  <dcterms:modified xsi:type="dcterms:W3CDTF">2021-03-15T07:58:00Z</dcterms:modified>
</cp:coreProperties>
</file>