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F3AED"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b/>
          <w:color w:val="000000"/>
          <w:lang w:eastAsia="ar-SA"/>
        </w:rPr>
      </w:pPr>
    </w:p>
    <w:p w14:paraId="75847242"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b/>
          <w:color w:val="000000"/>
          <w:lang w:eastAsia="ar-SA"/>
        </w:rPr>
      </w:pPr>
    </w:p>
    <w:p w14:paraId="752037D9"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b/>
          <w:color w:val="000000"/>
          <w:lang w:eastAsia="ar-SA"/>
        </w:rPr>
      </w:pPr>
    </w:p>
    <w:p w14:paraId="700B72FF"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2478186"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C409FEA"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26438A43"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081BE3EE"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3103E383"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D3BE3B4"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D9B610B"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CE6D3C3"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E56C7EA"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240414F"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261663B8"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3FC5299"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1F99FBC"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2071B535"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454177CA"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B9D496F"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5C172B59"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b/>
          <w:color w:val="000000"/>
          <w:lang w:eastAsia="ar-SA"/>
        </w:rPr>
      </w:pPr>
    </w:p>
    <w:p w14:paraId="7FE6D144" w14:textId="77777777" w:rsidR="00ED7DC3" w:rsidRPr="001D3C3D" w:rsidRDefault="00ED7DC3" w:rsidP="00ED7DC3">
      <w:pPr>
        <w:keepNext/>
        <w:tabs>
          <w:tab w:val="left" w:pos="567"/>
        </w:tabs>
        <w:suppressAutoHyphens/>
        <w:spacing w:after="0" w:line="240" w:lineRule="auto"/>
        <w:jc w:val="center"/>
        <w:rPr>
          <w:rFonts w:ascii="Times New Roman" w:eastAsia="Times New Roman" w:hAnsi="Times New Roman" w:cs="Times New Roman"/>
          <w:b/>
          <w:bCs/>
          <w:iCs/>
          <w:color w:val="000000"/>
          <w:lang w:eastAsia="ar-SA"/>
        </w:rPr>
      </w:pPr>
    </w:p>
    <w:p w14:paraId="54F71909" w14:textId="77777777" w:rsidR="00ED7DC3" w:rsidRPr="001D3C3D" w:rsidRDefault="00ED7DC3" w:rsidP="0086689D">
      <w:pPr>
        <w:keepNext/>
        <w:tabs>
          <w:tab w:val="left" w:pos="567"/>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iCs/>
          <w:color w:val="000000"/>
          <w:lang w:eastAsia="ar-SA"/>
        </w:rPr>
        <w:t>I PRIEDAS</w:t>
      </w:r>
    </w:p>
    <w:p w14:paraId="26884783"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p>
    <w:p w14:paraId="552C2CE1" w14:textId="77777777" w:rsidR="00ED7DC3" w:rsidRPr="001D3C3D" w:rsidRDefault="00ED7DC3" w:rsidP="0086689D">
      <w:pPr>
        <w:tabs>
          <w:tab w:val="left" w:pos="-1440"/>
          <w:tab w:val="left" w:pos="-720"/>
          <w:tab w:val="left" w:pos="567"/>
        </w:tabs>
        <w:suppressAutoHyphens/>
        <w:spacing w:after="0" w:line="260" w:lineRule="exact"/>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PREPARATO CHARAKTERISTIKŲ SANTRAUKA</w:t>
      </w:r>
    </w:p>
    <w:p w14:paraId="1AC287BC" w14:textId="77777777" w:rsidR="00ED7DC3" w:rsidRPr="001D3C3D" w:rsidRDefault="00ED7DC3" w:rsidP="00ED7DC3">
      <w:pPr>
        <w:tabs>
          <w:tab w:val="left" w:pos="-1440"/>
          <w:tab w:val="left" w:pos="-720"/>
          <w:tab w:val="left" w:pos="567"/>
        </w:tabs>
        <w:suppressAutoHyphens/>
        <w:spacing w:after="0" w:line="260" w:lineRule="exact"/>
        <w:rPr>
          <w:rFonts w:ascii="Times New Roman" w:eastAsia="Times New Roman" w:hAnsi="Times New Roman" w:cs="Times New Roman"/>
          <w:color w:val="000000"/>
          <w:lang w:eastAsia="ar-SA"/>
        </w:rPr>
      </w:pPr>
    </w:p>
    <w:p w14:paraId="33DE0287" w14:textId="77777777" w:rsidR="00ED7DC3" w:rsidRPr="001D3C3D" w:rsidRDefault="00ED7DC3" w:rsidP="0086689D">
      <w:pPr>
        <w:pageBreakBefore/>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lastRenderedPageBreak/>
        <w:t>1.</w:t>
      </w:r>
      <w:r w:rsidRPr="001D3C3D">
        <w:rPr>
          <w:rFonts w:ascii="Times New Roman" w:eastAsia="Calibri" w:hAnsi="Times New Roman" w:cs="Times New Roman"/>
          <w:b/>
          <w:bCs/>
          <w:color w:val="000000"/>
          <w:lang w:eastAsia="ar-SA"/>
        </w:rPr>
        <w:tab/>
        <w:t xml:space="preserve">VAISTINIO PREPARATO PAVADINIMAS </w:t>
      </w:r>
    </w:p>
    <w:p w14:paraId="6713B69A"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7A512FAC"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Dasatinib Sandoz 20 mg plėvele dengtos tabletės </w:t>
      </w:r>
    </w:p>
    <w:p w14:paraId="179ED1BF"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Dasatinib Sandoz 50 mg plėvele dengtos tabletės </w:t>
      </w:r>
    </w:p>
    <w:p w14:paraId="42E15465"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lang w:eastAsia="ar-SA"/>
        </w:rPr>
        <w:t xml:space="preserve">Dasatinib Sandoz 70 mg plėvele dengtos tabletės </w:t>
      </w:r>
    </w:p>
    <w:p w14:paraId="596F6F85"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Cs/>
          <w:color w:val="000000"/>
          <w:lang w:eastAsia="ar-SA"/>
        </w:rPr>
        <w:t>Dasatinib Sandoz 80 mg plėvele dengtos tabletės</w:t>
      </w:r>
    </w:p>
    <w:p w14:paraId="23163070"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lang w:eastAsia="ar-SA"/>
        </w:rPr>
        <w:t xml:space="preserve">Dasatinib Sandoz 100 mg plėvele dengtos tabletės </w:t>
      </w:r>
    </w:p>
    <w:p w14:paraId="254CFA7A" w14:textId="77777777" w:rsidR="00ED7DC3" w:rsidRPr="001D3C3D" w:rsidRDefault="00ED7DC3" w:rsidP="00ED7DC3">
      <w:pPr>
        <w:shd w:val="clear" w:color="auto" w:fill="808080"/>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bCs/>
          <w:color w:val="000000"/>
          <w:lang w:eastAsia="ar-SA"/>
        </w:rPr>
        <w:t>Dasatinib Sandoz 140 mg plėvele dengtos tabletės</w:t>
      </w:r>
    </w:p>
    <w:p w14:paraId="1531E03B"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Cs/>
          <w:color w:val="000000"/>
          <w:lang w:eastAsia="ar-SA"/>
        </w:rPr>
      </w:pPr>
    </w:p>
    <w:p w14:paraId="3573FCF8"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3DBC7F26"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2.</w:t>
      </w:r>
      <w:r w:rsidRPr="001D3C3D">
        <w:rPr>
          <w:rFonts w:ascii="Times New Roman" w:eastAsia="Calibri" w:hAnsi="Times New Roman" w:cs="Times New Roman"/>
          <w:b/>
          <w:bCs/>
          <w:color w:val="000000"/>
          <w:lang w:eastAsia="ar-SA"/>
        </w:rPr>
        <w:tab/>
        <w:t xml:space="preserve">KOKYBINĖ IR KIEKYBINĖ SUDĖTIS </w:t>
      </w:r>
    </w:p>
    <w:p w14:paraId="0366B278"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4E8595D9"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20 mg dazatinibo. </w:t>
      </w:r>
    </w:p>
    <w:p w14:paraId="75D28729" w14:textId="126537A4" w:rsidR="00ED7DC3" w:rsidRPr="001D3C3D" w:rsidRDefault="00ED7DC3" w:rsidP="00ED7DC3">
      <w:pPr>
        <w:tabs>
          <w:tab w:val="left" w:pos="567"/>
        </w:tabs>
        <w:suppressAutoHyphens/>
        <w:spacing w:after="0" w:line="240" w:lineRule="auto"/>
        <w:rPr>
          <w:rFonts w:ascii="Times New Roman" w:eastAsia="Calibri" w:hAnsi="Times New Roman" w:cs="Times New Roman"/>
          <w:i/>
          <w:color w:val="000000"/>
          <w:u w:val="single"/>
          <w:lang w:eastAsia="ar-SA"/>
        </w:rPr>
      </w:pPr>
    </w:p>
    <w:p w14:paraId="28982E3A"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color w:val="000000"/>
          <w:u w:val="single"/>
          <w:lang w:eastAsia="ar-SA"/>
        </w:rPr>
        <w:t>Pagalbinė medžiaga, kurios poveikis žinomas</w:t>
      </w:r>
    </w:p>
    <w:p w14:paraId="71322422" w14:textId="7DFBA55D"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2</w:t>
      </w:r>
      <w:r w:rsidR="00126BE9" w:rsidRPr="001D3C3D">
        <w:rPr>
          <w:rFonts w:ascii="Times New Roman" w:eastAsia="Calibri" w:hAnsi="Times New Roman" w:cs="Times New Roman"/>
          <w:color w:val="000000"/>
          <w:lang w:eastAsia="ar-SA"/>
        </w:rPr>
        <w:t>6,2</w:t>
      </w:r>
      <w:r w:rsidRPr="001D3C3D">
        <w:rPr>
          <w:rFonts w:ascii="Times New Roman" w:eastAsia="Calibri" w:hAnsi="Times New Roman" w:cs="Times New Roman"/>
          <w:color w:val="000000"/>
          <w:lang w:eastAsia="ar-SA"/>
        </w:rPr>
        <w:t> mg laktozės monohidrato.</w:t>
      </w:r>
    </w:p>
    <w:p w14:paraId="616DB2F3"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1762D203" w14:textId="77777777" w:rsidR="00ED7DC3" w:rsidRPr="001D3C3D" w:rsidRDefault="00ED7DC3" w:rsidP="0086689D">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50 mg dazatinibo. </w:t>
      </w:r>
    </w:p>
    <w:p w14:paraId="451F6D0B"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p>
    <w:p w14:paraId="61A7226D" w14:textId="77777777" w:rsidR="00ED7DC3" w:rsidRPr="001D3C3D" w:rsidRDefault="00ED7DC3" w:rsidP="0086689D">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color w:val="000000"/>
          <w:u w:val="single"/>
          <w:lang w:eastAsia="ar-SA"/>
        </w:rPr>
        <w:t>Pagalbinė medžiaga, kurios poveikis žinomas</w:t>
      </w:r>
    </w:p>
    <w:p w14:paraId="63E08ADC" w14:textId="41C13CE5" w:rsidR="00ED7DC3" w:rsidRPr="001D3C3D" w:rsidRDefault="00ED7DC3" w:rsidP="0086689D">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6</w:t>
      </w:r>
      <w:r w:rsidR="00126BE9" w:rsidRPr="001D3C3D">
        <w:rPr>
          <w:rFonts w:ascii="Times New Roman" w:eastAsia="Calibri" w:hAnsi="Times New Roman" w:cs="Times New Roman"/>
          <w:color w:val="000000"/>
          <w:lang w:eastAsia="ar-SA"/>
        </w:rPr>
        <w:t>5,6</w:t>
      </w:r>
      <w:r w:rsidRPr="001D3C3D">
        <w:rPr>
          <w:rFonts w:ascii="Times New Roman" w:eastAsia="Calibri" w:hAnsi="Times New Roman" w:cs="Times New Roman"/>
          <w:color w:val="000000"/>
          <w:lang w:eastAsia="ar-SA"/>
        </w:rPr>
        <w:t> mg laktozės monohidrato.</w:t>
      </w:r>
    </w:p>
    <w:p w14:paraId="706201BB"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65E08F38"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70 mg dazatinibo. </w:t>
      </w:r>
    </w:p>
    <w:p w14:paraId="72E348DB"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p>
    <w:p w14:paraId="146F00E2" w14:textId="77777777" w:rsidR="00ED7DC3" w:rsidRPr="00B92E23" w:rsidRDefault="00ED7DC3" w:rsidP="0086689D">
      <w:pPr>
        <w:shd w:val="clear" w:color="auto" w:fill="D9D9D9"/>
        <w:tabs>
          <w:tab w:val="left" w:pos="567"/>
        </w:tabs>
        <w:suppressAutoHyphens/>
        <w:spacing w:after="0" w:line="240" w:lineRule="auto"/>
        <w:rPr>
          <w:rFonts w:ascii="Times New Roman" w:eastAsia="Calibri" w:hAnsi="Times New Roman" w:cs="Times New Roman"/>
          <w:color w:val="000000"/>
          <w:u w:val="single"/>
          <w:lang w:eastAsia="ar-SA"/>
        </w:rPr>
      </w:pPr>
      <w:r w:rsidRPr="00B92E23">
        <w:rPr>
          <w:rFonts w:ascii="Times New Roman" w:eastAsia="Calibri" w:hAnsi="Times New Roman" w:cs="Times New Roman"/>
          <w:color w:val="000000"/>
          <w:u w:val="single"/>
          <w:lang w:eastAsia="ar-SA"/>
        </w:rPr>
        <w:t>Pagalbinė medžiaga, kurios poveikis žinomas</w:t>
      </w:r>
    </w:p>
    <w:p w14:paraId="01819361" w14:textId="0B6B4A80"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9</w:t>
      </w:r>
      <w:r w:rsidR="00126BE9" w:rsidRPr="001D3C3D">
        <w:rPr>
          <w:rFonts w:ascii="Times New Roman" w:eastAsia="Calibri" w:hAnsi="Times New Roman" w:cs="Times New Roman"/>
          <w:color w:val="000000"/>
          <w:lang w:eastAsia="ar-SA"/>
        </w:rPr>
        <w:t>1,8</w:t>
      </w:r>
      <w:r w:rsidRPr="001D3C3D">
        <w:rPr>
          <w:rFonts w:ascii="Times New Roman" w:eastAsia="Calibri" w:hAnsi="Times New Roman" w:cs="Times New Roman"/>
          <w:color w:val="000000"/>
          <w:lang w:eastAsia="ar-SA"/>
        </w:rPr>
        <w:t> mg laktozės monohidrato.</w:t>
      </w:r>
    </w:p>
    <w:p w14:paraId="05100B75"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79FAB197"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bCs/>
          <w:color w:val="000000"/>
          <w:lang w:eastAsia="ar-SA"/>
        </w:rPr>
        <w:t xml:space="preserve">Kiekvienoje plėvele dengtoje tabletėje yra 80 mg dazatinibo. </w:t>
      </w:r>
    </w:p>
    <w:p w14:paraId="217BFA0C"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bCs/>
          <w:color w:val="000000"/>
          <w:lang w:eastAsia="ar-SA"/>
        </w:rPr>
      </w:pPr>
    </w:p>
    <w:p w14:paraId="2C347281" w14:textId="77777777" w:rsidR="00ED7DC3" w:rsidRPr="00B92E23" w:rsidRDefault="00ED7DC3" w:rsidP="0086689D">
      <w:pPr>
        <w:shd w:val="clear" w:color="auto" w:fill="BFBFBF"/>
        <w:tabs>
          <w:tab w:val="left" w:pos="567"/>
        </w:tabs>
        <w:suppressAutoHyphens/>
        <w:spacing w:after="0" w:line="240" w:lineRule="auto"/>
        <w:rPr>
          <w:rFonts w:ascii="Times New Roman" w:eastAsia="Calibri" w:hAnsi="Times New Roman" w:cs="Times New Roman"/>
          <w:bCs/>
          <w:color w:val="000000"/>
          <w:u w:val="single"/>
          <w:lang w:eastAsia="ar-SA"/>
        </w:rPr>
      </w:pPr>
      <w:r w:rsidRPr="00B92E23">
        <w:rPr>
          <w:rFonts w:ascii="Times New Roman" w:eastAsia="Calibri" w:hAnsi="Times New Roman" w:cs="Times New Roman"/>
          <w:color w:val="000000"/>
          <w:u w:val="single"/>
          <w:lang w:eastAsia="ar-SA"/>
        </w:rPr>
        <w:t>Pagalbinė medžiaga, kurios poveikis žinomas</w:t>
      </w:r>
    </w:p>
    <w:p w14:paraId="73199806" w14:textId="16CC5FCF"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bCs/>
          <w:color w:val="000000"/>
          <w:lang w:eastAsia="ar-SA"/>
        </w:rPr>
        <w:t>Kiekvienoje plėvele dengtoje tabletėje yra 1</w:t>
      </w:r>
      <w:r w:rsidR="00126BE9" w:rsidRPr="001D3C3D">
        <w:rPr>
          <w:rFonts w:ascii="Times New Roman" w:eastAsia="Calibri" w:hAnsi="Times New Roman" w:cs="Times New Roman"/>
          <w:bCs/>
          <w:color w:val="000000"/>
          <w:lang w:eastAsia="ar-SA"/>
        </w:rPr>
        <w:t>04,9</w:t>
      </w:r>
      <w:r w:rsidRPr="001D3C3D">
        <w:rPr>
          <w:rFonts w:ascii="Times New Roman" w:eastAsia="Calibri" w:hAnsi="Times New Roman" w:cs="Times New Roman"/>
          <w:bCs/>
          <w:color w:val="000000"/>
          <w:lang w:eastAsia="ar-SA"/>
        </w:rPr>
        <w:t> mg laktozės monohidrato.</w:t>
      </w:r>
    </w:p>
    <w:p w14:paraId="2C7C9D43"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67C93D38" w14:textId="77777777" w:rsidR="00ED7DC3" w:rsidRPr="001D3C3D" w:rsidRDefault="00ED7DC3" w:rsidP="0086689D">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100 mg dazatinibo. </w:t>
      </w:r>
    </w:p>
    <w:p w14:paraId="2E3E79B1"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p>
    <w:p w14:paraId="2DCF47CE" w14:textId="77777777" w:rsidR="00ED7DC3" w:rsidRPr="001D3C3D" w:rsidRDefault="00ED7DC3" w:rsidP="0086689D">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color w:val="000000"/>
          <w:u w:val="single"/>
          <w:lang w:eastAsia="ar-SA"/>
        </w:rPr>
        <w:t>Pagalbinė medžiaga, kurios poveikis žinomas</w:t>
      </w:r>
    </w:p>
    <w:p w14:paraId="04026EC6" w14:textId="24CC212A" w:rsidR="00ED7DC3" w:rsidRPr="001D3C3D" w:rsidRDefault="00ED7DC3" w:rsidP="0086689D">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1</w:t>
      </w:r>
      <w:r w:rsidR="00126BE9" w:rsidRPr="001D3C3D">
        <w:rPr>
          <w:rFonts w:ascii="Times New Roman" w:eastAsia="Calibri" w:hAnsi="Times New Roman" w:cs="Times New Roman"/>
          <w:color w:val="000000"/>
          <w:lang w:eastAsia="ar-SA"/>
        </w:rPr>
        <w:t>31,1</w:t>
      </w:r>
      <w:r w:rsidRPr="001D3C3D">
        <w:rPr>
          <w:rFonts w:ascii="Times New Roman" w:eastAsia="Calibri" w:hAnsi="Times New Roman" w:cs="Times New Roman"/>
          <w:color w:val="000000"/>
          <w:lang w:eastAsia="ar-SA"/>
        </w:rPr>
        <w:t> mg laktozės monohidrato.</w:t>
      </w:r>
    </w:p>
    <w:p w14:paraId="6C605999" w14:textId="46210134"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p>
    <w:p w14:paraId="475A4136"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343771BB" w14:textId="77777777" w:rsidR="00ED7DC3" w:rsidRPr="001D3C3D" w:rsidRDefault="00ED7DC3" w:rsidP="0086689D">
      <w:pPr>
        <w:shd w:val="clear" w:color="auto" w:fill="808080"/>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140 mg dazatinibo. </w:t>
      </w:r>
    </w:p>
    <w:p w14:paraId="4E12D133" w14:textId="77777777" w:rsidR="00ED7DC3" w:rsidRPr="001D3C3D" w:rsidRDefault="00ED7DC3" w:rsidP="00ED7DC3">
      <w:pPr>
        <w:shd w:val="clear" w:color="auto" w:fill="808080"/>
        <w:tabs>
          <w:tab w:val="left" w:pos="567"/>
        </w:tabs>
        <w:suppressAutoHyphens/>
        <w:spacing w:after="0" w:line="240" w:lineRule="auto"/>
        <w:rPr>
          <w:rFonts w:ascii="Times New Roman" w:eastAsia="Calibri" w:hAnsi="Times New Roman" w:cs="Times New Roman"/>
          <w:color w:val="000000"/>
          <w:lang w:eastAsia="ar-SA"/>
        </w:rPr>
      </w:pPr>
    </w:p>
    <w:p w14:paraId="42F06932" w14:textId="77777777" w:rsidR="00ED7DC3" w:rsidRPr="001D3C3D" w:rsidRDefault="00ED7DC3" w:rsidP="0086689D">
      <w:pPr>
        <w:shd w:val="clear" w:color="auto" w:fill="808080"/>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color w:val="000000"/>
          <w:u w:val="single"/>
          <w:lang w:eastAsia="ar-SA"/>
        </w:rPr>
        <w:t>Pagalbinė medžiaga, kurios poveikis žinomas</w:t>
      </w:r>
    </w:p>
    <w:p w14:paraId="1C006A93" w14:textId="7B380386" w:rsidR="00ED7DC3" w:rsidRPr="001D3C3D" w:rsidRDefault="00ED7DC3" w:rsidP="0086689D">
      <w:pPr>
        <w:shd w:val="clear" w:color="auto" w:fill="808080"/>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1</w:t>
      </w:r>
      <w:r w:rsidR="00126BE9" w:rsidRPr="001D3C3D">
        <w:rPr>
          <w:rFonts w:ascii="Times New Roman" w:eastAsia="Calibri" w:hAnsi="Times New Roman" w:cs="Times New Roman"/>
          <w:color w:val="000000"/>
          <w:lang w:eastAsia="ar-SA"/>
        </w:rPr>
        <w:t>83,5</w:t>
      </w:r>
      <w:r w:rsidRPr="001D3C3D">
        <w:rPr>
          <w:rFonts w:ascii="Times New Roman" w:eastAsia="Calibri" w:hAnsi="Times New Roman" w:cs="Times New Roman"/>
          <w:color w:val="000000"/>
          <w:lang w:eastAsia="ar-SA"/>
        </w:rPr>
        <w:t> mg laktozės monohidrato.</w:t>
      </w:r>
    </w:p>
    <w:p w14:paraId="7F95AE8D"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2C5662BE" w14:textId="03B4CF73" w:rsidR="00ED7DC3" w:rsidRPr="001D3C3D" w:rsidRDefault="00ED7DC3" w:rsidP="0086689D">
      <w:pPr>
        <w:tabs>
          <w:tab w:val="left" w:pos="567"/>
        </w:tabs>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color w:val="000000"/>
          <w:lang w:eastAsia="ar-SA"/>
        </w:rPr>
        <w:t>Visos pagalbinės medžiagos išvardytos 6.1</w:t>
      </w:r>
      <w:r w:rsidR="006100A6">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skyriuje.</w:t>
      </w:r>
    </w:p>
    <w:p w14:paraId="0916CEE5"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4B0BDFB0"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21913B21"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3.</w:t>
      </w:r>
      <w:r w:rsidRPr="001D3C3D">
        <w:rPr>
          <w:rFonts w:ascii="Times New Roman" w:eastAsia="Calibri" w:hAnsi="Times New Roman" w:cs="Times New Roman"/>
          <w:b/>
          <w:bCs/>
          <w:color w:val="000000"/>
          <w:lang w:eastAsia="ar-SA"/>
        </w:rPr>
        <w:tab/>
        <w:t xml:space="preserve">FARMACINĖ FORMA </w:t>
      </w:r>
    </w:p>
    <w:p w14:paraId="5B9632CF"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2C281687"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Plėvele dengta tabletė (tabletė) </w:t>
      </w:r>
    </w:p>
    <w:p w14:paraId="18F4FF07"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09E87C0C" w14:textId="4A8724BA"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20 mg plėvele dengtos tabletės</w:t>
      </w:r>
    </w:p>
    <w:p w14:paraId="36EB9D4B"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„20”, kita pusė lygi. Tabletė yra 6,1 mm skersmens.</w:t>
      </w:r>
    </w:p>
    <w:p w14:paraId="07FE2449"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3BC2B66C" w14:textId="3D98C505" w:rsidR="00ED7DC3" w:rsidRPr="001D3C3D" w:rsidRDefault="00ED7DC3" w:rsidP="00B92E23">
      <w:pPr>
        <w:keepNext/>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lastRenderedPageBreak/>
        <w:t>50 mg plėvele dengtos tabletės</w:t>
      </w:r>
    </w:p>
    <w:p w14:paraId="37DD2606"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Balta arba balkšva, abipus išgaubta, ovali plėvele dengta tabletė, kurios vienoje pusėje įspausta „50”, kita pusė lygi. Tabletė yra 10,9 mm x 5,8 mm dydžio. </w:t>
      </w:r>
    </w:p>
    <w:p w14:paraId="3A089763"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76A47752" w14:textId="28CB154D" w:rsidR="00ED7DC3" w:rsidRPr="001D3C3D" w:rsidRDefault="00ED7DC3" w:rsidP="0086689D">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70 mg plėvele dengtos tabletės</w:t>
      </w:r>
    </w:p>
    <w:p w14:paraId="1E827423"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„70”, kita pusė lygi. Tabletė yra 8,9 mm skersmens.</w:t>
      </w:r>
    </w:p>
    <w:p w14:paraId="0DAE1332"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6A232CA5" w14:textId="11FD0590" w:rsidR="00ED7DC3" w:rsidRPr="001D3C3D" w:rsidRDefault="00ED7DC3" w:rsidP="0086689D">
      <w:pPr>
        <w:shd w:val="clear" w:color="auto" w:fill="BFBFBF"/>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80 mg plėvele dengtos tabletės</w:t>
      </w:r>
    </w:p>
    <w:p w14:paraId="62749AB8"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Balta arba balkšva, abipus išgaubta, trikampė plėvele dengta tabletė, kurios vienoje pusėje įspausta „80”, kita pusė lygi. Tabletė yra 10,3 mm x 10 mm dydžio. </w:t>
      </w:r>
    </w:p>
    <w:p w14:paraId="2E606A73"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43E07CF1" w14:textId="32CB2FF1" w:rsidR="00ED7DC3" w:rsidRPr="001D3C3D" w:rsidRDefault="00ED7DC3" w:rsidP="0086689D">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100 mg plėvele dengtos tabletės</w:t>
      </w:r>
    </w:p>
    <w:p w14:paraId="1626081D"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ovali plėvele dengta tabletė, kurios vienoje pusėje įspausta „100”, kita pusė lygi. Tabletė yra 14,8 mm x 7,2 mm dydžio.</w:t>
      </w:r>
    </w:p>
    <w:p w14:paraId="4C11FCDA"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691E1980" w14:textId="37FB0718" w:rsidR="00ED7DC3" w:rsidRPr="001D3C3D" w:rsidRDefault="00ED7DC3" w:rsidP="0086689D">
      <w:pPr>
        <w:shd w:val="clear" w:color="auto" w:fill="808080"/>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140 mg plėvele dengtos tabletės</w:t>
      </w:r>
    </w:p>
    <w:p w14:paraId="42C52954" w14:textId="77777777" w:rsidR="00ED7DC3" w:rsidRPr="001D3C3D" w:rsidRDefault="00ED7DC3" w:rsidP="00ED7DC3">
      <w:pPr>
        <w:shd w:val="clear" w:color="auto" w:fill="808080"/>
        <w:tabs>
          <w:tab w:val="left" w:pos="567"/>
        </w:tabs>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„140”, kita pusė lygi. Tabletė yra 11,8 mm skersmens.</w:t>
      </w:r>
    </w:p>
    <w:p w14:paraId="20CF4F96"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4C2CFFB0"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7559E6BD"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4.</w:t>
      </w:r>
      <w:r w:rsidRPr="001D3C3D">
        <w:rPr>
          <w:rFonts w:ascii="Times New Roman" w:eastAsia="Calibri" w:hAnsi="Times New Roman" w:cs="Times New Roman"/>
          <w:b/>
          <w:bCs/>
          <w:color w:val="000000"/>
          <w:lang w:eastAsia="ar-SA"/>
        </w:rPr>
        <w:tab/>
        <w:t xml:space="preserve">KLINIKINĖ INFORMACIJA </w:t>
      </w:r>
    </w:p>
    <w:p w14:paraId="14F5DEC4"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376FD3A7"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4.1</w:t>
      </w:r>
      <w:r w:rsidRPr="001D3C3D">
        <w:rPr>
          <w:rFonts w:ascii="Times New Roman" w:eastAsia="Calibri" w:hAnsi="Times New Roman" w:cs="Times New Roman"/>
          <w:b/>
          <w:bCs/>
          <w:color w:val="000000"/>
          <w:lang w:eastAsia="ar-SA"/>
        </w:rPr>
        <w:tab/>
        <w:t xml:space="preserve">Terapinės indikacijos </w:t>
      </w:r>
    </w:p>
    <w:p w14:paraId="58178E53"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1ABBEC22"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Dasatinib Sandoz skirtas gydyti suaugusius pacientus, kuriems yra:</w:t>
      </w:r>
    </w:p>
    <w:p w14:paraId="365E8FFF" w14:textId="77777777" w:rsidR="00ED7DC3" w:rsidRPr="001D3C3D" w:rsidRDefault="00ED7DC3" w:rsidP="00ED7DC3">
      <w:pPr>
        <w:numPr>
          <w:ilvl w:val="0"/>
          <w:numId w:val="5"/>
        </w:numPr>
        <w:tabs>
          <w:tab w:val="left" w:pos="567"/>
        </w:tabs>
        <w:suppressAutoHyphens/>
        <w:spacing w:after="0" w:line="240" w:lineRule="auto"/>
        <w:ind w:left="567" w:hanging="425"/>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naujai diagnozuotos Filadelfijos (</w:t>
      </w:r>
      <w:r w:rsidRPr="001D3C3D">
        <w:rPr>
          <w:rFonts w:ascii="Times New Roman" w:eastAsia="Calibri" w:hAnsi="Times New Roman" w:cs="Times New Roman"/>
          <w:i/>
          <w:color w:val="000000"/>
          <w:lang w:eastAsia="ar-SA"/>
        </w:rPr>
        <w:t>Philadelphia</w:t>
      </w:r>
      <w:r w:rsidRPr="001D3C3D">
        <w:rPr>
          <w:rFonts w:ascii="Times New Roman" w:eastAsia="Calibri" w:hAnsi="Times New Roman" w:cs="Times New Roman"/>
          <w:color w:val="000000"/>
          <w:lang w:eastAsia="ar-SA"/>
        </w:rPr>
        <w:t>) chromosomai teigiamos (Ph+) l</w:t>
      </w:r>
      <w:r w:rsidRPr="001D3C3D">
        <w:rPr>
          <w:rFonts w:ascii="Times New Roman" w:eastAsia="TimesNewRomanPSMT" w:hAnsi="Times New Roman" w:cs="Times New Roman"/>
          <w:color w:val="000000"/>
          <w:lang w:eastAsia="ar-SA"/>
        </w:rPr>
        <w:t>ė</w:t>
      </w:r>
      <w:r w:rsidRPr="001D3C3D">
        <w:rPr>
          <w:rFonts w:ascii="Times New Roman" w:eastAsia="Calibri" w:hAnsi="Times New Roman" w:cs="Times New Roman"/>
          <w:color w:val="000000"/>
          <w:lang w:eastAsia="ar-SA"/>
        </w:rPr>
        <w:t>tin</w:t>
      </w:r>
      <w:r w:rsidRPr="001D3C3D">
        <w:rPr>
          <w:rFonts w:ascii="Times New Roman" w:eastAsia="TimesNewRomanPSMT" w:hAnsi="Times New Roman" w:cs="Times New Roman"/>
          <w:color w:val="000000"/>
          <w:lang w:eastAsia="ar-SA"/>
        </w:rPr>
        <w:t xml:space="preserve">ės </w:t>
      </w:r>
      <w:r w:rsidRPr="001D3C3D">
        <w:rPr>
          <w:rFonts w:ascii="Times New Roman" w:eastAsia="Times New Roman" w:hAnsi="Times New Roman" w:cs="Times New Roman"/>
          <w:color w:val="000000"/>
          <w:lang w:eastAsia="ar-SA"/>
        </w:rPr>
        <w:t xml:space="preserve">mieloidinės leukemijos (LML) </w:t>
      </w:r>
      <w:r w:rsidRPr="001D3C3D">
        <w:rPr>
          <w:rFonts w:ascii="Times New Roman" w:eastAsia="Calibri" w:hAnsi="Times New Roman" w:cs="Times New Roman"/>
          <w:color w:val="000000"/>
          <w:lang w:eastAsia="ar-SA"/>
        </w:rPr>
        <w:t>lėtinė fazė;</w:t>
      </w:r>
    </w:p>
    <w:p w14:paraId="64C6F397" w14:textId="77777777" w:rsidR="00ED7DC3" w:rsidRPr="001D3C3D" w:rsidRDefault="00ED7DC3" w:rsidP="00ED7DC3">
      <w:pPr>
        <w:numPr>
          <w:ilvl w:val="0"/>
          <w:numId w:val="5"/>
        </w:numPr>
        <w:tabs>
          <w:tab w:val="left" w:pos="567"/>
        </w:tabs>
        <w:suppressAutoHyphens/>
        <w:spacing w:after="0" w:line="240" w:lineRule="auto"/>
        <w:ind w:left="567" w:hanging="425"/>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LML lėtinė, akceleracijos ar blastų fazė, jeigu liga buvo atspari ankstesniam gydymui (įskaitant gydymą imatinibu) arba pacientas jo netoleravo;</w:t>
      </w:r>
    </w:p>
    <w:p w14:paraId="3F7BCC69" w14:textId="77777777" w:rsidR="00ED7DC3" w:rsidRPr="001D3C3D" w:rsidRDefault="00ED7DC3" w:rsidP="00ED7DC3">
      <w:pPr>
        <w:numPr>
          <w:ilvl w:val="0"/>
          <w:numId w:val="5"/>
        </w:numPr>
        <w:tabs>
          <w:tab w:val="left" w:pos="567"/>
        </w:tabs>
        <w:suppressAutoHyphens/>
        <w:spacing w:after="0" w:line="240" w:lineRule="auto"/>
        <w:ind w:left="567" w:hanging="425"/>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Ph+ ūminė limfoblastinė leukemija (ŪLL) ar limfoidinių blastų LML, jei liga buvo atspari ankstesniam gydymui arba pacientas jo netoleravo.</w:t>
      </w:r>
    </w:p>
    <w:p w14:paraId="0B5DA8D9"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p>
    <w:p w14:paraId="23233200"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Dasatinib Sandoz</w:t>
      </w:r>
      <w:r w:rsidRPr="001D3C3D">
        <w:rPr>
          <w:rFonts w:ascii="Times New Roman" w:eastAsia="Times New Roman" w:hAnsi="Times New Roman" w:cs="Times New Roman"/>
          <w:color w:val="000000"/>
          <w:lang w:eastAsia="ar-SA"/>
        </w:rPr>
        <w:t xml:space="preserve"> skirtas gydyti pediatrinius pacientus, kuriems yra:</w:t>
      </w:r>
    </w:p>
    <w:p w14:paraId="1841E113" w14:textId="77777777" w:rsidR="00ED7DC3" w:rsidRPr="001D3C3D" w:rsidRDefault="00ED7DC3" w:rsidP="00756A54">
      <w:pPr>
        <w:numPr>
          <w:ilvl w:val="0"/>
          <w:numId w:val="17"/>
        </w:numPr>
        <w:tabs>
          <w:tab w:val="num" w:pos="567"/>
        </w:tabs>
        <w:suppressAutoHyphens/>
        <w:spacing w:after="0" w:line="260" w:lineRule="exact"/>
        <w:ind w:left="542" w:hanging="40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naujai diagnozuota Ph+ LML lėtinėje fazėje (Ph+ LML LF) arba Ph+ LML LF, </w:t>
      </w:r>
      <w:r w:rsidRPr="001D3C3D">
        <w:rPr>
          <w:rFonts w:ascii="Times New Roman" w:eastAsia="Calibri" w:hAnsi="Times New Roman" w:cs="Times New Roman"/>
          <w:color w:val="000000"/>
          <w:lang w:eastAsia="ar-SA"/>
        </w:rPr>
        <w:t>jeigu liga buvo atspari ankstesniam gydymui (įskaitant gydymą imatinibu) arba pacientas jo netoleravo;</w:t>
      </w:r>
    </w:p>
    <w:p w14:paraId="32645CC9" w14:textId="77777777" w:rsidR="00ED7DC3" w:rsidRPr="001D3C3D" w:rsidRDefault="00ED7DC3" w:rsidP="00B92E23">
      <w:pPr>
        <w:numPr>
          <w:ilvl w:val="0"/>
          <w:numId w:val="17"/>
        </w:numPr>
        <w:tabs>
          <w:tab w:val="left" w:pos="567"/>
        </w:tabs>
        <w:suppressAutoHyphens/>
        <w:spacing w:after="0" w:line="260" w:lineRule="exact"/>
        <w:ind w:left="542" w:hanging="40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naujai diagnozuota Ph+ ŪLL derinyje su chemoterapija.</w:t>
      </w:r>
    </w:p>
    <w:p w14:paraId="4F485E6A"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p>
    <w:p w14:paraId="265AE8B8" w14:textId="77777777" w:rsidR="00ED7DC3" w:rsidRPr="001D3C3D" w:rsidRDefault="00ED7DC3" w:rsidP="00B92E23">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4.2</w:t>
      </w:r>
      <w:r w:rsidRPr="001D3C3D">
        <w:rPr>
          <w:rFonts w:ascii="Times New Roman" w:eastAsia="Times New Roman" w:hAnsi="Times New Roman" w:cs="Times New Roman"/>
          <w:b/>
          <w:color w:val="000000"/>
          <w:lang w:eastAsia="ar-SA"/>
        </w:rPr>
        <w:tab/>
        <w:t>Dozavimas ir vartojimo metodas</w:t>
      </w:r>
    </w:p>
    <w:p w14:paraId="089E9704"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p>
    <w:p w14:paraId="47142276"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Gydymą turi pradėti gydytojas, turintis leukemijos diagnostikos ir gydymo patirties.</w:t>
      </w:r>
    </w:p>
    <w:p w14:paraId="6A7AD092"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04A06ABA" w14:textId="77777777" w:rsidR="00ED7DC3" w:rsidRPr="001D3C3D" w:rsidRDefault="00ED7DC3" w:rsidP="0086689D">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u w:val="single"/>
          <w:lang w:eastAsia="ar-SA"/>
        </w:rPr>
        <w:t>Dozavimas</w:t>
      </w:r>
    </w:p>
    <w:p w14:paraId="192B1473"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24BC4011"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u w:val="single"/>
          <w:lang w:eastAsia="ar-SA"/>
        </w:rPr>
        <w:t>Suaugusiesiems</w:t>
      </w:r>
    </w:p>
    <w:p w14:paraId="64F2A02B" w14:textId="344BF5B1" w:rsidR="00ED7DC3" w:rsidRPr="001D3C3D" w:rsidRDefault="00ED7DC3" w:rsidP="0086689D">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Rekomenduojama pradinė dozė lėtinės fazės LML gydyti – 100</w:t>
      </w:r>
      <w:r w:rsidRPr="001D3C3D">
        <w:rPr>
          <w:rFonts w:ascii="Times New Roman" w:eastAsia="TimesNewRoman" w:hAnsi="Times New Roman" w:cs="Times New Roman"/>
          <w:color w:val="000000"/>
          <w:lang w:eastAsia="ar-SA"/>
        </w:rPr>
        <w:t> </w:t>
      </w:r>
      <w:r w:rsidRPr="001D3C3D">
        <w:rPr>
          <w:rFonts w:ascii="Times New Roman" w:eastAsia="Calibri" w:hAnsi="Times New Roman" w:cs="Times New Roman"/>
          <w:color w:val="000000"/>
          <w:lang w:eastAsia="ar-SA"/>
        </w:rPr>
        <w:t>mg dazatinibo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w:t>
      </w:r>
    </w:p>
    <w:p w14:paraId="4AF78336"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1471968C" w14:textId="1051021B"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color w:val="000000"/>
          <w:lang w:eastAsia="ar-SA"/>
        </w:rPr>
        <w:t>Rekomenduojama pradinė dozė akceleracijos, mieloidinių ar limfoidinių blastų (progresavusios) fazės LML ar Ph+ ŪLL gydyti – 140 mg 1</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(žr.</w:t>
      </w:r>
      <w:r w:rsidR="00845B6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4.4</w:t>
      </w:r>
      <w:r w:rsidR="00845B6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skyrių).</w:t>
      </w:r>
    </w:p>
    <w:p w14:paraId="64A929DC"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p>
    <w:p w14:paraId="48B7D52E"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lang w:eastAsia="ar-SA"/>
        </w:rPr>
        <w:t>Vaikų populiacija (Ph+ LML LF ir Ph+ ŪLL)</w:t>
      </w:r>
    </w:p>
    <w:p w14:paraId="4F7A3401" w14:textId="235B4596"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Vaikams ir paaugliams dozuojama pagal kūno svorį (žr.</w:t>
      </w:r>
      <w:r w:rsidR="00845B6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w:t>
      </w:r>
      <w:r w:rsidR="00845B6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lentelę). Dazatinibas vartojamas per burną 1</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Dozę reikia perskaičiuoti kas 3</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mėn. arba prireikus dažniau atsižvelgiant į kūno svorio kitimą. Pacientams, sveriantiems mažiau kaip 10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kg, tabletės nerekomenduojamos; šiems pacientams gali būti tinkami milteliai geriamajai suspensijai. Didinti arba mažinti dozę </w:t>
      </w:r>
      <w:r w:rsidRPr="001D3C3D">
        <w:rPr>
          <w:rFonts w:ascii="Times New Roman" w:eastAsia="Calibri" w:hAnsi="Times New Roman" w:cs="Times New Roman"/>
          <w:color w:val="000000"/>
          <w:lang w:eastAsia="ar-SA"/>
        </w:rPr>
        <w:lastRenderedPageBreak/>
        <w:t>rekomenduojama atsižvelgiant į individualų paciento atsaką ir toleravimą. Jaunesnių kaip 1</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metų vaikų gydymo Dasatinib Sandoz patirties nėra. </w:t>
      </w:r>
    </w:p>
    <w:p w14:paraId="1E29F297"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4A4C57BB" w14:textId="77777777" w:rsidR="00ED7DC3" w:rsidRPr="00B92E23" w:rsidRDefault="00ED7DC3" w:rsidP="00ED7DC3">
      <w:pPr>
        <w:suppressAutoHyphens/>
        <w:spacing w:after="0" w:line="240" w:lineRule="auto"/>
        <w:rPr>
          <w:rFonts w:ascii="Times New Roman" w:eastAsia="Calibri" w:hAnsi="Times New Roman" w:cs="Times New Roman"/>
          <w:iCs/>
          <w:color w:val="000000"/>
          <w:lang w:eastAsia="ar-SA"/>
        </w:rPr>
      </w:pPr>
      <w:r w:rsidRPr="00B92E23">
        <w:rPr>
          <w:rFonts w:ascii="Times New Roman" w:eastAsia="Calibri" w:hAnsi="Times New Roman" w:cs="Times New Roman"/>
          <w:iCs/>
          <w:color w:val="000000"/>
          <w:lang w:eastAsia="ar-SA"/>
        </w:rPr>
        <w:t>Dasatinib Sandoz plėvele dengtos tabletės ir dazatinibo milteliai geriamajai suspensijai nėra biologiškai ekvivalentiški. Jeigu pacientas gali nuryti tabletes ir nori dazatinibo miltelius geriamajai suspensijai pakeisti Dasatinib Sandoz tabletėmis arba pacientas negali nuryti tablečių ir nori pereiti nuo tablečių prie geriamosios suspensijos, tai tą galima padaryti laikantis atitinkamos farmacinės formos dozavimo rekomendacijų.</w:t>
      </w:r>
    </w:p>
    <w:p w14:paraId="6DCE88B5" w14:textId="77777777" w:rsidR="00ED7DC3" w:rsidRPr="001D3C3D" w:rsidRDefault="00ED7DC3" w:rsidP="00ED7DC3">
      <w:pPr>
        <w:suppressAutoHyphens/>
        <w:spacing w:after="0" w:line="240" w:lineRule="auto"/>
        <w:rPr>
          <w:rFonts w:ascii="Times New Roman" w:eastAsia="Calibri" w:hAnsi="Times New Roman" w:cs="Times New Roman"/>
          <w:i/>
          <w:color w:val="000000"/>
          <w:lang w:eastAsia="ar-SA"/>
        </w:rPr>
      </w:pPr>
    </w:p>
    <w:p w14:paraId="275F778C" w14:textId="7F895F7C"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Rekomenduojama Dasatinib Sandoz tablečių pradinė paros dozė vaikų populiacijos pacientams pateikiama 1</w:t>
      </w:r>
      <w:r w:rsidR="00845B6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lentelėje. </w:t>
      </w:r>
    </w:p>
    <w:p w14:paraId="147A1000"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29C4972F" w14:textId="127B9A25" w:rsidR="00ED7DC3" w:rsidRPr="00B92E23" w:rsidRDefault="00ED7DC3" w:rsidP="00ED7DC3">
      <w:pPr>
        <w:suppressAutoHyphens/>
        <w:spacing w:after="0" w:line="240" w:lineRule="auto"/>
        <w:ind w:left="877" w:hanging="900"/>
        <w:rPr>
          <w:rFonts w:ascii="Times New Roman" w:eastAsia="Calibri" w:hAnsi="Times New Roman" w:cs="Times New Roman"/>
          <w:b/>
          <w:bCs/>
          <w:color w:val="000000"/>
          <w:lang w:eastAsia="ar-SA"/>
        </w:rPr>
      </w:pPr>
      <w:r w:rsidRPr="00B92E23">
        <w:rPr>
          <w:rFonts w:ascii="Times New Roman" w:eastAsia="Calibri" w:hAnsi="Times New Roman" w:cs="Times New Roman"/>
          <w:b/>
          <w:bCs/>
          <w:color w:val="000000"/>
          <w:lang w:eastAsia="ar-SA"/>
        </w:rPr>
        <w:t>1</w:t>
      </w:r>
      <w:r w:rsidR="00845B69">
        <w:rPr>
          <w:rFonts w:ascii="Times New Roman" w:eastAsia="Calibri" w:hAnsi="Times New Roman" w:cs="Times New Roman"/>
          <w:b/>
          <w:bCs/>
          <w:color w:val="000000"/>
          <w:lang w:eastAsia="ar-SA"/>
        </w:rPr>
        <w:t> </w:t>
      </w:r>
      <w:r w:rsidRPr="00B92E23">
        <w:rPr>
          <w:rFonts w:ascii="Times New Roman" w:eastAsia="Calibri" w:hAnsi="Times New Roman" w:cs="Times New Roman"/>
          <w:b/>
          <w:bCs/>
          <w:color w:val="000000"/>
          <w:lang w:eastAsia="ar-SA"/>
        </w:rPr>
        <w:t>lentelė. Dasatinib Sandoz tablečių doz</w:t>
      </w:r>
      <w:r w:rsidR="00557EB4" w:rsidRPr="00B92E23">
        <w:rPr>
          <w:rFonts w:ascii="Times New Roman" w:eastAsia="Calibri" w:hAnsi="Times New Roman" w:cs="Times New Roman"/>
          <w:b/>
          <w:bCs/>
          <w:color w:val="000000"/>
          <w:lang w:eastAsia="ar-SA"/>
        </w:rPr>
        <w:t>ės</w:t>
      </w:r>
      <w:r w:rsidRPr="00B92E23">
        <w:rPr>
          <w:rFonts w:ascii="Times New Roman" w:eastAsia="Calibri" w:hAnsi="Times New Roman" w:cs="Times New Roman"/>
          <w:b/>
          <w:bCs/>
          <w:color w:val="000000"/>
          <w:lang w:eastAsia="ar-SA"/>
        </w:rPr>
        <w:t xml:space="preserve"> vaikų populiacijos pacientams, sergantiems Ph+ LML LF arba Ph+ ŪLL </w:t>
      </w:r>
    </w:p>
    <w:p w14:paraId="75E8AEFA"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tbl>
      <w:tblPr>
        <w:tblW w:w="0" w:type="auto"/>
        <w:tblLayout w:type="fixed"/>
        <w:tblLook w:val="0000" w:firstRow="0" w:lastRow="0" w:firstColumn="0" w:lastColumn="0" w:noHBand="0" w:noVBand="0"/>
      </w:tblPr>
      <w:tblGrid>
        <w:gridCol w:w="4638"/>
        <w:gridCol w:w="4027"/>
      </w:tblGrid>
      <w:tr w:rsidR="00ED7DC3" w:rsidRPr="001D3C3D" w14:paraId="3626FD6C" w14:textId="77777777" w:rsidTr="0036275F">
        <w:tc>
          <w:tcPr>
            <w:tcW w:w="4638" w:type="dxa"/>
            <w:tcBorders>
              <w:top w:val="single" w:sz="4" w:space="0" w:color="000000"/>
              <w:bottom w:val="single" w:sz="4" w:space="0" w:color="000000"/>
            </w:tcBorders>
            <w:shd w:val="clear" w:color="auto" w:fill="auto"/>
          </w:tcPr>
          <w:p w14:paraId="7A8DA2E7"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spacing w:val="-2"/>
                <w:lang w:eastAsia="ar-SA"/>
              </w:rPr>
            </w:pPr>
            <w:r w:rsidRPr="001D3C3D">
              <w:rPr>
                <w:rFonts w:ascii="Times New Roman" w:eastAsia="Times New Roman" w:hAnsi="Times New Roman" w:cs="Times New Roman"/>
                <w:color w:val="000000"/>
                <w:spacing w:val="-2"/>
                <w:lang w:eastAsia="ar-SA"/>
              </w:rPr>
              <w:t>Kūno svoris(kg)</w:t>
            </w:r>
            <w:r w:rsidRPr="001D3C3D">
              <w:rPr>
                <w:rFonts w:ascii="Times New Roman" w:eastAsia="Times New Roman" w:hAnsi="Times New Roman" w:cs="Times New Roman"/>
                <w:color w:val="000000"/>
                <w:spacing w:val="-2"/>
                <w:vertAlign w:val="superscript"/>
                <w:lang w:eastAsia="ar-SA"/>
              </w:rPr>
              <w:t>a</w:t>
            </w:r>
          </w:p>
        </w:tc>
        <w:tc>
          <w:tcPr>
            <w:tcW w:w="4027" w:type="dxa"/>
            <w:tcBorders>
              <w:top w:val="single" w:sz="4" w:space="0" w:color="000000"/>
              <w:bottom w:val="single" w:sz="4" w:space="0" w:color="000000"/>
            </w:tcBorders>
            <w:shd w:val="clear" w:color="auto" w:fill="auto"/>
          </w:tcPr>
          <w:p w14:paraId="26AF8250"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2"/>
                <w:lang w:eastAsia="ar-SA"/>
              </w:rPr>
              <w:t xml:space="preserve">Paros dozė (mg) </w:t>
            </w:r>
          </w:p>
        </w:tc>
      </w:tr>
      <w:tr w:rsidR="00ED7DC3" w:rsidRPr="001D3C3D" w14:paraId="53089364" w14:textId="77777777" w:rsidTr="0036275F">
        <w:tc>
          <w:tcPr>
            <w:tcW w:w="4638" w:type="dxa"/>
            <w:tcBorders>
              <w:top w:val="single" w:sz="4" w:space="0" w:color="000000"/>
            </w:tcBorders>
            <w:shd w:val="clear" w:color="auto" w:fill="auto"/>
          </w:tcPr>
          <w:p w14:paraId="10D4E138" w14:textId="2AD52E72"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spacing w:val="-2"/>
                <w:lang w:eastAsia="ar-SA"/>
              </w:rPr>
              <w:t>Nuo</w:t>
            </w:r>
            <w:r w:rsidR="00B93186" w:rsidRPr="001D3C3D">
              <w:rPr>
                <w:rFonts w:ascii="Times New Roman" w:eastAsia="Calibri" w:hAnsi="Times New Roman" w:cs="Times New Roman"/>
                <w:color w:val="000000"/>
                <w:spacing w:val="-2"/>
                <w:lang w:eastAsia="ar-SA"/>
              </w:rPr>
              <w:t xml:space="preserve"> </w:t>
            </w:r>
            <w:r w:rsidRPr="001D3C3D">
              <w:rPr>
                <w:rFonts w:ascii="Times New Roman" w:eastAsia="Times New Roman" w:hAnsi="Times New Roman" w:cs="Times New Roman"/>
                <w:color w:val="000000"/>
                <w:spacing w:val="-2"/>
                <w:lang w:eastAsia="ar-SA"/>
              </w:rPr>
              <w:t>10 iki mažiau kaip 20</w:t>
            </w:r>
            <w:r w:rsidR="00217B4B">
              <w:rPr>
                <w:rFonts w:ascii="Times New Roman" w:eastAsia="Times New Roman" w:hAnsi="Times New Roman" w:cs="Times New Roman"/>
                <w:color w:val="000000"/>
                <w:spacing w:val="-2"/>
                <w:lang w:eastAsia="ar-SA"/>
              </w:rPr>
              <w:t> </w:t>
            </w:r>
            <w:r w:rsidRPr="001D3C3D">
              <w:rPr>
                <w:rFonts w:ascii="Times New Roman" w:eastAsia="Times New Roman" w:hAnsi="Times New Roman" w:cs="Times New Roman"/>
                <w:color w:val="000000"/>
                <w:spacing w:val="-2"/>
                <w:lang w:eastAsia="ar-SA"/>
              </w:rPr>
              <w:t>kg</w:t>
            </w:r>
          </w:p>
        </w:tc>
        <w:tc>
          <w:tcPr>
            <w:tcW w:w="4027" w:type="dxa"/>
            <w:tcBorders>
              <w:top w:val="single" w:sz="4" w:space="0" w:color="000000"/>
            </w:tcBorders>
            <w:shd w:val="clear" w:color="auto" w:fill="auto"/>
          </w:tcPr>
          <w:p w14:paraId="51D0D1AC" w14:textId="4F639D4F"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40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0E4F36A6" w14:textId="77777777" w:rsidTr="0036275F">
        <w:tc>
          <w:tcPr>
            <w:tcW w:w="4638" w:type="dxa"/>
            <w:shd w:val="clear" w:color="auto" w:fill="auto"/>
          </w:tcPr>
          <w:p w14:paraId="0B0B505A" w14:textId="3B96CDFF"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spacing w:val="-2"/>
                <w:lang w:eastAsia="ar-SA"/>
              </w:rPr>
              <w:t xml:space="preserve">Nuo </w:t>
            </w:r>
            <w:r w:rsidRPr="001D3C3D">
              <w:rPr>
                <w:rFonts w:ascii="Times New Roman" w:eastAsia="Times New Roman" w:hAnsi="Times New Roman" w:cs="Times New Roman"/>
                <w:color w:val="000000"/>
                <w:spacing w:val="-2"/>
                <w:lang w:eastAsia="ar-SA"/>
              </w:rPr>
              <w:t>20 iki mažiau kaip 30</w:t>
            </w:r>
            <w:r w:rsidR="00217B4B">
              <w:rPr>
                <w:rFonts w:ascii="Times New Roman" w:eastAsia="Times New Roman" w:hAnsi="Times New Roman" w:cs="Times New Roman"/>
                <w:color w:val="000000"/>
                <w:spacing w:val="-2"/>
                <w:lang w:eastAsia="ar-SA"/>
              </w:rPr>
              <w:t> </w:t>
            </w:r>
            <w:r w:rsidRPr="001D3C3D">
              <w:rPr>
                <w:rFonts w:ascii="Times New Roman" w:eastAsia="Times New Roman" w:hAnsi="Times New Roman" w:cs="Times New Roman"/>
                <w:color w:val="000000"/>
                <w:spacing w:val="-2"/>
                <w:lang w:eastAsia="ar-SA"/>
              </w:rPr>
              <w:t>kg</w:t>
            </w:r>
          </w:p>
        </w:tc>
        <w:tc>
          <w:tcPr>
            <w:tcW w:w="4027" w:type="dxa"/>
            <w:shd w:val="clear" w:color="auto" w:fill="auto"/>
          </w:tcPr>
          <w:p w14:paraId="4C164B2F" w14:textId="23697180"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60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3C2C11DD" w14:textId="77777777" w:rsidTr="0036275F">
        <w:tc>
          <w:tcPr>
            <w:tcW w:w="4638" w:type="dxa"/>
            <w:shd w:val="clear" w:color="auto" w:fill="auto"/>
          </w:tcPr>
          <w:p w14:paraId="0FF0395A" w14:textId="1F340861"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spacing w:val="-2"/>
                <w:lang w:eastAsia="ar-SA"/>
              </w:rPr>
              <w:t xml:space="preserve">Nuo </w:t>
            </w:r>
            <w:r w:rsidRPr="001D3C3D">
              <w:rPr>
                <w:rFonts w:ascii="Times New Roman" w:eastAsia="Times New Roman" w:hAnsi="Times New Roman" w:cs="Times New Roman"/>
                <w:color w:val="000000"/>
                <w:spacing w:val="-2"/>
                <w:lang w:eastAsia="ar-SA"/>
              </w:rPr>
              <w:t>30 iki mažiau kaip 45</w:t>
            </w:r>
            <w:r w:rsidR="00217B4B">
              <w:rPr>
                <w:rFonts w:ascii="Times New Roman" w:eastAsia="Times New Roman" w:hAnsi="Times New Roman" w:cs="Times New Roman"/>
                <w:color w:val="000000"/>
                <w:spacing w:val="-2"/>
                <w:lang w:eastAsia="ar-SA"/>
              </w:rPr>
              <w:t> </w:t>
            </w:r>
            <w:r w:rsidRPr="001D3C3D">
              <w:rPr>
                <w:rFonts w:ascii="Times New Roman" w:eastAsia="Times New Roman" w:hAnsi="Times New Roman" w:cs="Times New Roman"/>
                <w:color w:val="000000"/>
                <w:spacing w:val="-2"/>
                <w:lang w:eastAsia="ar-SA"/>
              </w:rPr>
              <w:t>kg</w:t>
            </w:r>
          </w:p>
        </w:tc>
        <w:tc>
          <w:tcPr>
            <w:tcW w:w="4027" w:type="dxa"/>
            <w:shd w:val="clear" w:color="auto" w:fill="auto"/>
          </w:tcPr>
          <w:p w14:paraId="0DD4EA45" w14:textId="2A3232A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70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319150B7" w14:textId="77777777" w:rsidTr="0036275F">
        <w:tc>
          <w:tcPr>
            <w:tcW w:w="4638" w:type="dxa"/>
            <w:tcBorders>
              <w:bottom w:val="single" w:sz="4" w:space="0" w:color="000000"/>
            </w:tcBorders>
            <w:shd w:val="clear" w:color="auto" w:fill="auto"/>
          </w:tcPr>
          <w:p w14:paraId="01B618FD" w14:textId="62CDFA19"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spacing w:val="-2"/>
                <w:lang w:eastAsia="ar-SA"/>
              </w:rPr>
              <w:t>Ne mažiau kaip</w:t>
            </w:r>
            <w:r w:rsidRPr="001D3C3D">
              <w:rPr>
                <w:rFonts w:ascii="Times New Roman" w:eastAsia="Times New Roman" w:hAnsi="Times New Roman" w:cs="Times New Roman"/>
                <w:color w:val="000000"/>
                <w:spacing w:val="-2"/>
                <w:lang w:eastAsia="ar-SA"/>
              </w:rPr>
              <w:t xml:space="preserve"> 45</w:t>
            </w:r>
            <w:r w:rsidR="00217B4B">
              <w:rPr>
                <w:rFonts w:ascii="Times New Roman" w:eastAsia="Times New Roman" w:hAnsi="Times New Roman" w:cs="Times New Roman"/>
                <w:color w:val="000000"/>
                <w:spacing w:val="-2"/>
                <w:lang w:eastAsia="ar-SA"/>
              </w:rPr>
              <w:t> </w:t>
            </w:r>
            <w:r w:rsidRPr="001D3C3D">
              <w:rPr>
                <w:rFonts w:ascii="Times New Roman" w:eastAsia="Times New Roman" w:hAnsi="Times New Roman" w:cs="Times New Roman"/>
                <w:color w:val="000000"/>
                <w:spacing w:val="-2"/>
                <w:lang w:eastAsia="ar-SA"/>
              </w:rPr>
              <w:t>kg</w:t>
            </w:r>
          </w:p>
        </w:tc>
        <w:tc>
          <w:tcPr>
            <w:tcW w:w="4027" w:type="dxa"/>
            <w:tcBorders>
              <w:bottom w:val="single" w:sz="4" w:space="0" w:color="000000"/>
            </w:tcBorders>
            <w:shd w:val="clear" w:color="auto" w:fill="auto"/>
          </w:tcPr>
          <w:p w14:paraId="41E9633F" w14:textId="13006B39"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100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bl>
    <w:p w14:paraId="2ED24B62" w14:textId="121E30E4"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vertAlign w:val="superscript"/>
          <w:lang w:eastAsia="ar-SA"/>
        </w:rPr>
        <w:t>a</w:t>
      </w:r>
      <w:r w:rsidRPr="001D3C3D">
        <w:rPr>
          <w:rFonts w:ascii="Times New Roman" w:eastAsia="Calibri" w:hAnsi="Times New Roman" w:cs="Times New Roman"/>
          <w:color w:val="000000"/>
          <w:lang w:eastAsia="ar-SA"/>
        </w:rPr>
        <w:t xml:space="preserve"> Tabletės nerekomenduojamos pacientams, sveriantiems mažiau kaip 10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kg </w:t>
      </w:r>
      <w:r w:rsidRPr="00B92E23">
        <w:rPr>
          <w:rFonts w:ascii="Times New Roman" w:eastAsia="Calibri" w:hAnsi="Times New Roman" w:cs="Times New Roman"/>
          <w:iCs/>
          <w:color w:val="000000"/>
          <w:lang w:eastAsia="ar-SA"/>
        </w:rPr>
        <w:t>(šiems pacientams gali būti tinkami milteliai geriamajai suspensijai</w:t>
      </w:r>
      <w:r w:rsidRPr="001D3C3D">
        <w:rPr>
          <w:rFonts w:ascii="Times New Roman" w:eastAsia="Calibri" w:hAnsi="Times New Roman" w:cs="Times New Roman"/>
          <w:iCs/>
          <w:color w:val="000000"/>
          <w:lang w:eastAsia="ar-SA"/>
        </w:rPr>
        <w:t>).</w:t>
      </w:r>
    </w:p>
    <w:p w14:paraId="54A2AC57"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5AF3CF54" w14:textId="77777777" w:rsidR="005832D2" w:rsidRPr="001D3C3D" w:rsidRDefault="00ED7DC3" w:rsidP="00ED7DC3">
      <w:pPr>
        <w:suppressAutoHyphens/>
        <w:spacing w:after="0" w:line="240" w:lineRule="auto"/>
        <w:rPr>
          <w:rFonts w:ascii="Times New Roman" w:eastAsia="Calibri" w:hAnsi="Times New Roman" w:cs="Times New Roman"/>
          <w:i/>
          <w:iCs/>
          <w:color w:val="000000"/>
          <w:u w:val="single"/>
          <w:lang w:eastAsia="ar-SA"/>
        </w:rPr>
      </w:pPr>
      <w:r w:rsidRPr="001D3C3D">
        <w:rPr>
          <w:rFonts w:ascii="Times New Roman" w:eastAsia="Calibri" w:hAnsi="Times New Roman" w:cs="Times New Roman"/>
          <w:i/>
          <w:iCs/>
          <w:color w:val="000000"/>
          <w:u w:val="single"/>
          <w:lang w:eastAsia="ar-SA"/>
        </w:rPr>
        <w:t>Gydymo trukmė</w:t>
      </w:r>
    </w:p>
    <w:p w14:paraId="7FBA7937" w14:textId="23A3B8C3"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 xml:space="preserve">Suaugusiųjų, sergančių Ph+LML LF, akceleruotos, mieloidinių arba limfoidinių blastų (progresavusios) fazės LML arba Ph+ ŪLL ir vaikų populiacijos pacientų, sergančių Ph+ lėtinės fazės LML, klinikinių tyrimų metu gydymas dazatinibu buvo taikomas iki ligos progresavimo arba vaistinio preparato netoleravimo nustatymo. Kokias pasekmes ilgalaikėms ligos išeitims sukelia gydymo nutraukimas pasiekus citogenetinį arba molekulinį atsaką (įskaitant visišką citogenetinį atsaką [CCyR, angl. </w:t>
      </w:r>
      <w:r w:rsidRPr="001D3C3D">
        <w:rPr>
          <w:rFonts w:ascii="Times New Roman" w:eastAsia="Calibri" w:hAnsi="Times New Roman" w:cs="Times New Roman"/>
          <w:i/>
          <w:color w:val="000000"/>
          <w:lang w:eastAsia="ar-SA"/>
        </w:rPr>
        <w:t>complete cytogenetic response</w:t>
      </w:r>
      <w:r w:rsidRPr="001D3C3D">
        <w:rPr>
          <w:rFonts w:ascii="Times New Roman" w:eastAsia="Calibri" w:hAnsi="Times New Roman" w:cs="Times New Roman"/>
          <w:color w:val="000000"/>
          <w:lang w:eastAsia="ar-SA"/>
        </w:rPr>
        <w:t xml:space="preserve">], didįjį molekulinį atsaką [MMR, angl. </w:t>
      </w:r>
      <w:r w:rsidRPr="001D3C3D">
        <w:rPr>
          <w:rFonts w:ascii="Times New Roman" w:eastAsia="Calibri" w:hAnsi="Times New Roman" w:cs="Times New Roman"/>
          <w:i/>
          <w:color w:val="000000"/>
          <w:lang w:eastAsia="ar-SA"/>
        </w:rPr>
        <w:t>major molecular response</w:t>
      </w:r>
      <w:r w:rsidRPr="001D3C3D">
        <w:rPr>
          <w:rFonts w:ascii="Times New Roman" w:eastAsia="Calibri" w:hAnsi="Times New Roman" w:cs="Times New Roman"/>
          <w:color w:val="000000"/>
          <w:lang w:eastAsia="ar-SA"/>
        </w:rPr>
        <w:t>] ir MR4.5), neištirta.</w:t>
      </w:r>
    </w:p>
    <w:p w14:paraId="2FC93D99"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564CF1EB" w14:textId="2B4663BC"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Vaikų populiacijos pacientų, sergančių Ph+ ŪLL, klinikinių tyrimų metu gydymas dazatinibu buvo nepertraukiamai taikomas iki 2</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metų greta kartojamų pagrindinės chemoterapijos kursų. Pacientai, kuriems vėliau buvo persodinta kamieninių ląstelių, galėjo vartoti dazatinibo dar vienerius metus po transplantacijos. </w:t>
      </w:r>
    </w:p>
    <w:p w14:paraId="60E9AE51"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7FD1537B" w14:textId="7D454D1D"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Kad būtų patogiau dozuoti kaip rekomenduojama, tiekiamos Dasatinib Sandoz 20 mg, 50 mg, 70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80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r w:rsidR="001A6C51" w:rsidRPr="001D3C3D">
        <w:rPr>
          <w:rFonts w:ascii="Times New Roman" w:eastAsia="Calibri" w:hAnsi="Times New Roman" w:cs="Times New Roman"/>
          <w:color w:val="000000"/>
          <w:lang w:eastAsia="ar-SA"/>
        </w:rPr>
        <w:t xml:space="preserve"> </w:t>
      </w:r>
      <w:r w:rsidRPr="001D3C3D">
        <w:rPr>
          <w:rFonts w:ascii="Times New Roman" w:eastAsia="Calibri" w:hAnsi="Times New Roman" w:cs="Times New Roman"/>
          <w:color w:val="000000"/>
          <w:lang w:eastAsia="ar-SA"/>
        </w:rPr>
        <w:t>100 mg ir 140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plėvele dengtos tabletės. Dozę didinti ar mažinti rekomenduojama atsižvelgiant į organizmo atsaką ir vaistinio preparato toleravimą.</w:t>
      </w:r>
    </w:p>
    <w:p w14:paraId="1C7C91C4"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71F0DE3F"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u w:val="single"/>
          <w:lang w:eastAsia="ar-SA"/>
        </w:rPr>
        <w:t>Dozės didinimas</w:t>
      </w:r>
    </w:p>
    <w:p w14:paraId="408B131E" w14:textId="78367A88"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color w:val="000000"/>
          <w:lang w:eastAsia="ar-SA"/>
        </w:rPr>
        <w:t>Klinikinių tyrimų, kuriuose dalyvavo sergantys LML ir Ph+ ŪLL suaugę pacientai, metu vartojant rekomenduojamą pradinę dozę nepasireiškus hematologiniam ar citogenetiniam atsakui, pacientams, kuriems nustatyta LML lėtinė fazė, buvo leidžiama didinti dozę iki 140 mg 1</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o kuriems nustatyta LML progresavusi fazė arba Ph+ ŪLL – iki 180 mg 1</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w:t>
      </w:r>
    </w:p>
    <w:p w14:paraId="32694608"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p>
    <w:p w14:paraId="0BB07C79" w14:textId="5D0799E8"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2</w:t>
      </w:r>
      <w:r w:rsidR="001128C2">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lentelėje pateikiama dozės didinimo tvarka, kurią galiojančios gydymo metodikos rekomenduoja Ph+ LML LF sergantiems vaikų populiacijos pacientams, toleruojantiems gydymą, bet per rekomenduojamą laiką nepasiekusiems hematologinio, citogenetinio ir molekulinio atsako. </w:t>
      </w:r>
    </w:p>
    <w:p w14:paraId="0CA3E016"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05D87354" w14:textId="07A845B5" w:rsidR="00ED7DC3" w:rsidRPr="001D3C3D" w:rsidRDefault="00ED7DC3" w:rsidP="00ED7DC3">
      <w:pPr>
        <w:suppressAutoHyphens/>
        <w:spacing w:after="0" w:line="240" w:lineRule="auto"/>
        <w:rPr>
          <w:rFonts w:ascii="Times New Roman" w:eastAsia="Times New Roman" w:hAnsi="Times New Roman" w:cs="Times New Roman"/>
          <w:b/>
          <w:color w:val="000000"/>
          <w:lang w:eastAsia="ar-SA"/>
        </w:rPr>
      </w:pPr>
      <w:r w:rsidRPr="001D3C3D">
        <w:rPr>
          <w:rFonts w:ascii="Times New Roman" w:eastAsia="Calibri" w:hAnsi="Times New Roman" w:cs="Times New Roman"/>
          <w:color w:val="000000"/>
          <w:lang w:eastAsia="ar-SA"/>
        </w:rPr>
        <w:t>2</w:t>
      </w:r>
      <w:r w:rsidR="001128C2">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lentelė. Dozės didinimas vaikų populiacijos pacientams, sergantiems Ph+ LML LF </w:t>
      </w:r>
    </w:p>
    <w:tbl>
      <w:tblPr>
        <w:tblW w:w="0" w:type="auto"/>
        <w:tblLayout w:type="fixed"/>
        <w:tblLook w:val="0000" w:firstRow="0" w:lastRow="0" w:firstColumn="0" w:lastColumn="0" w:noHBand="0" w:noVBand="0"/>
      </w:tblPr>
      <w:tblGrid>
        <w:gridCol w:w="3092"/>
        <w:gridCol w:w="3092"/>
        <w:gridCol w:w="3092"/>
      </w:tblGrid>
      <w:tr w:rsidR="00ED7DC3" w:rsidRPr="001D3C3D" w14:paraId="649EB71E" w14:textId="77777777" w:rsidTr="0036275F">
        <w:tc>
          <w:tcPr>
            <w:tcW w:w="9276" w:type="dxa"/>
            <w:gridSpan w:val="3"/>
            <w:tcBorders>
              <w:top w:val="single" w:sz="4" w:space="0" w:color="000000"/>
              <w:bottom w:val="single" w:sz="4" w:space="0" w:color="000000"/>
            </w:tcBorders>
            <w:shd w:val="clear" w:color="auto" w:fill="auto"/>
          </w:tcPr>
          <w:p w14:paraId="5BCD0DFE"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Dozė (didžiausia dozė per parą)</w:t>
            </w:r>
          </w:p>
        </w:tc>
      </w:tr>
      <w:tr w:rsidR="00ED7DC3" w:rsidRPr="001D3C3D" w14:paraId="2D58C3E6" w14:textId="77777777" w:rsidTr="0036275F">
        <w:tc>
          <w:tcPr>
            <w:tcW w:w="3092" w:type="dxa"/>
            <w:tcBorders>
              <w:top w:val="single" w:sz="4" w:space="0" w:color="000000"/>
              <w:bottom w:val="single" w:sz="4" w:space="0" w:color="000000"/>
            </w:tcBorders>
            <w:shd w:val="clear" w:color="auto" w:fill="auto"/>
          </w:tcPr>
          <w:p w14:paraId="37E3DEAE"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b/>
                <w:color w:val="000000"/>
                <w:lang w:eastAsia="ar-SA"/>
              </w:rPr>
            </w:pPr>
          </w:p>
        </w:tc>
        <w:tc>
          <w:tcPr>
            <w:tcW w:w="3092" w:type="dxa"/>
            <w:tcBorders>
              <w:top w:val="single" w:sz="4" w:space="0" w:color="000000"/>
              <w:bottom w:val="single" w:sz="4" w:space="0" w:color="000000"/>
            </w:tcBorders>
            <w:shd w:val="clear" w:color="auto" w:fill="auto"/>
          </w:tcPr>
          <w:p w14:paraId="3BE27873" w14:textId="77777777" w:rsidR="00ED7DC3" w:rsidRPr="001D3C3D" w:rsidRDefault="00ED7DC3" w:rsidP="00ED7DC3">
            <w:pPr>
              <w:widowControl w:val="0"/>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Pradinė dozė</w:t>
            </w:r>
          </w:p>
        </w:tc>
        <w:tc>
          <w:tcPr>
            <w:tcW w:w="3092" w:type="dxa"/>
            <w:tcBorders>
              <w:top w:val="single" w:sz="4" w:space="0" w:color="000000"/>
              <w:bottom w:val="single" w:sz="4" w:space="0" w:color="000000"/>
            </w:tcBorders>
            <w:shd w:val="clear" w:color="auto" w:fill="auto"/>
          </w:tcPr>
          <w:p w14:paraId="7A33B94D"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Dozės didinimas</w:t>
            </w:r>
          </w:p>
        </w:tc>
      </w:tr>
      <w:tr w:rsidR="00ED7DC3" w:rsidRPr="001D3C3D" w14:paraId="37011E17" w14:textId="77777777" w:rsidTr="0036275F">
        <w:tc>
          <w:tcPr>
            <w:tcW w:w="3092" w:type="dxa"/>
            <w:tcBorders>
              <w:top w:val="single" w:sz="4" w:space="0" w:color="000000"/>
            </w:tcBorders>
            <w:shd w:val="clear" w:color="auto" w:fill="auto"/>
          </w:tcPr>
          <w:p w14:paraId="41600B06" w14:textId="77777777"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Tabletės</w:t>
            </w:r>
          </w:p>
        </w:tc>
        <w:tc>
          <w:tcPr>
            <w:tcW w:w="3092" w:type="dxa"/>
            <w:tcBorders>
              <w:top w:val="single" w:sz="4" w:space="0" w:color="000000"/>
            </w:tcBorders>
            <w:shd w:val="clear" w:color="auto" w:fill="auto"/>
          </w:tcPr>
          <w:p w14:paraId="1C93AF10" w14:textId="5D86DDDC"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3092" w:type="dxa"/>
            <w:tcBorders>
              <w:top w:val="single" w:sz="4" w:space="0" w:color="000000"/>
            </w:tcBorders>
            <w:shd w:val="clear" w:color="auto" w:fill="auto"/>
          </w:tcPr>
          <w:p w14:paraId="68AFB008" w14:textId="19FA281A"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50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52C9DED5" w14:textId="77777777" w:rsidTr="0036275F">
        <w:tc>
          <w:tcPr>
            <w:tcW w:w="3092" w:type="dxa"/>
            <w:shd w:val="clear" w:color="auto" w:fill="auto"/>
          </w:tcPr>
          <w:p w14:paraId="40EC2382"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3092" w:type="dxa"/>
            <w:shd w:val="clear" w:color="auto" w:fill="auto"/>
          </w:tcPr>
          <w:p w14:paraId="3E1B132F" w14:textId="2CE1257E"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3092" w:type="dxa"/>
            <w:shd w:val="clear" w:color="auto" w:fill="auto"/>
          </w:tcPr>
          <w:p w14:paraId="2FBBCD90" w14:textId="54682784"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70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33CD5495" w14:textId="77777777" w:rsidTr="0036275F">
        <w:tc>
          <w:tcPr>
            <w:tcW w:w="3092" w:type="dxa"/>
            <w:shd w:val="clear" w:color="auto" w:fill="auto"/>
          </w:tcPr>
          <w:p w14:paraId="25768332"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3092" w:type="dxa"/>
            <w:shd w:val="clear" w:color="auto" w:fill="auto"/>
          </w:tcPr>
          <w:p w14:paraId="4E93EBA1" w14:textId="3AC0DD80"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3092" w:type="dxa"/>
            <w:shd w:val="clear" w:color="auto" w:fill="auto"/>
          </w:tcPr>
          <w:p w14:paraId="1BC370DB" w14:textId="13FE5C95"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90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5F556864" w14:textId="77777777" w:rsidTr="0036275F">
        <w:tc>
          <w:tcPr>
            <w:tcW w:w="3092" w:type="dxa"/>
            <w:shd w:val="clear" w:color="auto" w:fill="auto"/>
          </w:tcPr>
          <w:p w14:paraId="6732957E"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3092" w:type="dxa"/>
            <w:shd w:val="clear" w:color="auto" w:fill="auto"/>
          </w:tcPr>
          <w:p w14:paraId="1A9DF9E9" w14:textId="203274E1"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100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3092" w:type="dxa"/>
            <w:shd w:val="clear" w:color="auto" w:fill="auto"/>
          </w:tcPr>
          <w:p w14:paraId="39893224" w14:textId="4ABAB0C8"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120</w:t>
            </w:r>
            <w:r w:rsidR="00217B4B">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bl>
    <w:p w14:paraId="6A92B1F2" w14:textId="77777777" w:rsidR="00ED7DC3" w:rsidRPr="001D3C3D" w:rsidRDefault="00ED7DC3" w:rsidP="00ED7DC3">
      <w:pPr>
        <w:suppressAutoHyphens/>
        <w:spacing w:after="0" w:line="240" w:lineRule="auto"/>
        <w:rPr>
          <w:rFonts w:ascii="Times New Roman" w:eastAsia="Calibri" w:hAnsi="Times New Roman" w:cs="Times New Roman"/>
          <w:i/>
          <w:iCs/>
          <w:color w:val="000000"/>
          <w:u w:val="single"/>
          <w:lang w:eastAsia="ar-SA"/>
        </w:rPr>
      </w:pPr>
      <w:r w:rsidRPr="001D3C3D">
        <w:rPr>
          <w:rFonts w:ascii="Times New Roman" w:eastAsia="Calibri" w:hAnsi="Times New Roman" w:cs="Times New Roman"/>
          <w:color w:val="000000"/>
          <w:lang w:eastAsia="ar-SA"/>
        </w:rPr>
        <w:t xml:space="preserve">Vaikų populiacijos pacientams, sergantiems Ph+ ŪLL, dozės didinti nerekomenduojama, kadangi jiems dazatinibo skiriama derinyje su chemoterapija. </w:t>
      </w:r>
    </w:p>
    <w:p w14:paraId="18C18727" w14:textId="77777777" w:rsidR="00ED7DC3" w:rsidRPr="001D3C3D" w:rsidRDefault="00ED7DC3" w:rsidP="00ED7DC3">
      <w:pPr>
        <w:suppressAutoHyphens/>
        <w:spacing w:after="0" w:line="240" w:lineRule="auto"/>
        <w:rPr>
          <w:rFonts w:ascii="Times New Roman" w:eastAsia="Calibri" w:hAnsi="Times New Roman" w:cs="Times New Roman"/>
          <w:i/>
          <w:iCs/>
          <w:color w:val="000000"/>
          <w:u w:val="single"/>
          <w:lang w:eastAsia="ar-SA"/>
        </w:rPr>
      </w:pPr>
    </w:p>
    <w:p w14:paraId="3EBF9FF9" w14:textId="771CC8B6"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i/>
          <w:iCs/>
          <w:color w:val="000000"/>
          <w:u w:val="single"/>
          <w:lang w:eastAsia="ar-SA"/>
        </w:rPr>
        <w:t>Dozės koregavimas dėl nepageidaujamų reakcijų</w:t>
      </w:r>
    </w:p>
    <w:p w14:paraId="5868D638"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lang w:eastAsia="ar-SA"/>
        </w:rPr>
        <w:t>Kaulų čiulpų slopinimas</w:t>
      </w:r>
    </w:p>
    <w:p w14:paraId="48EEF61D"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Klinikinių tyrimų metu susilpnėjus kaulų čiulpų funkcijai, būdavo mažinama vaistinio preparato dozė arba laikinai ar visam laikui nutraukiamas jo vartojimas. Prireikus būdavo perpilama trombocitų ir eritrocitų. Kaulų čiulpų funkcijai nesinormalizuojant būdavo vartojama hemopoezinis augimo faktoriaus.</w:t>
      </w:r>
    </w:p>
    <w:p w14:paraId="12649339" w14:textId="6F965A96"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Dozės koregavimo rekomendacijos suaugusiesiems apibendrintos 3</w:t>
      </w:r>
      <w:r w:rsidR="00E318F6">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lentelėje, </w:t>
      </w:r>
      <w:r w:rsidRPr="001D3C3D">
        <w:rPr>
          <w:rFonts w:ascii="Times New Roman" w:eastAsia="Times New Roman" w:hAnsi="Times New Roman" w:cs="Times New Roman"/>
          <w:color w:val="000000"/>
          <w:lang w:eastAsia="ar-SA"/>
        </w:rPr>
        <w:t xml:space="preserve">o Ph+ LML LF sergantiems </w:t>
      </w:r>
      <w:r w:rsidRPr="001D3C3D">
        <w:rPr>
          <w:rFonts w:ascii="Times New Roman" w:eastAsia="Calibri" w:hAnsi="Times New Roman" w:cs="Times New Roman"/>
          <w:color w:val="000000"/>
          <w:lang w:eastAsia="ar-SA"/>
        </w:rPr>
        <w:t>vaikų populiacijos pacientams</w:t>
      </w:r>
      <w:r w:rsidRPr="001D3C3D">
        <w:rPr>
          <w:rFonts w:ascii="Times New Roman" w:eastAsia="Times New Roman" w:hAnsi="Times New Roman" w:cs="Times New Roman"/>
          <w:color w:val="000000"/>
          <w:lang w:eastAsia="ar-SA"/>
        </w:rPr>
        <w:t xml:space="preserve"> – 4</w:t>
      </w:r>
      <w:r w:rsidR="00E318F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lentelėje. Rekomendacijos Ph+ ŪLL sergantiems </w:t>
      </w:r>
      <w:r w:rsidRPr="001D3C3D">
        <w:rPr>
          <w:rFonts w:ascii="Times New Roman" w:eastAsia="Calibri" w:hAnsi="Times New Roman" w:cs="Times New Roman"/>
          <w:color w:val="000000"/>
          <w:lang w:eastAsia="ar-SA"/>
        </w:rPr>
        <w:t xml:space="preserve">vaikų populiacijos </w:t>
      </w:r>
      <w:r w:rsidRPr="001D3C3D">
        <w:rPr>
          <w:rFonts w:ascii="Times New Roman" w:eastAsia="Times New Roman" w:hAnsi="Times New Roman" w:cs="Times New Roman"/>
          <w:color w:val="000000"/>
          <w:lang w:eastAsia="ar-SA"/>
        </w:rPr>
        <w:t>pacientams, kuriems derinyje taikoma chemoterapija, pateikiamos atskirame paragrafe po šių lentelių.</w:t>
      </w:r>
    </w:p>
    <w:p w14:paraId="3770BFA2"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7B748017" w14:textId="761E20C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Times New Roman" w:hAnsi="Times New Roman" w:cs="Times New Roman"/>
          <w:b/>
          <w:bCs/>
          <w:color w:val="000000"/>
          <w:lang w:eastAsia="ar-SA"/>
        </w:rPr>
        <w:t>3</w:t>
      </w:r>
      <w:r w:rsidR="00CE0B0F">
        <w:rPr>
          <w:rFonts w:ascii="Times New Roman" w:eastAsia="Times New Roman" w:hAnsi="Times New Roman" w:cs="Times New Roman"/>
          <w:b/>
          <w:bCs/>
          <w:color w:val="000000"/>
          <w:lang w:eastAsia="ar-SA"/>
        </w:rPr>
        <w:t> </w:t>
      </w:r>
      <w:r w:rsidRPr="001D3C3D">
        <w:rPr>
          <w:rFonts w:ascii="Times New Roman" w:eastAsia="Times New Roman" w:hAnsi="Times New Roman" w:cs="Times New Roman"/>
          <w:b/>
          <w:bCs/>
          <w:color w:val="000000"/>
          <w:lang w:eastAsia="ar-SA"/>
        </w:rPr>
        <w:t>lentelė. Dozės koregavimas dėl neutropenijos ir trombocitopenijos suaugusiesiems</w:t>
      </w:r>
    </w:p>
    <w:p w14:paraId="3F62F52E"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tbl>
      <w:tblPr>
        <w:tblW w:w="0" w:type="auto"/>
        <w:tblInd w:w="38" w:type="dxa"/>
        <w:tblLayout w:type="fixed"/>
        <w:tblLook w:val="0000" w:firstRow="0" w:lastRow="0" w:firstColumn="0" w:lastColumn="0" w:noHBand="0" w:noVBand="0"/>
      </w:tblPr>
      <w:tblGrid>
        <w:gridCol w:w="2206"/>
        <w:gridCol w:w="1890"/>
        <w:gridCol w:w="4947"/>
      </w:tblGrid>
      <w:tr w:rsidR="00ED7DC3" w:rsidRPr="001D3C3D" w14:paraId="740EA3D6" w14:textId="77777777" w:rsidTr="0036275F">
        <w:tc>
          <w:tcPr>
            <w:tcW w:w="2206" w:type="dxa"/>
            <w:tcBorders>
              <w:top w:val="single" w:sz="4" w:space="0" w:color="000000"/>
              <w:left w:val="single" w:sz="4" w:space="0" w:color="000000"/>
              <w:bottom w:val="single" w:sz="4" w:space="0" w:color="000000"/>
            </w:tcBorders>
            <w:shd w:val="clear" w:color="auto" w:fill="FFFFFF"/>
            <w:vAlign w:val="center"/>
          </w:tcPr>
          <w:p w14:paraId="7EEFCC10" w14:textId="2F974A18"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LML lėtinė fazė suaugusiesiems (pradinė dozė – 100</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w:t>
            </w:r>
          </w:p>
        </w:tc>
        <w:tc>
          <w:tcPr>
            <w:tcW w:w="1890" w:type="dxa"/>
            <w:tcBorders>
              <w:top w:val="single" w:sz="4" w:space="0" w:color="000000"/>
              <w:left w:val="single" w:sz="4" w:space="0" w:color="000000"/>
              <w:bottom w:val="single" w:sz="4" w:space="0" w:color="000000"/>
            </w:tcBorders>
            <w:shd w:val="clear" w:color="auto" w:fill="FFFFFF"/>
            <w:vAlign w:val="center"/>
          </w:tcPr>
          <w:p w14:paraId="50747B45" w14:textId="6199D4A4"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ANS</w:t>
            </w:r>
            <w:r w:rsidRPr="001D3C3D">
              <w:rPr>
                <w:rFonts w:ascii="Times New Roman" w:eastAsia="Calibri" w:hAnsi="Times New Roman" w:cs="Times New Roman"/>
                <w:color w:val="000000"/>
                <w:spacing w:val="-5"/>
                <w:lang w:eastAsia="ar-SA"/>
              </w:rPr>
              <w:t xml:space="preserve"> </w:t>
            </w:r>
            <w:r w:rsidRPr="001D3C3D">
              <w:rPr>
                <w:rFonts w:ascii="Times New Roman" w:eastAsia="Calibri" w:hAnsi="Times New Roman" w:cs="Times New Roman"/>
                <w:color w:val="000000"/>
                <w:lang w:eastAsia="ar-SA"/>
              </w:rPr>
              <w:t>&lt;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w:t>
            </w:r>
            <w:r w:rsidR="00BC39A2" w:rsidRPr="001D3C3D">
              <w:rPr>
                <w:rFonts w:ascii="Times New Roman" w:eastAsia="Calibri" w:hAnsi="Times New Roman" w:cs="Times New Roman"/>
                <w:color w:val="000000"/>
                <w:lang w:eastAsia="ar-SA"/>
              </w:rPr>
              <w:t>,</w:t>
            </w:r>
            <w:r w:rsidRPr="001D3C3D">
              <w:rPr>
                <w:rFonts w:ascii="Times New Roman" w:eastAsia="Calibri" w:hAnsi="Times New Roman" w:cs="Times New Roman"/>
                <w:color w:val="000000"/>
                <w:lang w:eastAsia="ar-SA"/>
              </w:rPr>
              <w:t>5</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w:t>
            </w:r>
          </w:p>
          <w:p w14:paraId="1FA9F0D7" w14:textId="77777777"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ir (arba)</w:t>
            </w:r>
          </w:p>
          <w:p w14:paraId="55893BB9" w14:textId="77777777" w:rsidR="00ED7DC3" w:rsidRPr="001D3C3D" w:rsidRDefault="00ED7DC3" w:rsidP="00ED7DC3">
            <w:pPr>
              <w:widowControl w:val="0"/>
              <w:suppressAutoHyphens/>
              <w:spacing w:after="0" w:line="240" w:lineRule="auto"/>
              <w:rPr>
                <w:rFonts w:ascii="Times New Roman" w:eastAsia="Calibri" w:hAnsi="Times New Roman" w:cs="Times New Roman"/>
                <w:color w:val="000000"/>
                <w:spacing w:val="-6"/>
                <w:lang w:eastAsia="ar-SA"/>
              </w:rPr>
            </w:pPr>
            <w:r w:rsidRPr="001D3C3D">
              <w:rPr>
                <w:rFonts w:ascii="Times New Roman" w:eastAsia="Calibri" w:hAnsi="Times New Roman" w:cs="Times New Roman"/>
                <w:color w:val="000000"/>
                <w:lang w:eastAsia="ar-SA"/>
              </w:rPr>
              <w:t>trombocitų</w:t>
            </w:r>
          </w:p>
          <w:p w14:paraId="0CC51D53" w14:textId="592A4513"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spacing w:val="-6"/>
                <w:lang w:eastAsia="ar-SA"/>
              </w:rPr>
              <w:t xml:space="preserve"> </w:t>
            </w:r>
            <w:r w:rsidRPr="001D3C3D">
              <w:rPr>
                <w:rFonts w:ascii="Times New Roman" w:eastAsia="Calibri" w:hAnsi="Times New Roman" w:cs="Times New Roman"/>
                <w:color w:val="000000"/>
                <w:lang w:eastAsia="ar-SA"/>
              </w:rPr>
              <w:t>&lt;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50</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w:t>
            </w:r>
            <w:r w:rsidRPr="001D3C3D">
              <w:rPr>
                <w:rFonts w:ascii="Times New Roman" w:eastAsia="Calibri" w:hAnsi="Times New Roman" w:cs="Times New Roman"/>
                <w:color w:val="000000"/>
                <w:spacing w:val="-1"/>
                <w:lang w:eastAsia="ar-SA"/>
              </w:rPr>
              <w:t>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w:t>
            </w:r>
          </w:p>
        </w:tc>
        <w:tc>
          <w:tcPr>
            <w:tcW w:w="4947" w:type="dxa"/>
            <w:tcBorders>
              <w:top w:val="single" w:sz="4" w:space="0" w:color="000000"/>
              <w:left w:val="single" w:sz="4" w:space="0" w:color="000000"/>
              <w:bottom w:val="single" w:sz="4" w:space="0" w:color="000000"/>
              <w:right w:val="single" w:sz="4" w:space="0" w:color="000000"/>
            </w:tcBorders>
            <w:shd w:val="clear" w:color="auto" w:fill="FFFFFF"/>
          </w:tcPr>
          <w:p w14:paraId="0102A8F6" w14:textId="52DC21AC" w:rsidR="00ED7DC3" w:rsidRPr="001D3C3D" w:rsidRDefault="00ED7DC3" w:rsidP="00ED7DC3">
            <w:pPr>
              <w:widowControl w:val="0"/>
              <w:suppressAutoHyphens/>
              <w:spacing w:after="0" w:line="249" w:lineRule="exact"/>
              <w:ind w:left="307" w:right="-23" w:hanging="284"/>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 Nutraukti vaistinio preparato vartojimą, kol ANS* taps ≥</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 o trombocitų skaičius ≥</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50</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w:t>
            </w:r>
          </w:p>
          <w:p w14:paraId="5E18947F" w14:textId="77777777" w:rsidR="00ED7DC3" w:rsidRPr="001D3C3D" w:rsidRDefault="00ED7DC3" w:rsidP="00ED7DC3">
            <w:pPr>
              <w:widowControl w:val="0"/>
              <w:suppressAutoHyphens/>
              <w:spacing w:after="0" w:line="249" w:lineRule="exact"/>
              <w:ind w:left="303" w:right="-23"/>
              <w:rPr>
                <w:rFonts w:ascii="Times New Roman" w:eastAsia="Calibri" w:hAnsi="Times New Roman" w:cs="Times New Roman"/>
                <w:color w:val="000000"/>
                <w:lang w:eastAsia="ar-SA"/>
              </w:rPr>
            </w:pPr>
          </w:p>
          <w:p w14:paraId="7005AFA4" w14:textId="77777777" w:rsidR="00ED7DC3" w:rsidRPr="001D3C3D" w:rsidRDefault="00ED7DC3" w:rsidP="00ED7DC3">
            <w:pPr>
              <w:widowControl w:val="0"/>
              <w:suppressAutoHyphens/>
              <w:spacing w:after="0" w:line="249" w:lineRule="exact"/>
              <w:ind w:left="284" w:right="-23" w:hanging="284"/>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 Vėliau gydymą tęsti tokia pačia doze kaip pirmoji pradinė.</w:t>
            </w:r>
          </w:p>
          <w:p w14:paraId="25301446" w14:textId="77777777" w:rsidR="00ED7DC3" w:rsidRPr="001D3C3D" w:rsidRDefault="00ED7DC3" w:rsidP="00ED7DC3">
            <w:pPr>
              <w:widowControl w:val="0"/>
              <w:suppressAutoHyphens/>
              <w:spacing w:after="0" w:line="249" w:lineRule="exact"/>
              <w:ind w:left="303" w:right="-23" w:hanging="303"/>
              <w:rPr>
                <w:rFonts w:ascii="Times New Roman" w:eastAsia="Calibri" w:hAnsi="Times New Roman" w:cs="Times New Roman"/>
                <w:color w:val="000000"/>
                <w:lang w:eastAsia="ar-SA"/>
              </w:rPr>
            </w:pPr>
          </w:p>
          <w:p w14:paraId="40869846" w14:textId="1462E386" w:rsidR="00ED7DC3" w:rsidRPr="001D3C3D" w:rsidRDefault="00ED7DC3" w:rsidP="00ED7DC3">
            <w:pPr>
              <w:widowControl w:val="0"/>
              <w:suppressAutoHyphens/>
              <w:spacing w:after="0" w:line="249" w:lineRule="exact"/>
              <w:ind w:left="284" w:right="-23" w:hanging="284"/>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 Jeigu trombocitų &lt;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25</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 ir (arba) ANS pakartotinai &lt;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0,5</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 ilgiau kaip 7</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paras, kartoti pirmą žingsnį ir po antrojo epizodo gydymą tęsti mažesne doze (80 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w:t>
            </w:r>
          </w:p>
          <w:p w14:paraId="068C7CEA" w14:textId="30BF40BB" w:rsidR="00ED7DC3" w:rsidRPr="001D3C3D" w:rsidRDefault="00ED7DC3" w:rsidP="00ED7DC3">
            <w:pPr>
              <w:widowControl w:val="0"/>
              <w:suppressAutoHyphens/>
              <w:spacing w:after="0" w:line="254" w:lineRule="exact"/>
              <w:ind w:left="305" w:right="-23"/>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Po trečiojo epizodo naujai diagnozuotos ligos gydymą tęsti dar mažesne doze (50 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o jeigu liga buvo atspari ankstesniam gydymui (įskaitant gydymą imatinibo mesilatu) arba pacientas jo netoleravo – vartojimą nutraukti.</w:t>
            </w:r>
          </w:p>
          <w:p w14:paraId="56A0DB6C" w14:textId="77777777" w:rsidR="00ED7DC3" w:rsidRPr="001D3C3D" w:rsidRDefault="00ED7DC3" w:rsidP="00ED7DC3">
            <w:pPr>
              <w:widowControl w:val="0"/>
              <w:suppressAutoHyphens/>
              <w:spacing w:after="0" w:line="254" w:lineRule="exact"/>
              <w:ind w:left="305" w:right="-23"/>
              <w:rPr>
                <w:rFonts w:ascii="Times New Roman" w:eastAsia="Calibri" w:hAnsi="Times New Roman" w:cs="Times New Roman"/>
                <w:color w:val="000000"/>
                <w:lang w:eastAsia="ar-SA"/>
              </w:rPr>
            </w:pPr>
          </w:p>
        </w:tc>
      </w:tr>
      <w:tr w:rsidR="00ED7DC3" w:rsidRPr="001D3C3D" w14:paraId="70AFD82E" w14:textId="77777777" w:rsidTr="0036275F">
        <w:tc>
          <w:tcPr>
            <w:tcW w:w="2206" w:type="dxa"/>
            <w:tcBorders>
              <w:top w:val="single" w:sz="4" w:space="0" w:color="000000"/>
              <w:left w:val="single" w:sz="4" w:space="0" w:color="000000"/>
              <w:bottom w:val="single" w:sz="4" w:space="0" w:color="000000"/>
            </w:tcBorders>
            <w:shd w:val="clear" w:color="auto" w:fill="FFFFFF"/>
            <w:vAlign w:val="center"/>
          </w:tcPr>
          <w:p w14:paraId="70B02E44" w14:textId="77777777"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LML akceleracijos ir blastų fazė bei Ph+ ŪLL suaugusiesiems (pradinė dozė – 140 mg 1 kartą per parą)</w:t>
            </w:r>
          </w:p>
        </w:tc>
        <w:tc>
          <w:tcPr>
            <w:tcW w:w="1890" w:type="dxa"/>
            <w:tcBorders>
              <w:top w:val="single" w:sz="4" w:space="0" w:color="000000"/>
              <w:left w:val="single" w:sz="4" w:space="0" w:color="000000"/>
              <w:bottom w:val="single" w:sz="4" w:space="0" w:color="000000"/>
            </w:tcBorders>
            <w:shd w:val="clear" w:color="auto" w:fill="FFFFFF"/>
            <w:vAlign w:val="center"/>
          </w:tcPr>
          <w:p w14:paraId="31EBEBB4" w14:textId="2311A11B"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ANS &lt;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w:t>
            </w:r>
            <w:r w:rsidR="002D5BBC" w:rsidRPr="001D3C3D">
              <w:rPr>
                <w:rFonts w:ascii="Times New Roman" w:eastAsia="Calibri" w:hAnsi="Times New Roman" w:cs="Times New Roman"/>
                <w:color w:val="000000"/>
                <w:lang w:eastAsia="ar-SA"/>
              </w:rPr>
              <w:t>,</w:t>
            </w:r>
            <w:r w:rsidRPr="001D3C3D">
              <w:rPr>
                <w:rFonts w:ascii="Times New Roman" w:eastAsia="Calibri" w:hAnsi="Times New Roman" w:cs="Times New Roman"/>
                <w:color w:val="000000"/>
                <w:lang w:eastAsia="ar-SA"/>
              </w:rPr>
              <w:t>5</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w:t>
            </w:r>
          </w:p>
          <w:p w14:paraId="42BE1BC0" w14:textId="0266E33A"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ir (arba) trombocitų</w:t>
            </w:r>
            <w:r w:rsidRPr="001D3C3D">
              <w:rPr>
                <w:rFonts w:ascii="Times New Roman" w:eastAsia="Calibri" w:hAnsi="Times New Roman" w:cs="Times New Roman"/>
                <w:color w:val="000000"/>
                <w:lang w:eastAsia="ar-SA"/>
              </w:rPr>
              <w:br/>
              <w:t xml:space="preserve"> &lt;</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w:t>
            </w:r>
          </w:p>
        </w:tc>
        <w:tc>
          <w:tcPr>
            <w:tcW w:w="4947" w:type="dxa"/>
            <w:tcBorders>
              <w:top w:val="single" w:sz="4" w:space="0" w:color="000000"/>
              <w:left w:val="single" w:sz="4" w:space="0" w:color="000000"/>
              <w:bottom w:val="single" w:sz="4" w:space="0" w:color="000000"/>
              <w:right w:val="single" w:sz="4" w:space="0" w:color="000000"/>
            </w:tcBorders>
            <w:shd w:val="clear" w:color="auto" w:fill="FFFFFF"/>
          </w:tcPr>
          <w:p w14:paraId="123B79E8" w14:textId="77777777" w:rsidR="00ED7DC3" w:rsidRPr="001D3C3D" w:rsidRDefault="00ED7DC3" w:rsidP="00ED7DC3">
            <w:pPr>
              <w:widowControl w:val="0"/>
              <w:suppressAutoHyphens/>
              <w:spacing w:after="0" w:line="254" w:lineRule="exact"/>
              <w:ind w:left="308" w:right="-23" w:hanging="308"/>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 Ištirti, ar citopenija susijusi su leukemija (kaulų čiulpų aspiracija arba biopsija).</w:t>
            </w:r>
          </w:p>
          <w:p w14:paraId="0EC07501" w14:textId="77777777" w:rsidR="00ED7DC3" w:rsidRPr="001D3C3D" w:rsidRDefault="00ED7DC3" w:rsidP="00ED7DC3">
            <w:pPr>
              <w:widowControl w:val="0"/>
              <w:suppressAutoHyphens/>
              <w:spacing w:after="0" w:line="254" w:lineRule="exact"/>
              <w:ind w:left="308" w:right="-23" w:hanging="308"/>
              <w:rPr>
                <w:rFonts w:ascii="Times New Roman" w:eastAsia="Calibri" w:hAnsi="Times New Roman" w:cs="Times New Roman"/>
                <w:color w:val="000000"/>
                <w:lang w:eastAsia="ar-SA"/>
              </w:rPr>
            </w:pPr>
          </w:p>
          <w:p w14:paraId="085551ED" w14:textId="1C001FB2" w:rsidR="00ED7DC3" w:rsidRPr="001D3C3D" w:rsidRDefault="00ED7DC3" w:rsidP="00ED7DC3">
            <w:pPr>
              <w:widowControl w:val="0"/>
              <w:suppressAutoHyphens/>
              <w:spacing w:after="0" w:line="254" w:lineRule="exact"/>
              <w:ind w:left="308" w:right="-23" w:hanging="308"/>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 Jei citopenija nesusijusi su leukemija, nutraukti vaistinio preparato vartojimą, kol ANS taps ≥</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 o trombocitų skaičius ≥</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20</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x</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10</w:t>
            </w:r>
            <w:r w:rsidRPr="001D3C3D">
              <w:rPr>
                <w:rFonts w:ascii="Times New Roman" w:eastAsia="Calibri" w:hAnsi="Times New Roman" w:cs="Times New Roman"/>
                <w:color w:val="000000"/>
                <w:vertAlign w:val="superscript"/>
                <w:lang w:eastAsia="ar-SA"/>
              </w:rPr>
              <w:t>9</w:t>
            </w:r>
            <w:r w:rsidRPr="001D3C3D">
              <w:rPr>
                <w:rFonts w:ascii="Times New Roman" w:eastAsia="Calibri" w:hAnsi="Times New Roman" w:cs="Times New Roman"/>
                <w:color w:val="000000"/>
                <w:lang w:eastAsia="ar-SA"/>
              </w:rPr>
              <w:t>/l. Vėliau gydymą tęsti tokia pačia doze kaip pirmoji pradinė.</w:t>
            </w:r>
          </w:p>
          <w:p w14:paraId="4C34AB2B" w14:textId="77777777" w:rsidR="00ED7DC3" w:rsidRPr="001D3C3D" w:rsidRDefault="00ED7DC3" w:rsidP="00ED7DC3">
            <w:pPr>
              <w:widowControl w:val="0"/>
              <w:suppressAutoHyphens/>
              <w:spacing w:after="0" w:line="254" w:lineRule="exact"/>
              <w:ind w:right="-23"/>
              <w:rPr>
                <w:rFonts w:ascii="Times New Roman" w:eastAsia="Calibri" w:hAnsi="Times New Roman" w:cs="Times New Roman"/>
                <w:color w:val="000000"/>
                <w:lang w:eastAsia="ar-SA"/>
              </w:rPr>
            </w:pPr>
          </w:p>
          <w:p w14:paraId="1B9761B2" w14:textId="071F50C9" w:rsidR="00ED7DC3" w:rsidRPr="001D3C3D" w:rsidRDefault="00ED7DC3" w:rsidP="00ED7DC3">
            <w:pPr>
              <w:widowControl w:val="0"/>
              <w:suppressAutoHyphens/>
              <w:spacing w:after="0" w:line="254" w:lineRule="exact"/>
              <w:ind w:left="308" w:right="-23" w:hanging="308"/>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 Citopenijai atsinaujinus, kartoti pirmąjį žingsnį. Vėliau gydymą tęsti mažesnė doze: 100 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(antras epizodas) arba 80 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(trečias epizodas).</w:t>
            </w:r>
          </w:p>
          <w:p w14:paraId="198BB1AC" w14:textId="77777777" w:rsidR="00ED7DC3" w:rsidRPr="001D3C3D" w:rsidRDefault="00ED7DC3" w:rsidP="00ED7DC3">
            <w:pPr>
              <w:widowControl w:val="0"/>
              <w:suppressAutoHyphens/>
              <w:spacing w:after="0" w:line="254" w:lineRule="exact"/>
              <w:ind w:right="-23"/>
              <w:rPr>
                <w:rFonts w:ascii="Times New Roman" w:eastAsia="Calibri" w:hAnsi="Times New Roman" w:cs="Times New Roman"/>
                <w:color w:val="000000"/>
                <w:lang w:eastAsia="ar-SA"/>
              </w:rPr>
            </w:pPr>
          </w:p>
          <w:p w14:paraId="1F2BDC51" w14:textId="576ADFA6" w:rsidR="00ED7DC3" w:rsidRPr="001D3C3D" w:rsidRDefault="00ED7DC3" w:rsidP="00ED7DC3">
            <w:pPr>
              <w:widowControl w:val="0"/>
              <w:suppressAutoHyphens/>
              <w:spacing w:after="0" w:line="254" w:lineRule="exact"/>
              <w:ind w:left="308" w:right="-23" w:hanging="308"/>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4. Jei citopenija susijusi su leukemija, svarstytinas dozės didinimas iki 180 mg 1</w:t>
            </w:r>
            <w:r w:rsidR="006B692D">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w:t>
            </w:r>
          </w:p>
        </w:tc>
      </w:tr>
    </w:tbl>
    <w:p w14:paraId="250544DD"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ANS - absoliutus neutrofilų skaičius</w:t>
      </w:r>
    </w:p>
    <w:p w14:paraId="562F9858"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7AF43B70" w14:textId="7B456DBD" w:rsidR="00ED7DC3" w:rsidRPr="001D3C3D" w:rsidRDefault="00ED7DC3" w:rsidP="00B92E23">
      <w:pPr>
        <w:keepNext/>
        <w:suppressAutoHyphens/>
        <w:spacing w:after="0" w:line="240" w:lineRule="auto"/>
        <w:ind w:left="970" w:hanging="970"/>
        <w:rPr>
          <w:rFonts w:ascii="Times New Roman" w:eastAsia="Times New Roman" w:hAnsi="Times New Roman" w:cs="Times New Roman"/>
          <w:i/>
          <w:color w:val="000000"/>
          <w:lang w:eastAsia="ar-SA"/>
        </w:rPr>
      </w:pPr>
      <w:r w:rsidRPr="001D3C3D">
        <w:rPr>
          <w:rFonts w:ascii="Times New Roman" w:eastAsia="Calibri" w:hAnsi="Times New Roman" w:cs="Times New Roman"/>
          <w:b/>
          <w:bCs/>
          <w:color w:val="000000"/>
          <w:lang w:eastAsia="ar-SA"/>
        </w:rPr>
        <w:lastRenderedPageBreak/>
        <w:t>4</w:t>
      </w:r>
      <w:r w:rsidR="00F676D0">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 xml:space="preserve">lentelė. Dozės koregavimas dėl neutropenijos ir trombocitopenijos vaikų populiacijos pacientams, sergantiems Ph+ LML LF </w:t>
      </w:r>
    </w:p>
    <w:tbl>
      <w:tblPr>
        <w:tblW w:w="0" w:type="auto"/>
        <w:tblInd w:w="117" w:type="dxa"/>
        <w:tblLayout w:type="fixed"/>
        <w:tblLook w:val="0000" w:firstRow="0" w:lastRow="0" w:firstColumn="0" w:lastColumn="0" w:noHBand="0" w:noVBand="0"/>
      </w:tblPr>
      <w:tblGrid>
        <w:gridCol w:w="2181"/>
        <w:gridCol w:w="2319"/>
        <w:gridCol w:w="2319"/>
        <w:gridCol w:w="2360"/>
      </w:tblGrid>
      <w:tr w:rsidR="00ED7DC3" w:rsidRPr="001D3C3D" w14:paraId="3AFA4CD4" w14:textId="77777777" w:rsidTr="0036275F">
        <w:tc>
          <w:tcPr>
            <w:tcW w:w="2181" w:type="dxa"/>
            <w:vMerge w:val="restart"/>
            <w:tcBorders>
              <w:top w:val="single" w:sz="4" w:space="0" w:color="000000"/>
              <w:left w:val="single" w:sz="4" w:space="0" w:color="000000"/>
              <w:bottom w:val="single" w:sz="4" w:space="0" w:color="000000"/>
            </w:tcBorders>
            <w:shd w:val="clear" w:color="auto" w:fill="auto"/>
          </w:tcPr>
          <w:p w14:paraId="06991EDE" w14:textId="318FF860"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1. Citopenijai išlikus ilgiau kaip 3</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 xml:space="preserve">savaites, reikia patikrinti, ar ji susijusi su leukemija (atlikti kaulų čiulpų aspiraciją arba biopsiją). </w:t>
            </w:r>
          </w:p>
          <w:p w14:paraId="3B41E2C5"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p>
          <w:p w14:paraId="69A57B47" w14:textId="7A4420E9" w:rsidR="00ED7DC3" w:rsidRPr="001D3C3D" w:rsidRDefault="00ED7DC3" w:rsidP="00ED7DC3">
            <w:pPr>
              <w:widowControl w:val="0"/>
              <w:suppressAutoHyphens/>
              <w:spacing w:after="0" w:line="240" w:lineRule="auto"/>
              <w:rPr>
                <w:rFonts w:ascii="Times New Roman" w:eastAsia="Times New Roman" w:hAnsi="Times New Roman" w:cs="Times New Roman"/>
                <w:i/>
                <w:color w:val="000000"/>
                <w:lang w:eastAsia="ar-SA"/>
              </w:rPr>
            </w:pPr>
            <w:r w:rsidRPr="001D3C3D">
              <w:rPr>
                <w:rFonts w:ascii="Times New Roman" w:eastAsia="Times New Roman" w:hAnsi="Times New Roman" w:cs="Times New Roman"/>
                <w:i/>
                <w:color w:val="000000"/>
                <w:lang w:eastAsia="ar-SA"/>
              </w:rPr>
              <w:t>2. Jei citopenija nesusijusi su leukemija, reikia nutraukti vaistinio preparato vartojimą, kol ANS taps ≥</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1</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x</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10</w:t>
            </w:r>
            <w:r w:rsidRPr="001D3C3D">
              <w:rPr>
                <w:rFonts w:ascii="Times New Roman" w:eastAsia="Times New Roman" w:hAnsi="Times New Roman" w:cs="Times New Roman"/>
                <w:i/>
                <w:color w:val="000000"/>
                <w:vertAlign w:val="superscript"/>
                <w:lang w:eastAsia="ar-SA"/>
              </w:rPr>
              <w:t>9</w:t>
            </w:r>
            <w:r w:rsidRPr="001D3C3D">
              <w:rPr>
                <w:rFonts w:ascii="Times New Roman" w:eastAsia="Times New Roman" w:hAnsi="Times New Roman" w:cs="Times New Roman"/>
                <w:i/>
                <w:color w:val="000000"/>
                <w:lang w:eastAsia="ar-SA"/>
              </w:rPr>
              <w:t xml:space="preserve"> /l ir trombocitų ≥</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75</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x</w:t>
            </w:r>
            <w:r w:rsidR="006B692D">
              <w:rPr>
                <w:rFonts w:ascii="Times New Roman" w:eastAsia="Times New Roman" w:hAnsi="Times New Roman" w:cs="Times New Roman"/>
                <w:i/>
                <w:color w:val="000000"/>
                <w:lang w:eastAsia="ar-SA"/>
              </w:rPr>
              <w:t> </w:t>
            </w:r>
            <w:r w:rsidRPr="001D3C3D">
              <w:rPr>
                <w:rFonts w:ascii="Times New Roman" w:eastAsia="Times New Roman" w:hAnsi="Times New Roman" w:cs="Times New Roman"/>
                <w:i/>
                <w:color w:val="000000"/>
                <w:lang w:eastAsia="ar-SA"/>
              </w:rPr>
              <w:t>10</w:t>
            </w:r>
            <w:r w:rsidRPr="001D3C3D">
              <w:rPr>
                <w:rFonts w:ascii="Times New Roman" w:eastAsia="Times New Roman" w:hAnsi="Times New Roman" w:cs="Times New Roman"/>
                <w:i/>
                <w:color w:val="000000"/>
                <w:vertAlign w:val="superscript"/>
                <w:lang w:eastAsia="ar-SA"/>
              </w:rPr>
              <w:t>9</w:t>
            </w:r>
            <w:r w:rsidRPr="001D3C3D">
              <w:rPr>
                <w:rFonts w:ascii="Times New Roman" w:eastAsia="Times New Roman" w:hAnsi="Times New Roman" w:cs="Times New Roman"/>
                <w:i/>
                <w:color w:val="000000"/>
                <w:lang w:eastAsia="ar-SA"/>
              </w:rPr>
              <w:t xml:space="preserve"> /l, o vėliau atnaujinti gydymą tokia kaip pradinė arba sumažinta doze. </w:t>
            </w:r>
          </w:p>
          <w:p w14:paraId="0C773939" w14:textId="77777777" w:rsidR="00ED7DC3" w:rsidRPr="001D3C3D" w:rsidRDefault="00ED7DC3" w:rsidP="00ED7DC3">
            <w:pPr>
              <w:widowControl w:val="0"/>
              <w:suppressAutoHyphens/>
              <w:spacing w:after="0" w:line="240" w:lineRule="auto"/>
              <w:rPr>
                <w:rFonts w:ascii="Times New Roman" w:eastAsia="Times New Roman" w:hAnsi="Times New Roman" w:cs="Times New Roman"/>
                <w:i/>
                <w:color w:val="000000"/>
                <w:lang w:eastAsia="ar-SA"/>
              </w:rPr>
            </w:pPr>
          </w:p>
          <w:p w14:paraId="54DAFECC" w14:textId="77777777" w:rsidR="00ED7DC3" w:rsidRPr="001D3C3D" w:rsidRDefault="00ED7DC3" w:rsidP="00ED7DC3">
            <w:pPr>
              <w:widowControl w:val="0"/>
              <w:suppressAutoHyphens/>
              <w:spacing w:after="0" w:line="240" w:lineRule="auto"/>
              <w:rPr>
                <w:rFonts w:ascii="Times New Roman" w:eastAsia="Times New Roman" w:hAnsi="Times New Roman" w:cs="Times New Roman"/>
                <w:b/>
                <w:color w:val="000000"/>
                <w:lang w:eastAsia="ar-SA"/>
              </w:rPr>
            </w:pPr>
            <w:r w:rsidRPr="001D3C3D">
              <w:rPr>
                <w:rFonts w:ascii="Times New Roman" w:eastAsia="Times New Roman" w:hAnsi="Times New Roman" w:cs="Times New Roman"/>
                <w:i/>
                <w:color w:val="000000"/>
                <w:lang w:eastAsia="ar-SA"/>
              </w:rPr>
              <w:t>3. Citopenijai atsinaujinus reikia pakartoti kaulų čiulpų aspiraciją ar biopsiją ir atnaujinti gydymą sumažinta doze.</w:t>
            </w:r>
          </w:p>
        </w:tc>
        <w:tc>
          <w:tcPr>
            <w:tcW w:w="6998" w:type="dxa"/>
            <w:gridSpan w:val="3"/>
            <w:tcBorders>
              <w:top w:val="single" w:sz="4" w:space="0" w:color="000000"/>
              <w:left w:val="single" w:sz="4" w:space="0" w:color="000000"/>
              <w:right w:val="single" w:sz="4" w:space="0" w:color="000000"/>
            </w:tcBorders>
            <w:shd w:val="clear" w:color="auto" w:fill="auto"/>
          </w:tcPr>
          <w:p w14:paraId="706DAFB3"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Dosė (didžiausia dozė per parą)</w:t>
            </w:r>
          </w:p>
        </w:tc>
      </w:tr>
      <w:tr w:rsidR="00ED7DC3" w:rsidRPr="001D3C3D" w14:paraId="05837FA6" w14:textId="77777777" w:rsidTr="0036275F">
        <w:tc>
          <w:tcPr>
            <w:tcW w:w="2181" w:type="dxa"/>
            <w:vMerge/>
            <w:tcBorders>
              <w:top w:val="single" w:sz="4" w:space="0" w:color="000000"/>
              <w:left w:val="single" w:sz="4" w:space="0" w:color="000000"/>
              <w:bottom w:val="single" w:sz="4" w:space="0" w:color="000000"/>
            </w:tcBorders>
            <w:shd w:val="clear" w:color="auto" w:fill="auto"/>
          </w:tcPr>
          <w:p w14:paraId="2F6242F3"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2319" w:type="dxa"/>
            <w:tcBorders>
              <w:left w:val="single" w:sz="4" w:space="0" w:color="000000"/>
            </w:tcBorders>
            <w:shd w:val="clear" w:color="auto" w:fill="auto"/>
          </w:tcPr>
          <w:p w14:paraId="67AF2743" w14:textId="77777777" w:rsidR="00ED7DC3" w:rsidRPr="001D3C3D" w:rsidRDefault="00ED7DC3" w:rsidP="00ED7DC3">
            <w:pPr>
              <w:widowControl w:val="0"/>
              <w:suppressAutoHyphens/>
              <w:spacing w:after="0" w:line="240" w:lineRule="auto"/>
              <w:rPr>
                <w:rFonts w:ascii="Times New Roman" w:eastAsia="Times New Roman" w:hAnsi="Times New Roman" w:cs="Times New Roman"/>
                <w:i/>
                <w:color w:val="000000"/>
                <w:lang w:eastAsia="ar-SA"/>
              </w:rPr>
            </w:pPr>
            <w:r w:rsidRPr="001D3C3D">
              <w:rPr>
                <w:rFonts w:ascii="Times New Roman" w:eastAsia="Times New Roman" w:hAnsi="Times New Roman" w:cs="Times New Roman"/>
                <w:i/>
                <w:color w:val="000000"/>
                <w:lang w:eastAsia="ar-SA"/>
              </w:rPr>
              <w:t>Pradinė dozė</w:t>
            </w:r>
          </w:p>
        </w:tc>
        <w:tc>
          <w:tcPr>
            <w:tcW w:w="2319" w:type="dxa"/>
            <w:shd w:val="clear" w:color="auto" w:fill="auto"/>
          </w:tcPr>
          <w:p w14:paraId="45821E04" w14:textId="77777777" w:rsidR="00ED7DC3" w:rsidRPr="001D3C3D" w:rsidRDefault="00ED7DC3" w:rsidP="00ED7DC3">
            <w:pPr>
              <w:widowControl w:val="0"/>
              <w:suppressAutoHyphens/>
              <w:spacing w:after="0" w:line="240" w:lineRule="auto"/>
              <w:rPr>
                <w:rFonts w:ascii="Times New Roman" w:eastAsia="Times New Roman" w:hAnsi="Times New Roman" w:cs="Times New Roman"/>
                <w:i/>
                <w:color w:val="000000"/>
                <w:lang w:eastAsia="ar-SA"/>
              </w:rPr>
            </w:pPr>
            <w:r w:rsidRPr="001D3C3D">
              <w:rPr>
                <w:rFonts w:ascii="Times New Roman" w:eastAsia="Times New Roman" w:hAnsi="Times New Roman" w:cs="Times New Roman"/>
                <w:i/>
                <w:color w:val="000000"/>
                <w:lang w:eastAsia="ar-SA"/>
              </w:rPr>
              <w:t>Vieną kartą sumažinta dozė</w:t>
            </w:r>
          </w:p>
        </w:tc>
        <w:tc>
          <w:tcPr>
            <w:tcW w:w="2360" w:type="dxa"/>
            <w:tcBorders>
              <w:right w:val="single" w:sz="4" w:space="0" w:color="000000"/>
            </w:tcBorders>
            <w:shd w:val="clear" w:color="auto" w:fill="auto"/>
          </w:tcPr>
          <w:p w14:paraId="2BC64FC7" w14:textId="77777777" w:rsidR="00ED7DC3" w:rsidRPr="001D3C3D" w:rsidRDefault="00ED7DC3" w:rsidP="00ED7DC3">
            <w:pPr>
              <w:widowControl w:val="0"/>
              <w:suppressAutoHyphens/>
              <w:spacing w:after="0" w:line="240" w:lineRule="auto"/>
              <w:rPr>
                <w:rFonts w:ascii="Times New Roman" w:eastAsia="Times New Roman" w:hAnsi="Times New Roman" w:cs="Times New Roman"/>
                <w:i/>
                <w:color w:val="000000"/>
                <w:lang w:eastAsia="ar-SA"/>
              </w:rPr>
            </w:pPr>
            <w:r w:rsidRPr="001D3C3D">
              <w:rPr>
                <w:rFonts w:ascii="Times New Roman" w:eastAsia="Times New Roman" w:hAnsi="Times New Roman" w:cs="Times New Roman"/>
                <w:i/>
                <w:color w:val="000000"/>
                <w:lang w:eastAsia="ar-SA"/>
              </w:rPr>
              <w:t>Du kartus sumažinta dozė</w:t>
            </w:r>
          </w:p>
          <w:p w14:paraId="71EF5457" w14:textId="77777777" w:rsidR="00ED7DC3" w:rsidRPr="001D3C3D" w:rsidRDefault="00ED7DC3" w:rsidP="00ED7DC3">
            <w:pPr>
              <w:widowControl w:val="0"/>
              <w:suppressAutoHyphens/>
              <w:spacing w:after="0" w:line="240" w:lineRule="auto"/>
              <w:ind w:firstLine="720"/>
              <w:rPr>
                <w:rFonts w:ascii="Times New Roman" w:eastAsia="Times New Roman" w:hAnsi="Times New Roman" w:cs="Times New Roman"/>
                <w:i/>
                <w:color w:val="000000"/>
                <w:lang w:eastAsia="ar-SA"/>
              </w:rPr>
            </w:pPr>
          </w:p>
        </w:tc>
      </w:tr>
      <w:tr w:rsidR="00ED7DC3" w:rsidRPr="001D3C3D" w14:paraId="1FBE8B10" w14:textId="77777777" w:rsidTr="0036275F">
        <w:tc>
          <w:tcPr>
            <w:tcW w:w="2181" w:type="dxa"/>
            <w:vMerge/>
            <w:tcBorders>
              <w:top w:val="single" w:sz="4" w:space="0" w:color="000000"/>
              <w:left w:val="single" w:sz="4" w:space="0" w:color="000000"/>
              <w:bottom w:val="single" w:sz="4" w:space="0" w:color="000000"/>
            </w:tcBorders>
            <w:shd w:val="clear" w:color="auto" w:fill="auto"/>
          </w:tcPr>
          <w:p w14:paraId="20C4C877"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2319" w:type="dxa"/>
            <w:tcBorders>
              <w:left w:val="single" w:sz="4" w:space="0" w:color="000000"/>
            </w:tcBorders>
            <w:shd w:val="clear" w:color="auto" w:fill="auto"/>
          </w:tcPr>
          <w:p w14:paraId="384B49CF" w14:textId="22AF969D"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19" w:type="dxa"/>
            <w:shd w:val="clear" w:color="auto" w:fill="auto"/>
          </w:tcPr>
          <w:p w14:paraId="3B5B561A" w14:textId="4531DB47"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mg </w:t>
            </w:r>
          </w:p>
        </w:tc>
        <w:tc>
          <w:tcPr>
            <w:tcW w:w="2360" w:type="dxa"/>
            <w:tcBorders>
              <w:right w:val="single" w:sz="4" w:space="0" w:color="000000"/>
            </w:tcBorders>
            <w:shd w:val="clear" w:color="auto" w:fill="auto"/>
          </w:tcPr>
          <w:p w14:paraId="3A02FD5C"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w:t>
            </w:r>
          </w:p>
        </w:tc>
      </w:tr>
      <w:tr w:rsidR="00ED7DC3" w:rsidRPr="001D3C3D" w14:paraId="703149E2" w14:textId="77777777" w:rsidTr="0036275F">
        <w:tc>
          <w:tcPr>
            <w:tcW w:w="2181" w:type="dxa"/>
            <w:vMerge/>
            <w:tcBorders>
              <w:top w:val="single" w:sz="4" w:space="0" w:color="000000"/>
              <w:left w:val="single" w:sz="4" w:space="0" w:color="000000"/>
              <w:bottom w:val="single" w:sz="4" w:space="0" w:color="000000"/>
            </w:tcBorders>
            <w:shd w:val="clear" w:color="auto" w:fill="auto"/>
          </w:tcPr>
          <w:p w14:paraId="6BE9BA14"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2319" w:type="dxa"/>
            <w:tcBorders>
              <w:left w:val="single" w:sz="4" w:space="0" w:color="000000"/>
            </w:tcBorders>
            <w:shd w:val="clear" w:color="auto" w:fill="auto"/>
          </w:tcPr>
          <w:p w14:paraId="0094863C" w14:textId="24B60F42"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19" w:type="dxa"/>
            <w:shd w:val="clear" w:color="auto" w:fill="auto"/>
          </w:tcPr>
          <w:p w14:paraId="5CEE4DBD" w14:textId="77740FFE"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60" w:type="dxa"/>
            <w:tcBorders>
              <w:right w:val="single" w:sz="4" w:space="0" w:color="000000"/>
            </w:tcBorders>
            <w:shd w:val="clear" w:color="auto" w:fill="auto"/>
          </w:tcPr>
          <w:p w14:paraId="3D29305E" w14:textId="3A968C3E"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20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0DFAD509" w14:textId="77777777" w:rsidTr="0036275F">
        <w:tc>
          <w:tcPr>
            <w:tcW w:w="2181" w:type="dxa"/>
            <w:vMerge/>
            <w:tcBorders>
              <w:top w:val="single" w:sz="4" w:space="0" w:color="000000"/>
              <w:left w:val="single" w:sz="4" w:space="0" w:color="000000"/>
              <w:bottom w:val="single" w:sz="4" w:space="0" w:color="000000"/>
            </w:tcBorders>
            <w:shd w:val="clear" w:color="auto" w:fill="auto"/>
          </w:tcPr>
          <w:p w14:paraId="2DEC44BC"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2319" w:type="dxa"/>
            <w:tcBorders>
              <w:left w:val="single" w:sz="4" w:space="0" w:color="000000"/>
            </w:tcBorders>
            <w:shd w:val="clear" w:color="auto" w:fill="auto"/>
          </w:tcPr>
          <w:p w14:paraId="5C15ADD9" w14:textId="3C8F01DD"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19" w:type="dxa"/>
            <w:shd w:val="clear" w:color="auto" w:fill="auto"/>
          </w:tcPr>
          <w:p w14:paraId="46BB3799" w14:textId="55473EDF"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60" w:type="dxa"/>
            <w:tcBorders>
              <w:right w:val="single" w:sz="4" w:space="0" w:color="000000"/>
            </w:tcBorders>
            <w:shd w:val="clear" w:color="auto" w:fill="auto"/>
          </w:tcPr>
          <w:p w14:paraId="1750B34A" w14:textId="2943C4B5"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50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60F6F95F" w14:textId="77777777" w:rsidTr="0036275F">
        <w:trPr>
          <w:trHeight w:val="465"/>
        </w:trPr>
        <w:tc>
          <w:tcPr>
            <w:tcW w:w="2181" w:type="dxa"/>
            <w:vMerge/>
            <w:tcBorders>
              <w:top w:val="single" w:sz="4" w:space="0" w:color="000000"/>
              <w:left w:val="single" w:sz="4" w:space="0" w:color="000000"/>
              <w:bottom w:val="single" w:sz="4" w:space="0" w:color="000000"/>
            </w:tcBorders>
            <w:shd w:val="clear" w:color="auto" w:fill="auto"/>
          </w:tcPr>
          <w:p w14:paraId="6ACB61C1"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2319" w:type="dxa"/>
            <w:tcBorders>
              <w:left w:val="single" w:sz="4" w:space="0" w:color="000000"/>
            </w:tcBorders>
            <w:shd w:val="clear" w:color="auto" w:fill="auto"/>
          </w:tcPr>
          <w:p w14:paraId="17721EC1" w14:textId="27DE2979"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100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19" w:type="dxa"/>
            <w:shd w:val="clear" w:color="auto" w:fill="auto"/>
          </w:tcPr>
          <w:p w14:paraId="10128C7C" w14:textId="10E9D902"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c>
          <w:tcPr>
            <w:tcW w:w="2360" w:type="dxa"/>
            <w:tcBorders>
              <w:right w:val="single" w:sz="4" w:space="0" w:color="000000"/>
            </w:tcBorders>
            <w:shd w:val="clear" w:color="auto" w:fill="auto"/>
          </w:tcPr>
          <w:p w14:paraId="32A437A1" w14:textId="7636D13A"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70</w:t>
            </w:r>
            <w:r w:rsidR="00B32F6E">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w:t>
            </w:r>
          </w:p>
        </w:tc>
      </w:tr>
      <w:tr w:rsidR="00ED7DC3" w:rsidRPr="001D3C3D" w14:paraId="00FE9145" w14:textId="77777777" w:rsidTr="0036275F">
        <w:trPr>
          <w:trHeight w:val="797"/>
        </w:trPr>
        <w:tc>
          <w:tcPr>
            <w:tcW w:w="2181" w:type="dxa"/>
            <w:vMerge/>
            <w:tcBorders>
              <w:top w:val="single" w:sz="4" w:space="0" w:color="000000"/>
              <w:left w:val="single" w:sz="4" w:space="0" w:color="000000"/>
              <w:bottom w:val="single" w:sz="4" w:space="0" w:color="000000"/>
            </w:tcBorders>
            <w:shd w:val="clear" w:color="auto" w:fill="auto"/>
          </w:tcPr>
          <w:p w14:paraId="7DC9A233"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6998" w:type="dxa"/>
            <w:gridSpan w:val="3"/>
            <w:tcBorders>
              <w:left w:val="single" w:sz="4" w:space="0" w:color="000000"/>
              <w:bottom w:val="single" w:sz="4" w:space="0" w:color="000000"/>
              <w:right w:val="single" w:sz="4" w:space="0" w:color="000000"/>
            </w:tcBorders>
            <w:shd w:val="clear" w:color="auto" w:fill="auto"/>
          </w:tcPr>
          <w:p w14:paraId="3B6085EC"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r>
    </w:tbl>
    <w:p w14:paraId="4117B213" w14:textId="77777777" w:rsidR="00ED7DC3" w:rsidRPr="00B92E23"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lang w:eastAsia="ar-SA"/>
        </w:rPr>
        <w:t>ANS – absoliutus neutrofilų skaičius.</w:t>
      </w:r>
    </w:p>
    <w:p w14:paraId="45174A9C" w14:textId="77777777" w:rsidR="00ED7DC3" w:rsidRPr="00B92E23"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lang w:eastAsia="ar-SA"/>
        </w:rPr>
        <w:t xml:space="preserve">*Mažesnio stiprumo tablečių nėra. </w:t>
      </w:r>
    </w:p>
    <w:p w14:paraId="29962175" w14:textId="77777777" w:rsidR="00ED7DC3" w:rsidRPr="00B92E23" w:rsidRDefault="00ED7DC3" w:rsidP="00ED7DC3">
      <w:pPr>
        <w:suppressAutoHyphens/>
        <w:spacing w:after="0" w:line="240" w:lineRule="auto"/>
        <w:rPr>
          <w:rFonts w:ascii="Times New Roman" w:eastAsia="Calibri" w:hAnsi="Times New Roman" w:cs="Times New Roman"/>
          <w:color w:val="000000"/>
          <w:lang w:eastAsia="ar-SA"/>
        </w:rPr>
      </w:pPr>
    </w:p>
    <w:p w14:paraId="7F8E56B9" w14:textId="76E24ABD" w:rsidR="00ED7DC3" w:rsidRPr="00B92E23"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lang w:eastAsia="ar-SA"/>
        </w:rPr>
        <w:t>Jeigu vaikų populiacijos pacientui, sergančiam Ph+ LML LF, atsinaujintų ≥</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3</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 xml:space="preserve">laipsnio neutropenija arba trombocitopenija esant visiškam hematologiniam atsakui (angl. </w:t>
      </w:r>
      <w:r w:rsidRPr="00B92E23">
        <w:rPr>
          <w:rFonts w:ascii="Times New Roman" w:eastAsia="Calibri" w:hAnsi="Times New Roman" w:cs="Times New Roman"/>
          <w:i/>
          <w:iCs/>
          <w:color w:val="000000"/>
          <w:lang w:eastAsia="ar-SA"/>
        </w:rPr>
        <w:t>complete hematologic response, CHR</w:t>
      </w:r>
      <w:r w:rsidRPr="00B92E23">
        <w:rPr>
          <w:rFonts w:ascii="Times New Roman" w:eastAsia="Calibri" w:hAnsi="Times New Roman" w:cs="Times New Roman"/>
          <w:color w:val="000000"/>
          <w:lang w:eastAsia="ar-SA"/>
        </w:rPr>
        <w:t xml:space="preserve">), dazatinibo vartojimą reikia laikinai nutraukti, o vėliau galima atnaujinti sumažinta doze. Prireikus dozė laikinai sumažinama atsižvelgiant į citopeniją (jei ji vidutinio laipsnio) ir ligos reakciją. </w:t>
      </w:r>
    </w:p>
    <w:p w14:paraId="12A1F384" w14:textId="77777777" w:rsidR="00ED7DC3" w:rsidRPr="00B92E23" w:rsidRDefault="00ED7DC3" w:rsidP="00ED7DC3">
      <w:pPr>
        <w:suppressAutoHyphens/>
        <w:spacing w:after="0" w:line="240" w:lineRule="auto"/>
        <w:rPr>
          <w:rFonts w:ascii="Times New Roman" w:eastAsia="Calibri" w:hAnsi="Times New Roman" w:cs="Times New Roman"/>
          <w:color w:val="000000"/>
          <w:lang w:eastAsia="ar-SA"/>
        </w:rPr>
      </w:pPr>
    </w:p>
    <w:p w14:paraId="6A07CF9D" w14:textId="7AA4BC60" w:rsidR="00ED7DC3" w:rsidRPr="00B92E23" w:rsidRDefault="00ED7DC3" w:rsidP="00ED7DC3">
      <w:pPr>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color w:val="000000"/>
          <w:lang w:eastAsia="ar-SA"/>
        </w:rPr>
        <w:t>Vaikų populiacijos pacientams, sergantiems Ph+ ŪLL, dėl 1</w:t>
      </w:r>
      <w:r w:rsidR="00FF7C8A">
        <w:rPr>
          <w:rFonts w:ascii="Times New Roman" w:eastAsia="Calibri" w:hAnsi="Times New Roman" w:cs="Times New Roman"/>
          <w:color w:val="000000"/>
          <w:lang w:eastAsia="ar-SA"/>
        </w:rPr>
        <w:noBreakHyphen/>
      </w:r>
      <w:r w:rsidRPr="00B92E23">
        <w:rPr>
          <w:rFonts w:ascii="Times New Roman" w:eastAsia="Calibri" w:hAnsi="Times New Roman" w:cs="Times New Roman"/>
          <w:color w:val="000000"/>
          <w:lang w:eastAsia="ar-SA"/>
        </w:rPr>
        <w:t>4</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laipsnio hematotoksinio poveikio dozės koreguoti nerekomenduojama. Jeigu dėl neutropenijos ir (arba) trombocitopenijos tenka atidėti kitą gydymo kursą daugiau kaip 14</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dienų, dazatinibo vartojimą reikia laikinai nutraukti, o pradedant vėlesnį gydymo kursą – vėl atnaujinti ta pačia doze. Jeigu neutropenija ir (arba) trombocitopenija išlieka, o kitas gydymo kursas atidedamas dar 7</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dienoms, reikia ištirti kaulų čiulpus (kokią dalį juose sudaro ląstelės ir blastų procentas). Jeigu ląstelių yra &lt;</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10</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 gydymą dazatinibu reikia laikinai nutraukti, kol ANS taps &gt;</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500/μL (0,5</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x</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10</w:t>
      </w:r>
      <w:r w:rsidRPr="00B92E23">
        <w:rPr>
          <w:rFonts w:ascii="Times New Roman" w:eastAsia="Calibri" w:hAnsi="Times New Roman" w:cs="Times New Roman"/>
          <w:color w:val="000000"/>
          <w:vertAlign w:val="superscript"/>
          <w:lang w:eastAsia="ar-SA"/>
        </w:rPr>
        <w:t>9</w:t>
      </w:r>
      <w:r w:rsidR="00FF7C8A">
        <w:rPr>
          <w:rFonts w:ascii="Times New Roman" w:eastAsia="Calibri" w:hAnsi="Times New Roman" w:cs="Times New Roman"/>
          <w:color w:val="000000"/>
          <w:vertAlign w:val="superscript"/>
          <w:lang w:eastAsia="ar-SA"/>
        </w:rPr>
        <w:t> </w:t>
      </w:r>
      <w:r w:rsidRPr="00B92E23">
        <w:rPr>
          <w:rFonts w:ascii="Times New Roman" w:eastAsia="Calibri" w:hAnsi="Times New Roman" w:cs="Times New Roman"/>
          <w:color w:val="000000"/>
          <w:lang w:eastAsia="ar-SA"/>
        </w:rPr>
        <w:t>/l), o tuomet galima jį tęsti ta pačia doze. Galimybę vėl pradėti gydymą dazatinibu galima svarstyti tada, kai ląstelės sudaro &gt;</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10</w:t>
      </w:r>
      <w:r w:rsidR="00FF7C8A">
        <w:rPr>
          <w:rFonts w:ascii="Times New Roman" w:eastAsia="Calibri" w:hAnsi="Times New Roman" w:cs="Times New Roman"/>
          <w:color w:val="000000"/>
          <w:lang w:eastAsia="ar-SA"/>
        </w:rPr>
        <w:t> </w:t>
      </w:r>
      <w:r w:rsidRPr="00B92E23">
        <w:rPr>
          <w:rFonts w:ascii="Times New Roman" w:eastAsia="Calibri" w:hAnsi="Times New Roman" w:cs="Times New Roman"/>
          <w:color w:val="000000"/>
          <w:lang w:eastAsia="ar-SA"/>
        </w:rPr>
        <w:t xml:space="preserve">% kaulų čiulpų. </w:t>
      </w:r>
    </w:p>
    <w:p w14:paraId="48B4B0DF" w14:textId="77777777" w:rsidR="00ED7DC3" w:rsidRPr="00B92E23" w:rsidRDefault="00ED7DC3" w:rsidP="00ED7DC3">
      <w:pPr>
        <w:suppressAutoHyphens/>
        <w:spacing w:after="0" w:line="240" w:lineRule="auto"/>
        <w:rPr>
          <w:rFonts w:ascii="Times New Roman" w:eastAsia="Calibri" w:hAnsi="Times New Roman" w:cs="Times New Roman"/>
          <w:i/>
          <w:iCs/>
          <w:color w:val="000000"/>
          <w:lang w:eastAsia="ar-SA"/>
        </w:rPr>
      </w:pPr>
    </w:p>
    <w:p w14:paraId="56F237FF"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u w:val="single"/>
          <w:lang w:eastAsia="ar-SA"/>
        </w:rPr>
        <w:t>Nehematologinės nepageidaujamos reakcijos</w:t>
      </w:r>
    </w:p>
    <w:p w14:paraId="255B1B70" w14:textId="50C22D98"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Dazatinibo vartojimo metu pasireiškus vidutinio sunkumo (2</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laipsnio) nehematologinei nepageidaujamai reakcijai, šio vaistinio preparato vartojimą reikia laikinai nutraukti, kol nepageidaujama reakcija praeis arba būklė pasidarys tokia kaip iki gydymo. Vėliau po pirmojo nepageidaujamos reakcijos epizodo gydymą reikia tęsti tokia pačia doze, o po pasikartojusio epizodo – sumažinta doze. Dazatinibo vartojimo metu pasireiškus sunkiai (3 ar 4 laipsnio) nehematologinei nepageidaujamai reakcijai, šio vaistinio preparato reikia neduoti, kol ji praeis. Vėliau gydymą galima tęsti, tačiau sumažinus dozę atsižvelgiant į pradinį nepageidaujamos reakcijos sunkumą. Lėtinės fazės LML sergantiems pacientams, kurie vartojo 100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rekomenduojama sumažinti dozę iki 80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o paskui prireikus –</w:t>
      </w:r>
      <w:r w:rsidR="004420B6" w:rsidRPr="001D3C3D">
        <w:rPr>
          <w:rFonts w:ascii="Times New Roman" w:eastAsia="Calibri" w:hAnsi="Times New Roman" w:cs="Times New Roman"/>
          <w:color w:val="000000"/>
          <w:lang w:eastAsia="ar-SA"/>
        </w:rPr>
        <w:t xml:space="preserve"> </w:t>
      </w:r>
      <w:r w:rsidRPr="001D3C3D">
        <w:rPr>
          <w:rFonts w:ascii="Times New Roman" w:eastAsia="Calibri" w:hAnsi="Times New Roman" w:cs="Times New Roman"/>
          <w:color w:val="000000"/>
          <w:lang w:eastAsia="ar-SA"/>
        </w:rPr>
        <w:t>nuo 80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iki 50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kartą per parą. </w:t>
      </w:r>
      <w:r w:rsidRPr="001D3C3D">
        <w:rPr>
          <w:rFonts w:ascii="Times New Roman" w:eastAsia="Calibri" w:hAnsi="Times New Roman" w:cs="Times New Roman"/>
          <w:color w:val="000000"/>
          <w:lang w:eastAsia="ar-SA"/>
        </w:rPr>
        <w:lastRenderedPageBreak/>
        <w:t>Progresavusios fazės LML arba Ph+ ŪLL sergantiems pacientams, kurie vartojo 140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dozę rekomenduojama sumažinti iki 100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o paskui prireikus – nuo 100 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kartą per parą iki</w:t>
      </w:r>
      <w:r w:rsidR="00FF7C8A">
        <w:rPr>
          <w:rFonts w:ascii="Times New Roman" w:eastAsia="Calibri" w:hAnsi="Times New Roman" w:cs="Times New Roman"/>
          <w:color w:val="000000"/>
          <w:lang w:eastAsia="ar-SA"/>
        </w:rPr>
        <w:t xml:space="preserve"> </w:t>
      </w:r>
      <w:r w:rsidRPr="001D3C3D">
        <w:rPr>
          <w:rFonts w:ascii="Times New Roman" w:eastAsia="Calibri" w:hAnsi="Times New Roman" w:cs="Times New Roman"/>
          <w:color w:val="000000"/>
          <w:lang w:eastAsia="ar-SA"/>
        </w:rPr>
        <w:t>50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1</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kartą per parą. </w:t>
      </w:r>
      <w:r w:rsidRPr="001D3C3D">
        <w:rPr>
          <w:rFonts w:ascii="Times New Roman" w:eastAsia="Times New Roman" w:hAnsi="Times New Roman" w:cs="Times New Roman"/>
          <w:color w:val="000000"/>
          <w:lang w:eastAsia="ar-SA"/>
        </w:rPr>
        <w:t xml:space="preserve">Jeigu LML LF sergančiam </w:t>
      </w:r>
      <w:r w:rsidRPr="001D3C3D">
        <w:rPr>
          <w:rFonts w:ascii="Times New Roman" w:eastAsia="Calibri" w:hAnsi="Times New Roman" w:cs="Times New Roman"/>
          <w:color w:val="000000"/>
          <w:lang w:eastAsia="ar-SA"/>
        </w:rPr>
        <w:t>vaikų populiacijos</w:t>
      </w:r>
      <w:r w:rsidRPr="001D3C3D">
        <w:rPr>
          <w:rFonts w:ascii="Times New Roman" w:eastAsia="Times New Roman" w:hAnsi="Times New Roman" w:cs="Times New Roman"/>
          <w:color w:val="000000"/>
          <w:lang w:eastAsia="ar-SA"/>
        </w:rPr>
        <w:t xml:space="preserve"> pacientui pasireiškė nehematologinė nepageidaujama reakcija, tai reikia laikytis aukščiau pateiktų dozės mažinimo dėl hematologinių nepageidaujamų reakcijų rekomendacijų. Ph+ ŪLL sergantiems </w:t>
      </w:r>
      <w:r w:rsidRPr="001D3C3D">
        <w:rPr>
          <w:rFonts w:ascii="Times New Roman" w:eastAsia="Calibri" w:hAnsi="Times New Roman" w:cs="Times New Roman"/>
          <w:color w:val="000000"/>
          <w:lang w:eastAsia="ar-SA"/>
        </w:rPr>
        <w:t>vaikų populiacijos</w:t>
      </w:r>
      <w:r w:rsidRPr="001D3C3D">
        <w:rPr>
          <w:rFonts w:ascii="Times New Roman" w:eastAsia="Times New Roman" w:hAnsi="Times New Roman" w:cs="Times New Roman"/>
          <w:color w:val="000000"/>
          <w:lang w:eastAsia="ar-SA"/>
        </w:rPr>
        <w:t xml:space="preserve"> pacientams pasireiškus nehematologinių nepageidaujamų reakcijų, prireikus galima sumažinti dozę vienu laipteliu remiantis aukščiau pateikiamomis dozės mažinimo dėl hematologinių nepageidaujamų reakcijų rekomendacijomis.</w:t>
      </w:r>
    </w:p>
    <w:p w14:paraId="33385D72"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1465BC61"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lang w:eastAsia="ar-SA"/>
        </w:rPr>
        <w:t>Skystis pleuros ertmėje</w:t>
      </w:r>
    </w:p>
    <w:p w14:paraId="1DF8802D" w14:textId="186F594C"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color w:val="000000"/>
          <w:lang w:eastAsia="ar-SA"/>
        </w:rPr>
        <w:t>Diagnozavus skystį pleuros ertmėje, reikia laikinai nutraukti dazatinibo vartojimą, kol pacientas bus tiriamas, išnyks simptomai arba būklė taps tokia, kaip iki gydymo. Jeigu per maždaug vieną savaitę paciento būklė nepagerėja, svarstytinas gydymo diuretikais arba (ir) kortikosteroidais tikslingumas (žr.</w:t>
      </w:r>
      <w:r w:rsidR="006115E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4.4 ir 4.8</w:t>
      </w:r>
      <w:r w:rsidR="006115E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skyrius). Praėjus pirmajam epizodui, svarstytina galimybė vėl skirti tokią pačią dazatinibo dozę. Praėjus pasikartojusiam epizodui, skiriama vienu lygiu mažesnė dazatinibo dozė. Praėjus sunkiam (3 ar 4 laipsnio) epizodui, esant reikalui gydymą galima tęsti mažesne doze atsižvelgiant į iš pradžių buvusį nepageidaujamos reakcijos sunkumą.</w:t>
      </w:r>
    </w:p>
    <w:p w14:paraId="6159F4E5"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p>
    <w:p w14:paraId="5314D805"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lang w:eastAsia="ar-SA"/>
        </w:rPr>
        <w:t xml:space="preserve">Dozės mažinimas derinyje vartojant stipraus poveikio CYP3A4 inhibitorių </w:t>
      </w:r>
    </w:p>
    <w:p w14:paraId="61B0280F" w14:textId="1A276DFE"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Būtina vengti stipraus poveikio CYP3A4 inhibitorių ir greipfrutų sulčių vartoti derinyje su dazatinibu (žr</w:t>
      </w:r>
      <w:r w:rsidR="006115E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4.5</w:t>
      </w:r>
      <w:r w:rsidR="006115E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skyrių). Jei įmanoma, pasirenkamas kitas vaistinis preparatas, kuris fermentų neslopina arba slopina juos minimaliai. Jeigu dazatinibo būtina vartoti derinyje su stipraus poveikio CYP3A4 inhibitoriumi, reikia apsvarstyti poreikį sumažinti dozę: </w:t>
      </w:r>
    </w:p>
    <w:p w14:paraId="3DFDA509" w14:textId="4D3EA43A" w:rsidR="00ED7DC3" w:rsidRPr="001D3C3D" w:rsidRDefault="00ED7DC3" w:rsidP="00ED7DC3">
      <w:pPr>
        <w:numPr>
          <w:ilvl w:val="0"/>
          <w:numId w:val="16"/>
        </w:num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pacientams, kasdien vartojantiems vieną 140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tabletę – iki 40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per parą;</w:t>
      </w:r>
    </w:p>
    <w:p w14:paraId="46B11F17" w14:textId="4AC82AC6" w:rsidR="00ED7DC3" w:rsidRPr="001D3C3D" w:rsidRDefault="00ED7DC3" w:rsidP="00ED7DC3">
      <w:pPr>
        <w:numPr>
          <w:ilvl w:val="0"/>
          <w:numId w:val="16"/>
        </w:num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pacientams, kasdien vartojantiems vieną 100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tabletę – iki 20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per parą;</w:t>
      </w:r>
    </w:p>
    <w:p w14:paraId="14028083" w14:textId="7581154B" w:rsidR="00ED7DC3" w:rsidRPr="001D3C3D" w:rsidRDefault="00ED7DC3" w:rsidP="00ED7DC3">
      <w:pPr>
        <w:numPr>
          <w:ilvl w:val="0"/>
          <w:numId w:val="16"/>
        </w:num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pacientams, kasdien vartojantiems vieną 70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tabletę – iki 20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mg per parą. </w:t>
      </w:r>
    </w:p>
    <w:p w14:paraId="3F08DC2F"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51F3D290" w14:textId="4D07AB61"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Jeigu pacientas vartoja 60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mg arba 40</w:t>
      </w:r>
      <w:r w:rsidR="00FF7C8A">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mg dazatinibo per parą, būtina įvertinti poreikį laikinai (gydymo CYP3A4 inhibitoriumi laikotarpiui) nutraukti Dasatinib Sandoz vartojimą arba sumažinti jo dozę. Baigus vartoti CYP3A4 inhibitoriaus, reikia palaukti maždaug savaitę, kol pasibaigs fermentų slopinimas, ir tik tada vėl pradėti vartoti dazatinibo. </w:t>
      </w:r>
    </w:p>
    <w:p w14:paraId="11E1AFD6"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1A237033"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color w:val="000000"/>
          <w:lang w:eastAsia="ar-SA"/>
        </w:rPr>
        <w:t xml:space="preserve">Šios sumažintos dazatinibo dozės apskaičiuotos taip, kad plotas po kreive (AUC) būtų tokiose ribose kaip CYP3A4 inhibitorių nevartojant. Vis dėlto klinikinių duomenų apie tokį dozės koregavimo pacientams, derinyje vartojantiems stipraus poveikio CYP3A4 inhibitorių, nėra. Jei pacientas netoleruoja sumažintos dazatinibo dozės, tai reikia nutraukti gydymą CYP3A4 inhibitoriumi arba gydymo juo laikotarpiu nevartoti dazatinibo. Baigus vartoti CYP3A4 inhibitoriaus, reikia palaukti maždaug savaitę, kol pasibaigs fermentų slopinimas, ir tik tada padidinti Dasatinib Sandoz dozę. </w:t>
      </w:r>
    </w:p>
    <w:p w14:paraId="5C9404A1"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6B55F594" w14:textId="77777777" w:rsidR="00ED7DC3" w:rsidRPr="001D3C3D" w:rsidRDefault="00ED7DC3" w:rsidP="0086689D">
      <w:pPr>
        <w:suppressAutoHyphens/>
        <w:spacing w:after="0" w:line="240" w:lineRule="auto"/>
        <w:rPr>
          <w:rFonts w:ascii="Times New Roman" w:eastAsia="Calibri" w:hAnsi="Times New Roman" w:cs="Times New Roman"/>
          <w:color w:val="000000"/>
          <w:u w:val="single"/>
          <w:lang w:eastAsia="ar-SA"/>
        </w:rPr>
      </w:pPr>
      <w:r w:rsidRPr="001D3C3D">
        <w:rPr>
          <w:rFonts w:ascii="Times New Roman" w:eastAsia="Calibri" w:hAnsi="Times New Roman" w:cs="Times New Roman"/>
          <w:color w:val="000000"/>
          <w:u w:val="single"/>
          <w:lang w:eastAsia="ar-SA"/>
        </w:rPr>
        <w:t>Ypatingos populiacijos</w:t>
      </w:r>
    </w:p>
    <w:p w14:paraId="5BBB127E"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32C162FC" w14:textId="77777777" w:rsidR="00ED7DC3" w:rsidRPr="001D3C3D" w:rsidRDefault="00ED7DC3" w:rsidP="0086689D">
      <w:pPr>
        <w:suppressAutoHyphens/>
        <w:spacing w:after="0" w:line="240" w:lineRule="auto"/>
        <w:rPr>
          <w:rFonts w:ascii="Times New Roman" w:eastAsia="Calibri" w:hAnsi="Times New Roman" w:cs="Times New Roman"/>
          <w:iCs/>
          <w:color w:val="000000"/>
          <w:lang w:eastAsia="ar-SA"/>
        </w:rPr>
      </w:pPr>
      <w:r w:rsidRPr="001D3C3D">
        <w:rPr>
          <w:rFonts w:ascii="Times New Roman" w:eastAsia="Calibri" w:hAnsi="Times New Roman" w:cs="Times New Roman"/>
          <w:i/>
          <w:iCs/>
          <w:color w:val="000000"/>
          <w:u w:val="single"/>
          <w:lang w:eastAsia="ar-SA"/>
        </w:rPr>
        <w:t>Senyviems pacientams</w:t>
      </w:r>
    </w:p>
    <w:p w14:paraId="3FFF3703"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iCs/>
          <w:color w:val="000000"/>
          <w:lang w:eastAsia="ar-SA"/>
        </w:rPr>
        <w:t>Kliniškai reikšmingų su amžiumi susijusių farmakokinetikos skirtumų senyviems pacientams nenustatyta. Senyviems pacientams ypatingos dozavimo rekomendacijos nereikalingos.</w:t>
      </w:r>
    </w:p>
    <w:p w14:paraId="3CEE4349"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p>
    <w:p w14:paraId="1B980F27" w14:textId="77777777" w:rsidR="00ED7DC3" w:rsidRPr="001D3C3D" w:rsidRDefault="00ED7DC3" w:rsidP="0086689D">
      <w:pPr>
        <w:suppressAutoHyphens/>
        <w:spacing w:after="0" w:line="240" w:lineRule="auto"/>
        <w:rPr>
          <w:rFonts w:ascii="Times New Roman" w:eastAsia="Calibri" w:hAnsi="Times New Roman" w:cs="Times New Roman"/>
          <w:iCs/>
          <w:color w:val="000000"/>
          <w:lang w:eastAsia="ar-SA"/>
        </w:rPr>
      </w:pPr>
      <w:r w:rsidRPr="001D3C3D">
        <w:rPr>
          <w:rFonts w:ascii="Times New Roman" w:eastAsia="Calibri" w:hAnsi="Times New Roman" w:cs="Times New Roman"/>
          <w:i/>
          <w:iCs/>
          <w:color w:val="000000"/>
          <w:u w:val="single"/>
          <w:lang w:eastAsia="ar-SA"/>
        </w:rPr>
        <w:t xml:space="preserve">Pacientams, kurių kepenų funkcija sutrikusi </w:t>
      </w:r>
    </w:p>
    <w:p w14:paraId="338A1785" w14:textId="40630F22"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r w:rsidRPr="001D3C3D">
        <w:rPr>
          <w:rFonts w:ascii="Times New Roman" w:eastAsia="Calibri" w:hAnsi="Times New Roman" w:cs="Times New Roman"/>
          <w:iCs/>
          <w:color w:val="000000"/>
          <w:lang w:eastAsia="ar-SA"/>
        </w:rPr>
        <w:t xml:space="preserve">Pacientams, kuriems yra lengvas, vidutinio sunkumo ar sunkus kepenų funkcijos sutrikimas, galima vartoti rekomenduojamą pradinę dozę. Vis dėlto, pacientams, kurių kepenų funkcija sutrikusi, </w:t>
      </w:r>
      <w:r w:rsidRPr="001D3C3D">
        <w:rPr>
          <w:rFonts w:ascii="Times New Roman" w:eastAsia="Calibri" w:hAnsi="Times New Roman" w:cs="Times New Roman"/>
          <w:color w:val="000000"/>
          <w:lang w:eastAsia="ar-SA"/>
        </w:rPr>
        <w:t>dazatinibas</w:t>
      </w:r>
      <w:r w:rsidRPr="001D3C3D">
        <w:rPr>
          <w:rFonts w:ascii="Times New Roman" w:eastAsia="Calibri" w:hAnsi="Times New Roman" w:cs="Times New Roman"/>
          <w:iCs/>
          <w:color w:val="000000"/>
          <w:lang w:eastAsia="ar-SA"/>
        </w:rPr>
        <w:t xml:space="preserve"> turi būti skiriama atsargiai (žr.</w:t>
      </w:r>
      <w:r w:rsidR="008D29E7">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5.2</w:t>
      </w:r>
      <w:r w:rsidR="008D29E7">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skyrių).</w:t>
      </w:r>
    </w:p>
    <w:p w14:paraId="53B526AD" w14:textId="77777777" w:rsidR="00ED7DC3" w:rsidRPr="001D3C3D" w:rsidRDefault="00ED7DC3" w:rsidP="00ED7DC3">
      <w:pPr>
        <w:suppressAutoHyphens/>
        <w:spacing w:after="0" w:line="240" w:lineRule="auto"/>
        <w:rPr>
          <w:rFonts w:ascii="Times New Roman" w:eastAsia="Calibri" w:hAnsi="Times New Roman" w:cs="Times New Roman"/>
          <w:i/>
          <w:iCs/>
          <w:color w:val="000000"/>
          <w:lang w:eastAsia="ar-SA"/>
        </w:rPr>
      </w:pPr>
    </w:p>
    <w:p w14:paraId="6799A11F"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i/>
          <w:iCs/>
          <w:color w:val="000000"/>
          <w:u w:val="single"/>
          <w:lang w:eastAsia="ar-SA"/>
        </w:rPr>
        <w:t xml:space="preserve">Pacientams, kurių inkstų funkcija sutrikusi </w:t>
      </w:r>
    </w:p>
    <w:p w14:paraId="0BC72025" w14:textId="63A3428E" w:rsidR="00ED7DC3" w:rsidRPr="001D3C3D" w:rsidRDefault="00ED7DC3" w:rsidP="00ED7DC3">
      <w:pPr>
        <w:suppressAutoHyphens/>
        <w:spacing w:after="0" w:line="240" w:lineRule="auto"/>
        <w:rPr>
          <w:rFonts w:ascii="Times New Roman" w:eastAsia="Calibri" w:hAnsi="Times New Roman" w:cs="Times New Roman"/>
          <w:iCs/>
          <w:color w:val="000000"/>
          <w:lang w:eastAsia="ar-SA"/>
        </w:rPr>
      </w:pPr>
      <w:r w:rsidRPr="001D3C3D">
        <w:rPr>
          <w:rFonts w:ascii="Times New Roman" w:eastAsia="Calibri" w:hAnsi="Times New Roman" w:cs="Times New Roman"/>
          <w:color w:val="000000"/>
          <w:lang w:eastAsia="ar-SA"/>
        </w:rPr>
        <w:t>Pacientams,</w:t>
      </w:r>
      <w:r w:rsidRPr="001D3C3D">
        <w:rPr>
          <w:rFonts w:ascii="Times New Roman" w:eastAsia="Calibri" w:hAnsi="Times New Roman" w:cs="Times New Roman"/>
          <w:iCs/>
          <w:color w:val="000000"/>
          <w:lang w:eastAsia="ar-SA"/>
        </w:rPr>
        <w:t xml:space="preserve"> kurių inkstų funkcija susilpnėjusi,</w:t>
      </w:r>
      <w:r w:rsidRPr="001D3C3D">
        <w:rPr>
          <w:rFonts w:ascii="Times New Roman" w:eastAsia="Calibri" w:hAnsi="Times New Roman" w:cs="Times New Roman"/>
          <w:color w:val="000000"/>
          <w:lang w:eastAsia="ar-SA"/>
        </w:rPr>
        <w:t xml:space="preserve"> </w:t>
      </w:r>
      <w:r w:rsidRPr="001D3C3D">
        <w:rPr>
          <w:rFonts w:ascii="Times New Roman" w:eastAsia="Calibri" w:hAnsi="Times New Roman" w:cs="Times New Roman"/>
          <w:iCs/>
          <w:color w:val="000000"/>
          <w:lang w:eastAsia="ar-SA"/>
        </w:rPr>
        <w:t>klinikinių tyrimų su dazatinibu neatlikta: į naujai diagnozuotos lėtinės fazės LML tyrimą nebuvo įtraukti pacientai, kurių kraujo serume kreatinino koncentracija daugiau kaip 3</w:t>
      </w:r>
      <w:r w:rsidR="00FF7C8A">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kartus viršijo viršutinę normos ribą, o į lėtinės fazės LML, kai liga buvo atspari ankstesniam gydymui imatinibu arba pacientas jo netoleravo, tyrimus nebuvo įtraukti pacientai, kurių kraujo serume kreatinino koncentracija daugiau kaip 1,5</w:t>
      </w:r>
      <w:r w:rsidR="00FF7C8A">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 xml:space="preserve">karto viršijo viršutinę normos ribą. </w:t>
      </w:r>
      <w:r w:rsidRPr="001D3C3D">
        <w:rPr>
          <w:rFonts w:ascii="Times New Roman" w:eastAsia="Calibri" w:hAnsi="Times New Roman" w:cs="Times New Roman"/>
          <w:iCs/>
          <w:color w:val="000000"/>
          <w:lang w:eastAsia="ar-SA"/>
        </w:rPr>
        <w:lastRenderedPageBreak/>
        <w:t>Kadangi dazatinibo ir jo metabolitų inkstų klirensas yra mažesnis negu 4</w:t>
      </w:r>
      <w:r w:rsidR="00FF7C8A">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 manoma, kad pacientams, kuriems yra inkstų nepakankamumas, bendras organizmo klirensas nesumažės.</w:t>
      </w:r>
    </w:p>
    <w:p w14:paraId="7128E4E9" w14:textId="77777777" w:rsidR="00ED7DC3" w:rsidRPr="001D3C3D" w:rsidRDefault="00ED7DC3" w:rsidP="00ED7DC3">
      <w:pPr>
        <w:suppressAutoHyphens/>
        <w:spacing w:after="0" w:line="240" w:lineRule="auto"/>
        <w:rPr>
          <w:rFonts w:ascii="Times New Roman" w:eastAsia="Calibri" w:hAnsi="Times New Roman" w:cs="Times New Roman"/>
          <w:iCs/>
          <w:color w:val="000000"/>
          <w:lang w:eastAsia="ar-SA"/>
        </w:rPr>
      </w:pPr>
    </w:p>
    <w:p w14:paraId="48E2A4B2" w14:textId="77777777" w:rsidR="00ED7DC3" w:rsidRPr="001D3C3D" w:rsidRDefault="00ED7DC3" w:rsidP="0086689D">
      <w:pPr>
        <w:suppressAutoHyphens/>
        <w:spacing w:after="0" w:line="240" w:lineRule="auto"/>
        <w:rPr>
          <w:rFonts w:ascii="Times New Roman" w:eastAsia="Calibri" w:hAnsi="Times New Roman" w:cs="Times New Roman"/>
          <w:iCs/>
          <w:color w:val="000000"/>
          <w:lang w:eastAsia="ar-SA"/>
        </w:rPr>
      </w:pPr>
      <w:r w:rsidRPr="001D3C3D">
        <w:rPr>
          <w:rFonts w:ascii="Times New Roman" w:eastAsia="Calibri" w:hAnsi="Times New Roman" w:cs="Times New Roman"/>
          <w:iCs/>
          <w:color w:val="000000"/>
          <w:u w:val="single"/>
          <w:lang w:eastAsia="ar-SA"/>
        </w:rPr>
        <w:t>Vartojimo metodas</w:t>
      </w:r>
    </w:p>
    <w:p w14:paraId="39D529CA" w14:textId="77777777" w:rsidR="00ED7DC3" w:rsidRPr="001D3C3D" w:rsidRDefault="00ED7DC3" w:rsidP="00ED7DC3">
      <w:pPr>
        <w:suppressAutoHyphens/>
        <w:spacing w:after="0" w:line="240" w:lineRule="auto"/>
        <w:rPr>
          <w:rFonts w:ascii="Times New Roman" w:eastAsia="Calibri" w:hAnsi="Times New Roman" w:cs="Times New Roman"/>
          <w:iCs/>
          <w:color w:val="000000"/>
          <w:lang w:eastAsia="ar-SA"/>
        </w:rPr>
      </w:pPr>
      <w:r w:rsidRPr="001D3C3D">
        <w:rPr>
          <w:rFonts w:ascii="Times New Roman" w:eastAsia="Calibri" w:hAnsi="Times New Roman" w:cs="Times New Roman"/>
          <w:iCs/>
          <w:color w:val="000000"/>
          <w:lang w:eastAsia="ar-SA"/>
        </w:rPr>
        <w:t>Dasatinib Sandoz reikia vartoti per burną.</w:t>
      </w:r>
    </w:p>
    <w:p w14:paraId="41B0FE27" w14:textId="35D3E72D"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Calibri" w:hAnsi="Times New Roman" w:cs="Times New Roman"/>
          <w:iCs/>
          <w:color w:val="000000"/>
          <w:lang w:eastAsia="ar-SA"/>
        </w:rPr>
        <w:t xml:space="preserve">Plėvele dengtų tablečių negalima traiškyti, skaldyti ar kramtyti tam, kad išlaikyti dozavimo pastovumą ir sumažinti iki minimumo kontakto su oda riziką, jas reikia nuryti nepažeistas. </w:t>
      </w:r>
      <w:r w:rsidRPr="001D3C3D">
        <w:rPr>
          <w:rFonts w:ascii="Times New Roman" w:eastAsia="Times New Roman" w:hAnsi="Times New Roman" w:cs="Times New Roman"/>
          <w:color w:val="000000"/>
          <w:lang w:eastAsia="ar-SA"/>
        </w:rPr>
        <w:t>Plėvele dengtų tablečių negalima disperguoti, kadangi tuomet ekspozicija bus mažesnė negu jas nurijus nepažeistas. Dazatini</w:t>
      </w:r>
      <w:r w:rsidR="00D32286" w:rsidRPr="001D3C3D">
        <w:rPr>
          <w:rFonts w:ascii="Times New Roman" w:eastAsia="Times New Roman" w:hAnsi="Times New Roman" w:cs="Times New Roman"/>
          <w:color w:val="000000"/>
          <w:lang w:eastAsia="ar-SA"/>
        </w:rPr>
        <w:t>b</w:t>
      </w:r>
      <w:r w:rsidRPr="001D3C3D">
        <w:rPr>
          <w:rFonts w:ascii="Times New Roman" w:eastAsia="Times New Roman" w:hAnsi="Times New Roman" w:cs="Times New Roman"/>
          <w:color w:val="000000"/>
          <w:lang w:eastAsia="ar-SA"/>
        </w:rPr>
        <w:t xml:space="preserve">o milteliai geriamajai suspensijai gali būti tinkami Ph+ LML LF ir Ph+ ŪLL sergantiems </w:t>
      </w:r>
      <w:r w:rsidRPr="001D3C3D">
        <w:rPr>
          <w:rFonts w:ascii="Times New Roman" w:eastAsia="Calibri" w:hAnsi="Times New Roman" w:cs="Times New Roman"/>
          <w:color w:val="000000"/>
          <w:lang w:eastAsia="ar-SA"/>
        </w:rPr>
        <w:t>vaikų populiacijos pacientams</w:t>
      </w:r>
      <w:r w:rsidRPr="001D3C3D">
        <w:rPr>
          <w:rFonts w:ascii="Times New Roman" w:eastAsia="Times New Roman" w:hAnsi="Times New Roman" w:cs="Times New Roman"/>
          <w:color w:val="000000"/>
          <w:lang w:eastAsia="ar-SA"/>
        </w:rPr>
        <w:t xml:space="preserve"> bei LML LF sergantiems suaugusiesiems, kurie negali nuryti tablečių. </w:t>
      </w:r>
      <w:r w:rsidRPr="001D3C3D">
        <w:rPr>
          <w:rFonts w:ascii="Times New Roman" w:eastAsia="Calibri" w:hAnsi="Times New Roman" w:cs="Times New Roman"/>
          <w:color w:val="000000"/>
          <w:lang w:eastAsia="ar-SA"/>
        </w:rPr>
        <w:t>Dasatinib Sandoz</w:t>
      </w:r>
      <w:r w:rsidRPr="001D3C3D">
        <w:rPr>
          <w:rFonts w:ascii="Times New Roman" w:eastAsia="Calibri" w:hAnsi="Times New Roman" w:cs="Times New Roman"/>
          <w:iCs/>
          <w:color w:val="000000"/>
          <w:lang w:eastAsia="ar-SA"/>
        </w:rPr>
        <w:t xml:space="preserve"> galima vartoti valgant arba kitu laiku, visada ryte arba visada vakare</w:t>
      </w:r>
      <w:r w:rsidR="00126BE9" w:rsidRPr="001D3C3D">
        <w:rPr>
          <w:rFonts w:ascii="Times New Roman" w:eastAsia="Calibri" w:hAnsi="Times New Roman" w:cs="Times New Roman"/>
          <w:iCs/>
          <w:color w:val="000000"/>
          <w:lang w:eastAsia="ar-SA"/>
        </w:rPr>
        <w:t xml:space="preserve"> (žr.</w:t>
      </w:r>
      <w:r w:rsidR="00A91461">
        <w:rPr>
          <w:rFonts w:ascii="Times New Roman" w:eastAsia="Calibri" w:hAnsi="Times New Roman" w:cs="Times New Roman"/>
          <w:iCs/>
          <w:color w:val="000000"/>
          <w:lang w:eastAsia="ar-SA"/>
        </w:rPr>
        <w:t> </w:t>
      </w:r>
      <w:r w:rsidR="00126BE9" w:rsidRPr="001D3C3D">
        <w:rPr>
          <w:rFonts w:ascii="Times New Roman" w:eastAsia="Calibri" w:hAnsi="Times New Roman" w:cs="Times New Roman"/>
          <w:iCs/>
          <w:color w:val="000000"/>
          <w:lang w:eastAsia="ar-SA"/>
        </w:rPr>
        <w:t>5.2</w:t>
      </w:r>
      <w:r w:rsidR="00A91461">
        <w:rPr>
          <w:rFonts w:ascii="Times New Roman" w:eastAsia="Calibri" w:hAnsi="Times New Roman" w:cs="Times New Roman"/>
          <w:iCs/>
          <w:color w:val="000000"/>
          <w:lang w:eastAsia="ar-SA"/>
        </w:rPr>
        <w:t> </w:t>
      </w:r>
      <w:r w:rsidR="00126BE9" w:rsidRPr="001D3C3D">
        <w:rPr>
          <w:rFonts w:ascii="Times New Roman" w:eastAsia="Calibri" w:hAnsi="Times New Roman" w:cs="Times New Roman"/>
          <w:iCs/>
          <w:color w:val="000000"/>
          <w:lang w:eastAsia="ar-SA"/>
        </w:rPr>
        <w:t>skyrių)</w:t>
      </w:r>
      <w:r w:rsidRPr="001D3C3D">
        <w:rPr>
          <w:rFonts w:ascii="Times New Roman" w:eastAsia="Calibri" w:hAnsi="Times New Roman" w:cs="Times New Roman"/>
          <w:iCs/>
          <w:color w:val="000000"/>
          <w:lang w:eastAsia="ar-SA"/>
        </w:rPr>
        <w:t xml:space="preserve">. </w:t>
      </w:r>
      <w:r w:rsidRPr="001D3C3D">
        <w:rPr>
          <w:rFonts w:ascii="Times New Roman" w:eastAsia="Calibri" w:hAnsi="Times New Roman" w:cs="Times New Roman"/>
          <w:color w:val="000000"/>
          <w:lang w:eastAsia="ar-SA"/>
        </w:rPr>
        <w:t>Dasatinib Sandoz</w:t>
      </w:r>
      <w:r w:rsidRPr="001D3C3D">
        <w:rPr>
          <w:rFonts w:ascii="Times New Roman" w:eastAsia="Calibri" w:hAnsi="Times New Roman" w:cs="Times New Roman"/>
          <w:iCs/>
          <w:color w:val="000000"/>
          <w:lang w:eastAsia="ar-SA"/>
        </w:rPr>
        <w:t xml:space="preserve"> negalima vartoti kartu su greipfrutais arba jų sultimis (žr.</w:t>
      </w:r>
      <w:r w:rsidR="008D29E7">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4.5</w:t>
      </w:r>
      <w:r w:rsidR="008D29E7">
        <w:rPr>
          <w:rFonts w:ascii="Times New Roman" w:eastAsia="Calibri" w:hAnsi="Times New Roman" w:cs="Times New Roman"/>
          <w:iCs/>
          <w:color w:val="000000"/>
          <w:lang w:eastAsia="ar-SA"/>
        </w:rPr>
        <w:t> </w:t>
      </w:r>
      <w:r w:rsidRPr="001D3C3D">
        <w:rPr>
          <w:rFonts w:ascii="Times New Roman" w:eastAsia="Calibri" w:hAnsi="Times New Roman" w:cs="Times New Roman"/>
          <w:iCs/>
          <w:color w:val="000000"/>
          <w:lang w:eastAsia="ar-SA"/>
        </w:rPr>
        <w:t xml:space="preserve">skyrių). </w:t>
      </w:r>
    </w:p>
    <w:p w14:paraId="3E12FAD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92E717B" w14:textId="77777777" w:rsidR="00ED7DC3" w:rsidRPr="001D3C3D" w:rsidRDefault="00ED7DC3" w:rsidP="001D3C3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4.3</w:t>
      </w:r>
      <w:r w:rsidRPr="001D3C3D">
        <w:rPr>
          <w:rFonts w:ascii="Times New Roman" w:eastAsia="SimSun" w:hAnsi="Times New Roman" w:cs="Times New Roman"/>
          <w:b/>
          <w:color w:val="000000"/>
          <w:lang w:eastAsia="ar-SA"/>
        </w:rPr>
        <w:tab/>
        <w:t>Kontraindikacijos</w:t>
      </w:r>
    </w:p>
    <w:p w14:paraId="05C4784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D478B6B" w14:textId="1D5867C4"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Padidėjęs jautrumas veikliajai arba bet kuriai 6.1</w:t>
      </w:r>
      <w:r w:rsidR="008D29E7">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skyriuje nurodytai pagalbinei medžiagai.</w:t>
      </w:r>
    </w:p>
    <w:p w14:paraId="1CBC6E3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3DD5F32"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4.4</w:t>
      </w:r>
      <w:r w:rsidRPr="001D3C3D">
        <w:rPr>
          <w:rFonts w:ascii="Times New Roman" w:eastAsia="SimSun" w:hAnsi="Times New Roman" w:cs="Times New Roman"/>
          <w:b/>
          <w:color w:val="000000"/>
          <w:lang w:eastAsia="ar-SA"/>
        </w:rPr>
        <w:tab/>
        <w:t>Specialūs įspėjimai ir atsargumo priemonės</w:t>
      </w:r>
    </w:p>
    <w:p w14:paraId="5E99B683"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9FBA604"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Kliniškai reikšminga s</w:t>
      </w:r>
      <w:r w:rsidRPr="001D3C3D">
        <w:rPr>
          <w:rFonts w:ascii="Times New Roman" w:eastAsia="MS Mincho" w:hAnsi="Times New Roman" w:cs="Times New Roman"/>
          <w:color w:val="000000"/>
          <w:u w:val="single"/>
          <w:lang w:eastAsia="ar-SA"/>
        </w:rPr>
        <w:t>ą</w:t>
      </w:r>
      <w:r w:rsidRPr="001D3C3D">
        <w:rPr>
          <w:rFonts w:ascii="Times New Roman" w:eastAsia="SimSun" w:hAnsi="Times New Roman" w:cs="Times New Roman"/>
          <w:color w:val="000000"/>
          <w:u w:val="single"/>
          <w:lang w:eastAsia="ar-SA"/>
        </w:rPr>
        <w:t>veika</w:t>
      </w:r>
    </w:p>
    <w:p w14:paraId="561CCCE8" w14:textId="61529994"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Dazatinibas yra citochromo P450 (CYP) 3A4 substratas ir inhibitorius, tod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galima jo s</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veika su kartu vartojamais vaistiniais preparatais, kuriuos daugiausia metabolizuoja CYP3A4, arba kurie moduliuoja šio fermento aktyvum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4.5</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29EDB7E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FC5297E" w14:textId="611100AF"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Kartu su dazatinibu vartojant vaistini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preparat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ar kit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med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galin</w:t>
      </w:r>
      <w:r w:rsidR="001D3C3D">
        <w:rPr>
          <w:rFonts w:ascii="Times New Roman" w:eastAsia="SimSun" w:hAnsi="Times New Roman" w:cs="Times New Roman"/>
          <w:color w:val="000000"/>
          <w:lang w:eastAsia="ar-SA"/>
        </w:rPr>
        <w:t>č</w:t>
      </w:r>
      <w:r w:rsidRPr="001D3C3D">
        <w:rPr>
          <w:rFonts w:ascii="Times New Roman" w:eastAsia="SimSun" w:hAnsi="Times New Roman" w:cs="Times New Roman"/>
          <w:color w:val="000000"/>
          <w:lang w:eastAsia="ar-SA"/>
        </w:rPr>
        <w:t>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slopinti CYP3A4 (pvz., ketokonazol</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itrakonazol</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eritromicin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klaritromicin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ritonavir</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telitromicin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greipfrut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sulči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gali 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 dazatinibo ekspozicija.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to vaistini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preparat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kurie stipriai slopina CYP3A4, kartu su dazatinibu vartoti nerekomenduojama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4.5</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59D5B01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5D27DEF" w14:textId="0A45867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Kartu vartojant vaistinių preparatų, kurie indukuoja CYP3A4 (pvz., deksametazon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fenitoin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karbamazepin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rifampicin</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fenobarbital</w:t>
      </w:r>
      <w:r w:rsidRPr="001D3C3D">
        <w:rPr>
          <w:rFonts w:ascii="Times New Roman" w:eastAsia="MS Mincho" w:hAnsi="Times New Roman" w:cs="Times New Roman"/>
          <w:color w:val="000000"/>
          <w:lang w:eastAsia="ar-SA"/>
        </w:rPr>
        <w:t>io</w:t>
      </w:r>
      <w:r w:rsidRPr="001D3C3D">
        <w:rPr>
          <w:rFonts w:ascii="Times New Roman" w:eastAsia="SimSun" w:hAnsi="Times New Roman" w:cs="Times New Roman"/>
          <w:color w:val="000000"/>
          <w:lang w:eastAsia="ar-SA"/>
        </w:rPr>
        <w:t xml:space="preserve"> ar vaistažolinių preparatų, kuri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tyje yra </w:t>
      </w:r>
      <w:r w:rsidRPr="001D3C3D">
        <w:rPr>
          <w:rFonts w:ascii="Times New Roman" w:eastAsia="SimSun" w:hAnsi="Times New Roman" w:cs="Times New Roman"/>
          <w:i/>
          <w:iCs/>
          <w:color w:val="000000"/>
          <w:lang w:eastAsia="ar-SA"/>
        </w:rPr>
        <w:t>Hypericum perforatum</w:t>
      </w:r>
      <w:r w:rsidRPr="001D3C3D">
        <w:rPr>
          <w:rFonts w:ascii="Times New Roman" w:eastAsia="SimSun" w:hAnsi="Times New Roman" w:cs="Times New Roman"/>
          <w:color w:val="000000"/>
          <w:lang w:eastAsia="ar-SA"/>
        </w:rPr>
        <w:t>, taip pat žinomo kaip jona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olė), gali gerokai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ti dazatinibo ekspozicija ir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 gydymo neveiksmingumo rizika.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to vartojimui kartu su dazatinibu reikia parinkti tokių kitų vaistinių preparatų, kuri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pajėgumas indukuoti CYP3A4 yra ma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esn</w:t>
      </w:r>
      <w:r w:rsidRPr="001D3C3D">
        <w:rPr>
          <w:rFonts w:ascii="Times New Roman" w:eastAsia="MS Mincho" w:hAnsi="Times New Roman" w:cs="Times New Roman"/>
          <w:color w:val="000000"/>
          <w:lang w:eastAsia="ar-SA"/>
        </w:rPr>
        <w:t>is</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4.5</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27363083"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4EFE0A3" w14:textId="030C8D1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vartojant kartu su CYP3A4 substrat</w:t>
      </w:r>
      <w:r w:rsidRPr="001D3C3D">
        <w:rPr>
          <w:rFonts w:ascii="Times New Roman" w:eastAsia="MS Mincho" w:hAnsi="Times New Roman" w:cs="Times New Roman"/>
          <w:color w:val="000000"/>
          <w:lang w:eastAsia="ar-SA"/>
        </w:rPr>
        <w:t>u</w:t>
      </w:r>
      <w:r w:rsidRPr="001D3C3D">
        <w:rPr>
          <w:rFonts w:ascii="Times New Roman" w:eastAsia="SimSun" w:hAnsi="Times New Roman" w:cs="Times New Roman"/>
          <w:color w:val="000000"/>
          <w:lang w:eastAsia="ar-SA"/>
        </w:rPr>
        <w:t xml:space="preserve"> gali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 CYP3A4 substrat</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xml:space="preserve"> ekspozicija.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to dazatinibo vartojant kartu su CYP3A4 substratais, kuri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terapinis indeksas siauras (pvz., astemizolu, terfenadinu, cisapridu, pimozidu, chinidinu, bepridilu ar skalsi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alkaloidais [ergotaminu, dihidroergotaminu]), reikalingas atsargumas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4.5</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6189BF4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C7B0BFB" w14:textId="23120719"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vartojant kartu su histamino-2 (H</w:t>
      </w:r>
      <w:r w:rsidRPr="001D3C3D">
        <w:rPr>
          <w:rFonts w:ascii="Times New Roman" w:eastAsia="SimSun" w:hAnsi="Times New Roman" w:cs="Times New Roman"/>
          <w:color w:val="000000"/>
          <w:vertAlign w:val="subscript"/>
          <w:lang w:eastAsia="ar-SA"/>
        </w:rPr>
        <w:t>2</w:t>
      </w:r>
      <w:r w:rsidRPr="001D3C3D">
        <w:rPr>
          <w:rFonts w:ascii="Times New Roman" w:eastAsia="SimSun" w:hAnsi="Times New Roman" w:cs="Times New Roman"/>
          <w:color w:val="000000"/>
          <w:lang w:eastAsia="ar-SA"/>
        </w:rPr>
        <w:t>) antagonist</w:t>
      </w:r>
      <w:r w:rsidRPr="001D3C3D">
        <w:rPr>
          <w:rFonts w:ascii="Times New Roman" w:eastAsia="MS Mincho" w:hAnsi="Times New Roman" w:cs="Times New Roman"/>
          <w:color w:val="000000"/>
          <w:lang w:eastAsia="ar-SA"/>
        </w:rPr>
        <w:t>u</w:t>
      </w:r>
      <w:r w:rsidRPr="001D3C3D">
        <w:rPr>
          <w:rFonts w:ascii="Times New Roman" w:eastAsia="SimSun" w:hAnsi="Times New Roman" w:cs="Times New Roman"/>
          <w:color w:val="000000"/>
          <w:lang w:eastAsia="ar-SA"/>
        </w:rPr>
        <w:t xml:space="preserve"> (pvz., famotidin</w:t>
      </w:r>
      <w:r w:rsidRPr="001D3C3D">
        <w:rPr>
          <w:rFonts w:ascii="Times New Roman" w:eastAsia="MS Mincho" w:hAnsi="Times New Roman" w:cs="Times New Roman"/>
          <w:color w:val="000000"/>
          <w:lang w:eastAsia="ar-SA"/>
        </w:rPr>
        <w:t>u</w:t>
      </w:r>
      <w:r w:rsidRPr="001D3C3D">
        <w:rPr>
          <w:rFonts w:ascii="Times New Roman" w:eastAsia="SimSun" w:hAnsi="Times New Roman" w:cs="Times New Roman"/>
          <w:color w:val="000000"/>
          <w:lang w:eastAsia="ar-SA"/>
        </w:rPr>
        <w:t>), proton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siurblio inhibitoriumi (pvz., omeprazol</w:t>
      </w:r>
      <w:r w:rsidRPr="001D3C3D">
        <w:rPr>
          <w:rFonts w:ascii="Times New Roman" w:eastAsia="MS Mincho" w:hAnsi="Times New Roman" w:cs="Times New Roman"/>
          <w:color w:val="000000"/>
          <w:lang w:eastAsia="ar-SA"/>
        </w:rPr>
        <w:t>u</w:t>
      </w:r>
      <w:r w:rsidRPr="001D3C3D">
        <w:rPr>
          <w:rFonts w:ascii="Times New Roman" w:eastAsia="SimSun" w:hAnsi="Times New Roman" w:cs="Times New Roman"/>
          <w:color w:val="000000"/>
          <w:lang w:eastAsia="ar-SA"/>
        </w:rPr>
        <w:t>), aliuminio hidroksid</w:t>
      </w:r>
      <w:r w:rsidRPr="001D3C3D">
        <w:rPr>
          <w:rFonts w:ascii="Times New Roman" w:eastAsia="MS Mincho" w:hAnsi="Times New Roman" w:cs="Times New Roman"/>
          <w:color w:val="000000"/>
          <w:lang w:eastAsia="ar-SA"/>
        </w:rPr>
        <w:t>o ir</w:t>
      </w:r>
      <w:r w:rsidRPr="001D3C3D">
        <w:rPr>
          <w:rFonts w:ascii="Times New Roman" w:eastAsia="SimSun" w:hAnsi="Times New Roman" w:cs="Times New Roman"/>
          <w:color w:val="000000"/>
          <w:lang w:eastAsia="ar-SA"/>
        </w:rPr>
        <w:t xml:space="preserve"> magnio hidroksid</w:t>
      </w:r>
      <w:r w:rsidRPr="001D3C3D">
        <w:rPr>
          <w:rFonts w:ascii="Times New Roman" w:eastAsia="MS Mincho" w:hAnsi="Times New Roman" w:cs="Times New Roman"/>
          <w:color w:val="000000"/>
          <w:lang w:eastAsia="ar-SA"/>
        </w:rPr>
        <w:t>o deriniu</w:t>
      </w:r>
      <w:r w:rsidRPr="001D3C3D">
        <w:rPr>
          <w:rFonts w:ascii="Times New Roman" w:eastAsia="SimSun" w:hAnsi="Times New Roman" w:cs="Times New Roman"/>
          <w:color w:val="000000"/>
          <w:lang w:eastAsia="ar-SA"/>
        </w:rPr>
        <w:t>, gali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ti dazatinibo ekspozicija.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to H</w:t>
      </w:r>
      <w:r w:rsidRPr="001D3C3D">
        <w:rPr>
          <w:rFonts w:ascii="Times New Roman" w:eastAsia="SimSun" w:hAnsi="Times New Roman" w:cs="Times New Roman"/>
          <w:color w:val="000000"/>
          <w:vertAlign w:val="subscript"/>
          <w:lang w:eastAsia="ar-SA"/>
        </w:rPr>
        <w:t>2</w:t>
      </w:r>
      <w:r w:rsidRPr="001D3C3D">
        <w:rPr>
          <w:rFonts w:ascii="Times New Roman" w:eastAsia="SimSun" w:hAnsi="Times New Roman" w:cs="Times New Roman"/>
          <w:color w:val="000000"/>
          <w:lang w:eastAsia="ar-SA"/>
        </w:rPr>
        <w:t xml:space="preserve"> antagonist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proton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siurblio inhibitori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kartu su šiuo vaistiniu preparatu vartoti nerekomenduojama ir aliuminio hidroksido bei magnio hidroksido derinio preparat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turi būti geriama iki dazatinibo vartojimo likus ne mažiau kaip 2</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arba praėjus 2</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valandoms po jo suvartojimo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4.5</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1787A78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A33A05E"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Ypatingos populiacijos</w:t>
      </w:r>
    </w:p>
    <w:p w14:paraId="399C0F50" w14:textId="73A4B9BF"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Remiantis vienkartin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doz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farmakokinetikos tyrimo duomenimis, pacientams, kuriems yra lengvas, vidutinio sunkumo ar sunkus kepen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funkcijos sutrikimas, galima vartoti rekomenduojam</w:t>
      </w:r>
      <w:r w:rsidRPr="001D3C3D">
        <w:rPr>
          <w:rFonts w:ascii="Times New Roman" w:eastAsia="MS Mincho" w:hAnsi="Times New Roman" w:cs="Times New Roman"/>
          <w:color w:val="000000"/>
          <w:lang w:eastAsia="ar-SA"/>
        </w:rPr>
        <w:t xml:space="preserve">ą </w:t>
      </w:r>
      <w:r w:rsidRPr="001D3C3D">
        <w:rPr>
          <w:rFonts w:ascii="Times New Roman" w:eastAsia="SimSun" w:hAnsi="Times New Roman" w:cs="Times New Roman"/>
          <w:color w:val="000000"/>
          <w:lang w:eastAsia="ar-SA"/>
        </w:rPr>
        <w:t>pradin</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5.2</w:t>
      </w:r>
      <w:r w:rsidR="00A73AC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šio klinikinio tyrimo trūkumų, pacientams, kuriems yra kepen</w:t>
      </w:r>
      <w:r w:rsidRPr="001D3C3D">
        <w:rPr>
          <w:rFonts w:ascii="Times New Roman" w:eastAsia="MS Mincho" w:hAnsi="Times New Roman" w:cs="Times New Roman"/>
          <w:color w:val="000000"/>
          <w:lang w:eastAsia="ar-SA"/>
        </w:rPr>
        <w:t>ų funkcijos</w:t>
      </w:r>
      <w:r w:rsidRPr="001D3C3D">
        <w:rPr>
          <w:rFonts w:ascii="Times New Roman" w:eastAsia="SimSun" w:hAnsi="Times New Roman" w:cs="Times New Roman"/>
          <w:color w:val="000000"/>
          <w:lang w:eastAsia="ar-SA"/>
        </w:rPr>
        <w:t xml:space="preserve"> sutrikimas, skiriant dazatinibo rekomenduojama laikytis atsargumo.</w:t>
      </w:r>
    </w:p>
    <w:p w14:paraId="33044FB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7742A81" w14:textId="77777777" w:rsidR="00ED7DC3" w:rsidRPr="001D3C3D" w:rsidRDefault="00ED7DC3" w:rsidP="0086689D">
      <w:pPr>
        <w:suppressAutoHyphens/>
        <w:spacing w:after="0" w:line="240" w:lineRule="auto"/>
        <w:rPr>
          <w:rFonts w:ascii="Times New Roman" w:eastAsia="SimSun" w:hAnsi="Times New Roman" w:cs="Times New Roman"/>
          <w:i/>
          <w:iCs/>
          <w:color w:val="000000"/>
          <w:u w:val="single"/>
          <w:lang w:eastAsia="ar-SA"/>
        </w:rPr>
      </w:pPr>
      <w:r w:rsidRPr="001D3C3D">
        <w:rPr>
          <w:rFonts w:ascii="Times New Roman" w:eastAsia="SimSun" w:hAnsi="Times New Roman" w:cs="Times New Roman"/>
          <w:color w:val="000000"/>
          <w:u w:val="single"/>
          <w:lang w:eastAsia="ar-SA"/>
        </w:rPr>
        <w:t>Svarbios nepageidaujamos reakcijos</w:t>
      </w:r>
    </w:p>
    <w:p w14:paraId="4E8F61B7"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iCs/>
          <w:color w:val="000000"/>
          <w:u w:val="single"/>
          <w:lang w:eastAsia="ar-SA"/>
        </w:rPr>
        <w:t>Kaulų čiulpų slopinimas</w:t>
      </w:r>
    </w:p>
    <w:p w14:paraId="6DA494ED" w14:textId="12C90333" w:rsidR="00ED7DC3" w:rsidRPr="001D3C3D" w:rsidRDefault="00ED7DC3" w:rsidP="00ED7DC3">
      <w:pPr>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color w:val="000000"/>
          <w:lang w:eastAsia="ar-SA"/>
        </w:rPr>
        <w:lastRenderedPageBreak/>
        <w:t>Gydymas dazatinib</w:t>
      </w:r>
      <w:r w:rsidRPr="001D3C3D">
        <w:rPr>
          <w:rFonts w:ascii="Times New Roman" w:eastAsia="MS Mincho" w:hAnsi="Times New Roman" w:cs="Times New Roman"/>
          <w:color w:val="000000"/>
          <w:lang w:eastAsia="ar-SA"/>
        </w:rPr>
        <w:t>u yra susijęs su</w:t>
      </w:r>
      <w:r w:rsidRPr="001D3C3D">
        <w:rPr>
          <w:rFonts w:ascii="Times New Roman" w:eastAsia="SimSun" w:hAnsi="Times New Roman" w:cs="Times New Roman"/>
          <w:color w:val="000000"/>
          <w:lang w:eastAsia="ar-SA"/>
        </w:rPr>
        <w:t xml:space="preserve"> anemija, neutropenija ir trombocitopenija (progresavusia LML arba Ph+ </w:t>
      </w:r>
      <w:r w:rsidRPr="001D3C3D">
        <w:rPr>
          <w:rFonts w:ascii="Times New Roman" w:eastAsia="MS Mincho" w:hAnsi="Times New Roman" w:cs="Times New Roman"/>
          <w:color w:val="000000"/>
          <w:lang w:eastAsia="ar-SA"/>
        </w:rPr>
        <w:t>Ū</w:t>
      </w:r>
      <w:r w:rsidRPr="001D3C3D">
        <w:rPr>
          <w:rFonts w:ascii="Times New Roman" w:eastAsia="SimSun" w:hAnsi="Times New Roman" w:cs="Times New Roman"/>
          <w:color w:val="000000"/>
          <w:lang w:eastAsia="ar-SA"/>
        </w:rPr>
        <w:t>LL sergantiems pacientams anksčiau ir da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niau negu pacientams, kuriems yra lėtinė LML fazė). Suaugusiesiems pacientams, kuriems yra progresavusi LML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arba Ph+ </w:t>
      </w:r>
      <w:r w:rsidRPr="001D3C3D">
        <w:rPr>
          <w:rFonts w:ascii="Times New Roman" w:eastAsia="MS Mincho" w:hAnsi="Times New Roman" w:cs="Times New Roman"/>
          <w:color w:val="000000"/>
          <w:lang w:eastAsia="ar-SA"/>
        </w:rPr>
        <w:t>Ū</w:t>
      </w:r>
      <w:r w:rsidRPr="001D3C3D">
        <w:rPr>
          <w:rFonts w:ascii="Times New Roman" w:eastAsia="SimSun" w:hAnsi="Times New Roman" w:cs="Times New Roman"/>
          <w:color w:val="000000"/>
          <w:lang w:eastAsia="ar-SA"/>
        </w:rPr>
        <w:t>LL, taikant monoterapiją dazatinibu bendrą kraujo tyrimą (BKT) reikia atlikti kas savait</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pirmuosius 2</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nesius, 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liau kas 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nes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ar pagal klinikin</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poreik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Suaugusiesiems ir vaikų populiacijos pacientams, kuriems yra LML 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bendrą kraujo tyrimą pirm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sias 12</w:t>
      </w:r>
      <w:r w:rsidR="00623997">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 reikia atlikti kas 2</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savaites, paskui – kas 3</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nesius ar pagal klinikin</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poreik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Ph+ ŪLL sergantiems vaikų populiacijos pacientams, gydomiems dazatinibo ir chemoterapijos deriniu, visų kraujo ląstelių skaičių reikia tirti prieš kiekvieną chemoterapijos kursą ir pagal klinikinį poreikį. Konsoliduojamosios chemoterapijos kursų metu visų kraujo ląstelių skaičių reikia tirti kas 2</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dienas, kol jis sunormalės (žr.</w:t>
      </w:r>
      <w:r w:rsidR="005A48D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 ir 4.8</w:t>
      </w:r>
      <w:r w:rsidR="00623997">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skyrius). </w:t>
      </w:r>
      <w:r w:rsidRPr="001D3C3D">
        <w:rPr>
          <w:rFonts w:ascii="Times New Roman" w:eastAsia="SimSun" w:hAnsi="Times New Roman" w:cs="Times New Roman"/>
          <w:iCs/>
          <w:color w:val="000000"/>
          <w:lang w:eastAsia="ar-SA"/>
        </w:rPr>
        <w:t>Kaulų čiulpų funkcijos susilpnėjimas paprastai būna laikinas ir dažniausiai praeina laikinai nutraukus dazatinibo vartojimą arba sumažinus jo dozę.</w:t>
      </w:r>
    </w:p>
    <w:p w14:paraId="5DF23411" w14:textId="77777777" w:rsidR="00ED7DC3" w:rsidRPr="001D3C3D" w:rsidRDefault="00ED7DC3" w:rsidP="00ED7DC3">
      <w:pPr>
        <w:suppressAutoHyphens/>
        <w:spacing w:after="0" w:line="240" w:lineRule="auto"/>
        <w:rPr>
          <w:rFonts w:ascii="Times New Roman" w:eastAsia="SimSun" w:hAnsi="Times New Roman" w:cs="Times New Roman"/>
          <w:i/>
          <w:iCs/>
          <w:color w:val="000000"/>
          <w:lang w:eastAsia="ar-SA"/>
        </w:rPr>
      </w:pPr>
    </w:p>
    <w:p w14:paraId="2FC466A4"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iCs/>
          <w:color w:val="000000"/>
          <w:u w:val="single"/>
          <w:lang w:eastAsia="ar-SA"/>
        </w:rPr>
        <w:t>Kraujavimas</w:t>
      </w:r>
    </w:p>
    <w:p w14:paraId="1CA25BBA" w14:textId="4CFAC249"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5 iš 548 dazatinibo vartojusi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(1</w:t>
      </w:r>
      <w:r w:rsidR="00FF7C8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kuriems buvo 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LML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fiksuotas 3 ar 4</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kraujavimas. Klinikini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tyrim</w:t>
      </w:r>
      <w:r w:rsidRPr="001D3C3D">
        <w:rPr>
          <w:rFonts w:ascii="Times New Roman" w:eastAsia="MS Mincho" w:hAnsi="Times New Roman" w:cs="Times New Roman"/>
          <w:color w:val="000000"/>
          <w:lang w:eastAsia="ar-SA"/>
        </w:rPr>
        <w:t>ų, kuriuose dalyvavusiems pacientams buvo</w:t>
      </w:r>
      <w:r w:rsidRPr="001D3C3D">
        <w:rPr>
          <w:rFonts w:ascii="Times New Roman" w:eastAsia="SimSun" w:hAnsi="Times New Roman" w:cs="Times New Roman"/>
          <w:color w:val="000000"/>
          <w:lang w:eastAsia="ar-SA"/>
        </w:rPr>
        <w:t xml:space="preserve"> progresavusi LML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metu stiprus kraujavimas centrin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je nerv</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sistemoje (CNS)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fiksuotas 1</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vartojusi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rekomenduojam</w:t>
      </w:r>
      <w:r w:rsidRPr="001D3C3D">
        <w:rPr>
          <w:rFonts w:ascii="Times New Roman" w:eastAsia="MS Mincho" w:hAnsi="Times New Roman" w:cs="Times New Roman"/>
          <w:color w:val="000000"/>
          <w:lang w:eastAsia="ar-SA"/>
        </w:rPr>
        <w:t xml:space="preserve">ą </w:t>
      </w:r>
      <w:r w:rsidRPr="001D3C3D">
        <w:rPr>
          <w:rFonts w:ascii="Times New Roman" w:eastAsia="SimSun" w:hAnsi="Times New Roman" w:cs="Times New Roman"/>
          <w:color w:val="000000"/>
          <w:lang w:eastAsia="ar-SA"/>
        </w:rPr>
        <w:t>dazatinibo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(n</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304). 1</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atvejis baig</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si mirtimi (jis buvo susij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su 4</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trombocitopenija pagal bendruosius toksiškumo kriterijus [angl</w:t>
      </w:r>
      <w:r w:rsidRPr="001D3C3D">
        <w:rPr>
          <w:rFonts w:ascii="Times New Roman" w:eastAsia="SimSun" w:hAnsi="Times New Roman" w:cs="Times New Roman"/>
          <w:i/>
          <w:color w:val="000000"/>
          <w:lang w:eastAsia="ar-SA"/>
        </w:rPr>
        <w:t>.</w:t>
      </w:r>
      <w:r w:rsidRPr="001D3C3D">
        <w:rPr>
          <w:rFonts w:ascii="Times New Roman" w:eastAsia="SimSun" w:hAnsi="Times New Roman" w:cs="Times New Roman"/>
          <w:color w:val="000000"/>
          <w:lang w:eastAsia="ar-SA"/>
        </w:rPr>
        <w:t xml:space="preserve"> </w:t>
      </w:r>
      <w:r w:rsidRPr="001D3C3D">
        <w:rPr>
          <w:rFonts w:ascii="Times New Roman" w:eastAsia="SimSun" w:hAnsi="Times New Roman" w:cs="Times New Roman"/>
          <w:i/>
          <w:color w:val="000000"/>
          <w:lang w:eastAsia="ar-SA"/>
        </w:rPr>
        <w:t>Common Toxicity Criteria</w:t>
      </w:r>
      <w:r w:rsidRPr="001D3C3D">
        <w:rPr>
          <w:rFonts w:ascii="Times New Roman" w:eastAsia="SimSun" w:hAnsi="Times New Roman" w:cs="Times New Roman"/>
          <w:color w:val="000000"/>
          <w:lang w:eastAsia="ar-SA"/>
        </w:rPr>
        <w:t>, CTC]). 3 ar 4</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kraujavimas virškinimo trakte pasireiškė 6</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kuriems buvo progresavusi LML fazė,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jo da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niausiai reik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davo laikino gydymo nutraukimo ir transfuzij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Kitas 3 ar 4</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kraujavimas pasireišk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2</w:t>
      </w:r>
      <w:r w:rsidR="00B077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kuriems buvo progresavusi LML fazė. Dauguma su kraujavimu siejamų nepageidaujam</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reakcij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šiems pacientams da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niausiai būdavo susijusios su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trombocitopenija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6A5EA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6A5EA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Be to, trombocit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tyrim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w:t>
      </w:r>
      <w:r w:rsidRPr="001D3C3D">
        <w:rPr>
          <w:rFonts w:ascii="Times New Roman" w:eastAsia="SimSun" w:hAnsi="Times New Roman" w:cs="Times New Roman"/>
          <w:i/>
          <w:iCs/>
          <w:color w:val="000000"/>
          <w:lang w:eastAsia="ar-SA"/>
        </w:rPr>
        <w:t xml:space="preserve">in vitro </w:t>
      </w:r>
      <w:r w:rsidRPr="001D3C3D">
        <w:rPr>
          <w:rFonts w:ascii="Times New Roman" w:eastAsia="SimSun" w:hAnsi="Times New Roman" w:cs="Times New Roman"/>
          <w:color w:val="000000"/>
          <w:lang w:eastAsia="ar-SA"/>
        </w:rPr>
        <w:t xml:space="preserve">ir </w:t>
      </w:r>
      <w:r w:rsidRPr="001D3C3D">
        <w:rPr>
          <w:rFonts w:ascii="Times New Roman" w:eastAsia="SimSun" w:hAnsi="Times New Roman" w:cs="Times New Roman"/>
          <w:i/>
          <w:iCs/>
          <w:color w:val="000000"/>
          <w:lang w:eastAsia="ar-SA"/>
        </w:rPr>
        <w:t xml:space="preserve">in vivo </w:t>
      </w:r>
      <w:r w:rsidRPr="001D3C3D">
        <w:rPr>
          <w:rFonts w:ascii="Times New Roman" w:eastAsia="SimSun" w:hAnsi="Times New Roman" w:cs="Times New Roman"/>
          <w:color w:val="000000"/>
          <w:lang w:eastAsia="ar-SA"/>
        </w:rPr>
        <w:t>duomenys leid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 daryti prielaid</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kad dazatinibas laikinai paveikia trombocit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aktyvacij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w:t>
      </w:r>
    </w:p>
    <w:p w14:paraId="1BA5A04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C017B23" w14:textId="77777777" w:rsidR="00ED7DC3" w:rsidRPr="001D3C3D" w:rsidRDefault="00ED7DC3" w:rsidP="00ED7DC3">
      <w:pPr>
        <w:suppressAutoHyphens/>
        <w:spacing w:after="0" w:line="240" w:lineRule="auto"/>
        <w:rPr>
          <w:rFonts w:ascii="Times New Roman" w:eastAsia="SimSun" w:hAnsi="Times New Roman" w:cs="Times New Roman"/>
          <w:i/>
          <w:iCs/>
          <w:color w:val="000000"/>
          <w:lang w:eastAsia="ar-SA"/>
        </w:rPr>
      </w:pPr>
      <w:r w:rsidRPr="001D3C3D">
        <w:rPr>
          <w:rFonts w:ascii="Times New Roman" w:eastAsia="SimSun" w:hAnsi="Times New Roman" w:cs="Times New Roman"/>
          <w:color w:val="000000"/>
          <w:lang w:eastAsia="ar-SA"/>
        </w:rPr>
        <w:t>Jeigu pacientui kartu būtina vartoti trombocit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funkcij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slopinančių vaistinių preparatų arba antikoaguliantų, reikia laikytis atsargumo.</w:t>
      </w:r>
    </w:p>
    <w:p w14:paraId="1FDDB6EC" w14:textId="77777777" w:rsidR="00ED7DC3" w:rsidRPr="001D3C3D" w:rsidRDefault="00ED7DC3" w:rsidP="00ED7DC3">
      <w:pPr>
        <w:suppressAutoHyphens/>
        <w:spacing w:after="0" w:line="240" w:lineRule="auto"/>
        <w:rPr>
          <w:rFonts w:ascii="Times New Roman" w:eastAsia="SimSun" w:hAnsi="Times New Roman" w:cs="Times New Roman"/>
          <w:i/>
          <w:iCs/>
          <w:color w:val="000000"/>
          <w:lang w:eastAsia="ar-SA"/>
        </w:rPr>
      </w:pPr>
    </w:p>
    <w:p w14:paraId="17BF40F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iCs/>
          <w:color w:val="000000"/>
          <w:u w:val="single"/>
          <w:lang w:eastAsia="ar-SA"/>
        </w:rPr>
        <w:t>Skysčio susilaikymas</w:t>
      </w:r>
    </w:p>
    <w:p w14:paraId="1F2C3DA4" w14:textId="2D9848E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vartojimas yra susij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su skysči</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xml:space="preserve"> susilaikymu. III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klinikinio tyrimo, kuriame dalyvavusiems pacientams buvo naujai diagnozuota 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LML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metu per ne trumpesn</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kaip 60</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n. steb</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jimo laikotarp</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skysči</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xml:space="preserve"> susilaikymas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fiksuotas 13 (5</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dazatinibo vartojusi</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2 (1</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imatinibu gydytos grup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pacientams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w:t>
      </w:r>
      <w:r w:rsidR="003F31D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3F31D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Tarp vis</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dazatinibo vartojusi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rekomenduojam</w:t>
      </w:r>
      <w:r w:rsidRPr="001D3C3D">
        <w:rPr>
          <w:rFonts w:ascii="Times New Roman" w:eastAsia="MS Mincho" w:hAnsi="Times New Roman" w:cs="Times New Roman"/>
          <w:color w:val="000000"/>
          <w:lang w:eastAsia="ar-SA"/>
        </w:rPr>
        <w:t xml:space="preserve">ą dozę </w:t>
      </w:r>
      <w:r w:rsidRPr="001D3C3D">
        <w:rPr>
          <w:rFonts w:ascii="Times New Roman" w:eastAsia="SimSun" w:hAnsi="Times New Roman" w:cs="Times New Roman"/>
          <w:color w:val="000000"/>
          <w:lang w:eastAsia="ar-SA"/>
        </w:rPr>
        <w:t>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kuriems buvo lėtinė LML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(n</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548), didelio laipsnio skysčio</w:t>
      </w:r>
      <w:r w:rsidRPr="001D3C3D">
        <w:rPr>
          <w:rFonts w:ascii="Times New Roman" w:eastAsia="MS Mincho" w:hAnsi="Times New Roman" w:cs="Times New Roman"/>
          <w:color w:val="000000"/>
          <w:lang w:eastAsia="ar-SA"/>
        </w:rPr>
        <w:t xml:space="preserve"> </w:t>
      </w:r>
      <w:r w:rsidRPr="001D3C3D">
        <w:rPr>
          <w:rFonts w:ascii="Times New Roman" w:eastAsia="SimSun" w:hAnsi="Times New Roman" w:cs="Times New Roman"/>
          <w:color w:val="000000"/>
          <w:lang w:eastAsia="ar-SA"/>
        </w:rPr>
        <w:t>susilaikymas pasireišk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32 pacientams (6</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w:t>
      </w:r>
      <w:r w:rsidRPr="001D3C3D">
        <w:rPr>
          <w:rFonts w:ascii="Times New Roman" w:eastAsia="MS Mincho" w:hAnsi="Times New Roman" w:cs="Times New Roman"/>
          <w:color w:val="000000"/>
          <w:lang w:eastAsia="ar-SA"/>
        </w:rPr>
        <w:t xml:space="preserve">ų, kuriems yra </w:t>
      </w:r>
      <w:r w:rsidRPr="001D3C3D">
        <w:rPr>
          <w:rFonts w:ascii="Times New Roman" w:eastAsia="SimSun" w:hAnsi="Times New Roman" w:cs="Times New Roman"/>
          <w:color w:val="000000"/>
          <w:lang w:eastAsia="ar-SA"/>
        </w:rPr>
        <w:t>progresavusi LML ar Ph+ ŪLL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faz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klinikini</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tyrim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metu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skysčio susilaikymas nustatytas 8</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(7</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pasireišk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pleuros efuzija, 1</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perikardo efuzija), vartojusi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rekomenduojam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dazatinibo doz</w:t>
      </w:r>
      <w:r w:rsidRPr="001D3C3D">
        <w:rPr>
          <w:rFonts w:ascii="Times New Roman" w:eastAsia="MS Mincho" w:hAnsi="Times New Roman" w:cs="Times New Roman"/>
          <w:color w:val="000000"/>
          <w:lang w:eastAsia="ar-SA"/>
        </w:rPr>
        <w:t xml:space="preserve">ę </w:t>
      </w:r>
      <w:r w:rsidRPr="001D3C3D">
        <w:rPr>
          <w:rFonts w:ascii="Times New Roman" w:eastAsia="SimSun" w:hAnsi="Times New Roman" w:cs="Times New Roman"/>
          <w:color w:val="000000"/>
          <w:lang w:eastAsia="ar-SA"/>
        </w:rPr>
        <w:t>(n</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304).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plaučių edema ir plauči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hipertenzija pasireišk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po 1</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ši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pacient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7F45845B"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8F397B6" w14:textId="27B14A32"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Nustačius pleuros efuziją galinčių rodyti simptomų (pvz., dusulį arba sausą kosulį), pacientui reikia atlikti krūtinės rentgenogramą. Dėl 3 ar 4</w:t>
      </w:r>
      <w:r w:rsidR="00EB0E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pleuros efuzijos gali tekti atlikti torakocentezę ir gydyti deguonimi. Su skysčio susilaikymu susijusios nepageidaujamos reakcijos paprastai buvo koreguojamos palaikomosiomis priemonėmis, įskaitant diuretikus ir trumpus steroidų kursus (žr.</w:t>
      </w:r>
      <w:r w:rsidR="00672B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 ir 4.8</w:t>
      </w:r>
      <w:r w:rsidR="00485E9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skyrius). 65</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ir vyresniems pacientams, palyginti su jaunesniais, pleuros efuzijos, dusulio, kosulio, perikardo efuzijos ir stazinio širdies nepakankamumo rizika yra didesnė, todėl juos reikia atidžiai stebėti.</w:t>
      </w:r>
      <w:r w:rsidR="00557EB4" w:rsidRPr="00B92E23">
        <w:rPr>
          <w:rFonts w:ascii="Times New Roman" w:eastAsia="SimSun" w:hAnsi="Times New Roman" w:cs="Times New Roman"/>
          <w:color w:val="000000"/>
          <w:lang w:eastAsia="ar-SA"/>
        </w:rPr>
        <w:t xml:space="preserve"> Buvo pranešta apie chilotorakso atvejus pacientams, kuriems pasireiškė pleuros efuzija (žr.</w:t>
      </w:r>
      <w:r w:rsidR="00485E98">
        <w:rPr>
          <w:rFonts w:ascii="Times New Roman" w:eastAsia="SimSun" w:hAnsi="Times New Roman" w:cs="Times New Roman"/>
          <w:color w:val="000000"/>
          <w:lang w:eastAsia="ar-SA"/>
        </w:rPr>
        <w:t> </w:t>
      </w:r>
      <w:r w:rsidR="00557EB4" w:rsidRPr="00B92E23">
        <w:rPr>
          <w:rFonts w:ascii="Times New Roman" w:eastAsia="SimSun" w:hAnsi="Times New Roman" w:cs="Times New Roman"/>
          <w:color w:val="000000"/>
          <w:lang w:eastAsia="ar-SA"/>
        </w:rPr>
        <w:t>4.8</w:t>
      </w:r>
      <w:r w:rsidR="00485E98">
        <w:rPr>
          <w:rFonts w:ascii="Times New Roman" w:eastAsia="SimSun" w:hAnsi="Times New Roman" w:cs="Times New Roman"/>
          <w:color w:val="000000"/>
          <w:lang w:eastAsia="ar-SA"/>
        </w:rPr>
        <w:t> </w:t>
      </w:r>
      <w:r w:rsidR="00557EB4" w:rsidRPr="00B92E23">
        <w:rPr>
          <w:rFonts w:ascii="Times New Roman" w:eastAsia="SimSun" w:hAnsi="Times New Roman" w:cs="Times New Roman"/>
          <w:color w:val="000000"/>
          <w:lang w:eastAsia="ar-SA"/>
        </w:rPr>
        <w:t>skyrių).</w:t>
      </w:r>
    </w:p>
    <w:p w14:paraId="240FF65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36922B2"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Plaučių arterijos hipertenzija (PAH)</w:t>
      </w:r>
    </w:p>
    <w:p w14:paraId="4364D304" w14:textId="3698D51A"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Gauta pranešimų apie dazatinibo vartojimo metu pasireiškusią PAH (prekapiliarinę plaučių arterijos hipertenziją, patvirtintą kateterizuojant dešinę širdies pusę) (žr.</w:t>
      </w:r>
      <w:r w:rsidR="00485E9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485E9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Šiais atvejais apie PAH pranešta po gydymo dazatinibu pradžios, įskaitant atvejus po ilgesnio nei vienerių metų gydymo.</w:t>
      </w:r>
    </w:p>
    <w:p w14:paraId="0E001DD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5849AD7" w14:textId="0965D21A"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lastRenderedPageBreak/>
        <w:t>Prieš pradedant gydymą dazatinibu reikia ištirti, ar nėra širdies ir plaučių ligos požymių ir simptomų. Pradedant gydymą, reikia atlikti ultragarsinį tyrimą kiekvienam pacientui, kuriam yra širdies ligos simptomų, ir apsvarsčius tiems pacientams, kuriems yra širdies ar plaučių ligos rizikos veiksnių. Jeigu pradėjus gydymą dazatinibu pacientui pasireiškia dusulys ir nuovargis, reikia ištirti, ar nėra dažnai pasitaikančių priežasčių (pvz., pleuros efuzijos, plaučių edemos, anemijos arba plaučių infiltracijos). Laikantis nehematologinių nepageidaujamų reakcijų gydymo rekomendacijų (žr.</w:t>
      </w:r>
      <w:r w:rsidR="0015517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w:t>
      </w:r>
      <w:r w:rsidR="0015517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tokiu atveju reikia sumažinti dazatinibo dozę arba laikinai nutraukti jo vartojimą, kol bus baigti šie tyrimai. Jeigu nenustačius kitos priežasties arba jei sumažinus šio vaistinio preparato dozę ar jo vartojimą laikinai nutraukus būklė nepagerėja, reikia atsižvelgti į PAH diagnozės galimybę. PAH diagnozuojama laikantis standartinės praktikos rekomendacijų. Patvirtinus PAH diagnozę, dazatinibo vartojimas turi būti nutrauktas visam laikui. Pacientai, kuriems diagnozuota PAH, turi būti stebimi ir gydomi laikantis standartinės praktikos rekomendacijų. Dazatinibu gydomiems pacientams, kuriems pasireiškė PAH, pastebėtas hemodinamikos ir klinikinių rodiklių pagerėjimas po gydymo dazatinibu nutraukimo.</w:t>
      </w:r>
    </w:p>
    <w:p w14:paraId="3B35019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B8C1097"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QT pailgėjimas</w:t>
      </w:r>
    </w:p>
    <w:p w14:paraId="47657D45" w14:textId="46F4F77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Tyrimų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duomenimis, dazatinibas gali pailginti širdies skilvelių repoliarizacijos trukmę (QT intervalą) (žr.</w:t>
      </w:r>
      <w:r w:rsidR="0015517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5.3</w:t>
      </w:r>
      <w:r w:rsidR="0015517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Naujai diagnozuotos lėtinės LML III fazės tyrimo metu per ne trumpesnį kaip 60</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gauta pranešimų apie koreguoto QT intervalo (QTc) pailgėjimą kaip nepageidaujamą reakciją, pasireiškusią vienam (&lt;</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 258 dazatinibo ir vienam (&lt;</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8E2E9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iš 258 imatinibo vartojusių pacientų. Dazatinibo vartojusių pacientų QTcF (QTc </w:t>
      </w:r>
      <w:r w:rsidRPr="001D3C3D">
        <w:rPr>
          <w:rFonts w:ascii="Times New Roman" w:eastAsia="SimSun" w:hAnsi="Times New Roman" w:cs="Times New Roman"/>
          <w:i/>
          <w:color w:val="000000"/>
          <w:lang w:eastAsia="ar-SA"/>
        </w:rPr>
        <w:t>Fridericia</w:t>
      </w:r>
      <w:r w:rsidRPr="001D3C3D">
        <w:rPr>
          <w:rFonts w:ascii="Times New Roman" w:eastAsia="SimSun" w:hAnsi="Times New Roman" w:cs="Times New Roman"/>
          <w:color w:val="000000"/>
          <w:lang w:eastAsia="ar-SA"/>
        </w:rPr>
        <w:t xml:space="preserve"> metodu) pokyčio, palyginus su buvusiu iki gydymo, mediana buvo 3,0</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vartojusių imatinibo – 8,2</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Po vieną abiejų grupių pacientą (&lt;</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nustatytas QTcF &gt;</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500</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II fazės klinikinių tyrimų metu 865 leukemija sirgusiems pacientams vartojus dazatinibo vidutinis QTcF intervalo pokytis (palyginus su buvusiu iki gydymo) buvo 4</w:t>
      </w:r>
      <w:r w:rsidR="001B7D2B">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6</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visų vidurkių pokyčių 95</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pasikliautinojo intervalo viršutinė riba buvo &lt;</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7</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(žr.</w:t>
      </w:r>
      <w:r w:rsidR="00C6370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C6370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1B83A931" w14:textId="7136932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15 iš 2182 ankstesniam gydymui imatinibu atsparia liga sirgusių arba jo netoleravusių pacientų (1</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vartojusių dazatinibo klinikinių tyrimų metu, kaip nepageidaujama reakcija užfiksuotas koreguoto QT pailgėjimas. 21 iš jų (1</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QTcF buvo &gt;</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500</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w:t>
      </w:r>
    </w:p>
    <w:p w14:paraId="24FE9093"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4FD0DB9"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Esant pailgėjusiam QT intervalui arba jo pailgėjimo rizikai (hipokalemija ar hipomagnezemija, įgimtas ilgo QT sindromas, vartojami nuo aritmijos ar kiti galintys pailginti QT vaistiniai preparatai, suvartota didelė kumuliacinė antraciklinų dozė), dazatinibo skiriama atsargiai. Prieš dazatinibo vartojimą turi būti pašalinta hipokalemija ar hipomagnezemija.</w:t>
      </w:r>
    </w:p>
    <w:p w14:paraId="0B04668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2DCEC61"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Širdies nepageidaujamos reakcijos</w:t>
      </w:r>
    </w:p>
    <w:p w14:paraId="306521B3" w14:textId="55B94A44"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Atsitiktinės atrankos dazatinibo klinikiniame tyrime dalyvavo 519</w:t>
      </w:r>
      <w:r w:rsidR="001B7D2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pacientų, kuriems naujai diagnozuota lėtinė LML fazė (buvo įtraukti ir sirgę širdies liga pacientai). Gauta pranešimų apie dazatinibo vartojimo metu pasireiškusias širdies nepageidaujamas reakcijas – stazinį širdies nepakankamumą ar sutrikusią širdies funkciją, perikardo efuziją, aritmijas, palpitaciją, QT pailgėjimą bei miokardo infarktą (įskaitant mirtinus atvejus). Širdies nepageidaujamų reakcijų dažniau nustatyta pacientams, kuriems buvo širdies ligos rizikos veiksnių arba kurie anksčiau sirgo šia liga. Dėl to jei nustatyta rizikos veiksnių (pvz., hipertenzija, hiperlipidemija, cukrinis diabetas) arba pacientas serga ar yra sirgęs širdies liga (pvz., daryta perkutaninė koronarinė intervencija, dokumentuota išeminė širdies liga), būtina atidžiai stebėti, ar nepasireiškė sutrikusiai širdies funkcijai būdingų klinikinių požymių ar simptomų (pvz., krūtinės skausmas, dusulys, prakaitavimas).</w:t>
      </w:r>
    </w:p>
    <w:p w14:paraId="32CAAF6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4B831C1" w14:textId="2CE8AFE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Pasireiškus tokių klinikinių požymių ar simptomų, </w:t>
      </w:r>
      <w:r w:rsidRPr="001D3C3D">
        <w:rPr>
          <w:rFonts w:ascii="Times New Roman" w:eastAsia="Times New Roman" w:hAnsi="Times New Roman" w:cs="Times New Roman"/>
          <w:color w:val="000000"/>
          <w:lang w:eastAsia="ar-SA"/>
        </w:rPr>
        <w:t xml:space="preserve">gydytojui patartina laikinai nutraukti gydymą dazatinibu ir apsvarstyti kitokio specifinio LML gydymo </w:t>
      </w:r>
      <w:r w:rsidRPr="001D3C3D">
        <w:rPr>
          <w:rFonts w:ascii="Times New Roman" w:eastAsia="SimSun" w:hAnsi="Times New Roman" w:cs="Times New Roman"/>
          <w:color w:val="000000"/>
          <w:lang w:eastAsia="ar-SA"/>
        </w:rPr>
        <w:t>reikalingumą. Jiems praėjus prieš vėl pradedant gydymą dazatinibu turi būti atliktas funkcinis įvertinimas. Jeigu nepageidaujama reakcija buvo lengvo ar vidutinio sunkumo (2 ar mažesnio laipsnio), tai galima vėl skirti tokią pačią, o jeigu sunki (3 ar didesnio laipsnio) – mažesnio lygio dazatinibo dozę (žr.</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Toliau gydomų pacientų būklę reikia periodiškai tirti.</w:t>
      </w:r>
    </w:p>
    <w:p w14:paraId="49596E16"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6E12BF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Dekompensuotomis ar reikšmingomis širdies ir kraujagyslių ligomis sergantys pacientai į klinikinius tyrimus nebūdavo įtraukti.</w:t>
      </w:r>
    </w:p>
    <w:p w14:paraId="075F904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82D969A" w14:textId="77777777" w:rsidR="00ED7DC3" w:rsidRPr="00B92E23" w:rsidRDefault="00ED7DC3" w:rsidP="00ED7DC3">
      <w:pPr>
        <w:suppressAutoHyphens/>
        <w:spacing w:after="0" w:line="240" w:lineRule="auto"/>
        <w:rPr>
          <w:rFonts w:ascii="Times New Roman" w:eastAsia="SimSun" w:hAnsi="Times New Roman" w:cs="Times New Roman"/>
          <w:color w:val="000000"/>
          <w:u w:val="single"/>
          <w:lang w:eastAsia="ar-SA"/>
        </w:rPr>
      </w:pPr>
      <w:r w:rsidRPr="00B92E23">
        <w:rPr>
          <w:rFonts w:ascii="Times New Roman" w:eastAsia="SimSun" w:hAnsi="Times New Roman" w:cs="Times New Roman"/>
          <w:i/>
          <w:iCs/>
          <w:color w:val="000000"/>
          <w:u w:val="single"/>
          <w:lang w:eastAsia="ar-SA"/>
        </w:rPr>
        <w:t>Trombinė mikroangiopatija (TMA)</w:t>
      </w:r>
      <w:r w:rsidRPr="00B92E23">
        <w:rPr>
          <w:rFonts w:ascii="Times New Roman" w:eastAsia="SimSun" w:hAnsi="Times New Roman" w:cs="Times New Roman"/>
          <w:color w:val="000000"/>
          <w:u w:val="single"/>
          <w:lang w:eastAsia="ar-SA"/>
        </w:rPr>
        <w:t xml:space="preserve"> </w:t>
      </w:r>
    </w:p>
    <w:p w14:paraId="07F78A5C" w14:textId="7DE03CD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BCR-ABL tirozino kinazės inhibitoriai buvo siejami su trombine mikroangiopatija (TMA), įskaitant pavienių atvejų pranešimus vartojant dazatinibo (žr.</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skyrių). Jei pacientams vartojusiems dazatinibo pasireiškė laboratoriniai arba klinikiniai radiniai susiję su TMA, gydymas dazatinibu turi būti nutrauktas ir turi būti atliktas išsamus TMA, įskaitant ADAMTS13 aktyvumo ir anti-ADAMTS13-antikūnų nustatymo, ištyrimas. Jei anti-ADAMTS13-antikūnų yra padidėję kartu su mažu ADAMTS13 aktyvumu, gydymas dazatinibu neturi būti atnaujinamas. </w:t>
      </w:r>
    </w:p>
    <w:p w14:paraId="3E839B0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9DE35F3"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Hepatito B reaktyvacija</w:t>
      </w:r>
    </w:p>
    <w:p w14:paraId="3CC89B2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Pacientams, kurie yra ilgalaikiai šio viruso nešiotojai, pavartojus BCR-ABL tirozinkinazės inhibitorių, pasireiškė hepatito B reaktyvacija. Kai kuriais atvejais tai sukėlė ūminį kepenų nepakankamumą arba žaibinį hepatitą, dėl kurio pacientui teko persodinti kepenis arba pacientą ištiko mirtis.</w:t>
      </w:r>
    </w:p>
    <w:p w14:paraId="76F4BB8C"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Prieš pradedant gydymą dazatinibu reikia ištirti, ar pacientas neužsikrėtęs HBV. </w:t>
      </w:r>
    </w:p>
    <w:p w14:paraId="25CBD349" w14:textId="35CF116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Prieš pradedant gydyti pacientus, kuriems nustatytas serologiškai teigiamas hepatitas B (įskaitant aktyvia liga sergančius pacientus), ir dėl pacientų, kuriems gydymo laikotarpiu nustatyta HBV infekcija, turi būti pasikonsultuota su kepenų ligų ir hepatito B gydymo ekspertais. Gydymo metu ir kelis mėnesius po jo pabaigos reikia atidžiai stebėti, ar HBV nešiotojams, kuriems būtinas gydymas, nepasireiškia aktyvios HBV infekcijos požymiai ir simptomai (žr.</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4.8</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177560E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D12448D" w14:textId="77777777" w:rsidR="00ED7DC3" w:rsidRPr="00B92E23" w:rsidRDefault="00ED7DC3" w:rsidP="0086689D">
      <w:pPr>
        <w:suppressAutoHyphens/>
        <w:spacing w:after="0" w:line="240" w:lineRule="auto"/>
        <w:rPr>
          <w:rFonts w:ascii="Times New Roman" w:eastAsia="SimSun" w:hAnsi="Times New Roman" w:cs="Times New Roman"/>
          <w:color w:val="000000"/>
          <w:u w:val="single"/>
          <w:lang w:eastAsia="ar-SA"/>
        </w:rPr>
      </w:pPr>
      <w:r w:rsidRPr="00B92E23">
        <w:rPr>
          <w:rFonts w:ascii="Times New Roman" w:eastAsia="SimSun" w:hAnsi="Times New Roman" w:cs="Times New Roman"/>
          <w:i/>
          <w:iCs/>
          <w:color w:val="000000"/>
          <w:u w:val="single"/>
          <w:lang w:eastAsia="ar-SA"/>
        </w:rPr>
        <w:t xml:space="preserve">Poveikis vaikų populiacijos pacientų augimui ir vystymuisi </w:t>
      </w:r>
    </w:p>
    <w:p w14:paraId="10DC7A2A" w14:textId="7E93297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Tiriant dazatinibo poveikį Ph+ LML LF sergantiems </w:t>
      </w:r>
      <w:r w:rsidRPr="001D3C3D">
        <w:rPr>
          <w:rFonts w:ascii="Times New Roman" w:eastAsia="SimSun" w:hAnsi="Times New Roman" w:cs="Times New Roman"/>
          <w:i/>
          <w:iCs/>
          <w:color w:val="000000"/>
          <w:lang w:eastAsia="ar-SA"/>
        </w:rPr>
        <w:t>v</w:t>
      </w:r>
      <w:r w:rsidRPr="001D3C3D">
        <w:rPr>
          <w:rFonts w:ascii="Times New Roman" w:eastAsia="SimSun" w:hAnsi="Times New Roman" w:cs="Times New Roman"/>
          <w:color w:val="000000"/>
          <w:lang w:eastAsia="ar-SA"/>
        </w:rPr>
        <w:t>aikų populiacijos pacientams, atspariems gydymui imatinibu arba anksčiau patyrusiems jo netoleravimą, bei anksčiau negydytiems Ph+ LML LF sergantiems vaikams, per bent dvejus gydymo metus su juo susijusių kaulų augimo ir vystymosi sutrikimų nustatyta 6</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pacientams (4,6</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 jų 1 – stipriai išreikštas (3</w:t>
      </w:r>
      <w:r w:rsidR="00D3293E">
        <w:t> </w:t>
      </w:r>
      <w:r w:rsidRPr="001D3C3D">
        <w:rPr>
          <w:rFonts w:ascii="Times New Roman" w:eastAsia="SimSun" w:hAnsi="Times New Roman" w:cs="Times New Roman"/>
          <w:color w:val="000000"/>
          <w:lang w:eastAsia="ar-SA"/>
        </w:rPr>
        <w:t>laipsnio augimo sulėtėjimas). Tarp šių 6 atvejų buvo epifizinių kremzlių susiliejimo uždelsimas, osteopenija, sulėtėjęs augimas ir ginekomastija (žr.</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5.1</w:t>
      </w:r>
      <w:r w:rsidR="00283B0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skyrių). Vis dėlto esant lėtinei ligai (LML ar kitai) interpretuoti šiuos rezultatus sudėtinga ir reikalingas ilgalaikis stebėjimas. </w:t>
      </w:r>
    </w:p>
    <w:p w14:paraId="754765C9"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F18C9A1" w14:textId="47B6C1F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derinio su chemoterapija poveikio naujai diagnozuota Ph+ ŪLL sergantiems vaikams tyrimų metu per iki 2</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laikotarpį su gydymu susijusių kaulų augimo ir vystymosi nepageidaujamų reiškinių nustatyta 1</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pacientui (0,6</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Šis atvejis buvo 1 laipsnio osteopenija. </w:t>
      </w:r>
    </w:p>
    <w:p w14:paraId="46014784" w14:textId="23553DDF" w:rsidR="00557EB4" w:rsidRPr="001D3C3D" w:rsidRDefault="00557EB4" w:rsidP="00ED7DC3">
      <w:pPr>
        <w:suppressAutoHyphens/>
        <w:spacing w:after="0" w:line="240" w:lineRule="auto"/>
        <w:rPr>
          <w:rFonts w:ascii="Times New Roman" w:eastAsia="SimSun" w:hAnsi="Times New Roman" w:cs="Times New Roman"/>
          <w:color w:val="000000"/>
          <w:lang w:eastAsia="ar-SA"/>
        </w:rPr>
      </w:pPr>
    </w:p>
    <w:p w14:paraId="18335102" w14:textId="59638613" w:rsidR="00557EB4" w:rsidRPr="00B92E23" w:rsidRDefault="00557EB4" w:rsidP="00ED7DC3">
      <w:pPr>
        <w:suppressAutoHyphens/>
        <w:spacing w:after="0" w:line="240" w:lineRule="auto"/>
        <w:rPr>
          <w:rFonts w:ascii="Times New Roman" w:eastAsia="SimSun" w:hAnsi="Times New Roman" w:cs="Times New Roman"/>
          <w:color w:val="000000"/>
          <w:lang w:eastAsia="ar-SA"/>
        </w:rPr>
      </w:pPr>
      <w:r w:rsidRPr="00B92E23">
        <w:rPr>
          <w:rFonts w:ascii="Times New Roman" w:eastAsia="SimSun" w:hAnsi="Times New Roman" w:cs="Times New Roman"/>
          <w:color w:val="000000"/>
          <w:lang w:eastAsia="ar-SA"/>
        </w:rPr>
        <w:t xml:space="preserve">Klinikinių tyrimų metu stebėtas vaikų, gydytų </w:t>
      </w:r>
      <w:r w:rsidR="00301034" w:rsidRPr="00301034">
        <w:rPr>
          <w:rFonts w:ascii="Times New Roman" w:eastAsia="SimSun" w:hAnsi="Times New Roman" w:cs="Times New Roman"/>
          <w:color w:val="000000"/>
          <w:lang w:eastAsia="ar-SA"/>
        </w:rPr>
        <w:t>dazatinib</w:t>
      </w:r>
      <w:r w:rsidR="009A61D4">
        <w:rPr>
          <w:rFonts w:ascii="Times New Roman" w:eastAsia="SimSun" w:hAnsi="Times New Roman" w:cs="Times New Roman"/>
          <w:color w:val="000000"/>
          <w:lang w:eastAsia="ar-SA"/>
        </w:rPr>
        <w:t>u</w:t>
      </w:r>
      <w:r w:rsidRPr="00B92E23">
        <w:rPr>
          <w:rFonts w:ascii="Times New Roman" w:eastAsia="SimSun" w:hAnsi="Times New Roman" w:cs="Times New Roman"/>
          <w:color w:val="000000"/>
          <w:lang w:eastAsia="ar-SA"/>
        </w:rPr>
        <w:t>, augimo sulėtėjimas (žr.</w:t>
      </w:r>
      <w:r w:rsidR="00D3293E">
        <w:rPr>
          <w:rFonts w:ascii="Times New Roman" w:eastAsia="SimSun" w:hAnsi="Times New Roman" w:cs="Times New Roman"/>
          <w:color w:val="000000"/>
          <w:lang w:eastAsia="ar-SA"/>
        </w:rPr>
        <w:t> </w:t>
      </w:r>
      <w:r w:rsidRPr="00B92E23">
        <w:rPr>
          <w:rFonts w:ascii="Times New Roman" w:eastAsia="SimSun" w:hAnsi="Times New Roman" w:cs="Times New Roman"/>
          <w:color w:val="000000"/>
          <w:lang w:eastAsia="ar-SA"/>
        </w:rPr>
        <w:t>4.8</w:t>
      </w:r>
      <w:r w:rsidR="00D3293E">
        <w:rPr>
          <w:rFonts w:ascii="Times New Roman" w:eastAsia="SimSun" w:hAnsi="Times New Roman" w:cs="Times New Roman"/>
          <w:color w:val="000000"/>
          <w:lang w:eastAsia="ar-SA"/>
        </w:rPr>
        <w:t> </w:t>
      </w:r>
      <w:r w:rsidRPr="00B92E23">
        <w:rPr>
          <w:rFonts w:ascii="Times New Roman" w:eastAsia="SimSun" w:hAnsi="Times New Roman" w:cs="Times New Roman"/>
          <w:color w:val="000000"/>
          <w:lang w:eastAsia="ar-SA"/>
        </w:rPr>
        <w:t>skyrių). Po daugiausiai 2</w:t>
      </w:r>
      <w:r w:rsidR="00D3293E">
        <w:rPr>
          <w:rFonts w:ascii="Times New Roman" w:eastAsia="SimSun" w:hAnsi="Times New Roman" w:cs="Times New Roman"/>
          <w:color w:val="000000"/>
          <w:lang w:eastAsia="ar-SA"/>
        </w:rPr>
        <w:t> </w:t>
      </w:r>
      <w:r w:rsidRPr="00B92E23">
        <w:rPr>
          <w:rFonts w:ascii="Times New Roman" w:eastAsia="SimSun" w:hAnsi="Times New Roman" w:cs="Times New Roman"/>
          <w:color w:val="000000"/>
          <w:lang w:eastAsia="ar-SA"/>
        </w:rPr>
        <w:t>metų gydymo buvo pastebėta tikėtino ūgio mažėjimo tendencija, kuri buvo tokia pat, kaip ir taikant vien chemoterapiją, be poveikio tikėtinam svoriui ir KMI, ir nesusijusi su hormonų sutrikimais ar kitais laboratoriniais parametrais. Rekomenduojama stebėti vaikų kaulų augimą ir vystymąsi.</w:t>
      </w:r>
    </w:p>
    <w:p w14:paraId="04FBF7D7"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15F981F" w14:textId="77777777" w:rsidR="00126BE9" w:rsidRPr="00B92E23" w:rsidRDefault="00126BE9" w:rsidP="0086689D">
      <w:pPr>
        <w:suppressAutoHyphens/>
        <w:spacing w:after="0" w:line="240" w:lineRule="auto"/>
        <w:rPr>
          <w:rFonts w:ascii="Times New Roman" w:eastAsia="SimSun" w:hAnsi="Times New Roman" w:cs="Times New Roman"/>
          <w:i/>
          <w:iCs/>
          <w:color w:val="000000"/>
          <w:u w:val="single"/>
          <w:lang w:eastAsia="ar-SA"/>
        </w:rPr>
      </w:pPr>
      <w:r w:rsidRPr="00B92E23">
        <w:rPr>
          <w:rFonts w:ascii="Times New Roman" w:eastAsia="SimSun" w:hAnsi="Times New Roman" w:cs="Times New Roman"/>
          <w:i/>
          <w:iCs/>
          <w:color w:val="000000"/>
          <w:u w:val="single"/>
          <w:lang w:eastAsia="ar-SA"/>
        </w:rPr>
        <w:t>Dasatinib Sandoz sudėtyje yra laktozės ir natrio</w:t>
      </w:r>
    </w:p>
    <w:p w14:paraId="6A6C2827" w14:textId="1522919D"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Šio vaistinio preparato negalima vartoti pacientams, kuriems nustatytas retas paveldimas sutrikimas – galaktozės netoleravimas, </w:t>
      </w:r>
      <w:r w:rsidR="00126BE9" w:rsidRPr="001D3C3D">
        <w:rPr>
          <w:rFonts w:ascii="Times New Roman" w:eastAsia="SimSun" w:hAnsi="Times New Roman" w:cs="Times New Roman"/>
          <w:color w:val="000000"/>
          <w:lang w:eastAsia="ar-SA"/>
        </w:rPr>
        <w:t>arba gliukozės ir galaktozės malabsorbcija.</w:t>
      </w:r>
    </w:p>
    <w:p w14:paraId="524D3EBA" w14:textId="77777777" w:rsidR="00126BE9" w:rsidRPr="001D3C3D" w:rsidRDefault="00126BE9" w:rsidP="00ED7DC3">
      <w:pPr>
        <w:suppressAutoHyphens/>
        <w:spacing w:after="0" w:line="240" w:lineRule="auto"/>
        <w:rPr>
          <w:rFonts w:ascii="Times New Roman" w:eastAsia="SimSun" w:hAnsi="Times New Roman" w:cs="Times New Roman"/>
          <w:color w:val="000000"/>
          <w:lang w:eastAsia="ar-SA"/>
        </w:rPr>
      </w:pPr>
    </w:p>
    <w:p w14:paraId="786C483F" w14:textId="2C693D8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Šio vaistinio preparato </w:t>
      </w:r>
      <w:r w:rsidR="00126BE9" w:rsidRPr="001D3C3D">
        <w:rPr>
          <w:rFonts w:ascii="Times New Roman" w:eastAsia="SimSun" w:hAnsi="Times New Roman" w:cs="Times New Roman"/>
          <w:color w:val="000000"/>
          <w:lang w:eastAsia="ar-SA"/>
        </w:rPr>
        <w:t>vienoje plėvele dengtoje tabletėje</w:t>
      </w:r>
      <w:r w:rsidRPr="001D3C3D">
        <w:rPr>
          <w:rFonts w:ascii="Times New Roman" w:eastAsia="SimSun" w:hAnsi="Times New Roman" w:cs="Times New Roman"/>
          <w:color w:val="000000"/>
          <w:lang w:eastAsia="ar-SA"/>
        </w:rPr>
        <w:t xml:space="preserve"> yra mažiau kaip 1 mmol (23 mg) natrio, t.</w:t>
      </w:r>
      <w:r w:rsidR="004F13E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y. jis beveik neturi reikšmės.</w:t>
      </w:r>
    </w:p>
    <w:p w14:paraId="6D1CA18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E6EAA69"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4.5</w:t>
      </w:r>
      <w:r w:rsidRPr="001D3C3D">
        <w:rPr>
          <w:rFonts w:ascii="Times New Roman" w:eastAsia="SimSun" w:hAnsi="Times New Roman" w:cs="Times New Roman"/>
          <w:b/>
          <w:color w:val="000000"/>
          <w:lang w:eastAsia="ar-SA"/>
        </w:rPr>
        <w:tab/>
        <w:t>Sąveika su kitais vaistiniais preparatais ir kitokia sąveika</w:t>
      </w:r>
    </w:p>
    <w:p w14:paraId="768C78A6"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5FD77E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Veikliosios medžiagos, kurios gali didinti dazatinibo koncentracijas kraujo plazmoje</w:t>
      </w:r>
    </w:p>
    <w:p w14:paraId="67EDE601" w14:textId="6BD61718"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Tyrimų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duomenimis, dazatinibas yra CYP3A4 substratas. Kartu vartojant dazatinibo ir vaistinių preparatų ar kitų medžiagų, galinčių slopinti CYP3A4 (pvz., ketokonazolo, itrakonazolo, eritromicino, klaritromicino, ritonaviro, telitromicino, greipfrutų sulčių), gali padidėti dazatinibo ekspozicija, todėl kartu su dazatinibu stipriai CYP3A4 slopinančių vaistinių preparatų sisteminiu būdu vartoti nerekomenduojama (žr.</w:t>
      </w:r>
      <w:r w:rsidR="00BC5BC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w:t>
      </w:r>
      <w:r w:rsidR="00BC5BC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2C9DB5B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9500E69" w14:textId="0F40D26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lastRenderedPageBreak/>
        <w:t xml:space="preserve">Eksperimentų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duomenimis, esant kliniškai reikšmingoms koncentracijoms maždaug 96</w:t>
      </w:r>
      <w:r w:rsidR="00BC5BC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dazatinibo būna prisijungusio prie kraujo plazmos baltymų. Dazatinibo sąveikos su kitais vaistiniais preparatais, kurie būna prisijungę prie baltymų, tyrimų neatlikta. Išstūmimo iš junginių su baltymais galimybė ir jo klinikinė reikšmė nežinoma.</w:t>
      </w:r>
    </w:p>
    <w:p w14:paraId="4F45941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B4EBD7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Veikliosios medžiagos, kurios gali mažinti dazatinibo koncentracijas kraujo plazmoje</w:t>
      </w:r>
    </w:p>
    <w:p w14:paraId="56C7AE9C" w14:textId="7B78434F"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išgėrus prieš tai 8</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dienas kas vakarą vartojus po 600</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rifampicino, kuris stipriai indukuoja CYP3A4, dazatinibo AUC buvo 82</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mažesnis. Kiti vaistiniai preparatai, kurie didina CYP3A4 aktyvumą (pvz., deksametazonas, fenitoinas, karbamazepinas, fenobarbitalis ir vaistažoliniai preparatai, kurių sudėtyje yra </w:t>
      </w:r>
      <w:r w:rsidRPr="001D3C3D">
        <w:rPr>
          <w:rFonts w:ascii="Times New Roman" w:eastAsia="SimSun" w:hAnsi="Times New Roman" w:cs="Times New Roman"/>
          <w:i/>
          <w:color w:val="000000"/>
          <w:lang w:eastAsia="ar-SA"/>
        </w:rPr>
        <w:t>Hypericum perforatum</w:t>
      </w:r>
      <w:r w:rsidRPr="001D3C3D">
        <w:rPr>
          <w:rFonts w:ascii="Times New Roman" w:eastAsia="SimSun" w:hAnsi="Times New Roman" w:cs="Times New Roman"/>
          <w:color w:val="000000"/>
          <w:lang w:eastAsia="ar-SA"/>
        </w:rPr>
        <w:t>, taip pat žinomo kaip jonažolė), taip pat gali paskatinti dazatinibo metabolizmą ir sumažinti jo koncentracijas kraujo plazmoje. Dėl to vaistinių preparatų, kurie stipriai indukuoja CYP3A4, derinyje su dazatinibu vartoti nerekomenduojama. Pacientams, kuriems reikalinga vartoti rifampicino arba kitų CYP3A4 induktorių, turi būti paskirta alternatyvių vaistinių preparatų, kurių pajėgumas indukuoti CYP3A4 yra mažesnis. Derinyje su dazatinibu vartoti deksametazono, kuris silpnai indukuoja CYP3A4 galima, tikėtinas dazatinibo AUC sumažėjimas maždaug 25</w:t>
      </w:r>
      <w:r w:rsidR="00496A8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kai derinyje vartojamas deksametazonas. Nepanašu, kad šis sumažėjimas būtų reikšmingas klinikai. </w:t>
      </w:r>
    </w:p>
    <w:p w14:paraId="458286D7"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B7BBCB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Histamino-2 antagonistai ir protonų siurblio inhibitoriai</w:t>
      </w:r>
    </w:p>
    <w:p w14:paraId="1503DE26" w14:textId="0C7639E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Ilgai slopinus skrandžio rūgšties sekreciją H</w:t>
      </w:r>
      <w:r w:rsidRPr="001D3C3D">
        <w:rPr>
          <w:rFonts w:ascii="Times New Roman" w:eastAsia="SimSun" w:hAnsi="Times New Roman" w:cs="Times New Roman"/>
          <w:color w:val="000000"/>
          <w:vertAlign w:val="subscript"/>
          <w:lang w:eastAsia="ar-SA"/>
        </w:rPr>
        <w:t>2</w:t>
      </w:r>
      <w:r w:rsidRPr="001D3C3D">
        <w:rPr>
          <w:rFonts w:ascii="Times New Roman" w:eastAsia="SimSun" w:hAnsi="Times New Roman" w:cs="Times New Roman"/>
          <w:color w:val="000000"/>
          <w:lang w:eastAsia="ar-SA"/>
        </w:rPr>
        <w:t xml:space="preserve"> antagonistais arba protonų siurblio inhibitoriais (pvz., famotidinu ar omeprazolu), tikėtinas dazatinibo ekspozicijos sumažėjimas. Su sveikais asmenimis atlikto vienos dozės tyrimo metu pavartojus famotidino 10</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prieš išgeriant vieną dazatinibo dozę, dazatinibo ekspozicija sumažėjo 61</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Tyrimo metu 14 sveikų asmenų 4</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paras vartojo 40</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omeprazolo dozę, kol nusistovėjo jo pusiausvyrinė apykaita; paskui po 22</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jiems pavartojus vieną 100</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dozę, dazatinibo AUC buvo mažesnė 43</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o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 42</w:t>
      </w:r>
      <w:r w:rsidR="00D3293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Dazatinibą vartojantiems pacientams turi būti apgalvotas rūgštį neutralizuojančių vaistinių preparatų vartojimas vietoje H</w:t>
      </w:r>
      <w:r w:rsidRPr="001D3C3D">
        <w:rPr>
          <w:rFonts w:ascii="Times New Roman" w:eastAsia="SimSun" w:hAnsi="Times New Roman" w:cs="Times New Roman"/>
          <w:color w:val="000000"/>
          <w:vertAlign w:val="subscript"/>
          <w:lang w:eastAsia="ar-SA"/>
        </w:rPr>
        <w:t>2</w:t>
      </w:r>
      <w:r w:rsidRPr="001D3C3D">
        <w:rPr>
          <w:rFonts w:ascii="Times New Roman" w:eastAsia="SimSun" w:hAnsi="Times New Roman" w:cs="Times New Roman"/>
          <w:color w:val="000000"/>
          <w:lang w:eastAsia="ar-SA"/>
        </w:rPr>
        <w:t xml:space="preserve"> antagonistų ar protonų siurblio inhibitorių (žr.</w:t>
      </w:r>
      <w:r w:rsidR="005F44B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5F44BD">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506E229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C31929C"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Antacidiniai vaistiniai preparatai</w:t>
      </w:r>
    </w:p>
    <w:p w14:paraId="04D23468" w14:textId="51D7F994"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Ikiklinikiniais duomenimis, dazatinibo tirpumas priklauso nuo terpės pH. Sveikiems asmenims rūgštį neutralizuojančių vaistinių preparatų (aliuminio hidroksidas, magnio hidroksidas) vartojimas kartu su dazatinibu sumažino vienkartinės dazatinibo dozės AUC 55</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 58</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Rūgštį neutralizuojančių vaistinių preparatų, išgertų likus 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iki vienkartinės dazatinibo dozės suvartojimo, reikšmingos įtakos dazatinibo koncentracijai ar ekspozijai nepastebėta. Taigi, šių vaistinių preparatų galima gerti iki dazatinibo vartojimo likus ne mažiau kaip 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arba praėjus 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valandoms po jo suvartojimo (žr.</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0F31231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B1B203C"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Veikliosios medžiagos, kurių koncentracijos kraujo plazmoje gali pakisti dėl dazatinibo poveikio</w:t>
      </w:r>
    </w:p>
    <w:p w14:paraId="0AB08E91" w14:textId="07B8CD32" w:rsidR="00ED7DC3" w:rsidRPr="001D3C3D" w:rsidRDefault="00ED7DC3" w:rsidP="00ED7DC3">
      <w:pPr>
        <w:suppressAutoHyphens/>
        <w:spacing w:after="0" w:line="240" w:lineRule="auto"/>
        <w:rPr>
          <w:rFonts w:ascii="Times New Roman" w:eastAsia="SimSun" w:hAnsi="Times New Roman" w:cs="Times New Roman"/>
          <w:i/>
          <w:color w:val="000000"/>
          <w:lang w:eastAsia="ar-SA"/>
        </w:rPr>
      </w:pPr>
      <w:r w:rsidRPr="001D3C3D">
        <w:rPr>
          <w:rFonts w:ascii="Times New Roman" w:eastAsia="SimSun" w:hAnsi="Times New Roman" w:cs="Times New Roman"/>
          <w:color w:val="000000"/>
          <w:lang w:eastAsia="ar-SA"/>
        </w:rPr>
        <w:t>Dazatinibo vartojimas kartu su CYP3A4 substratu gali padidinti CYP3A4 substrato ekspoziciją. Su sveikais savanoriais atlikto tyrimo metu vienkartinė 100</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dozė padidino CYP3A4 substrato simvastatino AUC 20</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 37</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Nepaneigta galimybė, kad atitinkamas daugkartinių dazatinibo dozių poveikis yra stipresnis. Dėl to CYP3A4 substratų, kurių terapinis indeksas siauras (pvz., astemizolo, terfenadino, cisaprido, pimozido, chinidino, bepridilo ar skalsių alkaloidų [ergotamino, dihidroergotamino]), dazatinibo vartojantiems pacientams turi būti skiriama atsargiai (žr.</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325A1264"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tyrimų duomenys rodo galimą sąveikos su CYP3A4 substratais (tokiais, kaip glitazonai) riziką.</w:t>
      </w:r>
    </w:p>
    <w:p w14:paraId="4480454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7EE31BA"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Vaikų populiacija</w:t>
      </w:r>
      <w:r w:rsidRPr="001D3C3D">
        <w:rPr>
          <w:rFonts w:ascii="Times New Roman" w:eastAsia="SimSun" w:hAnsi="Times New Roman" w:cs="Times New Roman"/>
          <w:color w:val="000000"/>
          <w:lang w:eastAsia="ar-SA"/>
        </w:rPr>
        <w:t xml:space="preserve"> </w:t>
      </w:r>
    </w:p>
    <w:p w14:paraId="57F64EE3" w14:textId="77777777" w:rsidR="00ED7DC3" w:rsidRPr="001D3C3D" w:rsidRDefault="00ED7DC3" w:rsidP="0086689D">
      <w:pPr>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color w:val="000000"/>
          <w:lang w:eastAsia="ar-SA"/>
        </w:rPr>
        <w:t xml:space="preserve">Sąveikos tyrimai atlikti tik suaugusiesiems. </w:t>
      </w:r>
    </w:p>
    <w:p w14:paraId="1F3D3BA6" w14:textId="77777777" w:rsidR="00ED7DC3" w:rsidRPr="001D3C3D" w:rsidRDefault="00ED7DC3" w:rsidP="00ED7DC3">
      <w:pPr>
        <w:suppressAutoHyphens/>
        <w:spacing w:after="0" w:line="240" w:lineRule="auto"/>
        <w:rPr>
          <w:rFonts w:ascii="Times New Roman" w:eastAsia="SimSun" w:hAnsi="Times New Roman" w:cs="Times New Roman"/>
          <w:b/>
          <w:color w:val="000000"/>
          <w:lang w:eastAsia="ar-SA"/>
        </w:rPr>
      </w:pPr>
    </w:p>
    <w:p w14:paraId="0B261956" w14:textId="77777777" w:rsidR="00ED7DC3" w:rsidRPr="001D3C3D" w:rsidRDefault="00ED7DC3" w:rsidP="00D63968">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4.6</w:t>
      </w:r>
      <w:r w:rsidRPr="001D3C3D">
        <w:rPr>
          <w:rFonts w:ascii="Times New Roman" w:eastAsia="SimSun" w:hAnsi="Times New Roman" w:cs="Times New Roman"/>
          <w:b/>
          <w:color w:val="000000"/>
          <w:lang w:eastAsia="ar-SA"/>
        </w:rPr>
        <w:tab/>
        <w:t>Vaisingumas, nėštumo ir žindymo laikotarpis</w:t>
      </w:r>
    </w:p>
    <w:p w14:paraId="4FA6BD66"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ABCE4FF"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Vaisingos moterys / vyrų ir moterų kontracepcija</w:t>
      </w:r>
    </w:p>
    <w:p w14:paraId="4BA9D68A" w14:textId="77777777"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lang w:eastAsia="ar-SA"/>
        </w:rPr>
        <w:t>Lytiškai aktyvūs vyrai ir vaisingos moterys gydymo metu turi naudoti veiksmingus kontracepcijos metodus.</w:t>
      </w:r>
    </w:p>
    <w:p w14:paraId="4D98460C" w14:textId="77777777"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p>
    <w:p w14:paraId="65C412FF"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Nėštumas</w:t>
      </w:r>
    </w:p>
    <w:p w14:paraId="2E19BC45" w14:textId="626FB00B"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Remiantis patyrimu su žmonėmis įtariama, kad dazatinibas, jeigu jo vartojama nėštumo metu, sukelia apsigimimus, įskaitant nervinio vamzdelio defektus, ir kenksmingą farmakologinį poveikį vaisiui. Su gyvūnais atlikti tyrimai parodė toksinį poveikį reprodukcijai (žr.</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5.3</w:t>
      </w:r>
      <w:r w:rsidR="00581AD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2C5871AB"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Dasatinib Sandoz nėštumo metu vartoti negalima, nebent moters klinikinė būklė yra tokia, kad ją būtina gydyti dazatinibu. Jeigu Dasatinib Sandoz vartojamas nėštumo laikotarpiu, pacientė turi būti informuota apie galimą riziką vaisiui.</w:t>
      </w:r>
    </w:p>
    <w:p w14:paraId="580D755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75BDB6F"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Žindymas</w:t>
      </w:r>
    </w:p>
    <w:p w14:paraId="39FDEDB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Duomenų apie dazatinibo išskyrimą į žmogaus ar gyvūnų pieną nepakanka. Dazatinibo fizikocheminiai bei turimi farmakodinaminiai ir toksikologiniai duomenys rodo galimą jo išskyrimą į pieną ir paneigti riziką žindomam kūdikiui negalima.</w:t>
      </w:r>
    </w:p>
    <w:p w14:paraId="5D956EC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Gydymo Dasatinib Sandoz metu žindymas turi būti nutrauktas.</w:t>
      </w:r>
    </w:p>
    <w:p w14:paraId="48C6C3D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C5323BD"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Vaisingumas</w:t>
      </w:r>
    </w:p>
    <w:p w14:paraId="6C8EB1F8" w14:textId="269B6304"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Gyvūnų tyrimų metu dazatinibas neveikė žiurkių patinų ir patelių vaisingumo (žr.</w:t>
      </w:r>
      <w:r w:rsidR="00260512">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5.3</w:t>
      </w:r>
      <w:r w:rsidR="00260512">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Gydytojai ir kiti sveikatos priežiūros specialistai turi patarti atitinkamo amžiaus vyrams dėl galimo dazatinibo poveikio vaisingumui ir šis patarimas gali apimti sėklos atidavimo saugojimui apsvarstymą.</w:t>
      </w:r>
    </w:p>
    <w:p w14:paraId="394E6CA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0AB42B9" w14:textId="77777777" w:rsidR="00ED7DC3" w:rsidRPr="001D3C3D" w:rsidRDefault="00ED7DC3" w:rsidP="00D63968">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4.7</w:t>
      </w:r>
      <w:r w:rsidRPr="001D3C3D">
        <w:rPr>
          <w:rFonts w:ascii="Times New Roman" w:eastAsia="SimSun" w:hAnsi="Times New Roman" w:cs="Times New Roman"/>
          <w:b/>
          <w:color w:val="000000"/>
          <w:lang w:eastAsia="ar-SA"/>
        </w:rPr>
        <w:tab/>
        <w:t>Poveikis gebėjimui vairuoti ir valdyti mechanizmus</w:t>
      </w:r>
    </w:p>
    <w:p w14:paraId="152B76F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F7EDD2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Dazatinibas daro nedidelę įtaką gebėjimui vairuoti ir valdyti mechanizmus. Pacientas turi būti informuotas, kad vartojant dazatinibo gali pasireikšti nepageidaujamų reakcijų (pvz., svaigulys arba regėjimas tapti miglotas), todėl vairuojant automobilį ar valdant mechanizmus rekomenduojama laikytis atsargumo.</w:t>
      </w:r>
    </w:p>
    <w:p w14:paraId="00F8218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A2BF105"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4.8</w:t>
      </w:r>
      <w:r w:rsidRPr="001D3C3D">
        <w:rPr>
          <w:rFonts w:ascii="Times New Roman" w:eastAsia="SimSun" w:hAnsi="Times New Roman" w:cs="Times New Roman"/>
          <w:b/>
          <w:color w:val="000000"/>
          <w:lang w:eastAsia="ar-SA"/>
        </w:rPr>
        <w:tab/>
        <w:t>Nepageidaujamas poveikis</w:t>
      </w:r>
    </w:p>
    <w:p w14:paraId="12CA1BA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E934B2D"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Saugumo duomenų santrauka</w:t>
      </w:r>
    </w:p>
    <w:p w14:paraId="23B7ED11" w14:textId="00F0DA18"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Žemiau pateikti duomenys gauti taikant monoterapiją visomis dazatinibo dozėmis, tirtomis klinikinių tyrimų metu (N</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900). Jas vartojo 324</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suaugusieji pacientai, sirgę naujai diagnozuota lėtinės fazės LML, ir 2388 suaugusieji pacientai, sirgę lėtinės arba progresavusios fazės LML arba Ph+ ŪLL ir anksčiau patyrę atsparumą imatinibui arba jo netoleravimą, bei 188</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vaikai. </w:t>
      </w:r>
    </w:p>
    <w:p w14:paraId="620E786B"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1C144D6" w14:textId="1B556BB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712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suaugusiųjų pacientų, sirgusių lėtinės fazės LML, progresavusios fazės LML arba Ph+ ŪLL, gydymo trukmės mediana buvo 19,2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0</w:t>
      </w:r>
      <w:r w:rsidR="0074778F">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93,2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Randomizuoto tyrimo metu naujai diagnozuota lėtinės fazės LML sirgusių pacientų gydymo trukmės mediana buvo maždaug 60</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1</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618</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suaugusių pacientų, sirgusių lėtinės fazės LML, gydymo trukmės mediana buvo 29</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0</w:t>
      </w:r>
      <w:r w:rsidR="0074778F">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92,9</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1</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094</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suaugusių pacientų, sirgusių progresavusia LML faze arba Ph+ ŪLL, gydymo trukmės mediana buvo 6,2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0</w:t>
      </w:r>
      <w:r w:rsidR="0074778F">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93,2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188</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pacientų, dalyvavusių pediatriniuose tyrimuose, gydymo trukmės mediana buvo 26,3</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0</w:t>
      </w:r>
      <w:r w:rsidR="0074778F">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99,6</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w:t>
      </w:r>
    </w:p>
    <w:p w14:paraId="7E7A947D" w14:textId="60D9BD52"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130 lėtinės fazės LML sirgusių vaikų populiacijos pacientų, vartojusių dazatinibo, pogrupio gydymo trukmės mediana buvo 42,3</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0,1</w:t>
      </w:r>
      <w:r w:rsidR="0074778F">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99,6</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w:t>
      </w:r>
    </w:p>
    <w:p w14:paraId="3F9F7BF1" w14:textId="1C40ED99"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Daugumai dazatinibo vartojusių pacientų įvairiu laiku pasireiškė nepageidaujamų reakcijų. 520 iš 2</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712 (19</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visų dazatinibo vartojusių suaugusiųjų pacientų patyrė nepageidaujamų reakcijų, dėl kurių teko nutraukti gydymą. </w:t>
      </w:r>
    </w:p>
    <w:p w14:paraId="6462A231" w14:textId="01E7D543"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lang w:eastAsia="ar-SA"/>
        </w:rPr>
        <w:t>Bendras dazatinibo saugumo pobūdis Ph+ LML LF sergančių vaikų populiacijai buvo panašus į suaugusiųjų (nepriklausomai nuo farmacinės formos), tik vaikams neužfiksuota skysčio susikaupimo perikardo ertmėje, skysčio pleuros ertmėje, plaučių edemos ir plaučių hipertenzijos atvejų. 2 iš 130 (1,5</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dazatinibo vartojusių vaikų populiacijos pacientų, sirgusių LML LF, pasireiškė nepageidaujamų reakcijų, dėl kurių teko nutraukti gydymą.</w:t>
      </w:r>
    </w:p>
    <w:p w14:paraId="36F5233E" w14:textId="77777777"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p>
    <w:p w14:paraId="7555DB82" w14:textId="77777777" w:rsidR="00ED7DC3" w:rsidRPr="001D3C3D" w:rsidRDefault="00ED7DC3" w:rsidP="00B92E23">
      <w:pPr>
        <w:keepNext/>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lastRenderedPageBreak/>
        <w:t>Nepageidaujamų reakcijų santrauka lentelėje</w:t>
      </w:r>
    </w:p>
    <w:p w14:paraId="79D31032" w14:textId="691ABCD0"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Žemiau išvardytos nepageidaujamos reakcijos (išskyrus laboratorinių duomenų pokyčius), apie kurias buvo pranešta monoterapijos dazatinibu klinikinių tyrimų metu ir šį vaistinį preparatą pateikus į rinką (žr. 5 lentelę). Jos pateikiamos pagal organų sistemų klases ir dažnį. Nepageidaujamo poveikio dažnis apibūdinamas taip: labai dažnas (≥</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 dažnas (nuo ≥</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1/100 iki &lt;</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 nedažnas (nuo ≥</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000 iki &lt;</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1/100), retas (nuo ≥</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000 iki &lt;</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000), labai retas (&lt;</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1/10</w:t>
      </w:r>
      <w:r w:rsidR="0074778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000) ir nežinomas (negali būti apskaičiuotas pagal turimus duomenis).</w:t>
      </w:r>
    </w:p>
    <w:p w14:paraId="312145AD"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Kiekvienoje dažnio grupėje nepageidaujamos reakcijos pateikiamos mažėjančio sunkumo tvarka.</w:t>
      </w:r>
    </w:p>
    <w:p w14:paraId="647ACCE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6135F3B"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 lentelė. Nepageidaujamų reakcijų santrauka lentelėje</w:t>
      </w:r>
    </w:p>
    <w:p w14:paraId="403945C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tbl>
      <w:tblPr>
        <w:tblW w:w="9288" w:type="dxa"/>
        <w:tblInd w:w="83" w:type="dxa"/>
        <w:tblLayout w:type="fixed"/>
        <w:tblCellMar>
          <w:left w:w="0" w:type="dxa"/>
          <w:right w:w="0" w:type="dxa"/>
        </w:tblCellMar>
        <w:tblLook w:val="0000" w:firstRow="0" w:lastRow="0" w:firstColumn="0" w:lastColumn="0" w:noHBand="0" w:noVBand="0"/>
      </w:tblPr>
      <w:tblGrid>
        <w:gridCol w:w="1613"/>
        <w:gridCol w:w="7650"/>
        <w:gridCol w:w="25"/>
      </w:tblGrid>
      <w:tr w:rsidR="00ED7DC3" w:rsidRPr="001D3C3D" w14:paraId="2995407E"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7037D4D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Infekcijos ir infestacijos</w:t>
            </w:r>
          </w:p>
        </w:tc>
        <w:tc>
          <w:tcPr>
            <w:tcW w:w="25" w:type="dxa"/>
            <w:tcBorders>
              <w:left w:val="single" w:sz="4" w:space="0" w:color="000000"/>
            </w:tcBorders>
            <w:shd w:val="clear" w:color="auto" w:fill="auto"/>
          </w:tcPr>
          <w:p w14:paraId="28ED1040"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083F76D"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5DD7E20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0853C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Infekcija (bakterinė, virusinė, grybelinė, nepatikslinta).</w:t>
            </w:r>
          </w:p>
        </w:tc>
      </w:tr>
      <w:tr w:rsidR="00ED7DC3" w:rsidRPr="001D3C3D" w14:paraId="4C961241" w14:textId="77777777" w:rsidTr="00B92E23">
        <w:trPr>
          <w:gridAfter w:val="1"/>
          <w:wAfter w:w="25" w:type="dxa"/>
          <w:trHeight w:hRule="exact" w:val="831"/>
        </w:trPr>
        <w:tc>
          <w:tcPr>
            <w:tcW w:w="1613" w:type="dxa"/>
            <w:tcBorders>
              <w:top w:val="single" w:sz="4" w:space="0" w:color="000000"/>
              <w:left w:val="single" w:sz="4" w:space="0" w:color="000000"/>
              <w:bottom w:val="single" w:sz="4" w:space="0" w:color="000000"/>
            </w:tcBorders>
            <w:shd w:val="clear" w:color="auto" w:fill="auto"/>
          </w:tcPr>
          <w:p w14:paraId="41B7F88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9C6040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Pneumonija (bakterinė, virusinė, grybelinė), viršutinių kvėpavimo takų infekcija ar uždegimas, pūslelinės viruso [</w:t>
            </w:r>
            <w:r w:rsidRPr="001D3C3D">
              <w:rPr>
                <w:rFonts w:ascii="Times New Roman" w:eastAsia="Times New Roman" w:hAnsi="Times New Roman" w:cs="Times New Roman"/>
                <w:i/>
                <w:color w:val="000000"/>
                <w:lang w:eastAsia="ar-SA"/>
              </w:rPr>
              <w:t>herpes simplex</w:t>
            </w:r>
            <w:r w:rsidRPr="001D3C3D">
              <w:rPr>
                <w:rFonts w:ascii="Times New Roman" w:eastAsia="Times New Roman" w:hAnsi="Times New Roman" w:cs="Times New Roman"/>
                <w:color w:val="000000"/>
                <w:lang w:eastAsia="ar-SA"/>
              </w:rPr>
              <w:t>], įskaitant citomegalovirusą (CMV), infekcija, enterokolitinė infekcija, sepsis (buvo ir nedažnų mirties atvejų).</w:t>
            </w:r>
          </w:p>
        </w:tc>
      </w:tr>
      <w:tr w:rsidR="00ED7DC3" w:rsidRPr="001D3C3D" w14:paraId="3803611B"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44735E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AEBED8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Hepatito B reaktyvacija</w:t>
            </w:r>
          </w:p>
        </w:tc>
      </w:tr>
      <w:tr w:rsidR="00ED7DC3" w:rsidRPr="001D3C3D" w14:paraId="65AC76DA" w14:textId="77777777" w:rsidTr="00B92E23">
        <w:trPr>
          <w:trHeight w:hRule="exact" w:val="264"/>
        </w:trPr>
        <w:tc>
          <w:tcPr>
            <w:tcW w:w="9263" w:type="dxa"/>
            <w:gridSpan w:val="2"/>
            <w:tcBorders>
              <w:top w:val="single" w:sz="4" w:space="0" w:color="000000"/>
              <w:left w:val="single" w:sz="4" w:space="0" w:color="000000"/>
              <w:bottom w:val="single" w:sz="4" w:space="0" w:color="000000"/>
            </w:tcBorders>
            <w:shd w:val="clear" w:color="auto" w:fill="F3F3F3"/>
          </w:tcPr>
          <w:p w14:paraId="74B10A3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Kraujo ir limfinės sistemos sutrikimai</w:t>
            </w:r>
          </w:p>
        </w:tc>
        <w:tc>
          <w:tcPr>
            <w:tcW w:w="25" w:type="dxa"/>
            <w:tcBorders>
              <w:left w:val="single" w:sz="4" w:space="0" w:color="000000"/>
            </w:tcBorders>
            <w:shd w:val="clear" w:color="auto" w:fill="auto"/>
          </w:tcPr>
          <w:p w14:paraId="46E1F623"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B65BD2E" w14:textId="77777777" w:rsidTr="00B92E23">
        <w:trPr>
          <w:gridAfter w:val="1"/>
          <w:wAfter w:w="25" w:type="dxa"/>
          <w:trHeight w:hRule="exact" w:val="653"/>
        </w:trPr>
        <w:tc>
          <w:tcPr>
            <w:tcW w:w="1613" w:type="dxa"/>
            <w:tcBorders>
              <w:top w:val="single" w:sz="4" w:space="0" w:color="000000"/>
              <w:left w:val="single" w:sz="4" w:space="0" w:color="000000"/>
              <w:bottom w:val="single" w:sz="4" w:space="0" w:color="000000"/>
            </w:tcBorders>
            <w:shd w:val="clear" w:color="auto" w:fill="auto"/>
          </w:tcPr>
          <w:p w14:paraId="245876BE" w14:textId="77777777" w:rsidR="00ED7DC3" w:rsidRPr="001D3C3D" w:rsidRDefault="00ED7DC3" w:rsidP="00ED7DC3">
            <w:pPr>
              <w:suppressAutoHyphens/>
              <w:spacing w:after="0" w:line="240" w:lineRule="auto"/>
              <w:rPr>
                <w:rFonts w:ascii="Times New Roman" w:eastAsia="Times New Roman" w:hAnsi="Times New Roman" w:cs="Times New Roman"/>
                <w:color w:val="000000"/>
                <w:spacing w:val="2"/>
                <w:lang w:eastAsia="ar-SA"/>
              </w:rPr>
            </w:pPr>
            <w:r w:rsidRPr="001D3C3D">
              <w:rPr>
                <w:rFonts w:ascii="Times New Roman" w:eastAsia="Times New Roman" w:hAnsi="Times New Roman" w:cs="Times New Roman"/>
                <w:i/>
                <w:color w:val="000000"/>
                <w:lang w:eastAsia="ar-SA"/>
              </w:rPr>
              <w:t xml:space="preserve"> 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0D01FE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2"/>
                <w:lang w:eastAsia="ar-SA"/>
              </w:rPr>
              <w:t>Susilpnėjusi kaulų čiulpų funkcija (įskaitant anemiją, neutropeniją, trombocitopeniją).</w:t>
            </w:r>
          </w:p>
        </w:tc>
      </w:tr>
      <w:tr w:rsidR="00ED7DC3" w:rsidRPr="001D3C3D" w14:paraId="6619DC99"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0917981B" w14:textId="77777777" w:rsidR="00ED7DC3" w:rsidRPr="001D3C3D" w:rsidRDefault="00ED7DC3" w:rsidP="00ED7DC3">
            <w:pPr>
              <w:suppressAutoHyphens/>
              <w:spacing w:after="0" w:line="240" w:lineRule="auto"/>
              <w:rPr>
                <w:rFonts w:ascii="Times New Roman" w:eastAsia="Times New Roman" w:hAnsi="Times New Roman" w:cs="Times New Roman"/>
                <w:color w:val="000000"/>
                <w:spacing w:val="4"/>
                <w:lang w:eastAsia="ar-SA"/>
              </w:rPr>
            </w:pPr>
            <w:r w:rsidRPr="001D3C3D">
              <w:rPr>
                <w:rFonts w:ascii="Times New Roman" w:eastAsia="Times New Roman" w:hAnsi="Times New Roman" w:cs="Times New Roman"/>
                <w:i/>
                <w:color w:val="000000"/>
                <w:lang w:eastAsia="ar-SA"/>
              </w:rPr>
              <w:t xml:space="preserve">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9330A2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4"/>
                <w:lang w:eastAsia="ar-SA"/>
              </w:rPr>
              <w:t>Febrilinė neutropenija.</w:t>
            </w:r>
          </w:p>
        </w:tc>
      </w:tr>
      <w:tr w:rsidR="00ED7DC3" w:rsidRPr="001D3C3D" w14:paraId="70629148"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0930D6A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3"/>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A70B2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3"/>
                <w:lang w:eastAsia="ar-SA"/>
              </w:rPr>
              <w:t>Limfadenopatija, limfopenija.</w:t>
            </w:r>
          </w:p>
        </w:tc>
      </w:tr>
      <w:tr w:rsidR="00ED7DC3" w:rsidRPr="001D3C3D" w14:paraId="6E61F5C1" w14:textId="77777777" w:rsidTr="00B92E23">
        <w:trPr>
          <w:gridAfter w:val="1"/>
          <w:wAfter w:w="25" w:type="dxa"/>
          <w:trHeight w:hRule="exact" w:val="371"/>
        </w:trPr>
        <w:tc>
          <w:tcPr>
            <w:tcW w:w="1613" w:type="dxa"/>
            <w:tcBorders>
              <w:top w:val="single" w:sz="4" w:space="0" w:color="000000"/>
              <w:left w:val="single" w:sz="4" w:space="0" w:color="000000"/>
              <w:bottom w:val="single" w:sz="4" w:space="0" w:color="000000"/>
            </w:tcBorders>
            <w:shd w:val="clear" w:color="auto" w:fill="auto"/>
          </w:tcPr>
          <w:p w14:paraId="106C5C0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3"/>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812A57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3"/>
                <w:lang w:eastAsia="ar-SA"/>
              </w:rPr>
              <w:t>Grynoji eritrocitų aplazija.</w:t>
            </w:r>
          </w:p>
        </w:tc>
      </w:tr>
      <w:tr w:rsidR="00ED7DC3" w:rsidRPr="001D3C3D" w14:paraId="096D2EF0"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3F1DEA2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Imuninės sistemos sutrikimai</w:t>
            </w:r>
          </w:p>
        </w:tc>
        <w:tc>
          <w:tcPr>
            <w:tcW w:w="25" w:type="dxa"/>
            <w:tcBorders>
              <w:left w:val="single" w:sz="4" w:space="0" w:color="000000"/>
            </w:tcBorders>
            <w:shd w:val="clear" w:color="auto" w:fill="auto"/>
          </w:tcPr>
          <w:p w14:paraId="79AD539A"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4A40024B"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CAE678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3"/>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9C79F8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3"/>
                <w:lang w:eastAsia="ar-SA"/>
              </w:rPr>
              <w:t>Padidėjęs jautrumas (įskaitant mazginę raudonę (</w:t>
            </w:r>
            <w:r w:rsidRPr="001D3C3D">
              <w:rPr>
                <w:rFonts w:ascii="Times New Roman" w:eastAsia="Times New Roman" w:hAnsi="Times New Roman" w:cs="Times New Roman"/>
                <w:i/>
                <w:color w:val="000000"/>
                <w:spacing w:val="3"/>
                <w:lang w:eastAsia="ar-SA"/>
              </w:rPr>
              <w:t>erythema nodosum</w:t>
            </w:r>
            <w:r w:rsidRPr="001D3C3D">
              <w:rPr>
                <w:rFonts w:ascii="Times New Roman" w:eastAsia="Times New Roman" w:hAnsi="Times New Roman" w:cs="Times New Roman"/>
                <w:color w:val="000000"/>
                <w:spacing w:val="3"/>
                <w:lang w:eastAsia="ar-SA"/>
              </w:rPr>
              <w:t>)).</w:t>
            </w:r>
          </w:p>
        </w:tc>
      </w:tr>
      <w:tr w:rsidR="00ED7DC3" w:rsidRPr="001D3C3D" w14:paraId="7C1455C7" w14:textId="77777777" w:rsidTr="00B92E23">
        <w:trPr>
          <w:gridAfter w:val="1"/>
          <w:wAfter w:w="25" w:type="dxa"/>
          <w:trHeight w:hRule="exact" w:val="263"/>
        </w:trPr>
        <w:tc>
          <w:tcPr>
            <w:tcW w:w="1613" w:type="dxa"/>
            <w:tcBorders>
              <w:left w:val="single" w:sz="4" w:space="0" w:color="000000"/>
              <w:bottom w:val="single" w:sz="4" w:space="0" w:color="000000"/>
            </w:tcBorders>
            <w:shd w:val="clear" w:color="auto" w:fill="auto"/>
          </w:tcPr>
          <w:p w14:paraId="14A4C19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left w:val="single" w:sz="4" w:space="0" w:color="000000"/>
              <w:bottom w:val="single" w:sz="4" w:space="0" w:color="000000"/>
              <w:right w:val="single" w:sz="4" w:space="0" w:color="000000"/>
            </w:tcBorders>
            <w:shd w:val="clear" w:color="auto" w:fill="auto"/>
          </w:tcPr>
          <w:p w14:paraId="0FA3057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Anafilaksinis šokas.</w:t>
            </w:r>
          </w:p>
        </w:tc>
      </w:tr>
      <w:tr w:rsidR="00ED7DC3" w:rsidRPr="001D3C3D" w14:paraId="2BC4749C" w14:textId="77777777" w:rsidTr="00B92E23">
        <w:trPr>
          <w:trHeight w:hRule="exact" w:val="264"/>
        </w:trPr>
        <w:tc>
          <w:tcPr>
            <w:tcW w:w="9263" w:type="dxa"/>
            <w:gridSpan w:val="2"/>
            <w:tcBorders>
              <w:top w:val="single" w:sz="4" w:space="0" w:color="000000"/>
              <w:left w:val="single" w:sz="4" w:space="0" w:color="000000"/>
              <w:bottom w:val="single" w:sz="4" w:space="0" w:color="000000"/>
            </w:tcBorders>
            <w:shd w:val="clear" w:color="auto" w:fill="F3F3F3"/>
          </w:tcPr>
          <w:p w14:paraId="332BA70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Endokrininiai sutrikimai</w:t>
            </w:r>
          </w:p>
        </w:tc>
        <w:tc>
          <w:tcPr>
            <w:tcW w:w="25" w:type="dxa"/>
            <w:tcBorders>
              <w:left w:val="single" w:sz="4" w:space="0" w:color="000000"/>
            </w:tcBorders>
            <w:shd w:val="clear" w:color="auto" w:fill="auto"/>
          </w:tcPr>
          <w:p w14:paraId="2CB4B65A"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2845DA7B"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2ABA5D5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3"/>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A9A9B5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3"/>
                <w:lang w:eastAsia="ar-SA"/>
              </w:rPr>
              <w:t>Hipotirozė.</w:t>
            </w:r>
          </w:p>
        </w:tc>
      </w:tr>
      <w:tr w:rsidR="00ED7DC3" w:rsidRPr="001D3C3D" w14:paraId="42F379C7"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1ADB68E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3"/>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E54B6BE"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3"/>
                <w:lang w:eastAsia="ar-SA"/>
              </w:rPr>
              <w:t>Hipertireozė, tiroiditas.</w:t>
            </w:r>
          </w:p>
        </w:tc>
      </w:tr>
      <w:tr w:rsidR="00ED7DC3" w:rsidRPr="001D3C3D" w14:paraId="1C4833D4"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1193B0B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Metabolizmo ir mitybos sutrikimai</w:t>
            </w:r>
          </w:p>
        </w:tc>
        <w:tc>
          <w:tcPr>
            <w:tcW w:w="25" w:type="dxa"/>
            <w:tcBorders>
              <w:left w:val="single" w:sz="4" w:space="0" w:color="000000"/>
            </w:tcBorders>
            <w:shd w:val="clear" w:color="auto" w:fill="auto"/>
          </w:tcPr>
          <w:p w14:paraId="69EF4C1F"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078F7606"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18F91B7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79E863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Apetito sutrikimai</w:t>
            </w:r>
            <w:r w:rsidRPr="001D3C3D">
              <w:rPr>
                <w:rFonts w:ascii="Times New Roman" w:eastAsia="Times New Roman" w:hAnsi="Times New Roman" w:cs="Times New Roman"/>
                <w:color w:val="000000"/>
                <w:vertAlign w:val="superscript"/>
                <w:lang w:eastAsia="ar-SA"/>
              </w:rPr>
              <w:t>a</w:t>
            </w:r>
            <w:r w:rsidRPr="001D3C3D">
              <w:rPr>
                <w:rFonts w:ascii="Times New Roman" w:eastAsia="Times New Roman" w:hAnsi="Times New Roman" w:cs="Times New Roman"/>
                <w:color w:val="000000"/>
                <w:lang w:eastAsia="ar-SA"/>
              </w:rPr>
              <w:t>, hiperurikemija.</w:t>
            </w:r>
          </w:p>
        </w:tc>
      </w:tr>
      <w:tr w:rsidR="00ED7DC3" w:rsidRPr="001D3C3D" w14:paraId="7A2480C1"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25AF84B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82633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Naviko irimo sindromas, dehidracija, hipoalbuminemija, hipercholesterolemija.</w:t>
            </w:r>
          </w:p>
        </w:tc>
      </w:tr>
      <w:tr w:rsidR="00ED7DC3" w:rsidRPr="001D3C3D" w14:paraId="4E6454FF"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56C552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80BF93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Cukrinis diabetas.</w:t>
            </w:r>
          </w:p>
        </w:tc>
      </w:tr>
      <w:tr w:rsidR="00ED7DC3" w:rsidRPr="001D3C3D" w14:paraId="3C28A4A4" w14:textId="77777777" w:rsidTr="00B92E23">
        <w:trPr>
          <w:trHeight w:hRule="exact" w:val="264"/>
        </w:trPr>
        <w:tc>
          <w:tcPr>
            <w:tcW w:w="9263" w:type="dxa"/>
            <w:gridSpan w:val="2"/>
            <w:tcBorders>
              <w:top w:val="single" w:sz="4" w:space="0" w:color="000000"/>
              <w:left w:val="single" w:sz="4" w:space="0" w:color="000000"/>
              <w:bottom w:val="single" w:sz="4" w:space="0" w:color="000000"/>
            </w:tcBorders>
            <w:shd w:val="clear" w:color="auto" w:fill="F3F3F3"/>
          </w:tcPr>
          <w:p w14:paraId="7A1DA64E"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Psichikos sutrikimai</w:t>
            </w:r>
          </w:p>
        </w:tc>
        <w:tc>
          <w:tcPr>
            <w:tcW w:w="25" w:type="dxa"/>
            <w:tcBorders>
              <w:left w:val="single" w:sz="4" w:space="0" w:color="000000"/>
            </w:tcBorders>
            <w:shd w:val="clear" w:color="auto" w:fill="auto"/>
          </w:tcPr>
          <w:p w14:paraId="5E81FF36"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7C635C2"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7E41023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FFD61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Depresija, nemiga.</w:t>
            </w:r>
          </w:p>
        </w:tc>
      </w:tr>
      <w:tr w:rsidR="00ED7DC3" w:rsidRPr="001D3C3D" w14:paraId="3E00093D"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A092CC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D082F0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Nerimas, sumišimas, nuotaikos labilumas, susilpnėjęs lytinis potraukis.</w:t>
            </w:r>
          </w:p>
        </w:tc>
      </w:tr>
      <w:tr w:rsidR="00ED7DC3" w:rsidRPr="001D3C3D" w14:paraId="04F1646F"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226F34E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Nervų sistemos sutrikimai</w:t>
            </w:r>
          </w:p>
        </w:tc>
        <w:tc>
          <w:tcPr>
            <w:tcW w:w="25" w:type="dxa"/>
            <w:tcBorders>
              <w:left w:val="single" w:sz="4" w:space="0" w:color="000000"/>
            </w:tcBorders>
            <w:shd w:val="clear" w:color="auto" w:fill="auto"/>
          </w:tcPr>
          <w:p w14:paraId="1F4DC0FD"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277D998"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BA6A47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300D85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Galvos skausmas.</w:t>
            </w:r>
          </w:p>
        </w:tc>
      </w:tr>
      <w:tr w:rsidR="00ED7DC3" w:rsidRPr="001D3C3D" w14:paraId="60C59DBA" w14:textId="77777777" w:rsidTr="00B92E23">
        <w:trPr>
          <w:gridAfter w:val="1"/>
          <w:wAfter w:w="25" w:type="dxa"/>
          <w:trHeight w:hRule="exact" w:val="510"/>
        </w:trPr>
        <w:tc>
          <w:tcPr>
            <w:tcW w:w="1613" w:type="dxa"/>
            <w:tcBorders>
              <w:top w:val="single" w:sz="4" w:space="0" w:color="000000"/>
              <w:left w:val="single" w:sz="4" w:space="0" w:color="000000"/>
              <w:bottom w:val="single" w:sz="4" w:space="0" w:color="000000"/>
            </w:tcBorders>
            <w:shd w:val="clear" w:color="auto" w:fill="auto"/>
          </w:tcPr>
          <w:p w14:paraId="5AE3763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3AC5D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Neuropatija (įskaitant periferinę neuropatiją), svaigulys, disgeuzija, mieguistumas.</w:t>
            </w:r>
          </w:p>
        </w:tc>
      </w:tr>
      <w:tr w:rsidR="00ED7DC3" w:rsidRPr="001D3C3D" w14:paraId="1D8410FD"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1840DEB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BAD96E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Kraujavimas CNS</w:t>
            </w:r>
            <w:r w:rsidRPr="001D3C3D">
              <w:rPr>
                <w:rFonts w:ascii="Times New Roman" w:eastAsia="Times New Roman" w:hAnsi="Times New Roman" w:cs="Times New Roman"/>
                <w:color w:val="000000"/>
                <w:vertAlign w:val="superscript"/>
                <w:lang w:eastAsia="ar-SA"/>
              </w:rPr>
              <w:t>*b</w:t>
            </w:r>
            <w:r w:rsidRPr="001D3C3D">
              <w:rPr>
                <w:rFonts w:ascii="Times New Roman" w:eastAsia="Times New Roman" w:hAnsi="Times New Roman" w:cs="Times New Roman"/>
                <w:color w:val="000000"/>
                <w:lang w:eastAsia="ar-SA"/>
              </w:rPr>
              <w:t>, sinkopė, drebulys, amnezija, sutrikusi pusiausvyra.</w:t>
            </w:r>
          </w:p>
        </w:tc>
      </w:tr>
      <w:tr w:rsidR="00ED7DC3" w:rsidRPr="001D3C3D" w14:paraId="1371D6ED" w14:textId="77777777" w:rsidTr="00B92E23">
        <w:trPr>
          <w:gridAfter w:val="1"/>
          <w:wAfter w:w="25" w:type="dxa"/>
          <w:trHeight w:hRule="exact" w:val="515"/>
        </w:trPr>
        <w:tc>
          <w:tcPr>
            <w:tcW w:w="1613" w:type="dxa"/>
            <w:tcBorders>
              <w:top w:val="single" w:sz="4" w:space="0" w:color="000000"/>
              <w:left w:val="single" w:sz="4" w:space="0" w:color="000000"/>
              <w:bottom w:val="single" w:sz="4" w:space="0" w:color="000000"/>
            </w:tcBorders>
            <w:shd w:val="clear" w:color="auto" w:fill="auto"/>
          </w:tcPr>
          <w:p w14:paraId="6E8C7C4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8946E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Smegenų kraujagyslių priepuolis, praeinantysis smegenų išemijos priepuolis, traukuliai, optinis neuritas, VII-ojo nervo paralyžius, demencija, ataksija.</w:t>
            </w:r>
          </w:p>
        </w:tc>
      </w:tr>
      <w:tr w:rsidR="00ED7DC3" w:rsidRPr="001D3C3D" w14:paraId="1CC6403E"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114EEEC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Akių sutrikimai</w:t>
            </w:r>
          </w:p>
        </w:tc>
        <w:tc>
          <w:tcPr>
            <w:tcW w:w="25" w:type="dxa"/>
            <w:tcBorders>
              <w:left w:val="single" w:sz="4" w:space="0" w:color="000000"/>
            </w:tcBorders>
            <w:shd w:val="clear" w:color="auto" w:fill="auto"/>
          </w:tcPr>
          <w:p w14:paraId="1C2A45D8"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05D799B" w14:textId="77777777" w:rsidTr="00B92E23">
        <w:trPr>
          <w:gridAfter w:val="1"/>
          <w:wAfter w:w="25" w:type="dxa"/>
          <w:trHeight w:hRule="exact" w:val="510"/>
        </w:trPr>
        <w:tc>
          <w:tcPr>
            <w:tcW w:w="1613" w:type="dxa"/>
            <w:tcBorders>
              <w:top w:val="single" w:sz="4" w:space="0" w:color="000000"/>
              <w:left w:val="single" w:sz="4" w:space="0" w:color="000000"/>
              <w:bottom w:val="single" w:sz="4" w:space="0" w:color="000000"/>
            </w:tcBorders>
            <w:shd w:val="clear" w:color="auto" w:fill="auto"/>
          </w:tcPr>
          <w:p w14:paraId="7C9B5D0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F4C622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Regos sutrikimai (sutrikęs regėjimas, miglotas regėjimas, sumažėjęs regėjimo aštrumas), sausos akys.</w:t>
            </w:r>
          </w:p>
        </w:tc>
      </w:tr>
      <w:tr w:rsidR="00ED7DC3" w:rsidRPr="001D3C3D" w14:paraId="6242F84F"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7D0F259E"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923175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Susilpnėjęs regėjimas, konjunktyvitas, šviesos baimė, padidėjęs ašarojimas.</w:t>
            </w:r>
          </w:p>
        </w:tc>
      </w:tr>
      <w:tr w:rsidR="00ED7DC3" w:rsidRPr="001D3C3D" w14:paraId="0B37460A"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3E3CE62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Ausų ir labirintų sutrikimai</w:t>
            </w:r>
          </w:p>
        </w:tc>
        <w:tc>
          <w:tcPr>
            <w:tcW w:w="25" w:type="dxa"/>
            <w:tcBorders>
              <w:left w:val="single" w:sz="4" w:space="0" w:color="000000"/>
            </w:tcBorders>
            <w:shd w:val="clear" w:color="auto" w:fill="auto"/>
          </w:tcPr>
          <w:p w14:paraId="415594B9"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2C7C30CF"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286B66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50FDC1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Spengimas ausyse.</w:t>
            </w:r>
          </w:p>
        </w:tc>
      </w:tr>
      <w:tr w:rsidR="00ED7DC3" w:rsidRPr="001D3C3D" w14:paraId="60C9E55B"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3693AB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6FF075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Apkurtimas, galvos svaigimas (</w:t>
            </w:r>
            <w:r w:rsidRPr="001D3C3D">
              <w:rPr>
                <w:rFonts w:ascii="Times New Roman" w:eastAsia="Times New Roman" w:hAnsi="Times New Roman" w:cs="Times New Roman"/>
                <w:i/>
                <w:color w:val="000000"/>
                <w:lang w:eastAsia="ar-SA"/>
              </w:rPr>
              <w:t>vertigo</w:t>
            </w:r>
            <w:r w:rsidRPr="001D3C3D">
              <w:rPr>
                <w:rFonts w:ascii="Times New Roman" w:eastAsia="Times New Roman" w:hAnsi="Times New Roman" w:cs="Times New Roman"/>
                <w:color w:val="000000"/>
                <w:lang w:eastAsia="ar-SA"/>
              </w:rPr>
              <w:t>).</w:t>
            </w:r>
          </w:p>
        </w:tc>
      </w:tr>
      <w:tr w:rsidR="00ED7DC3" w:rsidRPr="001D3C3D" w14:paraId="6A70A59D"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3C70AFD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Širdies sutrikimai</w:t>
            </w:r>
          </w:p>
        </w:tc>
        <w:tc>
          <w:tcPr>
            <w:tcW w:w="25" w:type="dxa"/>
            <w:tcBorders>
              <w:left w:val="single" w:sz="4" w:space="0" w:color="000000"/>
            </w:tcBorders>
            <w:shd w:val="clear" w:color="auto" w:fill="auto"/>
          </w:tcPr>
          <w:p w14:paraId="4A16DEDD"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0418A695" w14:textId="77777777" w:rsidTr="00B92E23">
        <w:trPr>
          <w:gridAfter w:val="1"/>
          <w:wAfter w:w="25" w:type="dxa"/>
          <w:trHeight w:hRule="exact" w:val="516"/>
        </w:trPr>
        <w:tc>
          <w:tcPr>
            <w:tcW w:w="1613" w:type="dxa"/>
            <w:tcBorders>
              <w:top w:val="single" w:sz="4" w:space="0" w:color="000000"/>
              <w:left w:val="single" w:sz="4" w:space="0" w:color="000000"/>
              <w:bottom w:val="single" w:sz="4" w:space="0" w:color="000000"/>
            </w:tcBorders>
            <w:shd w:val="clear" w:color="auto" w:fill="auto"/>
          </w:tcPr>
          <w:p w14:paraId="7E8E765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5FB11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Stazinis širdies nepakankamumas ar širdies funkcijos sutrikimas</w:t>
            </w:r>
            <w:r w:rsidRPr="001D3C3D">
              <w:rPr>
                <w:rFonts w:ascii="Times New Roman" w:eastAsia="Times New Roman" w:hAnsi="Times New Roman" w:cs="Times New Roman"/>
                <w:color w:val="000000"/>
                <w:vertAlign w:val="superscript"/>
                <w:lang w:eastAsia="ar-SA"/>
              </w:rPr>
              <w:t>*c</w:t>
            </w:r>
            <w:r w:rsidRPr="001D3C3D">
              <w:rPr>
                <w:rFonts w:ascii="Times New Roman" w:eastAsia="Times New Roman" w:hAnsi="Times New Roman" w:cs="Times New Roman"/>
                <w:color w:val="000000"/>
                <w:lang w:eastAsia="ar-SA"/>
              </w:rPr>
              <w:t>, perikardo efuzija</w:t>
            </w:r>
            <w:r w:rsidRPr="001D3C3D">
              <w:rPr>
                <w:rFonts w:ascii="Times New Roman" w:eastAsia="Times New Roman" w:hAnsi="Times New Roman" w:cs="Times New Roman"/>
                <w:color w:val="000000"/>
                <w:vertAlign w:val="superscript"/>
                <w:lang w:eastAsia="ar-SA"/>
              </w:rPr>
              <w:t>*</w:t>
            </w:r>
            <w:r w:rsidRPr="001D3C3D">
              <w:rPr>
                <w:rFonts w:ascii="Times New Roman" w:eastAsia="Times New Roman" w:hAnsi="Times New Roman" w:cs="Times New Roman"/>
                <w:color w:val="000000"/>
                <w:lang w:eastAsia="ar-SA"/>
              </w:rPr>
              <w:t>, aritmija (įskaitant tachikardiją), palpitacijos.</w:t>
            </w:r>
          </w:p>
        </w:tc>
      </w:tr>
      <w:tr w:rsidR="00ED7DC3" w:rsidRPr="001D3C3D" w14:paraId="4F53D905" w14:textId="77777777" w:rsidTr="00B92E23">
        <w:trPr>
          <w:gridAfter w:val="1"/>
          <w:wAfter w:w="25" w:type="dxa"/>
          <w:trHeight w:hRule="exact" w:val="1077"/>
        </w:trPr>
        <w:tc>
          <w:tcPr>
            <w:tcW w:w="1613" w:type="dxa"/>
            <w:tcBorders>
              <w:top w:val="single" w:sz="4" w:space="0" w:color="000000"/>
              <w:left w:val="single" w:sz="4" w:space="0" w:color="000000"/>
              <w:bottom w:val="single" w:sz="4" w:space="0" w:color="000000"/>
            </w:tcBorders>
            <w:shd w:val="clear" w:color="auto" w:fill="auto"/>
          </w:tcPr>
          <w:p w14:paraId="40BB479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2"/>
                <w:lang w:eastAsia="ar-SA"/>
              </w:rPr>
            </w:pPr>
            <w:r w:rsidRPr="001D3C3D">
              <w:rPr>
                <w:rFonts w:ascii="Times New Roman" w:eastAsia="Times New Roman" w:hAnsi="Times New Roman" w:cs="Times New Roman"/>
                <w:i/>
                <w:color w:val="000000"/>
                <w:lang w:eastAsia="ar-SA"/>
              </w:rPr>
              <w:lastRenderedPageBreak/>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B6652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2"/>
                <w:lang w:eastAsia="ar-SA"/>
              </w:rPr>
              <w:t>Miokardo infarktas (įskaitant mirties atvejus)</w:t>
            </w:r>
            <w:r w:rsidRPr="001D3C3D">
              <w:rPr>
                <w:rFonts w:ascii="Times New Roman" w:eastAsia="Times New Roman" w:hAnsi="Times New Roman" w:cs="Times New Roman"/>
                <w:color w:val="000000"/>
                <w:spacing w:val="-2"/>
                <w:vertAlign w:val="superscript"/>
                <w:lang w:eastAsia="ar-SA"/>
              </w:rPr>
              <w:t>*</w:t>
            </w:r>
            <w:r w:rsidRPr="001D3C3D">
              <w:rPr>
                <w:rFonts w:ascii="Times New Roman" w:eastAsia="Times New Roman" w:hAnsi="Times New Roman" w:cs="Times New Roman"/>
                <w:color w:val="000000"/>
                <w:spacing w:val="-2"/>
                <w:lang w:eastAsia="ar-SA"/>
              </w:rPr>
              <w:t>, pailgėjęs QT intervalas elektrokardiogramoje</w:t>
            </w:r>
            <w:r w:rsidRPr="001D3C3D">
              <w:rPr>
                <w:rFonts w:ascii="Times New Roman" w:eastAsia="Times New Roman" w:hAnsi="Times New Roman" w:cs="Times New Roman"/>
                <w:color w:val="000000"/>
                <w:spacing w:val="-2"/>
                <w:vertAlign w:val="superscript"/>
                <w:lang w:eastAsia="ar-SA"/>
              </w:rPr>
              <w:t>*</w:t>
            </w:r>
            <w:r w:rsidRPr="001D3C3D">
              <w:rPr>
                <w:rFonts w:ascii="Times New Roman" w:eastAsia="Times New Roman" w:hAnsi="Times New Roman" w:cs="Times New Roman"/>
                <w:color w:val="000000"/>
                <w:spacing w:val="-2"/>
                <w:lang w:eastAsia="ar-SA"/>
              </w:rPr>
              <w:t>, perikarditas, skilvelinė aritmija (įskaitant skilvelinę tachikardiją), krūtinės angina, kardiomegalija, nenormalus T dantelis elektrokardiogramoje, padidėjusi troponino koncentracija.</w:t>
            </w:r>
          </w:p>
        </w:tc>
      </w:tr>
      <w:tr w:rsidR="00ED7DC3" w:rsidRPr="001D3C3D" w14:paraId="61DBFDC7" w14:textId="77777777" w:rsidTr="00B92E23">
        <w:trPr>
          <w:gridAfter w:val="1"/>
          <w:wAfter w:w="25" w:type="dxa"/>
          <w:trHeight w:hRule="exact" w:val="634"/>
        </w:trPr>
        <w:tc>
          <w:tcPr>
            <w:tcW w:w="1613" w:type="dxa"/>
            <w:tcBorders>
              <w:top w:val="single" w:sz="4" w:space="0" w:color="000000"/>
              <w:left w:val="single" w:sz="4" w:space="0" w:color="000000"/>
              <w:bottom w:val="single" w:sz="4" w:space="0" w:color="000000"/>
            </w:tcBorders>
            <w:shd w:val="clear" w:color="auto" w:fill="auto"/>
          </w:tcPr>
          <w:p w14:paraId="5EB969D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A1EFCF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Plautinė širdis, miokarditas, ūminis koronarinis sindromas, širdies sustojimas, pailgėjęs PR intervalas elektrokardiogramoje, išeminė širdies liga, pleuroperikarditas.</w:t>
            </w:r>
          </w:p>
        </w:tc>
      </w:tr>
      <w:tr w:rsidR="00ED7DC3" w:rsidRPr="001D3C3D" w14:paraId="00EA0C87" w14:textId="77777777" w:rsidTr="00B92E23">
        <w:trPr>
          <w:gridAfter w:val="1"/>
          <w:wAfter w:w="25" w:type="dxa"/>
          <w:trHeight w:hRule="exact" w:val="349"/>
        </w:trPr>
        <w:tc>
          <w:tcPr>
            <w:tcW w:w="1613" w:type="dxa"/>
            <w:tcBorders>
              <w:top w:val="single" w:sz="4" w:space="0" w:color="000000"/>
              <w:left w:val="single" w:sz="4" w:space="0" w:color="000000"/>
              <w:bottom w:val="single" w:sz="4" w:space="0" w:color="000000"/>
            </w:tcBorders>
            <w:shd w:val="clear" w:color="auto" w:fill="auto"/>
          </w:tcPr>
          <w:p w14:paraId="4FA397E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07663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Prieširdžių virpėjimas ir (arba) plazdėjimas</w:t>
            </w:r>
          </w:p>
        </w:tc>
      </w:tr>
      <w:tr w:rsidR="00ED7DC3" w:rsidRPr="001D3C3D" w14:paraId="2F35B486"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2DEF4CC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Kraujagyslių sutrikimai</w:t>
            </w:r>
          </w:p>
        </w:tc>
        <w:tc>
          <w:tcPr>
            <w:tcW w:w="25" w:type="dxa"/>
            <w:tcBorders>
              <w:left w:val="single" w:sz="4" w:space="0" w:color="000000"/>
            </w:tcBorders>
            <w:shd w:val="clear" w:color="auto" w:fill="auto"/>
          </w:tcPr>
          <w:p w14:paraId="5060DE1C"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764C165"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A5B3A7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8DED38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1"/>
                <w:lang w:eastAsia="ar-SA"/>
              </w:rPr>
              <w:t>Kraujavimas</w:t>
            </w:r>
            <w:r w:rsidRPr="001D3C3D">
              <w:rPr>
                <w:rFonts w:ascii="Times New Roman" w:eastAsia="Times New Roman" w:hAnsi="Times New Roman" w:cs="Times New Roman"/>
                <w:color w:val="000000"/>
                <w:spacing w:val="1"/>
                <w:vertAlign w:val="superscript"/>
                <w:lang w:eastAsia="ar-SA"/>
              </w:rPr>
              <w:t>*d</w:t>
            </w:r>
            <w:r w:rsidRPr="001D3C3D">
              <w:rPr>
                <w:rFonts w:ascii="Times New Roman" w:eastAsia="Times New Roman" w:hAnsi="Times New Roman" w:cs="Times New Roman"/>
                <w:color w:val="000000"/>
                <w:spacing w:val="1"/>
                <w:lang w:eastAsia="ar-SA"/>
              </w:rPr>
              <w:t>.</w:t>
            </w:r>
          </w:p>
        </w:tc>
      </w:tr>
      <w:tr w:rsidR="00ED7DC3" w:rsidRPr="001D3C3D" w14:paraId="07B0011E"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F5C2F1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8822E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1"/>
                <w:lang w:eastAsia="ar-SA"/>
              </w:rPr>
              <w:t>Hipertenzija, veido ir kaklo paraudimas.</w:t>
            </w:r>
          </w:p>
        </w:tc>
      </w:tr>
      <w:tr w:rsidR="00ED7DC3" w:rsidRPr="001D3C3D" w14:paraId="77C7E489"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06277F6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FE31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Hipotenzija, tromboflebitas, trombozė.</w:t>
            </w:r>
          </w:p>
        </w:tc>
      </w:tr>
      <w:tr w:rsidR="00ED7DC3" w:rsidRPr="001D3C3D" w14:paraId="337365AE"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4A974D4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7CCA8E"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Giliųjų venų trombozė, embolija, odos marmuruotumas.</w:t>
            </w:r>
          </w:p>
        </w:tc>
      </w:tr>
      <w:tr w:rsidR="00ED7DC3" w:rsidRPr="001D3C3D" w14:paraId="679A943B" w14:textId="77777777" w:rsidTr="00B92E23">
        <w:trPr>
          <w:gridAfter w:val="1"/>
          <w:wAfter w:w="25" w:type="dxa"/>
          <w:trHeight w:hRule="exact" w:val="263"/>
        </w:trPr>
        <w:tc>
          <w:tcPr>
            <w:tcW w:w="1613" w:type="dxa"/>
            <w:tcBorders>
              <w:left w:val="single" w:sz="4" w:space="0" w:color="000000"/>
              <w:bottom w:val="single" w:sz="4" w:space="0" w:color="000000"/>
            </w:tcBorders>
            <w:shd w:val="clear" w:color="auto" w:fill="auto"/>
          </w:tcPr>
          <w:p w14:paraId="6D10919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left w:val="single" w:sz="4" w:space="0" w:color="000000"/>
              <w:bottom w:val="single" w:sz="4" w:space="0" w:color="000000"/>
              <w:right w:val="single" w:sz="4" w:space="0" w:color="000000"/>
            </w:tcBorders>
            <w:shd w:val="clear" w:color="auto" w:fill="auto"/>
          </w:tcPr>
          <w:p w14:paraId="2FAEFFD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Trombinė mikroangiopatija.</w:t>
            </w:r>
          </w:p>
        </w:tc>
      </w:tr>
      <w:tr w:rsidR="00ED7DC3" w:rsidRPr="001D3C3D" w14:paraId="51567092"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3035783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Kvėpavimo sistemos, krūtinės ląstos ir tarpuplaučio sutrikimai</w:t>
            </w:r>
          </w:p>
        </w:tc>
        <w:tc>
          <w:tcPr>
            <w:tcW w:w="25" w:type="dxa"/>
            <w:tcBorders>
              <w:left w:val="single" w:sz="4" w:space="0" w:color="000000"/>
            </w:tcBorders>
            <w:shd w:val="clear" w:color="auto" w:fill="auto"/>
          </w:tcPr>
          <w:p w14:paraId="0E50EB10"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4421204F"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7C296DD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69063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Pleuros efuzija*, dusulys.</w:t>
            </w:r>
          </w:p>
        </w:tc>
      </w:tr>
      <w:tr w:rsidR="00ED7DC3" w:rsidRPr="001D3C3D" w14:paraId="56B237F8" w14:textId="77777777" w:rsidTr="00B92E23">
        <w:trPr>
          <w:gridAfter w:val="1"/>
          <w:wAfter w:w="25" w:type="dxa"/>
          <w:trHeight w:hRule="exact" w:val="366"/>
        </w:trPr>
        <w:tc>
          <w:tcPr>
            <w:tcW w:w="1613" w:type="dxa"/>
            <w:tcBorders>
              <w:top w:val="single" w:sz="4" w:space="0" w:color="000000"/>
              <w:left w:val="single" w:sz="4" w:space="0" w:color="000000"/>
              <w:bottom w:val="single" w:sz="4" w:space="0" w:color="000000"/>
            </w:tcBorders>
            <w:shd w:val="clear" w:color="auto" w:fill="auto"/>
          </w:tcPr>
          <w:p w14:paraId="45E161D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27391E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Plaučių edema*, plaučių hipertenzija*, plaučių infiltracija, pneumonitas, kosulys.</w:t>
            </w:r>
          </w:p>
        </w:tc>
      </w:tr>
      <w:tr w:rsidR="00ED7DC3" w:rsidRPr="001D3C3D" w14:paraId="222B3C27"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0E19FD2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610EB9A" w14:textId="41CA5DFD"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Plaučių arterijos hipertenzija, bronchų spazmas, astma</w:t>
            </w:r>
            <w:r w:rsidR="00557EB4" w:rsidRPr="001D3C3D">
              <w:rPr>
                <w:rFonts w:ascii="Times New Roman" w:eastAsia="Times New Roman" w:hAnsi="Times New Roman" w:cs="Times New Roman"/>
                <w:color w:val="000000"/>
                <w:lang w:eastAsia="ar-SA"/>
              </w:rPr>
              <w:t>,</w:t>
            </w:r>
            <w:r w:rsidR="00557EB4" w:rsidRPr="00B92E23">
              <w:rPr>
                <w:rFonts w:ascii="Times New Roman" w:eastAsia="Times New Roman" w:hAnsi="Times New Roman" w:cs="Times New Roman"/>
                <w:color w:val="000000"/>
                <w:lang w:eastAsia="ar-SA"/>
              </w:rPr>
              <w:t xml:space="preserve"> chilotoraksas*</w:t>
            </w:r>
          </w:p>
        </w:tc>
      </w:tr>
      <w:tr w:rsidR="00ED7DC3" w:rsidRPr="001D3C3D" w14:paraId="2E803697"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FAF696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6B67F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Plaučių embolija, ūminis respiracinio distreso (kvėpavimo išsekimo) sindromas.</w:t>
            </w:r>
          </w:p>
        </w:tc>
      </w:tr>
      <w:tr w:rsidR="00ED7DC3" w:rsidRPr="001D3C3D" w14:paraId="082B85CB"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07BAF9C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B0C0BC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Intersticinė plaučių liga.</w:t>
            </w:r>
          </w:p>
        </w:tc>
      </w:tr>
      <w:tr w:rsidR="00ED7DC3" w:rsidRPr="001D3C3D" w14:paraId="19B69970"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08B8635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Virškinimo trakto sutrikimai</w:t>
            </w:r>
          </w:p>
        </w:tc>
        <w:tc>
          <w:tcPr>
            <w:tcW w:w="25" w:type="dxa"/>
            <w:tcBorders>
              <w:left w:val="single" w:sz="4" w:space="0" w:color="000000"/>
            </w:tcBorders>
            <w:shd w:val="clear" w:color="auto" w:fill="auto"/>
          </w:tcPr>
          <w:p w14:paraId="24C7A2A0"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D8EC1DD"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0D2911D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9E28C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Viduriavimas, vėmimas, pykinimas, pilvo skausmas.</w:t>
            </w:r>
          </w:p>
        </w:tc>
      </w:tr>
      <w:tr w:rsidR="00ED7DC3" w:rsidRPr="001D3C3D" w14:paraId="71AFBEB2" w14:textId="77777777" w:rsidTr="00B92E23">
        <w:trPr>
          <w:gridAfter w:val="1"/>
          <w:wAfter w:w="25" w:type="dxa"/>
          <w:trHeight w:hRule="exact" w:val="747"/>
        </w:trPr>
        <w:tc>
          <w:tcPr>
            <w:tcW w:w="1613" w:type="dxa"/>
            <w:tcBorders>
              <w:top w:val="single" w:sz="4" w:space="0" w:color="000000"/>
              <w:left w:val="single" w:sz="4" w:space="0" w:color="000000"/>
              <w:bottom w:val="single" w:sz="4" w:space="0" w:color="000000"/>
            </w:tcBorders>
            <w:shd w:val="clear" w:color="auto" w:fill="auto"/>
          </w:tcPr>
          <w:p w14:paraId="68B0336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AB08A2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Kraujavimas iš virškinimo trakto*, kolitas (įskaitant neutropeninį), gastritas, gleivinės uždegimas (įskaitant mukozitą / stomatitą), dispepsija, pilvo pūtimas, vidurių užkietėjimas, burnos ertmės minkštųjų audinių sutrikimai.</w:t>
            </w:r>
          </w:p>
        </w:tc>
      </w:tr>
      <w:tr w:rsidR="00ED7DC3" w:rsidRPr="001D3C3D" w14:paraId="5BA85125" w14:textId="77777777" w:rsidTr="00B92E23">
        <w:trPr>
          <w:gridAfter w:val="1"/>
          <w:wAfter w:w="25" w:type="dxa"/>
          <w:trHeight w:hRule="exact" w:val="516"/>
        </w:trPr>
        <w:tc>
          <w:tcPr>
            <w:tcW w:w="1613" w:type="dxa"/>
            <w:tcBorders>
              <w:top w:val="single" w:sz="4" w:space="0" w:color="000000"/>
              <w:left w:val="single" w:sz="4" w:space="0" w:color="000000"/>
              <w:bottom w:val="single" w:sz="4" w:space="0" w:color="000000"/>
            </w:tcBorders>
            <w:shd w:val="clear" w:color="auto" w:fill="auto"/>
          </w:tcPr>
          <w:p w14:paraId="7E33A10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DB59F2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Pankreatitas (įskaitant ūminį), viršutinės virškinimo trakto dalies opa, ezofagitas, ascitas*, išeinamosios angos įplėša, disfagija, gastroezofaginio refliukso liga.</w:t>
            </w:r>
          </w:p>
        </w:tc>
      </w:tr>
      <w:tr w:rsidR="00ED7DC3" w:rsidRPr="001D3C3D" w14:paraId="5652885E" w14:textId="77777777" w:rsidTr="00B92E23">
        <w:trPr>
          <w:gridAfter w:val="1"/>
          <w:wAfter w:w="25" w:type="dxa"/>
          <w:trHeight w:hRule="exact" w:val="294"/>
        </w:trPr>
        <w:tc>
          <w:tcPr>
            <w:tcW w:w="1613" w:type="dxa"/>
            <w:tcBorders>
              <w:top w:val="single" w:sz="4" w:space="0" w:color="000000"/>
              <w:left w:val="single" w:sz="4" w:space="0" w:color="000000"/>
              <w:bottom w:val="single" w:sz="4" w:space="0" w:color="000000"/>
            </w:tcBorders>
            <w:shd w:val="clear" w:color="auto" w:fill="auto"/>
          </w:tcPr>
          <w:p w14:paraId="633DE37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84B283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Baltymų netekimo gastroenteropatija, žarnų nepraeinamumas, išangės fistulė.</w:t>
            </w:r>
          </w:p>
        </w:tc>
      </w:tr>
      <w:tr w:rsidR="00ED7DC3" w:rsidRPr="001D3C3D" w14:paraId="1C6E5B3D"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746557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0489AF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Mirtinas kraujavimas iš virškinimo trakto*.</w:t>
            </w:r>
          </w:p>
        </w:tc>
      </w:tr>
      <w:tr w:rsidR="00ED7DC3" w:rsidRPr="001D3C3D" w14:paraId="1F7A5369" w14:textId="77777777" w:rsidTr="00B92E23">
        <w:trPr>
          <w:cantSplit/>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50AEF4A6"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Kepenų, tulžies pūslės ir latakų sutrikimai</w:t>
            </w:r>
          </w:p>
        </w:tc>
        <w:tc>
          <w:tcPr>
            <w:tcW w:w="25" w:type="dxa"/>
            <w:tcBorders>
              <w:left w:val="single" w:sz="4" w:space="0" w:color="000000"/>
            </w:tcBorders>
            <w:shd w:val="clear" w:color="auto" w:fill="auto"/>
          </w:tcPr>
          <w:p w14:paraId="62EC54B3"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09240D6A"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32DEAAB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4780C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Hepatitas, cholecistitas, cholestazė.</w:t>
            </w:r>
          </w:p>
        </w:tc>
      </w:tr>
      <w:tr w:rsidR="00ED7DC3" w:rsidRPr="001D3C3D" w14:paraId="762A3521"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47235B0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Odos ir poodinio audinio sutrikimai</w:t>
            </w:r>
          </w:p>
        </w:tc>
        <w:tc>
          <w:tcPr>
            <w:tcW w:w="25" w:type="dxa"/>
            <w:tcBorders>
              <w:left w:val="single" w:sz="4" w:space="0" w:color="000000"/>
            </w:tcBorders>
            <w:shd w:val="clear" w:color="auto" w:fill="auto"/>
          </w:tcPr>
          <w:p w14:paraId="3268B666"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AA8181C"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4C45172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96A0E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Odos išbėrimas</w:t>
            </w:r>
            <w:r w:rsidRPr="001D3C3D">
              <w:rPr>
                <w:rFonts w:ascii="Times New Roman" w:eastAsia="Times New Roman" w:hAnsi="Times New Roman" w:cs="Times New Roman"/>
                <w:color w:val="000000"/>
                <w:spacing w:val="1"/>
                <w:vertAlign w:val="superscript"/>
                <w:lang w:eastAsia="ar-SA"/>
              </w:rPr>
              <w:t>e</w:t>
            </w:r>
            <w:r w:rsidRPr="001D3C3D">
              <w:rPr>
                <w:rFonts w:ascii="Times New Roman" w:eastAsia="Times New Roman" w:hAnsi="Times New Roman" w:cs="Times New Roman"/>
                <w:color w:val="000000"/>
                <w:lang w:eastAsia="ar-SA"/>
              </w:rPr>
              <w:t>.</w:t>
            </w:r>
          </w:p>
        </w:tc>
      </w:tr>
      <w:tr w:rsidR="00ED7DC3" w:rsidRPr="001D3C3D" w14:paraId="488D6DE1" w14:textId="77777777" w:rsidTr="00B92E23">
        <w:trPr>
          <w:gridAfter w:val="1"/>
          <w:wAfter w:w="25" w:type="dxa"/>
          <w:trHeight w:hRule="exact" w:val="567"/>
        </w:trPr>
        <w:tc>
          <w:tcPr>
            <w:tcW w:w="1613" w:type="dxa"/>
            <w:tcBorders>
              <w:top w:val="single" w:sz="4" w:space="0" w:color="000000"/>
              <w:left w:val="single" w:sz="4" w:space="0" w:color="000000"/>
              <w:bottom w:val="single" w:sz="4" w:space="0" w:color="000000"/>
            </w:tcBorders>
            <w:shd w:val="clear" w:color="auto" w:fill="auto"/>
          </w:tcPr>
          <w:p w14:paraId="7DB1C19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75D7CE7"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Alopecija, dermatitas (įskaitant egzemą), niežėjimas, spuogai, sausa oda, dilgėlinė, hiperhidrozė.</w:t>
            </w:r>
          </w:p>
        </w:tc>
      </w:tr>
      <w:tr w:rsidR="00ED7DC3" w:rsidRPr="001D3C3D" w14:paraId="3DBAE342" w14:textId="77777777" w:rsidTr="00B92E23">
        <w:trPr>
          <w:gridAfter w:val="1"/>
          <w:wAfter w:w="25" w:type="dxa"/>
          <w:trHeight w:hRule="exact" w:val="850"/>
        </w:trPr>
        <w:tc>
          <w:tcPr>
            <w:tcW w:w="1613" w:type="dxa"/>
            <w:tcBorders>
              <w:top w:val="single" w:sz="4" w:space="0" w:color="000000"/>
              <w:left w:val="single" w:sz="4" w:space="0" w:color="000000"/>
              <w:bottom w:val="single" w:sz="4" w:space="0" w:color="000000"/>
            </w:tcBorders>
            <w:shd w:val="clear" w:color="auto" w:fill="auto"/>
          </w:tcPr>
          <w:p w14:paraId="74BD20E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6A4722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Neutrofilinė dermatozė, padidėjęs jautrumas šviesai, sutrikusi pigmentacija, poodinės ląstelienos uždegimas, odos opa, pūslinės būklės, nagų sutrikimai, delnų ir padų eritrodisestezijos sindromas, plaukų sutrikimai.</w:t>
            </w:r>
          </w:p>
        </w:tc>
      </w:tr>
      <w:tr w:rsidR="00ED7DC3" w:rsidRPr="001D3C3D" w14:paraId="681DA94A"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45AD263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9F80D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Leukocitoklastinis vaskulitas, odos fibrozė.</w:t>
            </w:r>
          </w:p>
        </w:tc>
      </w:tr>
      <w:tr w:rsidR="00ED7DC3" w:rsidRPr="001D3C3D" w14:paraId="62A85FBC"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54F4742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118775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Stivenso-Džonsono (Stevens-Johnson) sindromas</w:t>
            </w:r>
            <w:r w:rsidRPr="001D3C3D">
              <w:rPr>
                <w:rFonts w:ascii="Times New Roman" w:eastAsia="Times New Roman" w:hAnsi="Times New Roman" w:cs="Times New Roman"/>
                <w:color w:val="000000"/>
                <w:vertAlign w:val="superscript"/>
                <w:lang w:eastAsia="ar-SA"/>
              </w:rPr>
              <w:t>f</w:t>
            </w:r>
            <w:r w:rsidRPr="001D3C3D">
              <w:rPr>
                <w:rFonts w:ascii="Times New Roman" w:eastAsia="Times New Roman" w:hAnsi="Times New Roman" w:cs="Times New Roman"/>
                <w:color w:val="000000"/>
                <w:lang w:eastAsia="ar-SA"/>
              </w:rPr>
              <w:t>.</w:t>
            </w:r>
          </w:p>
        </w:tc>
      </w:tr>
      <w:tr w:rsidR="00ED7DC3" w:rsidRPr="001D3C3D" w14:paraId="016F495E" w14:textId="77777777" w:rsidTr="00B92E23">
        <w:tc>
          <w:tcPr>
            <w:tcW w:w="9263" w:type="dxa"/>
            <w:gridSpan w:val="2"/>
            <w:tcBorders>
              <w:top w:val="single" w:sz="4" w:space="0" w:color="000000"/>
              <w:left w:val="single" w:sz="4" w:space="0" w:color="000000"/>
              <w:bottom w:val="single" w:sz="4" w:space="0" w:color="000000"/>
            </w:tcBorders>
            <w:shd w:val="clear" w:color="auto" w:fill="F3F3F3"/>
          </w:tcPr>
          <w:p w14:paraId="706DA289" w14:textId="77777777" w:rsidR="00ED7DC3" w:rsidRPr="001D3C3D" w:rsidRDefault="00ED7DC3" w:rsidP="00ED7DC3">
            <w:pPr>
              <w:widowControl w:val="0"/>
              <w:suppressAutoHyphens/>
              <w:spacing w:after="0" w:line="240" w:lineRule="auto"/>
              <w:ind w:left="57" w:hanging="46"/>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Skeleto, raumenų ir jungiamojo audinio sutrikimai</w:t>
            </w:r>
          </w:p>
        </w:tc>
        <w:tc>
          <w:tcPr>
            <w:tcW w:w="25" w:type="dxa"/>
            <w:tcBorders>
              <w:left w:val="single" w:sz="4" w:space="0" w:color="000000"/>
            </w:tcBorders>
            <w:shd w:val="clear" w:color="auto" w:fill="auto"/>
          </w:tcPr>
          <w:p w14:paraId="3901498C" w14:textId="77777777" w:rsidR="00ED7DC3" w:rsidRPr="001D3C3D" w:rsidRDefault="00ED7DC3" w:rsidP="00ED7DC3">
            <w:pPr>
              <w:suppressAutoHyphens/>
              <w:snapToGrid w:val="0"/>
              <w:spacing w:after="0" w:line="240" w:lineRule="auto"/>
              <w:ind w:firstLine="58"/>
              <w:rPr>
                <w:rFonts w:ascii="Times New Roman" w:eastAsia="Times New Roman" w:hAnsi="Times New Roman" w:cs="Times New Roman"/>
                <w:color w:val="000000"/>
                <w:lang w:eastAsia="ar-SA"/>
              </w:rPr>
            </w:pPr>
          </w:p>
        </w:tc>
      </w:tr>
      <w:tr w:rsidR="00ED7DC3" w:rsidRPr="001D3C3D" w14:paraId="5EFA9365" w14:textId="77777777" w:rsidTr="00B92E23">
        <w:trPr>
          <w:gridAfter w:val="1"/>
          <w:wAfter w:w="25" w:type="dxa"/>
          <w:trHeight w:hRule="exact" w:val="335"/>
        </w:trPr>
        <w:tc>
          <w:tcPr>
            <w:tcW w:w="1613" w:type="dxa"/>
            <w:tcBorders>
              <w:top w:val="single" w:sz="4" w:space="0" w:color="000000"/>
              <w:left w:val="single" w:sz="4" w:space="0" w:color="000000"/>
              <w:bottom w:val="single" w:sz="4" w:space="0" w:color="000000"/>
            </w:tcBorders>
            <w:shd w:val="clear" w:color="auto" w:fill="auto"/>
          </w:tcPr>
          <w:p w14:paraId="255E55E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spacing w:val="-2"/>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F11F54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2"/>
                <w:lang w:eastAsia="ar-SA"/>
              </w:rPr>
              <w:t>Griaučių raumenų skausmas</w:t>
            </w:r>
            <w:r w:rsidRPr="001D3C3D">
              <w:rPr>
                <w:rFonts w:ascii="Times New Roman" w:eastAsia="Times New Roman" w:hAnsi="Times New Roman" w:cs="Times New Roman"/>
                <w:color w:val="000000"/>
                <w:spacing w:val="-2"/>
                <w:vertAlign w:val="superscript"/>
                <w:lang w:eastAsia="ar-SA"/>
              </w:rPr>
              <w:t>g</w:t>
            </w:r>
            <w:r w:rsidRPr="001D3C3D">
              <w:rPr>
                <w:rFonts w:ascii="Times New Roman" w:eastAsia="Times New Roman" w:hAnsi="Times New Roman" w:cs="Times New Roman"/>
                <w:color w:val="000000"/>
                <w:spacing w:val="-2"/>
                <w:lang w:eastAsia="ar-SA"/>
              </w:rPr>
              <w:t>.</w:t>
            </w:r>
          </w:p>
        </w:tc>
      </w:tr>
      <w:tr w:rsidR="00ED7DC3" w:rsidRPr="001D3C3D" w14:paraId="712B201D" w14:textId="77777777" w:rsidTr="00B92E23">
        <w:trPr>
          <w:gridAfter w:val="1"/>
          <w:wAfter w:w="25" w:type="dxa"/>
          <w:trHeight w:hRule="exact" w:val="510"/>
        </w:trPr>
        <w:tc>
          <w:tcPr>
            <w:tcW w:w="1613" w:type="dxa"/>
            <w:tcBorders>
              <w:top w:val="single" w:sz="4" w:space="0" w:color="000000"/>
              <w:left w:val="single" w:sz="4" w:space="0" w:color="000000"/>
              <w:bottom w:val="single" w:sz="4" w:space="0" w:color="000000"/>
            </w:tcBorders>
            <w:shd w:val="clear" w:color="auto" w:fill="auto"/>
          </w:tcPr>
          <w:p w14:paraId="4DF5648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A1EF85E" w14:textId="77777777" w:rsidR="00ED7DC3" w:rsidRPr="001D3C3D" w:rsidRDefault="00ED7DC3" w:rsidP="00ED7DC3">
            <w:pPr>
              <w:widowControl w:val="0"/>
              <w:suppressAutoHyphens/>
              <w:spacing w:after="0" w:line="240" w:lineRule="auto"/>
              <w:ind w:left="57" w:right="-4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Artralgija, mialgija, raumenų silpnumas, griaučių raumenų stingulys, raumenų spazmas.</w:t>
            </w:r>
          </w:p>
        </w:tc>
      </w:tr>
      <w:tr w:rsidR="00ED7DC3" w:rsidRPr="001D3C3D" w14:paraId="41C5ECD5"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1E7BDCF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D7CC5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Rabdomiolizė, osteonekrozė, raumenų uždegimas, tendinitas, artritas.</w:t>
            </w:r>
          </w:p>
        </w:tc>
      </w:tr>
      <w:tr w:rsidR="00ED7DC3" w:rsidRPr="001D3C3D" w14:paraId="420F11B0" w14:textId="77777777" w:rsidTr="00B92E23">
        <w:trPr>
          <w:gridAfter w:val="1"/>
          <w:wAfter w:w="25" w:type="dxa"/>
          <w:trHeight w:hRule="exact" w:val="263"/>
        </w:trPr>
        <w:tc>
          <w:tcPr>
            <w:tcW w:w="1613" w:type="dxa"/>
            <w:tcBorders>
              <w:left w:val="single" w:sz="4" w:space="0" w:color="000000"/>
              <w:bottom w:val="single" w:sz="4" w:space="0" w:color="000000"/>
            </w:tcBorders>
            <w:shd w:val="clear" w:color="auto" w:fill="auto"/>
          </w:tcPr>
          <w:p w14:paraId="611B841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left w:val="single" w:sz="4" w:space="0" w:color="000000"/>
              <w:bottom w:val="single" w:sz="4" w:space="0" w:color="000000"/>
              <w:right w:val="single" w:sz="4" w:space="0" w:color="000000"/>
            </w:tcBorders>
            <w:shd w:val="clear" w:color="auto" w:fill="auto"/>
          </w:tcPr>
          <w:p w14:paraId="77A64E1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Epifizinių kremzlių susiliejimo uždelsimas</w:t>
            </w:r>
            <w:r w:rsidRPr="001D3C3D">
              <w:rPr>
                <w:rFonts w:ascii="Times New Roman" w:eastAsia="Times New Roman" w:hAnsi="Times New Roman" w:cs="Times New Roman"/>
                <w:color w:val="000000"/>
                <w:vertAlign w:val="superscript"/>
                <w:lang w:eastAsia="ar-SA"/>
              </w:rPr>
              <w:t>h</w:t>
            </w:r>
            <w:r w:rsidRPr="001D3C3D">
              <w:rPr>
                <w:rFonts w:ascii="Times New Roman" w:eastAsia="Times New Roman" w:hAnsi="Times New Roman" w:cs="Times New Roman"/>
                <w:color w:val="000000"/>
                <w:lang w:eastAsia="ar-SA"/>
              </w:rPr>
              <w:t>, sulėtėjęs augimas</w:t>
            </w:r>
            <w:r w:rsidRPr="001D3C3D">
              <w:rPr>
                <w:rFonts w:ascii="Times New Roman" w:eastAsia="Times New Roman" w:hAnsi="Times New Roman" w:cs="Times New Roman"/>
                <w:color w:val="000000"/>
                <w:vertAlign w:val="superscript"/>
                <w:lang w:eastAsia="ar-SA"/>
              </w:rPr>
              <w:t>h</w:t>
            </w:r>
            <w:r w:rsidRPr="001D3C3D">
              <w:rPr>
                <w:rFonts w:ascii="Times New Roman" w:eastAsia="Times New Roman" w:hAnsi="Times New Roman" w:cs="Times New Roman"/>
                <w:color w:val="000000"/>
                <w:lang w:eastAsia="ar-SA"/>
              </w:rPr>
              <w:t xml:space="preserve"> </w:t>
            </w:r>
          </w:p>
        </w:tc>
      </w:tr>
      <w:tr w:rsidR="00ED7DC3" w:rsidRPr="001D3C3D" w14:paraId="303C0E2F"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5726697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Inkstų ir šlapimo takų sutrikimai</w:t>
            </w:r>
          </w:p>
        </w:tc>
        <w:tc>
          <w:tcPr>
            <w:tcW w:w="25" w:type="dxa"/>
            <w:tcBorders>
              <w:left w:val="single" w:sz="4" w:space="0" w:color="000000"/>
            </w:tcBorders>
            <w:shd w:val="clear" w:color="auto" w:fill="auto"/>
          </w:tcPr>
          <w:p w14:paraId="77A92D4E"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3E4D11C2" w14:textId="77777777" w:rsidTr="00B92E23">
        <w:trPr>
          <w:gridAfter w:val="1"/>
          <w:wAfter w:w="25" w:type="dxa"/>
          <w:trHeight w:hRule="exact" w:val="592"/>
        </w:trPr>
        <w:tc>
          <w:tcPr>
            <w:tcW w:w="1613" w:type="dxa"/>
            <w:tcBorders>
              <w:top w:val="single" w:sz="4" w:space="0" w:color="000000"/>
              <w:left w:val="single" w:sz="4" w:space="0" w:color="000000"/>
              <w:bottom w:val="single" w:sz="4" w:space="0" w:color="000000"/>
            </w:tcBorders>
            <w:shd w:val="clear" w:color="auto" w:fill="auto"/>
          </w:tcPr>
          <w:p w14:paraId="0AF8FCD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09715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Sutrikusi inkstų funkcija (įskaitant inkstų nepakankamumą), dažnas šlapinimasis, proteinurija.</w:t>
            </w:r>
          </w:p>
        </w:tc>
      </w:tr>
      <w:tr w:rsidR="001A6BA1" w:rsidRPr="001D3C3D" w14:paraId="31232D55" w14:textId="77777777" w:rsidTr="00B92E23">
        <w:trPr>
          <w:gridAfter w:val="1"/>
          <w:wAfter w:w="25" w:type="dxa"/>
          <w:trHeight w:hRule="exact" w:val="315"/>
        </w:trPr>
        <w:tc>
          <w:tcPr>
            <w:tcW w:w="1613" w:type="dxa"/>
            <w:tcBorders>
              <w:top w:val="single" w:sz="4" w:space="0" w:color="000000"/>
              <w:left w:val="single" w:sz="4" w:space="0" w:color="000000"/>
              <w:bottom w:val="single" w:sz="4" w:space="0" w:color="000000"/>
              <w:right w:val="single" w:sz="4" w:space="0" w:color="000000"/>
            </w:tcBorders>
            <w:shd w:val="clear" w:color="auto" w:fill="auto"/>
          </w:tcPr>
          <w:p w14:paraId="66653033" w14:textId="0B84985E" w:rsidR="001A6BA1" w:rsidRPr="001D3C3D" w:rsidRDefault="001A6BA1"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DAF1772" w14:textId="5A8CA723" w:rsidR="001A6BA1" w:rsidRPr="001D3C3D" w:rsidRDefault="001A6BA1"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Nefrozinis sindromas.</w:t>
            </w:r>
          </w:p>
        </w:tc>
      </w:tr>
      <w:tr w:rsidR="00ED7DC3" w:rsidRPr="001D3C3D" w14:paraId="2462889B" w14:textId="77777777" w:rsidTr="00B92E23">
        <w:trPr>
          <w:trHeight w:hRule="exact" w:val="281"/>
        </w:trPr>
        <w:tc>
          <w:tcPr>
            <w:tcW w:w="9263" w:type="dxa"/>
            <w:gridSpan w:val="2"/>
            <w:tcBorders>
              <w:top w:val="single" w:sz="4" w:space="0" w:color="000000"/>
              <w:left w:val="single" w:sz="4" w:space="0" w:color="000000"/>
              <w:bottom w:val="single" w:sz="4" w:space="0" w:color="000000"/>
            </w:tcBorders>
            <w:shd w:val="clear" w:color="auto" w:fill="F3F3F3"/>
          </w:tcPr>
          <w:p w14:paraId="2D8EE33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Būklės nėštumo, pogimdyminiu ir perinataliniu laikotarpiu</w:t>
            </w:r>
          </w:p>
        </w:tc>
        <w:tc>
          <w:tcPr>
            <w:tcW w:w="25" w:type="dxa"/>
            <w:tcBorders>
              <w:left w:val="single" w:sz="4" w:space="0" w:color="000000"/>
            </w:tcBorders>
            <w:shd w:val="clear" w:color="auto" w:fill="auto"/>
          </w:tcPr>
          <w:p w14:paraId="5DAF2D1D"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F155CF8"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731F585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48C8D4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Persileidimas.</w:t>
            </w:r>
          </w:p>
        </w:tc>
      </w:tr>
      <w:tr w:rsidR="00ED7DC3" w:rsidRPr="001D3C3D" w14:paraId="69969EA5"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219C976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Lytinės sistemos ir krūties sutrikimai</w:t>
            </w:r>
          </w:p>
        </w:tc>
        <w:tc>
          <w:tcPr>
            <w:tcW w:w="25" w:type="dxa"/>
            <w:tcBorders>
              <w:left w:val="single" w:sz="4" w:space="0" w:color="000000"/>
            </w:tcBorders>
            <w:shd w:val="clear" w:color="auto" w:fill="auto"/>
          </w:tcPr>
          <w:p w14:paraId="0F69D17F"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389A83B3"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525111E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lastRenderedPageBreak/>
              <w:t>Nežinomas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B28D5B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Ginekomastija, mėnesinių sutrikimas.</w:t>
            </w:r>
          </w:p>
        </w:tc>
      </w:tr>
      <w:tr w:rsidR="00ED7DC3" w:rsidRPr="001D3C3D" w14:paraId="28523B09"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1ABB3DC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Bendrieji sutrikimai ir vartojimo vietos pažeidimai</w:t>
            </w:r>
          </w:p>
        </w:tc>
        <w:tc>
          <w:tcPr>
            <w:tcW w:w="25" w:type="dxa"/>
            <w:tcBorders>
              <w:left w:val="single" w:sz="4" w:space="0" w:color="000000"/>
            </w:tcBorders>
            <w:shd w:val="clear" w:color="auto" w:fill="auto"/>
          </w:tcPr>
          <w:p w14:paraId="1C3E97CC"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3919A642"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75AF9E82"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Labai 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D60E40D"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Periferinė edema</w:t>
            </w:r>
            <w:r w:rsidRPr="001D3C3D">
              <w:rPr>
                <w:rFonts w:ascii="Times New Roman" w:eastAsia="Times New Roman" w:hAnsi="Times New Roman" w:cs="Times New Roman"/>
                <w:color w:val="000000"/>
                <w:vertAlign w:val="superscript"/>
                <w:lang w:eastAsia="ar-SA"/>
              </w:rPr>
              <w:t>i</w:t>
            </w:r>
            <w:r w:rsidRPr="001D3C3D">
              <w:rPr>
                <w:rFonts w:ascii="Times New Roman" w:eastAsia="Times New Roman" w:hAnsi="Times New Roman" w:cs="Times New Roman"/>
                <w:color w:val="000000"/>
                <w:lang w:eastAsia="ar-SA"/>
              </w:rPr>
              <w:t>, nuovargis, karščiavimas, veido edema</w:t>
            </w:r>
            <w:r w:rsidRPr="001D3C3D">
              <w:rPr>
                <w:rFonts w:ascii="Times New Roman" w:eastAsia="Times New Roman" w:hAnsi="Times New Roman" w:cs="Times New Roman"/>
                <w:color w:val="000000"/>
                <w:vertAlign w:val="superscript"/>
                <w:lang w:eastAsia="ar-SA"/>
              </w:rPr>
              <w:t>j</w:t>
            </w:r>
            <w:r w:rsidRPr="001D3C3D">
              <w:rPr>
                <w:rFonts w:ascii="Times New Roman" w:eastAsia="Times New Roman" w:hAnsi="Times New Roman" w:cs="Times New Roman"/>
                <w:color w:val="000000"/>
                <w:lang w:eastAsia="ar-SA"/>
              </w:rPr>
              <w:t>.</w:t>
            </w:r>
          </w:p>
        </w:tc>
      </w:tr>
      <w:tr w:rsidR="00ED7DC3" w:rsidRPr="001D3C3D" w14:paraId="78BC17B6"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280BFC3B"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ED83D7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Astenija, skausmas, krūtinės skausmas, išplitusi edema *</w:t>
            </w:r>
            <w:r w:rsidRPr="001D3C3D">
              <w:rPr>
                <w:rFonts w:ascii="Times New Roman" w:eastAsia="Times New Roman" w:hAnsi="Times New Roman" w:cs="Times New Roman"/>
                <w:color w:val="000000"/>
                <w:vertAlign w:val="superscript"/>
                <w:lang w:eastAsia="ar-SA"/>
              </w:rPr>
              <w:t>k</w:t>
            </w:r>
            <w:r w:rsidRPr="001D3C3D">
              <w:rPr>
                <w:rFonts w:ascii="Times New Roman" w:eastAsia="Times New Roman" w:hAnsi="Times New Roman" w:cs="Times New Roman"/>
                <w:color w:val="000000"/>
                <w:lang w:eastAsia="ar-SA"/>
              </w:rPr>
              <w:t>, virpulys.</w:t>
            </w:r>
          </w:p>
        </w:tc>
      </w:tr>
      <w:tr w:rsidR="00ED7DC3" w:rsidRPr="001D3C3D" w14:paraId="7D714EB6"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62E69494"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2DEEE8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Bendras negalavimas, kitokia paviršinė edema</w:t>
            </w:r>
            <w:r w:rsidRPr="001D3C3D">
              <w:rPr>
                <w:rFonts w:ascii="Times New Roman" w:eastAsia="Times New Roman" w:hAnsi="Times New Roman" w:cs="Times New Roman"/>
                <w:color w:val="000000"/>
                <w:vertAlign w:val="superscript"/>
                <w:lang w:eastAsia="ar-SA"/>
              </w:rPr>
              <w:t>l</w:t>
            </w:r>
            <w:r w:rsidRPr="001D3C3D">
              <w:rPr>
                <w:rFonts w:ascii="Times New Roman" w:eastAsia="Times New Roman" w:hAnsi="Times New Roman" w:cs="Times New Roman"/>
                <w:color w:val="000000"/>
                <w:lang w:eastAsia="ar-SA"/>
              </w:rPr>
              <w:t>.</w:t>
            </w:r>
          </w:p>
        </w:tc>
      </w:tr>
      <w:tr w:rsidR="00ED7DC3" w:rsidRPr="001D3C3D" w14:paraId="35CECF24"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7EE5999E"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Retas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9434C3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Sutrikusi eisena.</w:t>
            </w:r>
          </w:p>
        </w:tc>
      </w:tr>
      <w:tr w:rsidR="00ED7DC3" w:rsidRPr="001D3C3D" w14:paraId="6401A3DB"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59ED5BA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Tyrimai</w:t>
            </w:r>
          </w:p>
        </w:tc>
        <w:tc>
          <w:tcPr>
            <w:tcW w:w="25" w:type="dxa"/>
            <w:tcBorders>
              <w:left w:val="single" w:sz="4" w:space="0" w:color="000000"/>
            </w:tcBorders>
            <w:shd w:val="clear" w:color="auto" w:fill="auto"/>
          </w:tcPr>
          <w:p w14:paraId="01E25C75"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1B5FD8A6" w14:textId="77777777" w:rsidTr="00B92E23">
        <w:trPr>
          <w:gridAfter w:val="1"/>
          <w:wAfter w:w="25" w:type="dxa"/>
          <w:trHeight w:hRule="exact" w:val="263"/>
        </w:trPr>
        <w:tc>
          <w:tcPr>
            <w:tcW w:w="1613" w:type="dxa"/>
            <w:tcBorders>
              <w:top w:val="single" w:sz="4" w:space="0" w:color="000000"/>
              <w:left w:val="single" w:sz="4" w:space="0" w:color="000000"/>
              <w:bottom w:val="single" w:sz="4" w:space="0" w:color="000000"/>
            </w:tcBorders>
            <w:shd w:val="clear" w:color="auto" w:fill="auto"/>
          </w:tcPr>
          <w:p w14:paraId="2DF800F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4A16F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Sumažėjęs kūno svoris, padidėjęs kūno svoris.</w:t>
            </w:r>
          </w:p>
        </w:tc>
      </w:tr>
      <w:tr w:rsidR="00ED7DC3" w:rsidRPr="001D3C3D" w14:paraId="134C5D8C" w14:textId="77777777" w:rsidTr="00B92E23">
        <w:trPr>
          <w:gridAfter w:val="1"/>
          <w:wAfter w:w="25" w:type="dxa"/>
          <w:trHeight w:hRule="exact" w:val="567"/>
        </w:trPr>
        <w:tc>
          <w:tcPr>
            <w:tcW w:w="1613" w:type="dxa"/>
            <w:tcBorders>
              <w:top w:val="single" w:sz="4" w:space="0" w:color="000000"/>
              <w:left w:val="single" w:sz="4" w:space="0" w:color="000000"/>
              <w:bottom w:val="single" w:sz="4" w:space="0" w:color="000000"/>
            </w:tcBorders>
            <w:shd w:val="clear" w:color="auto" w:fill="auto"/>
          </w:tcPr>
          <w:p w14:paraId="470726C1"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Nedažnas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669AC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Padidėjęs kreatinfosfokinazės aktyvumas kraujyje, padidėjęs gamaglutamiltransferazės aktyvumas.</w:t>
            </w:r>
          </w:p>
        </w:tc>
      </w:tr>
      <w:tr w:rsidR="00ED7DC3" w:rsidRPr="001D3C3D" w14:paraId="538D3D5F" w14:textId="77777777" w:rsidTr="00B92E23">
        <w:trPr>
          <w:trHeight w:hRule="exact" w:val="263"/>
        </w:trPr>
        <w:tc>
          <w:tcPr>
            <w:tcW w:w="9263" w:type="dxa"/>
            <w:gridSpan w:val="2"/>
            <w:tcBorders>
              <w:top w:val="single" w:sz="4" w:space="0" w:color="000000"/>
              <w:left w:val="single" w:sz="4" w:space="0" w:color="000000"/>
              <w:bottom w:val="single" w:sz="4" w:space="0" w:color="000000"/>
            </w:tcBorders>
            <w:shd w:val="clear" w:color="auto" w:fill="F3F3F3"/>
          </w:tcPr>
          <w:p w14:paraId="73AD7F9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Sužalojimai, apsinuodijimai ir procedūrų komplikacijos</w:t>
            </w:r>
          </w:p>
        </w:tc>
        <w:tc>
          <w:tcPr>
            <w:tcW w:w="25" w:type="dxa"/>
            <w:tcBorders>
              <w:left w:val="single" w:sz="4" w:space="0" w:color="000000"/>
            </w:tcBorders>
            <w:shd w:val="clear" w:color="auto" w:fill="auto"/>
          </w:tcPr>
          <w:p w14:paraId="620421B0"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6FB5767" w14:textId="77777777" w:rsidTr="00B92E23">
        <w:trPr>
          <w:gridAfter w:val="1"/>
          <w:wAfter w:w="25" w:type="dxa"/>
          <w:trHeight w:hRule="exact" w:val="264"/>
        </w:trPr>
        <w:tc>
          <w:tcPr>
            <w:tcW w:w="1613" w:type="dxa"/>
            <w:tcBorders>
              <w:top w:val="single" w:sz="4" w:space="0" w:color="000000"/>
              <w:left w:val="single" w:sz="4" w:space="0" w:color="000000"/>
              <w:bottom w:val="single" w:sz="4" w:space="0" w:color="000000"/>
            </w:tcBorders>
            <w:shd w:val="clear" w:color="auto" w:fill="auto"/>
          </w:tcPr>
          <w:p w14:paraId="6C78369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Dažnas</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AD2E07F"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Sumušimas.</w:t>
            </w:r>
          </w:p>
        </w:tc>
      </w:tr>
    </w:tbl>
    <w:p w14:paraId="53550081"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Sumažėjęs apetitas, ankstyvas sotumas, padidėjęs apetitas.</w:t>
      </w:r>
    </w:p>
    <w:p w14:paraId="7F0138E4"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b</w:t>
      </w:r>
      <w:r w:rsidRPr="00B92E23">
        <w:rPr>
          <w:rFonts w:ascii="Times New Roman" w:eastAsia="SimSun" w:hAnsi="Times New Roman" w:cs="Times New Roman"/>
          <w:color w:val="000000"/>
          <w:sz w:val="20"/>
          <w:szCs w:val="20"/>
          <w:lang w:eastAsia="ar-SA"/>
        </w:rPr>
        <w:t xml:space="preserve"> Kraujavimas centrinėje nervų sistemoje, smegenų hematoma, kraujavimas į smegenis, ekstraduralinė hematoma, intrakranialinis kraujavimas, hemoraginis insultas, subarachnoidalinis kraujavimas, subduralinė hematoma ir subduralinis kraujavimas.</w:t>
      </w:r>
    </w:p>
    <w:p w14:paraId="6CF06F79"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c</w:t>
      </w:r>
      <w:r w:rsidRPr="00B92E23">
        <w:rPr>
          <w:rFonts w:ascii="Times New Roman" w:eastAsia="SimSun" w:hAnsi="Times New Roman" w:cs="Times New Roman"/>
          <w:color w:val="000000"/>
          <w:sz w:val="20"/>
          <w:szCs w:val="20"/>
          <w:lang w:eastAsia="ar-SA"/>
        </w:rPr>
        <w:t xml:space="preserve"> Padidėjusi smegenų natriurezinio peptido koncentracija, skilvelių disfunkcija, kairiojo skilvelio disfunkcija, dešiniojo skilvelio disfunkcija, širdies nepakankamumas, ūminis širdies nepakankamumas, lėtinis širdies nepakankamumas, stazinis širdies nepakankamumas, kardiomiopatija, stazinė kardiomiopatija, diastolinė disfunkcija, sumažėjusi išstūmimo frakcija ir skilvelių nepakankamumas, kairiojo skilvelio nepakankamumas, dešiniojo skilvelio nepakankamumas, skilvelių hipokinezė.</w:t>
      </w:r>
    </w:p>
    <w:p w14:paraId="5EF15D7B"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d</w:t>
      </w:r>
      <w:r w:rsidRPr="00B92E23">
        <w:rPr>
          <w:rFonts w:ascii="Times New Roman" w:eastAsia="SimSun" w:hAnsi="Times New Roman" w:cs="Times New Roman"/>
          <w:color w:val="000000"/>
          <w:sz w:val="20"/>
          <w:szCs w:val="20"/>
          <w:lang w:eastAsia="ar-SA"/>
        </w:rPr>
        <w:t xml:space="preserve"> Neskaitant kraujavimo į virškinimo traktą ir CNS; šios nepageidaujamos reakcijos nurodytos pagal organizmo sistemą atitinkamai prie virškinimo trakto sutrikimų ir nervų sistemos sutrikimų.</w:t>
      </w:r>
    </w:p>
    <w:p w14:paraId="6C9C2082" w14:textId="64E7EC5D"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e</w:t>
      </w:r>
      <w:r w:rsidRPr="00B92E23">
        <w:rPr>
          <w:rFonts w:ascii="Times New Roman" w:eastAsia="SimSun" w:hAnsi="Times New Roman" w:cs="Times New Roman"/>
          <w:color w:val="000000"/>
          <w:sz w:val="20"/>
          <w:szCs w:val="20"/>
          <w:lang w:eastAsia="ar-SA"/>
        </w:rPr>
        <w:t xml:space="preserve"> Vaist</w:t>
      </w:r>
      <w:r w:rsidR="005235F2" w:rsidRPr="00B92E23">
        <w:rPr>
          <w:rFonts w:ascii="Times New Roman" w:eastAsia="SimSun" w:hAnsi="Times New Roman" w:cs="Times New Roman"/>
          <w:color w:val="000000"/>
          <w:sz w:val="20"/>
          <w:szCs w:val="20"/>
          <w:lang w:eastAsia="ar-SA"/>
        </w:rPr>
        <w:t>inių preparat</w:t>
      </w:r>
      <w:r w:rsidRPr="00B92E23">
        <w:rPr>
          <w:rFonts w:ascii="Times New Roman" w:eastAsia="SimSun" w:hAnsi="Times New Roman" w:cs="Times New Roman"/>
          <w:color w:val="000000"/>
          <w:sz w:val="20"/>
          <w:szCs w:val="20"/>
          <w:lang w:eastAsia="ar-SA"/>
        </w:rPr>
        <w:t>ų sukeltas išbėrimas, eritema (raudonė), daugiaformė raudonė (</w:t>
      </w:r>
      <w:r w:rsidRPr="00B92E23">
        <w:rPr>
          <w:rFonts w:ascii="Times New Roman" w:eastAsia="SimSun" w:hAnsi="Times New Roman" w:cs="Times New Roman"/>
          <w:i/>
          <w:color w:val="000000"/>
          <w:sz w:val="20"/>
          <w:szCs w:val="20"/>
          <w:lang w:eastAsia="ar-SA"/>
        </w:rPr>
        <w:t>erythema multiforme</w:t>
      </w:r>
      <w:r w:rsidRPr="00B92E23">
        <w:rPr>
          <w:rFonts w:ascii="Times New Roman" w:eastAsia="SimSun" w:hAnsi="Times New Roman" w:cs="Times New Roman"/>
          <w:color w:val="000000"/>
          <w:sz w:val="20"/>
          <w:szCs w:val="20"/>
          <w:lang w:eastAsia="ar-SA"/>
        </w:rPr>
        <w:t>), eritrozė, eksfoliacinis išbėrimas, išplitusi eritema, genitalijų išbėrimas, karščio bėrimas, milija, miliarija, pustulinė psoriazė, išbėrimas, eriteminis išbėrimas, folikulinis išbėrimas, išplitęs išbėrimas, išbėrimas dėmelėmis, išbėrimas dėmelėmis ir papulėmis, išbėrimas papulėmis, išbėrimas su niežėjimu, išbėrimas pustulėmis, vezikulinis išbėrimas, odos eksfoliacija, odos sudirginimas, toksinis išbėrimas, vezikulinė dilgėlinė ir vaskulitinis išbėrimas.</w:t>
      </w:r>
    </w:p>
    <w:p w14:paraId="3C97F97D"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f</w:t>
      </w:r>
      <w:r w:rsidRPr="00B92E23">
        <w:rPr>
          <w:rFonts w:ascii="Times New Roman" w:eastAsia="SimSun" w:hAnsi="Times New Roman" w:cs="Times New Roman"/>
          <w:color w:val="000000"/>
          <w:sz w:val="20"/>
          <w:szCs w:val="20"/>
          <w:lang w:eastAsia="ar-SA"/>
        </w:rPr>
        <w:t xml:space="preserve"> Vaistinį preparatą pateikus į rinką, gauta pavienių pranešimų apie Stivenso-Džonsono (</w:t>
      </w:r>
      <w:r w:rsidRPr="00B92E23">
        <w:rPr>
          <w:rFonts w:ascii="Times New Roman" w:eastAsia="SimSun" w:hAnsi="Times New Roman" w:cs="Times New Roman"/>
          <w:i/>
          <w:iCs/>
          <w:color w:val="000000"/>
          <w:sz w:val="20"/>
          <w:szCs w:val="20"/>
          <w:lang w:eastAsia="ar-SA"/>
        </w:rPr>
        <w:t>Stevens-Johnson</w:t>
      </w:r>
      <w:r w:rsidRPr="00B92E23">
        <w:rPr>
          <w:rFonts w:ascii="Times New Roman" w:eastAsia="SimSun" w:hAnsi="Times New Roman" w:cs="Times New Roman"/>
          <w:color w:val="000000"/>
          <w:sz w:val="20"/>
          <w:szCs w:val="20"/>
          <w:lang w:eastAsia="ar-SA"/>
        </w:rPr>
        <w:t>) sindromo atvejus, tačiau negalima nustatyti, ar šios gleivinės ir odos nepageidaujamos reakcijos buvo tiesiogiai susijusios su dazatinibu arba kartu vartotais vaistiniais preparatais.</w:t>
      </w:r>
    </w:p>
    <w:p w14:paraId="2D4AF75E"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g</w:t>
      </w:r>
      <w:r w:rsidRPr="00B92E23">
        <w:rPr>
          <w:rFonts w:ascii="Times New Roman" w:eastAsia="SimSun" w:hAnsi="Times New Roman" w:cs="Times New Roman"/>
          <w:color w:val="000000"/>
          <w:sz w:val="20"/>
          <w:szCs w:val="20"/>
          <w:lang w:eastAsia="ar-SA"/>
        </w:rPr>
        <w:t xml:space="preserve"> Skeleto raumenų skausmas praneštas per arba po gydymo nutraukimo. </w:t>
      </w:r>
    </w:p>
    <w:p w14:paraId="3000AB83"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h</w:t>
      </w:r>
      <w:r w:rsidRPr="00B92E23">
        <w:rPr>
          <w:rFonts w:ascii="Times New Roman" w:eastAsia="SimSun" w:hAnsi="Times New Roman" w:cs="Times New Roman"/>
          <w:color w:val="000000"/>
          <w:sz w:val="20"/>
          <w:szCs w:val="20"/>
          <w:lang w:eastAsia="ar-SA"/>
        </w:rPr>
        <w:t xml:space="preserve"> Pediatrinių tyrimų metu užfiksuota dažnai. </w:t>
      </w:r>
    </w:p>
    <w:p w14:paraId="24C09CAE"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i</w:t>
      </w:r>
      <w:r w:rsidRPr="00B92E23">
        <w:rPr>
          <w:rFonts w:ascii="Times New Roman" w:eastAsia="SimSun" w:hAnsi="Times New Roman" w:cs="Times New Roman"/>
          <w:color w:val="000000"/>
          <w:sz w:val="20"/>
          <w:szCs w:val="20"/>
          <w:lang w:eastAsia="ar-SA"/>
        </w:rPr>
        <w:t xml:space="preserve"> Gravitacinė edema, lokalizuota edema, periferinė edema. </w:t>
      </w:r>
    </w:p>
    <w:p w14:paraId="50C24EAF" w14:textId="77777777" w:rsidR="00E56749"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j</w:t>
      </w:r>
      <w:r w:rsidRPr="00B92E23">
        <w:rPr>
          <w:rFonts w:ascii="Times New Roman" w:eastAsia="SimSun" w:hAnsi="Times New Roman" w:cs="Times New Roman"/>
          <w:color w:val="000000"/>
          <w:sz w:val="20"/>
          <w:szCs w:val="20"/>
          <w:lang w:eastAsia="ar-SA"/>
        </w:rPr>
        <w:t xml:space="preserve"> Junginės edema, akių edema, akių patinimas, akių vokų edema, veido edema, lūpų edema, tinklainės dėmės edema, burnos ertmės edema, akiduobių edema, periorbitalinė edema, veido patinimas. </w:t>
      </w:r>
    </w:p>
    <w:p w14:paraId="0C477BC2" w14:textId="27750EB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Times New Roman" w:hAnsi="Times New Roman" w:cs="Times New Roman"/>
          <w:color w:val="000000"/>
          <w:sz w:val="20"/>
          <w:szCs w:val="20"/>
          <w:vertAlign w:val="superscript"/>
          <w:lang w:eastAsia="ar-SA"/>
        </w:rPr>
        <w:t>k</w:t>
      </w:r>
      <w:r w:rsidRPr="00B92E23">
        <w:rPr>
          <w:rFonts w:ascii="Times New Roman" w:eastAsia="SimSun" w:hAnsi="Times New Roman" w:cs="Times New Roman"/>
          <w:color w:val="000000"/>
          <w:sz w:val="20"/>
          <w:szCs w:val="20"/>
          <w:vertAlign w:val="superscript"/>
          <w:lang w:eastAsia="ar-SA"/>
        </w:rPr>
        <w:t xml:space="preserve"> </w:t>
      </w:r>
      <w:r w:rsidRPr="00B92E23">
        <w:rPr>
          <w:rFonts w:ascii="Times New Roman" w:eastAsia="SimSun" w:hAnsi="Times New Roman" w:cs="Times New Roman"/>
          <w:color w:val="000000"/>
          <w:sz w:val="20"/>
          <w:szCs w:val="20"/>
          <w:lang w:eastAsia="ar-SA"/>
        </w:rPr>
        <w:t>Skysčių perteklius, skysčių susilaikymas, virškinimo trakto edema, išplitusi edema, periferinis patinimas, edema, edema dėl širdies ligos, perinefrinė efuzija, edema po procedūros, vidaus organų edema.</w:t>
      </w:r>
    </w:p>
    <w:p w14:paraId="2D636BF6"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l</w:t>
      </w:r>
      <w:r w:rsidRPr="00B92E23">
        <w:rPr>
          <w:rFonts w:ascii="Times New Roman" w:eastAsia="SimSun" w:hAnsi="Times New Roman" w:cs="Times New Roman"/>
          <w:color w:val="000000"/>
          <w:sz w:val="20"/>
          <w:szCs w:val="20"/>
          <w:lang w:eastAsia="ar-SA"/>
        </w:rPr>
        <w:t xml:space="preserve"> Lyties organų patinimas, pjūvio vietos edema, lyties organų edema, varpos edema, varpos patinimas, kapšelio edema, odos patinimas, sėklidžių patinimas, moters išorinių lyties organų ir makšties patinimas.</w:t>
      </w:r>
    </w:p>
    <w:p w14:paraId="5A3195D5" w14:textId="77777777" w:rsidR="00ED7DC3" w:rsidRPr="00B92E23" w:rsidRDefault="00ED7DC3" w:rsidP="00B92E23">
      <w:pPr>
        <w:suppressAutoHyphens/>
        <w:spacing w:after="0" w:line="240" w:lineRule="auto"/>
        <w:ind w:left="142" w:hanging="142"/>
        <w:rPr>
          <w:rFonts w:ascii="Times New Roman" w:eastAsia="SimSun" w:hAnsi="Times New Roman" w:cs="Times New Roman"/>
          <w:color w:val="000000"/>
          <w:sz w:val="20"/>
          <w:szCs w:val="20"/>
          <w:u w:val="single"/>
          <w:lang w:eastAsia="ar-SA"/>
        </w:rPr>
      </w:pPr>
      <w:r w:rsidRPr="00B92E23">
        <w:rPr>
          <w:rFonts w:ascii="Times New Roman" w:eastAsia="SimSun" w:hAnsi="Times New Roman" w:cs="Times New Roman"/>
          <w:color w:val="000000"/>
          <w:sz w:val="20"/>
          <w:szCs w:val="20"/>
          <w:lang w:eastAsia="ar-SA"/>
        </w:rPr>
        <w:t>* Smulkiau žr. skyrių „Atrinktų nepageidaujamų reakcijų apibūdinimas“.</w:t>
      </w:r>
    </w:p>
    <w:p w14:paraId="3B4DE193" w14:textId="77777777"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p>
    <w:p w14:paraId="35D38C0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Atrinktų nepageidaujamų reakcijų apibūdinimas</w:t>
      </w:r>
    </w:p>
    <w:p w14:paraId="0FB001A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E3B0E1F"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Kaulų čiulpų slopinimas</w:t>
      </w:r>
    </w:p>
    <w:p w14:paraId="6A99A189" w14:textId="44B2ECAD"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Gydymas dazatinibu yra susijęs su anemija, neutropenija ir trombocitopenija. Toks poveikis progresavusios fazės LML ar Ph+ ŪLL sergantiems pacientams pasireiškia anksčiau ir dažniau negu pacientams, kuriems yra lėtinė LML fazė (žr.</w:t>
      </w:r>
      <w:r w:rsidR="003661F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3661F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22D702B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D905A03"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Kraujavimas</w:t>
      </w:r>
    </w:p>
    <w:p w14:paraId="15D9E0A9" w14:textId="1ED9C54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Gauta pranešimų, kad pacientams vartojant dazatinibo pasireiškė su vaistiniu preparatu susijusių nepageidaujamų reakcijų dėl kraujavimo – nuo taškinių kraujosruvų ir epistaksės iki 3 ar 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kraujavimo iš virškinimo trakto bei CNS kraujavimo (žr.</w:t>
      </w:r>
      <w:r w:rsidR="00C350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C350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628C766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1A64FEA"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Skysčio susilaikymas</w:t>
      </w:r>
    </w:p>
    <w:p w14:paraId="24549455" w14:textId="4239D1E4"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Įvairias nepageidaujamas reakcijas (pleuros efuziją, ascitą, plaučių edemą ir perikardo efuziją su paviršine edema ar be jos) galima bendrai vadinti skysčio susilaikymu. Naujai diagnozuota lėtinės fazės LML sergančių pacientų tyrimo metu per bent 60</w:t>
      </w:r>
      <w:r w:rsidR="00C350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trukusį stebėjimo laikotarpį su dazatinibu </w:t>
      </w:r>
      <w:r w:rsidRPr="001D3C3D">
        <w:rPr>
          <w:rFonts w:ascii="Times New Roman" w:eastAsia="SimSun" w:hAnsi="Times New Roman" w:cs="Times New Roman"/>
          <w:color w:val="000000"/>
          <w:lang w:eastAsia="ar-SA"/>
        </w:rPr>
        <w:lastRenderedPageBreak/>
        <w:t>susijusios skysčio susilaikymo nepageidaujamos reakcijos buvo pleuros efuzija (28</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paviršinė edema (14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plaučių hipertenzija (5</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išplitusi edema (4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perikardo efuzija (4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Stazinis širdies nepakankamumas / širdies funkcijos sutrikimas ir plaučių edema užfiksuoti &lt;</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2</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w:t>
      </w:r>
    </w:p>
    <w:p w14:paraId="5BCB4FED" w14:textId="0FE65E46"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Kumuliacinis su dazatinibu susijusios visų laipsnių pleuros efuzijos dažnis per 12</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buvo 10</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24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 14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36</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 19</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48</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 24</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per 60</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 28</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46</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dazatinibo vartojusiems pacientams pleuros efuzija atsinaujino: 17</w:t>
      </w:r>
      <w:r w:rsidR="009D674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pacientų užfiksuoti 2, 6</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pacientams – 3, 18</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pacientų – 4</w:t>
      </w:r>
      <w:r w:rsidR="00D02438">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8 ir 5</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pacientams &gt;</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8 atskiri pleuros efuzijos nepageidaujamos reakcijos epizodai. Laikotarpio iki pirmos su dazatinibu susijusios 1 ar 2</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pleuros efuzijos pasireiškimo mediana buvo 114</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 (diapazonas - nuo 4 iki 299</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 Mažiau kaip 10</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kuriems pasireiškė su dazatinibu susijusi pleuros efuzija, ji buvo stipriai išreikšta (3 ar 4</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Laikotarpio iki pirmo ≥</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3</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su dazatinibu susijusios pleuros efuzijos pasireiškimo mediana buvo 175</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savaitės (diapazonas - nuo 114 iki 274</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 Su dazatinibu susijusios visų laipsnių pleuros efuzijos trukmės mediana buvo 283</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dienos (apie 40</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w:t>
      </w:r>
    </w:p>
    <w:p w14:paraId="21C62924"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A250F16" w14:textId="607197EA"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Pleuros efuzija dažniausiai būdavo laikina: ji praeidavo laikinai nutraukus dazatinibo vartojimą ir taikant gydymą diuretikais arba kitomis tinkamomis palaikomosiomis priemonėmis (žr.</w:t>
      </w:r>
      <w:r w:rsidR="00F556D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 ir 4.4 skyrius). Iš viso su gydymu susijusių pleuros efuzijų patyrė 73 dazatinibo vartoję pacientai: 45 (62</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 jų buvo laikinai nutrauktas gydymas, 30 (41</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 sumažinta dozė. Be to, 34 (47</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pacientams skirta diuretikų, 23 (32</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 kortikosteroidų, o 20 (27</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 kortikosteroidų ir taip pat diuretikų. 9 (12</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pacientams atlikta gydomoji torakocentezė. 6</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dazatinibu gydomų pacientų gydymas buvo nutrauktas dėl su šiuo vaistiniu preparatu susijusios pleuros efuzijos. Pasireikšti gydomajam atsakui pleuros efuzija netrukdė: nepaisant laikino gydymo nutraukimo ar sumažintos dozės, cCCyR užfiksuotas 96</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MMR – 82</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o MR4.5 – 50</w:t>
      </w:r>
      <w:r w:rsidR="00D0243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dazatinibu gydytų pacientų, patyrusių pleuros efuziją. Daugiau informacijos apie lėtinės fazės LML, progresavusios fazės LML ir Ph+ ŪLL sergančius pacientus pateikta 4.4</w:t>
      </w:r>
      <w:r w:rsidR="00F556D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skyriuje.</w:t>
      </w:r>
    </w:p>
    <w:p w14:paraId="3C7A0A2F" w14:textId="3510C64F" w:rsidR="002E1726" w:rsidRPr="001D3C3D" w:rsidRDefault="002E1726" w:rsidP="00ED7DC3">
      <w:pPr>
        <w:suppressAutoHyphens/>
        <w:spacing w:after="0" w:line="240" w:lineRule="auto"/>
        <w:rPr>
          <w:rFonts w:ascii="Times New Roman" w:eastAsia="SimSun" w:hAnsi="Times New Roman" w:cs="Times New Roman"/>
          <w:color w:val="000000"/>
          <w:lang w:eastAsia="ar-SA"/>
        </w:rPr>
      </w:pPr>
      <w:r w:rsidRPr="00B92E23">
        <w:rPr>
          <w:rFonts w:ascii="Times New Roman" w:eastAsia="SimSun" w:hAnsi="Times New Roman" w:cs="Times New Roman"/>
          <w:color w:val="000000"/>
          <w:lang w:eastAsia="ar-SA"/>
        </w:rPr>
        <w:t>Buvo pranešta apie chilotorakso atvejus pacientams, kuriems pasireiškė pleuros efuzija. Kai kurie chilotorakso atvejai išnyko nutraukus dazatinibo vartojimą, nutraukus ar sumažinus dozę, tačiau daugeliu atvejų taip pat prireikė papildomo gydymo.</w:t>
      </w:r>
    </w:p>
    <w:p w14:paraId="0AC0A40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B6041C9"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Plaučių arterijos hipertenzija (PAH)</w:t>
      </w:r>
    </w:p>
    <w:p w14:paraId="56C86ED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Gauta pranešimų apie PAH (prekapiliarinę plaučių arterijos hipertenziją, patvirtintą kateterizuojant dešinę širdies pusę), susijusią su dazatinibo ekspozicija. Šiais atvejais apie PAH pranešta po gydymo dazatinibu pradžios ir taip pat po ilgiau negu metus trukusio gydymo šiuo vaistiniu preparatu. Pacientai, kuriems vartojant dazatinibo pasireiškė PAH, dažnais atvejais kartu vartojo ir kitų vaistinių preparatų arba sirgo ne tik vėžiu, bet ir kitomis ligomis. Nutraukus dazatinibo vartojimą pacientams, kuriems buvo PAH, pastebėtas hemodinamikos ir klinikinių rodiklių pagerėjimas.</w:t>
      </w:r>
    </w:p>
    <w:p w14:paraId="62504DF9"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DCC2193"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QT pailgėjimas</w:t>
      </w:r>
    </w:p>
    <w:p w14:paraId="5B30CF41" w14:textId="331EA9BE"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III fazės tyrimo, kuriame dalyvavo naujai diagnozuota lėtinės fazės LML sirgę pacientai, metu per ne trumpesnį kaip 12</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vienam dazatinibu gydytam pacientui (&lt;</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nustatytas ilgesnis kaip 500</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QTcF (žr.</w:t>
      </w:r>
      <w:r w:rsidR="0025093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25093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Per ne trumpesnį kaip 60</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ilgesnio kaip 500</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QTcF daugiau neužfiksuota nė vienam pacientui.</w:t>
      </w:r>
    </w:p>
    <w:p w14:paraId="7A8BDC0F" w14:textId="61FDA62C"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Penkių II fazės klinikinių tyrimų, kuriuose dalyvavo ankstesniam gydymui imatinibu atsparia liga sergantys arba gydymo imatinibu netoleravę pacientai, buvo kartotinai registruojama ir centralizuotai vertinama 865</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pacientų, vartojusių po 70</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2</w:t>
      </w:r>
      <w:r w:rsidR="00661C2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kartus per parą, EKG iki gydymo ir jo metu, iš anksto numatytu laiku. QT intervalas buvo koreguojamas pagal širdies susitraukimo dažnį </w:t>
      </w:r>
      <w:r w:rsidRPr="001D3C3D">
        <w:rPr>
          <w:rFonts w:ascii="Times New Roman" w:eastAsia="SimSun" w:hAnsi="Times New Roman" w:cs="Times New Roman"/>
          <w:i/>
          <w:color w:val="000000"/>
          <w:lang w:eastAsia="ar-SA"/>
        </w:rPr>
        <w:t>Fridericia</w:t>
      </w:r>
      <w:r w:rsidRPr="001D3C3D">
        <w:rPr>
          <w:rFonts w:ascii="Times New Roman" w:eastAsia="SimSun" w:hAnsi="Times New Roman" w:cs="Times New Roman"/>
          <w:color w:val="000000"/>
          <w:lang w:eastAsia="ar-SA"/>
        </w:rPr>
        <w:t xml:space="preserve"> metodu. 8</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dieną visais momentais po vaistinio preparato vartojimo vidutinis QTcF intervalo (palyginus su buvusiu iki gydymo) pokytis buvo 4</w:t>
      </w:r>
      <w:r w:rsidR="009C2CEE">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6</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(viršutinė 95</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pasikliautinojo intervalo riba buvo &lt;</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7</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w:t>
      </w:r>
    </w:p>
    <w:p w14:paraId="6286176B" w14:textId="321CFD4F"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Klinikinių tyrimų metu dazatinibo vartojusių 2</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182 pacientų, kurie sirgo ankstesniam gydymui imatinibu atsparia liga arba gydymo imatinibu netoleravo, pranešta apie QTc intervalo pailgėjimą kaip nepageidaujamą reakciją, pasireiškusią 15 (1</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21</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paciento (1</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QTcF buvo ilgesnis kaip 500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ms (žr.</w:t>
      </w:r>
      <w:r w:rsidR="0025093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25093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4D3D5A55"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5BF4F63" w14:textId="77777777" w:rsidR="00ED7DC3" w:rsidRPr="001D3C3D" w:rsidRDefault="00ED7DC3" w:rsidP="00B92E23">
      <w:pPr>
        <w:keepNext/>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lastRenderedPageBreak/>
        <w:t>Širdies nepageidaujamos reakcijos</w:t>
      </w:r>
    </w:p>
    <w:p w14:paraId="57556101" w14:textId="1CFC34E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Pacientai, kuriems yra širdies ligų rizikos veiksnių arba kurie yra sirgę širdies liga, turi būti atidžiai stebimi dėl sutrikusiai širdies funkcijai būdingų požymių ar simptomų ir turi būti tinkamai įvertinti bei gydomi (žr.</w:t>
      </w:r>
      <w:r w:rsidR="00A264D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A264D1">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01774D9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8E9493D"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t>Hepatito B reaktyvacija</w:t>
      </w:r>
    </w:p>
    <w:p w14:paraId="08AB94C3" w14:textId="22DA5903"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Pranešta, kad hepatito B reaktyvacijos atvejai buvo susiję su BCR-ABL tirozinkinazės inhibitorių (TKI) vartojimu. Kai kuriais atvejais tai sukėlė ūminį kepenų nepakankamumą arba žaibinį hepatitą, dėl kurio pacientui teko persodinti kepenis arba pacientą ištiko mirtis (žr.</w:t>
      </w:r>
      <w:r w:rsidR="008C0550">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8C0550">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3976B57D"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A1D3C2D" w14:textId="07EA2F09"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III fazės dozės optimizavimo tyrimo metu pacientams, kurie sirgo ankstesniam gydymui imatinibu atsparia lėtinės fazės LML arba pacientams, kurie gydymo imatinibu netoleravo (gydymo trukmės mediana </w:t>
      </w:r>
      <w:r w:rsidR="009C2CEE">
        <w:rPr>
          <w:rFonts w:ascii="Times New Roman" w:eastAsia="SimSun" w:hAnsi="Times New Roman" w:cs="Times New Roman"/>
          <w:color w:val="000000"/>
          <w:lang w:eastAsia="ar-SA"/>
        </w:rPr>
        <w:t>–</w:t>
      </w:r>
      <w:r w:rsidRPr="001D3C3D">
        <w:rPr>
          <w:rFonts w:ascii="Times New Roman" w:eastAsia="SimSun" w:hAnsi="Times New Roman" w:cs="Times New Roman"/>
          <w:color w:val="000000"/>
          <w:lang w:eastAsia="ar-SA"/>
        </w:rPr>
        <w:t xml:space="preserve"> 30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taikant gydymą 100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1</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pleuros efuzija ir stazinis širdies nepakankamumas ar širdies funkcijos sutrikimas pasireiškė rečiau negu taikant gydymą dazatinibu po 70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2</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kartus per parą. Kaulų čiulpų slopinimas taip pat rečiau pastebėtas gydymo</w:t>
      </w:r>
      <w:r w:rsidR="00EB7163">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lang w:eastAsia="ar-SA"/>
        </w:rPr>
        <w:t>100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kartą per parą doze grupės pacientams (žr. toliau, „Laboratorinių tyrimų nenormalumai“). 100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kartą per parą dozės grupės pacientų gydymo trukmės mediana buvo 37</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nuo 1 iki 91</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Suminiai atrinktų nepageidaujamų reakcijų dažniai pacientams, vartojusiems rekomenduojamą pradinę 100</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mg kartą per parą dozę, nurodyti </w:t>
      </w:r>
      <w:r w:rsidRPr="001D3C3D">
        <w:rPr>
          <w:rFonts w:ascii="Times New Roman" w:eastAsia="SimSun" w:hAnsi="Times New Roman" w:cs="Times New Roman"/>
          <w:b/>
          <w:color w:val="000000"/>
          <w:lang w:eastAsia="ar-SA"/>
        </w:rPr>
        <w:t>6a</w:t>
      </w:r>
      <w:r w:rsidR="004665DA">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lentelėje</w:t>
      </w:r>
      <w:r w:rsidRPr="001D3C3D">
        <w:rPr>
          <w:rFonts w:ascii="Times New Roman" w:eastAsia="SimSun" w:hAnsi="Times New Roman" w:cs="Times New Roman"/>
          <w:color w:val="000000"/>
          <w:lang w:eastAsia="ar-SA"/>
        </w:rPr>
        <w:t>.</w:t>
      </w:r>
    </w:p>
    <w:p w14:paraId="6E9A53ED"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192932D" w14:textId="3E1B17F4" w:rsidR="00ED7DC3" w:rsidRPr="001D3C3D" w:rsidRDefault="00ED7DC3" w:rsidP="00ED7DC3">
      <w:pPr>
        <w:suppressAutoHyphens/>
        <w:spacing w:after="0" w:line="240" w:lineRule="auto"/>
        <w:ind w:left="1165" w:hanging="1119"/>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6a</w:t>
      </w:r>
      <w:r w:rsidR="004665DA">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lentelė. Atrinktos nepageidaujamos reakcijos, apie kurias gauta pranešimų III fazės dozės optimizavimo tyrimo metu (imatinibo netoleravusiems arba jam atsparia lėtinės fazės LML sergantiems pacientams)</w:t>
      </w:r>
      <w:r w:rsidRPr="001D3C3D">
        <w:rPr>
          <w:rFonts w:ascii="Times New Roman" w:eastAsia="SimSun" w:hAnsi="Times New Roman" w:cs="Times New Roman"/>
          <w:b/>
          <w:color w:val="000000"/>
          <w:vertAlign w:val="superscript"/>
          <w:lang w:eastAsia="ar-SA"/>
        </w:rPr>
        <w:t>a</w:t>
      </w:r>
    </w:p>
    <w:p w14:paraId="5F24E45C"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tbl>
      <w:tblPr>
        <w:tblW w:w="9639" w:type="dxa"/>
        <w:tblInd w:w="58" w:type="dxa"/>
        <w:tblLayout w:type="fixed"/>
        <w:tblLook w:val="0000" w:firstRow="0" w:lastRow="0" w:firstColumn="0" w:lastColumn="0" w:noHBand="0" w:noVBand="0"/>
      </w:tblPr>
      <w:tblGrid>
        <w:gridCol w:w="2165"/>
        <w:gridCol w:w="1156"/>
        <w:gridCol w:w="1133"/>
        <w:gridCol w:w="1162"/>
        <w:gridCol w:w="1131"/>
        <w:gridCol w:w="1383"/>
        <w:gridCol w:w="200"/>
        <w:gridCol w:w="934"/>
        <w:gridCol w:w="139"/>
        <w:gridCol w:w="236"/>
      </w:tblGrid>
      <w:tr w:rsidR="00ED7DC3" w:rsidRPr="001D3C3D" w14:paraId="6965BA47" w14:textId="77777777" w:rsidTr="0036275F">
        <w:trPr>
          <w:gridAfter w:val="2"/>
          <w:wAfter w:w="375" w:type="dxa"/>
        </w:trPr>
        <w:tc>
          <w:tcPr>
            <w:tcW w:w="2165" w:type="dxa"/>
            <w:tcBorders>
              <w:top w:val="single" w:sz="4" w:space="0" w:color="000000"/>
              <w:bottom w:val="single" w:sz="4" w:space="0" w:color="000000"/>
            </w:tcBorders>
            <w:shd w:val="clear" w:color="auto" w:fill="FFFFFF"/>
          </w:tcPr>
          <w:p w14:paraId="25599469" w14:textId="77777777" w:rsidR="00ED7DC3" w:rsidRPr="001D3C3D" w:rsidRDefault="00ED7DC3" w:rsidP="00ED7DC3">
            <w:pPr>
              <w:widowControl w:val="0"/>
              <w:tabs>
                <w:tab w:val="left" w:pos="1340"/>
              </w:tabs>
              <w:suppressAutoHyphens/>
              <w:snapToGrid w:val="0"/>
              <w:spacing w:after="0" w:line="240" w:lineRule="auto"/>
              <w:rPr>
                <w:rFonts w:ascii="Times New Roman" w:eastAsia="Calibri" w:hAnsi="Times New Roman" w:cs="Times New Roman"/>
                <w:color w:val="000000"/>
                <w:lang w:eastAsia="ar-SA"/>
              </w:rPr>
            </w:pPr>
          </w:p>
        </w:tc>
        <w:tc>
          <w:tcPr>
            <w:tcW w:w="2289" w:type="dxa"/>
            <w:gridSpan w:val="2"/>
            <w:tcBorders>
              <w:top w:val="single" w:sz="4" w:space="0" w:color="000000"/>
              <w:left w:val="single" w:sz="4" w:space="0" w:color="000000"/>
              <w:bottom w:val="single" w:sz="4" w:space="0" w:color="000000"/>
            </w:tcBorders>
            <w:shd w:val="clear" w:color="auto" w:fill="FFFFFF"/>
          </w:tcPr>
          <w:p w14:paraId="789F44B3"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Per bent 2 stebėjimo metus</w:t>
            </w:r>
          </w:p>
        </w:tc>
        <w:tc>
          <w:tcPr>
            <w:tcW w:w="2293" w:type="dxa"/>
            <w:gridSpan w:val="2"/>
            <w:tcBorders>
              <w:top w:val="single" w:sz="4" w:space="0" w:color="000000"/>
              <w:left w:val="single" w:sz="4" w:space="0" w:color="000000"/>
              <w:bottom w:val="single" w:sz="4" w:space="0" w:color="000000"/>
            </w:tcBorders>
            <w:shd w:val="clear" w:color="auto" w:fill="FFFFFF"/>
          </w:tcPr>
          <w:p w14:paraId="111B8EF3" w14:textId="77777777" w:rsidR="00ED7DC3" w:rsidRPr="001D3C3D" w:rsidRDefault="00ED7DC3" w:rsidP="00ED7DC3">
            <w:pPr>
              <w:widowControl w:val="0"/>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Per bent 5 stebėjimo metus</w:t>
            </w:r>
          </w:p>
        </w:tc>
        <w:tc>
          <w:tcPr>
            <w:tcW w:w="2517" w:type="dxa"/>
            <w:gridSpan w:val="3"/>
            <w:tcBorders>
              <w:top w:val="single" w:sz="4" w:space="0" w:color="000000"/>
              <w:left w:val="single" w:sz="4" w:space="0" w:color="000000"/>
              <w:bottom w:val="single" w:sz="4" w:space="0" w:color="000000"/>
            </w:tcBorders>
            <w:shd w:val="clear" w:color="auto" w:fill="FFFFFF"/>
          </w:tcPr>
          <w:p w14:paraId="6947C6E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Per bent 7 stebėjimo</w:t>
            </w:r>
          </w:p>
          <w:p w14:paraId="01A7A3A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metus</w:t>
            </w:r>
          </w:p>
          <w:p w14:paraId="173F106C" w14:textId="77777777" w:rsidR="00ED7DC3" w:rsidRPr="001D3C3D" w:rsidRDefault="00ED7DC3" w:rsidP="00ED7DC3">
            <w:pPr>
              <w:widowControl w:val="0"/>
              <w:suppressAutoHyphens/>
              <w:spacing w:after="0" w:line="240" w:lineRule="auto"/>
              <w:rPr>
                <w:rFonts w:ascii="Times New Roman" w:eastAsia="Times New Roman" w:hAnsi="Times New Roman" w:cs="Times New Roman"/>
                <w:color w:val="000000"/>
                <w:lang w:eastAsia="ar-SA"/>
              </w:rPr>
            </w:pPr>
          </w:p>
        </w:tc>
      </w:tr>
      <w:tr w:rsidR="00ED7DC3" w:rsidRPr="001D3C3D" w14:paraId="4BC06912" w14:textId="77777777" w:rsidTr="0036275F">
        <w:trPr>
          <w:gridAfter w:val="2"/>
          <w:wAfter w:w="375" w:type="dxa"/>
        </w:trPr>
        <w:tc>
          <w:tcPr>
            <w:tcW w:w="2165" w:type="dxa"/>
            <w:tcBorders>
              <w:top w:val="single" w:sz="4" w:space="0" w:color="000000"/>
              <w:bottom w:val="single" w:sz="4" w:space="0" w:color="000000"/>
            </w:tcBorders>
            <w:shd w:val="clear" w:color="auto" w:fill="FFFFFF"/>
          </w:tcPr>
          <w:p w14:paraId="7EA8203A" w14:textId="77777777" w:rsidR="00ED7DC3" w:rsidRPr="001D3C3D" w:rsidRDefault="00ED7DC3" w:rsidP="00ED7DC3">
            <w:pPr>
              <w:widowControl w:val="0"/>
              <w:tabs>
                <w:tab w:val="left" w:pos="1340"/>
              </w:tabs>
              <w:suppressAutoHyphens/>
              <w:snapToGrid w:val="0"/>
              <w:spacing w:after="0" w:line="240" w:lineRule="auto"/>
              <w:rPr>
                <w:rFonts w:ascii="Times New Roman" w:eastAsia="Calibri" w:hAnsi="Times New Roman" w:cs="Times New Roman"/>
                <w:color w:val="000000"/>
                <w:lang w:eastAsia="ar-SA"/>
              </w:rPr>
            </w:pPr>
          </w:p>
        </w:tc>
        <w:tc>
          <w:tcPr>
            <w:tcW w:w="1156" w:type="dxa"/>
            <w:tcBorders>
              <w:top w:val="single" w:sz="4" w:space="0" w:color="000000"/>
              <w:left w:val="single" w:sz="4" w:space="0" w:color="000000"/>
              <w:bottom w:val="single" w:sz="4" w:space="0" w:color="000000"/>
            </w:tcBorders>
            <w:shd w:val="clear" w:color="auto" w:fill="FFFFFF"/>
          </w:tcPr>
          <w:p w14:paraId="12E93EEB"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Visų laipsnių</w:t>
            </w:r>
          </w:p>
        </w:tc>
        <w:tc>
          <w:tcPr>
            <w:tcW w:w="1133" w:type="dxa"/>
            <w:tcBorders>
              <w:top w:val="single" w:sz="4" w:space="0" w:color="000000"/>
              <w:left w:val="single" w:sz="4" w:space="0" w:color="000000"/>
              <w:bottom w:val="single" w:sz="4" w:space="0" w:color="000000"/>
            </w:tcBorders>
            <w:shd w:val="clear" w:color="auto" w:fill="FFFFFF"/>
          </w:tcPr>
          <w:p w14:paraId="191F7BF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3-4</w:t>
            </w:r>
          </w:p>
          <w:p w14:paraId="67E2735D"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laipsnio</w:t>
            </w:r>
          </w:p>
        </w:tc>
        <w:tc>
          <w:tcPr>
            <w:tcW w:w="1162" w:type="dxa"/>
            <w:tcBorders>
              <w:top w:val="single" w:sz="4" w:space="0" w:color="000000"/>
              <w:left w:val="single" w:sz="4" w:space="0" w:color="000000"/>
              <w:bottom w:val="single" w:sz="4" w:space="0" w:color="000000"/>
            </w:tcBorders>
            <w:shd w:val="clear" w:color="auto" w:fill="FFFFFF"/>
          </w:tcPr>
          <w:p w14:paraId="75709411"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Visų laipsniųs</w:t>
            </w:r>
          </w:p>
        </w:tc>
        <w:tc>
          <w:tcPr>
            <w:tcW w:w="1131" w:type="dxa"/>
            <w:tcBorders>
              <w:top w:val="single" w:sz="4" w:space="0" w:color="000000"/>
              <w:left w:val="single" w:sz="4" w:space="0" w:color="000000"/>
              <w:bottom w:val="single" w:sz="4" w:space="0" w:color="000000"/>
            </w:tcBorders>
            <w:shd w:val="clear" w:color="auto" w:fill="FFFFFF"/>
          </w:tcPr>
          <w:p w14:paraId="7AED55D8"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3-4</w:t>
            </w:r>
          </w:p>
          <w:p w14:paraId="7E034177"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laipsnio</w:t>
            </w:r>
          </w:p>
        </w:tc>
        <w:tc>
          <w:tcPr>
            <w:tcW w:w="1383" w:type="dxa"/>
            <w:tcBorders>
              <w:top w:val="single" w:sz="4" w:space="0" w:color="000000"/>
              <w:left w:val="single" w:sz="4" w:space="0" w:color="000000"/>
              <w:bottom w:val="single" w:sz="4" w:space="0" w:color="000000"/>
            </w:tcBorders>
            <w:shd w:val="clear" w:color="auto" w:fill="FFFFFF"/>
          </w:tcPr>
          <w:p w14:paraId="5DF3782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Visų laipsnių</w:t>
            </w:r>
          </w:p>
        </w:tc>
        <w:tc>
          <w:tcPr>
            <w:tcW w:w="1134" w:type="dxa"/>
            <w:gridSpan w:val="2"/>
            <w:tcBorders>
              <w:top w:val="single" w:sz="4" w:space="0" w:color="000000"/>
              <w:left w:val="single" w:sz="4" w:space="0" w:color="000000"/>
              <w:bottom w:val="single" w:sz="4" w:space="0" w:color="000000"/>
            </w:tcBorders>
            <w:shd w:val="clear" w:color="auto" w:fill="FFFFFF"/>
          </w:tcPr>
          <w:p w14:paraId="6054543E"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3-4</w:t>
            </w:r>
          </w:p>
          <w:p w14:paraId="1E30A897"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laipsnio</w:t>
            </w:r>
          </w:p>
        </w:tc>
      </w:tr>
      <w:tr w:rsidR="00ED7DC3" w:rsidRPr="001D3C3D" w14:paraId="7174E7D2" w14:textId="77777777" w:rsidTr="0036275F">
        <w:tc>
          <w:tcPr>
            <w:tcW w:w="2165" w:type="dxa"/>
            <w:tcBorders>
              <w:top w:val="single" w:sz="4" w:space="0" w:color="000000"/>
              <w:bottom w:val="single" w:sz="4" w:space="0" w:color="000000"/>
            </w:tcBorders>
            <w:shd w:val="clear" w:color="auto" w:fill="FFFFFF"/>
          </w:tcPr>
          <w:p w14:paraId="2F8BA491"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Tinkamiausias terminas</w:t>
            </w:r>
          </w:p>
        </w:tc>
        <w:tc>
          <w:tcPr>
            <w:tcW w:w="7238" w:type="dxa"/>
            <w:gridSpan w:val="8"/>
            <w:tcBorders>
              <w:top w:val="single" w:sz="4" w:space="0" w:color="000000"/>
              <w:left w:val="single" w:sz="4" w:space="0" w:color="000000"/>
              <w:bottom w:val="single" w:sz="4" w:space="0" w:color="000000"/>
            </w:tcBorders>
            <w:shd w:val="clear" w:color="auto" w:fill="FFFFFF"/>
          </w:tcPr>
          <w:p w14:paraId="1B351E07"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 xml:space="preserve">Pacientų dalis (%) </w:t>
            </w:r>
          </w:p>
        </w:tc>
        <w:tc>
          <w:tcPr>
            <w:tcW w:w="236" w:type="dxa"/>
            <w:tcBorders>
              <w:top w:val="single" w:sz="4" w:space="0" w:color="000000"/>
              <w:left w:val="single" w:sz="4" w:space="0" w:color="000000"/>
              <w:bottom w:val="single" w:sz="4" w:space="0" w:color="000000"/>
            </w:tcBorders>
            <w:shd w:val="clear" w:color="auto" w:fill="FFFFFF"/>
          </w:tcPr>
          <w:p w14:paraId="5FCDB3BB"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531881D" w14:textId="77777777" w:rsidTr="0036275F">
        <w:trPr>
          <w:gridAfter w:val="2"/>
          <w:wAfter w:w="375" w:type="dxa"/>
        </w:trPr>
        <w:tc>
          <w:tcPr>
            <w:tcW w:w="2165" w:type="dxa"/>
            <w:tcBorders>
              <w:top w:val="single" w:sz="4" w:space="0" w:color="000000"/>
            </w:tcBorders>
            <w:shd w:val="clear" w:color="auto" w:fill="FFFFFF"/>
          </w:tcPr>
          <w:p w14:paraId="2CEE49CB"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Viduriavimas</w:t>
            </w:r>
          </w:p>
        </w:tc>
        <w:tc>
          <w:tcPr>
            <w:tcW w:w="1156" w:type="dxa"/>
            <w:tcBorders>
              <w:top w:val="single" w:sz="4" w:space="0" w:color="000000"/>
              <w:left w:val="single" w:sz="4" w:space="0" w:color="000000"/>
            </w:tcBorders>
            <w:shd w:val="clear" w:color="auto" w:fill="FFFFFF"/>
          </w:tcPr>
          <w:p w14:paraId="4C91B6CE"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27</w:t>
            </w:r>
          </w:p>
        </w:tc>
        <w:tc>
          <w:tcPr>
            <w:tcW w:w="1133" w:type="dxa"/>
            <w:tcBorders>
              <w:top w:val="single" w:sz="4" w:space="0" w:color="000000"/>
            </w:tcBorders>
            <w:shd w:val="clear" w:color="auto" w:fill="FFFFFF"/>
          </w:tcPr>
          <w:p w14:paraId="0D1ED04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w:t>
            </w:r>
          </w:p>
        </w:tc>
        <w:tc>
          <w:tcPr>
            <w:tcW w:w="1162" w:type="dxa"/>
            <w:tcBorders>
              <w:top w:val="single" w:sz="4" w:space="0" w:color="000000"/>
              <w:left w:val="single" w:sz="4" w:space="0" w:color="000000"/>
            </w:tcBorders>
            <w:shd w:val="clear" w:color="auto" w:fill="FFFFFF"/>
          </w:tcPr>
          <w:p w14:paraId="722A2782"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28</w:t>
            </w:r>
          </w:p>
        </w:tc>
        <w:tc>
          <w:tcPr>
            <w:tcW w:w="1131" w:type="dxa"/>
            <w:tcBorders>
              <w:top w:val="single" w:sz="4" w:space="0" w:color="000000"/>
            </w:tcBorders>
            <w:shd w:val="clear" w:color="auto" w:fill="FFFFFF"/>
          </w:tcPr>
          <w:p w14:paraId="563AAB0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w:t>
            </w:r>
          </w:p>
        </w:tc>
        <w:tc>
          <w:tcPr>
            <w:tcW w:w="1583" w:type="dxa"/>
            <w:gridSpan w:val="2"/>
            <w:tcBorders>
              <w:top w:val="single" w:sz="4" w:space="0" w:color="000000"/>
              <w:left w:val="single" w:sz="4" w:space="0" w:color="000000"/>
            </w:tcBorders>
            <w:shd w:val="clear" w:color="auto" w:fill="FFFFFF"/>
          </w:tcPr>
          <w:p w14:paraId="23BEF3B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28</w:t>
            </w:r>
          </w:p>
        </w:tc>
        <w:tc>
          <w:tcPr>
            <w:tcW w:w="934" w:type="dxa"/>
            <w:tcBorders>
              <w:top w:val="single" w:sz="4" w:space="0" w:color="000000"/>
            </w:tcBorders>
            <w:shd w:val="clear" w:color="auto" w:fill="FFFFFF"/>
          </w:tcPr>
          <w:p w14:paraId="6F99AA92"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2</w:t>
            </w:r>
          </w:p>
        </w:tc>
      </w:tr>
      <w:tr w:rsidR="00ED7DC3" w:rsidRPr="001D3C3D" w14:paraId="195438AF" w14:textId="77777777" w:rsidTr="0036275F">
        <w:trPr>
          <w:gridAfter w:val="2"/>
          <w:wAfter w:w="375" w:type="dxa"/>
        </w:trPr>
        <w:tc>
          <w:tcPr>
            <w:tcW w:w="2165" w:type="dxa"/>
            <w:shd w:val="clear" w:color="auto" w:fill="FFFFFF"/>
          </w:tcPr>
          <w:p w14:paraId="083FC217"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Skysčio susilaikymas</w:t>
            </w:r>
          </w:p>
        </w:tc>
        <w:tc>
          <w:tcPr>
            <w:tcW w:w="1156" w:type="dxa"/>
            <w:tcBorders>
              <w:left w:val="single" w:sz="4" w:space="0" w:color="000000"/>
            </w:tcBorders>
            <w:shd w:val="clear" w:color="auto" w:fill="FFFFFF"/>
          </w:tcPr>
          <w:p w14:paraId="1105A215"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34</w:t>
            </w:r>
          </w:p>
        </w:tc>
        <w:tc>
          <w:tcPr>
            <w:tcW w:w="1133" w:type="dxa"/>
            <w:shd w:val="clear" w:color="auto" w:fill="FFFFFF"/>
          </w:tcPr>
          <w:p w14:paraId="2027BC2C"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4</w:t>
            </w:r>
          </w:p>
        </w:tc>
        <w:tc>
          <w:tcPr>
            <w:tcW w:w="1162" w:type="dxa"/>
            <w:tcBorders>
              <w:left w:val="single" w:sz="4" w:space="0" w:color="000000"/>
            </w:tcBorders>
            <w:shd w:val="clear" w:color="auto" w:fill="FFFFFF"/>
          </w:tcPr>
          <w:p w14:paraId="2F6AB4D5"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42</w:t>
            </w:r>
          </w:p>
        </w:tc>
        <w:tc>
          <w:tcPr>
            <w:tcW w:w="1131" w:type="dxa"/>
            <w:shd w:val="clear" w:color="auto" w:fill="FFFFFF"/>
          </w:tcPr>
          <w:p w14:paraId="2BA828D8"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6</w:t>
            </w:r>
          </w:p>
        </w:tc>
        <w:tc>
          <w:tcPr>
            <w:tcW w:w="1583" w:type="dxa"/>
            <w:gridSpan w:val="2"/>
            <w:tcBorders>
              <w:left w:val="single" w:sz="4" w:space="0" w:color="000000"/>
            </w:tcBorders>
            <w:shd w:val="clear" w:color="auto" w:fill="FFFFFF"/>
          </w:tcPr>
          <w:p w14:paraId="6D33BBA9"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48</w:t>
            </w:r>
          </w:p>
        </w:tc>
        <w:tc>
          <w:tcPr>
            <w:tcW w:w="934" w:type="dxa"/>
            <w:shd w:val="clear" w:color="auto" w:fill="FFFFFF"/>
          </w:tcPr>
          <w:p w14:paraId="74B33063"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7</w:t>
            </w:r>
          </w:p>
        </w:tc>
      </w:tr>
      <w:tr w:rsidR="00ED7DC3" w:rsidRPr="001D3C3D" w14:paraId="2939908B" w14:textId="77777777" w:rsidTr="0036275F">
        <w:trPr>
          <w:gridAfter w:val="2"/>
          <w:wAfter w:w="375" w:type="dxa"/>
        </w:trPr>
        <w:tc>
          <w:tcPr>
            <w:tcW w:w="2165" w:type="dxa"/>
            <w:shd w:val="clear" w:color="auto" w:fill="FFFFFF"/>
          </w:tcPr>
          <w:p w14:paraId="4F0F48A5"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Paviršinė edema</w:t>
            </w:r>
          </w:p>
        </w:tc>
        <w:tc>
          <w:tcPr>
            <w:tcW w:w="1156" w:type="dxa"/>
            <w:tcBorders>
              <w:left w:val="single" w:sz="4" w:space="0" w:color="000000"/>
            </w:tcBorders>
            <w:shd w:val="clear" w:color="auto" w:fill="FFFFFF"/>
          </w:tcPr>
          <w:p w14:paraId="1862CF31"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18</w:t>
            </w:r>
          </w:p>
        </w:tc>
        <w:tc>
          <w:tcPr>
            <w:tcW w:w="1133" w:type="dxa"/>
            <w:shd w:val="clear" w:color="auto" w:fill="FFFFFF"/>
          </w:tcPr>
          <w:p w14:paraId="21B337D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162" w:type="dxa"/>
            <w:tcBorders>
              <w:left w:val="single" w:sz="4" w:space="0" w:color="000000"/>
            </w:tcBorders>
            <w:shd w:val="clear" w:color="auto" w:fill="FFFFFF"/>
          </w:tcPr>
          <w:p w14:paraId="7371C69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21</w:t>
            </w:r>
          </w:p>
        </w:tc>
        <w:tc>
          <w:tcPr>
            <w:tcW w:w="1131" w:type="dxa"/>
            <w:shd w:val="clear" w:color="auto" w:fill="FFFFFF"/>
          </w:tcPr>
          <w:p w14:paraId="6EDC4B05"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583" w:type="dxa"/>
            <w:gridSpan w:val="2"/>
            <w:tcBorders>
              <w:left w:val="single" w:sz="4" w:space="0" w:color="000000"/>
            </w:tcBorders>
            <w:shd w:val="clear" w:color="auto" w:fill="FFFFFF"/>
          </w:tcPr>
          <w:p w14:paraId="1436F9A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22</w:t>
            </w:r>
          </w:p>
        </w:tc>
        <w:tc>
          <w:tcPr>
            <w:tcW w:w="934" w:type="dxa"/>
            <w:shd w:val="clear" w:color="auto" w:fill="FFFFFF"/>
          </w:tcPr>
          <w:p w14:paraId="1C133DE1"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0</w:t>
            </w:r>
          </w:p>
        </w:tc>
      </w:tr>
      <w:tr w:rsidR="00ED7DC3" w:rsidRPr="001D3C3D" w14:paraId="64ECD0CF" w14:textId="77777777" w:rsidTr="0036275F">
        <w:trPr>
          <w:gridAfter w:val="2"/>
          <w:wAfter w:w="375" w:type="dxa"/>
        </w:trPr>
        <w:tc>
          <w:tcPr>
            <w:tcW w:w="2165" w:type="dxa"/>
            <w:shd w:val="clear" w:color="auto" w:fill="FFFFFF"/>
          </w:tcPr>
          <w:p w14:paraId="206AF9FE"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Pleuros efuzija</w:t>
            </w:r>
          </w:p>
        </w:tc>
        <w:tc>
          <w:tcPr>
            <w:tcW w:w="1156" w:type="dxa"/>
            <w:tcBorders>
              <w:left w:val="single" w:sz="4" w:space="0" w:color="000000"/>
            </w:tcBorders>
            <w:shd w:val="clear" w:color="auto" w:fill="FFFFFF"/>
          </w:tcPr>
          <w:p w14:paraId="4305426A"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18</w:t>
            </w:r>
          </w:p>
        </w:tc>
        <w:tc>
          <w:tcPr>
            <w:tcW w:w="1133" w:type="dxa"/>
            <w:shd w:val="clear" w:color="auto" w:fill="FFFFFF"/>
          </w:tcPr>
          <w:p w14:paraId="3BD1BEBD"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1162" w:type="dxa"/>
            <w:tcBorders>
              <w:left w:val="single" w:sz="4" w:space="0" w:color="000000"/>
            </w:tcBorders>
            <w:shd w:val="clear" w:color="auto" w:fill="FFFFFF"/>
          </w:tcPr>
          <w:p w14:paraId="788F3784"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24</w:t>
            </w:r>
          </w:p>
        </w:tc>
        <w:tc>
          <w:tcPr>
            <w:tcW w:w="1131" w:type="dxa"/>
            <w:shd w:val="clear" w:color="auto" w:fill="FFFFFF"/>
          </w:tcPr>
          <w:p w14:paraId="2951C182"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w:t>
            </w:r>
          </w:p>
        </w:tc>
        <w:tc>
          <w:tcPr>
            <w:tcW w:w="1583" w:type="dxa"/>
            <w:gridSpan w:val="2"/>
            <w:tcBorders>
              <w:left w:val="single" w:sz="4" w:space="0" w:color="000000"/>
            </w:tcBorders>
            <w:shd w:val="clear" w:color="auto" w:fill="FFFFFF"/>
          </w:tcPr>
          <w:p w14:paraId="40796A2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28</w:t>
            </w:r>
          </w:p>
        </w:tc>
        <w:tc>
          <w:tcPr>
            <w:tcW w:w="934" w:type="dxa"/>
            <w:shd w:val="clear" w:color="auto" w:fill="FFFFFF"/>
          </w:tcPr>
          <w:p w14:paraId="0CE9158F"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5</w:t>
            </w:r>
          </w:p>
        </w:tc>
      </w:tr>
      <w:tr w:rsidR="00ED7DC3" w:rsidRPr="001D3C3D" w14:paraId="723B08F4" w14:textId="77777777" w:rsidTr="0036275F">
        <w:trPr>
          <w:gridAfter w:val="2"/>
          <w:wAfter w:w="375" w:type="dxa"/>
        </w:trPr>
        <w:tc>
          <w:tcPr>
            <w:tcW w:w="2165" w:type="dxa"/>
            <w:shd w:val="clear" w:color="auto" w:fill="FFFFFF"/>
          </w:tcPr>
          <w:p w14:paraId="6C138870"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Išplitusi edema</w:t>
            </w:r>
          </w:p>
        </w:tc>
        <w:tc>
          <w:tcPr>
            <w:tcW w:w="1156" w:type="dxa"/>
            <w:tcBorders>
              <w:left w:val="single" w:sz="4" w:space="0" w:color="000000"/>
            </w:tcBorders>
            <w:shd w:val="clear" w:color="auto" w:fill="FFFFFF"/>
          </w:tcPr>
          <w:p w14:paraId="44661877"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w:t>
            </w:r>
          </w:p>
        </w:tc>
        <w:tc>
          <w:tcPr>
            <w:tcW w:w="1133" w:type="dxa"/>
            <w:shd w:val="clear" w:color="auto" w:fill="FFFFFF"/>
          </w:tcPr>
          <w:p w14:paraId="1BC556BD"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162" w:type="dxa"/>
            <w:tcBorders>
              <w:left w:val="single" w:sz="4" w:space="0" w:color="000000"/>
            </w:tcBorders>
            <w:shd w:val="clear" w:color="auto" w:fill="FFFFFF"/>
          </w:tcPr>
          <w:p w14:paraId="7C9D4B67"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w:t>
            </w:r>
          </w:p>
        </w:tc>
        <w:tc>
          <w:tcPr>
            <w:tcW w:w="1131" w:type="dxa"/>
            <w:shd w:val="clear" w:color="auto" w:fill="FFFFFF"/>
          </w:tcPr>
          <w:p w14:paraId="396297D8"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583" w:type="dxa"/>
            <w:gridSpan w:val="2"/>
            <w:tcBorders>
              <w:left w:val="single" w:sz="4" w:space="0" w:color="000000"/>
            </w:tcBorders>
            <w:shd w:val="clear" w:color="auto" w:fill="FFFFFF"/>
          </w:tcPr>
          <w:p w14:paraId="166802D4"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w:t>
            </w:r>
          </w:p>
        </w:tc>
        <w:tc>
          <w:tcPr>
            <w:tcW w:w="934" w:type="dxa"/>
            <w:shd w:val="clear" w:color="auto" w:fill="FFFFFF"/>
          </w:tcPr>
          <w:p w14:paraId="2F412BD3"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0</w:t>
            </w:r>
          </w:p>
        </w:tc>
      </w:tr>
      <w:tr w:rsidR="00ED7DC3" w:rsidRPr="001D3C3D" w14:paraId="36A7341B" w14:textId="77777777" w:rsidTr="0036275F">
        <w:trPr>
          <w:gridAfter w:val="2"/>
          <w:wAfter w:w="375" w:type="dxa"/>
        </w:trPr>
        <w:tc>
          <w:tcPr>
            <w:tcW w:w="2165" w:type="dxa"/>
            <w:shd w:val="clear" w:color="auto" w:fill="FFFFFF"/>
          </w:tcPr>
          <w:p w14:paraId="5DD36788"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Perikardo efuzija</w:t>
            </w:r>
          </w:p>
        </w:tc>
        <w:tc>
          <w:tcPr>
            <w:tcW w:w="1156" w:type="dxa"/>
            <w:tcBorders>
              <w:left w:val="single" w:sz="4" w:space="0" w:color="000000"/>
            </w:tcBorders>
            <w:shd w:val="clear" w:color="auto" w:fill="FFFFFF"/>
          </w:tcPr>
          <w:p w14:paraId="1237C605"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1133" w:type="dxa"/>
            <w:shd w:val="clear" w:color="auto" w:fill="FFFFFF"/>
          </w:tcPr>
          <w:p w14:paraId="00B459BB"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1162" w:type="dxa"/>
            <w:tcBorders>
              <w:left w:val="single" w:sz="4" w:space="0" w:color="000000"/>
            </w:tcBorders>
            <w:shd w:val="clear" w:color="auto" w:fill="FFFFFF"/>
          </w:tcPr>
          <w:p w14:paraId="21E2F8FB"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1131" w:type="dxa"/>
            <w:shd w:val="clear" w:color="auto" w:fill="FFFFFF"/>
          </w:tcPr>
          <w:p w14:paraId="1B7688C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1583" w:type="dxa"/>
            <w:gridSpan w:val="2"/>
            <w:tcBorders>
              <w:left w:val="single" w:sz="4" w:space="0" w:color="000000"/>
            </w:tcBorders>
            <w:shd w:val="clear" w:color="auto" w:fill="FFFFFF"/>
          </w:tcPr>
          <w:p w14:paraId="2D6B2117"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w:t>
            </w:r>
          </w:p>
        </w:tc>
        <w:tc>
          <w:tcPr>
            <w:tcW w:w="934" w:type="dxa"/>
            <w:shd w:val="clear" w:color="auto" w:fill="FFFFFF"/>
          </w:tcPr>
          <w:p w14:paraId="01E12DD0"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w:t>
            </w:r>
          </w:p>
        </w:tc>
      </w:tr>
      <w:tr w:rsidR="00ED7DC3" w:rsidRPr="001D3C3D" w14:paraId="734261AA" w14:textId="77777777" w:rsidTr="0036275F">
        <w:trPr>
          <w:gridAfter w:val="2"/>
          <w:wAfter w:w="375" w:type="dxa"/>
        </w:trPr>
        <w:tc>
          <w:tcPr>
            <w:tcW w:w="2165" w:type="dxa"/>
            <w:shd w:val="clear" w:color="auto" w:fill="FFFFFF"/>
          </w:tcPr>
          <w:p w14:paraId="4786C019"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Plaučių hipertenzija</w:t>
            </w:r>
          </w:p>
        </w:tc>
        <w:tc>
          <w:tcPr>
            <w:tcW w:w="1156" w:type="dxa"/>
            <w:tcBorders>
              <w:left w:val="single" w:sz="4" w:space="0" w:color="000000"/>
            </w:tcBorders>
            <w:shd w:val="clear" w:color="auto" w:fill="FFFFFF"/>
          </w:tcPr>
          <w:p w14:paraId="17844E6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133" w:type="dxa"/>
            <w:shd w:val="clear" w:color="auto" w:fill="FFFFFF"/>
          </w:tcPr>
          <w:p w14:paraId="49C1B983"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162" w:type="dxa"/>
            <w:tcBorders>
              <w:left w:val="single" w:sz="4" w:space="0" w:color="000000"/>
            </w:tcBorders>
            <w:shd w:val="clear" w:color="auto" w:fill="FFFFFF"/>
          </w:tcPr>
          <w:p w14:paraId="27F6B17B"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131" w:type="dxa"/>
            <w:shd w:val="clear" w:color="auto" w:fill="FFFFFF"/>
          </w:tcPr>
          <w:p w14:paraId="3E037BD3"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w:t>
            </w:r>
          </w:p>
        </w:tc>
        <w:tc>
          <w:tcPr>
            <w:tcW w:w="1583" w:type="dxa"/>
            <w:gridSpan w:val="2"/>
            <w:tcBorders>
              <w:left w:val="single" w:sz="4" w:space="0" w:color="000000"/>
            </w:tcBorders>
            <w:shd w:val="clear" w:color="auto" w:fill="FFFFFF"/>
          </w:tcPr>
          <w:p w14:paraId="26B213B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934" w:type="dxa"/>
            <w:shd w:val="clear" w:color="auto" w:fill="FFFFFF"/>
          </w:tcPr>
          <w:p w14:paraId="18AB0097"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w:t>
            </w:r>
          </w:p>
        </w:tc>
      </w:tr>
      <w:tr w:rsidR="00ED7DC3" w:rsidRPr="001D3C3D" w14:paraId="6F0E4E0B" w14:textId="77777777" w:rsidTr="0036275F">
        <w:trPr>
          <w:gridAfter w:val="2"/>
          <w:wAfter w:w="375" w:type="dxa"/>
        </w:trPr>
        <w:tc>
          <w:tcPr>
            <w:tcW w:w="2165" w:type="dxa"/>
            <w:shd w:val="clear" w:color="auto" w:fill="FFFFFF"/>
          </w:tcPr>
          <w:p w14:paraId="54A9BB88"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Kraujavimas</w:t>
            </w:r>
          </w:p>
        </w:tc>
        <w:tc>
          <w:tcPr>
            <w:tcW w:w="1156" w:type="dxa"/>
            <w:tcBorders>
              <w:left w:val="single" w:sz="4" w:space="0" w:color="000000"/>
            </w:tcBorders>
            <w:shd w:val="clear" w:color="auto" w:fill="FFFFFF"/>
          </w:tcPr>
          <w:p w14:paraId="0E8C2527"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11</w:t>
            </w:r>
          </w:p>
        </w:tc>
        <w:tc>
          <w:tcPr>
            <w:tcW w:w="1133" w:type="dxa"/>
            <w:shd w:val="clear" w:color="auto" w:fill="FFFFFF"/>
          </w:tcPr>
          <w:p w14:paraId="317A0D5B"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1</w:t>
            </w:r>
          </w:p>
        </w:tc>
        <w:tc>
          <w:tcPr>
            <w:tcW w:w="1162" w:type="dxa"/>
            <w:tcBorders>
              <w:left w:val="single" w:sz="4" w:space="0" w:color="000000"/>
            </w:tcBorders>
            <w:shd w:val="clear" w:color="auto" w:fill="FFFFFF"/>
          </w:tcPr>
          <w:p w14:paraId="325F1AC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11</w:t>
            </w:r>
          </w:p>
        </w:tc>
        <w:tc>
          <w:tcPr>
            <w:tcW w:w="1131" w:type="dxa"/>
            <w:shd w:val="clear" w:color="auto" w:fill="FFFFFF"/>
          </w:tcPr>
          <w:p w14:paraId="0592F90C"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1</w:t>
            </w:r>
          </w:p>
        </w:tc>
        <w:tc>
          <w:tcPr>
            <w:tcW w:w="1583" w:type="dxa"/>
            <w:gridSpan w:val="2"/>
            <w:tcBorders>
              <w:left w:val="single" w:sz="4" w:space="0" w:color="000000"/>
            </w:tcBorders>
            <w:shd w:val="clear" w:color="auto" w:fill="FFFFFF"/>
          </w:tcPr>
          <w:p w14:paraId="7268F009"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12</w:t>
            </w:r>
          </w:p>
        </w:tc>
        <w:tc>
          <w:tcPr>
            <w:tcW w:w="934" w:type="dxa"/>
            <w:shd w:val="clear" w:color="auto" w:fill="FFFFFF"/>
          </w:tcPr>
          <w:p w14:paraId="3ECD8FB1"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1</w:t>
            </w:r>
          </w:p>
        </w:tc>
      </w:tr>
      <w:tr w:rsidR="00ED7DC3" w:rsidRPr="001D3C3D" w14:paraId="1678AA5D" w14:textId="77777777" w:rsidTr="0036275F">
        <w:trPr>
          <w:gridAfter w:val="2"/>
          <w:wAfter w:w="375" w:type="dxa"/>
        </w:trPr>
        <w:tc>
          <w:tcPr>
            <w:tcW w:w="2165" w:type="dxa"/>
            <w:tcBorders>
              <w:bottom w:val="single" w:sz="4" w:space="0" w:color="000000"/>
            </w:tcBorders>
            <w:shd w:val="clear" w:color="auto" w:fill="FFFFFF"/>
          </w:tcPr>
          <w:p w14:paraId="12D4E68C"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Kraujavimas iš virškinimo trakto</w:t>
            </w:r>
          </w:p>
        </w:tc>
        <w:tc>
          <w:tcPr>
            <w:tcW w:w="1156" w:type="dxa"/>
            <w:tcBorders>
              <w:left w:val="single" w:sz="4" w:space="0" w:color="000000"/>
              <w:bottom w:val="single" w:sz="4" w:space="0" w:color="000000"/>
            </w:tcBorders>
            <w:shd w:val="clear" w:color="auto" w:fill="FFFFFF"/>
          </w:tcPr>
          <w:p w14:paraId="0C9D47BA"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08D56D43"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1133" w:type="dxa"/>
            <w:tcBorders>
              <w:bottom w:val="single" w:sz="4" w:space="0" w:color="000000"/>
            </w:tcBorders>
            <w:shd w:val="clear" w:color="auto" w:fill="FFFFFF"/>
          </w:tcPr>
          <w:p w14:paraId="7ECD49C6"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2494381A"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1162" w:type="dxa"/>
            <w:tcBorders>
              <w:left w:val="single" w:sz="4" w:space="0" w:color="000000"/>
              <w:bottom w:val="single" w:sz="4" w:space="0" w:color="000000"/>
            </w:tcBorders>
            <w:shd w:val="clear" w:color="auto" w:fill="FFFFFF"/>
          </w:tcPr>
          <w:p w14:paraId="65390AFF"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5867B26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1131" w:type="dxa"/>
            <w:tcBorders>
              <w:bottom w:val="single" w:sz="4" w:space="0" w:color="000000"/>
            </w:tcBorders>
            <w:shd w:val="clear" w:color="auto" w:fill="FFFFFF"/>
          </w:tcPr>
          <w:p w14:paraId="1D33E420"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6AC356C5"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1583" w:type="dxa"/>
            <w:gridSpan w:val="2"/>
            <w:tcBorders>
              <w:left w:val="single" w:sz="4" w:space="0" w:color="000000"/>
              <w:bottom w:val="single" w:sz="4" w:space="0" w:color="000000"/>
            </w:tcBorders>
            <w:shd w:val="clear" w:color="auto" w:fill="FFFFFF"/>
          </w:tcPr>
          <w:p w14:paraId="62E4B7C7"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7B6B42ED"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934" w:type="dxa"/>
            <w:tcBorders>
              <w:bottom w:val="single" w:sz="4" w:space="0" w:color="000000"/>
            </w:tcBorders>
            <w:shd w:val="clear" w:color="auto" w:fill="FFFFFF"/>
          </w:tcPr>
          <w:p w14:paraId="5CF3850B"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0543D616"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w:t>
            </w:r>
          </w:p>
        </w:tc>
      </w:tr>
    </w:tbl>
    <w:p w14:paraId="2E2C773F" w14:textId="04EE7D3F" w:rsidR="00ED7DC3" w:rsidRPr="00B92E23" w:rsidRDefault="00ED7DC3" w:rsidP="00ED7DC3">
      <w:pPr>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III fazės dozės optimizavimo tyrimo duomenys, apie kuriuos buvo gauta pranešimų iš rekomenduojamą pradinę 100</w:t>
      </w:r>
      <w:r w:rsidR="009C2CEE"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mg kartą per parą dozę vartojusių pacientų populiacijos (n</w:t>
      </w:r>
      <w:r w:rsidR="009C2CEE"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9C2CEE"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165).</w:t>
      </w:r>
    </w:p>
    <w:p w14:paraId="7AE76DF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B72CB3E" w14:textId="248F6885"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III fazės dozės optimizavimo tyrimo, kuriame dalyvavo progresavusios fazės LML ir Ph+ ŪLL sergantys, metu progresavusios fazės LML gydymo trukmės mediana buvo 14</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LML mieloidinių blastų fazės – 3</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LML limfoidinių blastų fazės – 4</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Ph+ ŪLL – 3</w:t>
      </w:r>
      <w:r w:rsidR="009C2CE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w:t>
      </w:r>
      <w:r w:rsidRPr="001D3C3D">
        <w:rPr>
          <w:rFonts w:ascii="Times New Roman" w:eastAsia="SimSun" w:hAnsi="Times New Roman" w:cs="Times New Roman"/>
          <w:b/>
          <w:bCs/>
          <w:i/>
          <w:iCs/>
          <w:color w:val="000000"/>
          <w:lang w:eastAsia="ar-SA"/>
        </w:rPr>
        <w:t>6b lentelėje</w:t>
      </w:r>
      <w:r w:rsidRPr="001D3C3D">
        <w:rPr>
          <w:rFonts w:ascii="Times New Roman" w:eastAsia="SimSun" w:hAnsi="Times New Roman" w:cs="Times New Roman"/>
          <w:color w:val="000000"/>
          <w:lang w:eastAsia="ar-SA"/>
        </w:rPr>
        <w:t xml:space="preserve"> nurodytos atrinktos nepageidaujamos reakcijos, apie kurias gauta pranešimų rekomenduojamą 140 mg dozę 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dozę vartojusiems pacientams. Be to, tirtas po 70 mg dozės vartojimas du kartus per parą. 140 mg dozės, vartojamos kartą per parą, veiksmingumo pobūdis buvo panašus kaip 70 mg dozės, vartojamos kartą per parą, tačiau saugumo pobūdis – palankesnis.</w:t>
      </w:r>
    </w:p>
    <w:p w14:paraId="1DEBBEA6"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7FDB7D3" w14:textId="2CA97542" w:rsidR="00ED7DC3" w:rsidRPr="001D3C3D" w:rsidRDefault="00ED7DC3" w:rsidP="00B92E23">
      <w:pPr>
        <w:keepNext/>
        <w:suppressAutoHyphens/>
        <w:spacing w:after="0" w:line="240" w:lineRule="auto"/>
        <w:ind w:left="1196" w:hanging="1162"/>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6b</w:t>
      </w:r>
      <w:r w:rsidR="00D552EE">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lentelė. Atrinktos nepageidaujamos reakcijos, apie kurias gauta pranešimų III fazės dozės optimizavimo tyrimo metu: progresavusi LML fazė ir Ph+ ŪLL</w:t>
      </w:r>
      <w:r w:rsidRPr="001D3C3D">
        <w:rPr>
          <w:rFonts w:ascii="Times New Roman" w:eastAsia="SimSun" w:hAnsi="Times New Roman" w:cs="Times New Roman"/>
          <w:b/>
          <w:color w:val="000000"/>
          <w:vertAlign w:val="superscript"/>
          <w:lang w:eastAsia="ar-SA"/>
        </w:rPr>
        <w:t>a</w:t>
      </w:r>
    </w:p>
    <w:p w14:paraId="5B820B7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tbl>
      <w:tblPr>
        <w:tblW w:w="9163" w:type="dxa"/>
        <w:tblInd w:w="-50" w:type="dxa"/>
        <w:tblLayout w:type="fixed"/>
        <w:tblCellMar>
          <w:left w:w="0" w:type="dxa"/>
          <w:right w:w="0" w:type="dxa"/>
        </w:tblCellMar>
        <w:tblLook w:val="0000" w:firstRow="0" w:lastRow="0" w:firstColumn="0" w:lastColumn="0" w:noHBand="0" w:noVBand="0"/>
      </w:tblPr>
      <w:tblGrid>
        <w:gridCol w:w="3788"/>
        <w:gridCol w:w="2820"/>
        <w:gridCol w:w="26"/>
        <w:gridCol w:w="2474"/>
        <w:gridCol w:w="25"/>
        <w:gridCol w:w="30"/>
      </w:tblGrid>
      <w:tr w:rsidR="00ED7DC3" w:rsidRPr="001D3C3D" w14:paraId="07936216" w14:textId="77777777" w:rsidTr="0036275F">
        <w:trPr>
          <w:gridAfter w:val="1"/>
          <w:wAfter w:w="30" w:type="dxa"/>
        </w:trPr>
        <w:tc>
          <w:tcPr>
            <w:tcW w:w="3790" w:type="dxa"/>
            <w:tcBorders>
              <w:top w:val="single" w:sz="4" w:space="0" w:color="000000"/>
              <w:bottom w:val="single" w:sz="4" w:space="0" w:color="000000"/>
            </w:tcBorders>
            <w:shd w:val="clear" w:color="auto" w:fill="FFFFFF"/>
          </w:tcPr>
          <w:p w14:paraId="26FED123" w14:textId="77777777" w:rsidR="00ED7DC3" w:rsidRPr="001D3C3D" w:rsidRDefault="00ED7DC3" w:rsidP="00ED7DC3">
            <w:pPr>
              <w:widowControl w:val="0"/>
              <w:tabs>
                <w:tab w:val="left" w:pos="1340"/>
              </w:tabs>
              <w:suppressAutoHyphens/>
              <w:snapToGrid w:val="0"/>
              <w:spacing w:after="0" w:line="240" w:lineRule="auto"/>
              <w:rPr>
                <w:rFonts w:ascii="Times New Roman" w:eastAsia="Calibri" w:hAnsi="Times New Roman" w:cs="Times New Roman"/>
                <w:color w:val="000000"/>
                <w:lang w:eastAsia="ar-SA"/>
              </w:rPr>
            </w:pPr>
          </w:p>
        </w:tc>
        <w:tc>
          <w:tcPr>
            <w:tcW w:w="5323" w:type="dxa"/>
            <w:gridSpan w:val="3"/>
            <w:tcBorders>
              <w:top w:val="single" w:sz="4" w:space="0" w:color="000000"/>
              <w:left w:val="single" w:sz="4" w:space="0" w:color="000000"/>
              <w:bottom w:val="single" w:sz="4" w:space="0" w:color="000000"/>
            </w:tcBorders>
            <w:shd w:val="clear" w:color="auto" w:fill="FFFFFF"/>
          </w:tcPr>
          <w:p w14:paraId="18A9FDB0" w14:textId="7C042EA1"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140</w:t>
            </w:r>
            <w:r w:rsidR="001436F5">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mg kartą per parą</w:t>
            </w:r>
          </w:p>
          <w:p w14:paraId="4C7617D6" w14:textId="3F0FD3BD"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bCs/>
                <w:color w:val="000000"/>
                <w:lang w:eastAsia="ar-SA"/>
              </w:rPr>
              <w:t>n</w:t>
            </w:r>
            <w:r w:rsidR="001436F5">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w:t>
            </w:r>
            <w:r w:rsidR="001436F5">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304</w:t>
            </w:r>
          </w:p>
        </w:tc>
        <w:tc>
          <w:tcPr>
            <w:tcW w:w="20" w:type="dxa"/>
            <w:tcBorders>
              <w:left w:val="single" w:sz="4" w:space="0" w:color="000000"/>
            </w:tcBorders>
            <w:shd w:val="clear" w:color="auto" w:fill="auto"/>
          </w:tcPr>
          <w:p w14:paraId="697D50D8"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132B8722" w14:textId="77777777" w:rsidTr="0036275F">
        <w:tblPrEx>
          <w:tblCellMar>
            <w:left w:w="108" w:type="dxa"/>
            <w:right w:w="108" w:type="dxa"/>
          </w:tblCellMar>
        </w:tblPrEx>
        <w:tc>
          <w:tcPr>
            <w:tcW w:w="3790" w:type="dxa"/>
            <w:tcBorders>
              <w:top w:val="single" w:sz="4" w:space="0" w:color="000000"/>
              <w:bottom w:val="single" w:sz="4" w:space="0" w:color="000000"/>
            </w:tcBorders>
            <w:shd w:val="clear" w:color="auto" w:fill="FFFFFF"/>
          </w:tcPr>
          <w:p w14:paraId="3C26A3E2" w14:textId="77777777" w:rsidR="00ED7DC3" w:rsidRPr="001D3C3D" w:rsidRDefault="00ED7DC3" w:rsidP="00ED7DC3">
            <w:pPr>
              <w:widowControl w:val="0"/>
              <w:tabs>
                <w:tab w:val="left" w:pos="1340"/>
              </w:tabs>
              <w:suppressAutoHyphens/>
              <w:snapToGrid w:val="0"/>
              <w:spacing w:after="0" w:line="240" w:lineRule="auto"/>
              <w:rPr>
                <w:rFonts w:ascii="Times New Roman" w:eastAsia="Calibri" w:hAnsi="Times New Roman" w:cs="Times New Roman"/>
                <w:color w:val="000000"/>
                <w:lang w:eastAsia="ar-SA"/>
              </w:rPr>
            </w:pPr>
          </w:p>
        </w:tc>
        <w:tc>
          <w:tcPr>
            <w:tcW w:w="2822" w:type="dxa"/>
            <w:tcBorders>
              <w:top w:val="single" w:sz="4" w:space="0" w:color="000000"/>
              <w:left w:val="single" w:sz="4" w:space="0" w:color="000000"/>
              <w:bottom w:val="single" w:sz="4" w:space="0" w:color="000000"/>
            </w:tcBorders>
            <w:shd w:val="clear" w:color="auto" w:fill="FFFFFF"/>
          </w:tcPr>
          <w:p w14:paraId="3169F04A"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Visų laipsnių</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Pr>
          <w:p w14:paraId="483422E5"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3-4 laipsnio</w:t>
            </w:r>
          </w:p>
        </w:tc>
      </w:tr>
      <w:tr w:rsidR="00ED7DC3" w:rsidRPr="001D3C3D" w14:paraId="67F9B08F" w14:textId="77777777" w:rsidTr="0036275F">
        <w:trPr>
          <w:gridAfter w:val="1"/>
          <w:wAfter w:w="30" w:type="dxa"/>
        </w:trPr>
        <w:tc>
          <w:tcPr>
            <w:tcW w:w="3790" w:type="dxa"/>
            <w:tcBorders>
              <w:top w:val="single" w:sz="4" w:space="0" w:color="000000"/>
              <w:bottom w:val="single" w:sz="4" w:space="0" w:color="000000"/>
            </w:tcBorders>
            <w:shd w:val="clear" w:color="auto" w:fill="FFFFFF"/>
          </w:tcPr>
          <w:p w14:paraId="07EBD1F6"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Tinkamiausias terminas</w:t>
            </w:r>
          </w:p>
        </w:tc>
        <w:tc>
          <w:tcPr>
            <w:tcW w:w="5323" w:type="dxa"/>
            <w:gridSpan w:val="3"/>
            <w:tcBorders>
              <w:top w:val="single" w:sz="4" w:space="0" w:color="000000"/>
              <w:left w:val="single" w:sz="4" w:space="0" w:color="000000"/>
              <w:bottom w:val="single" w:sz="4" w:space="0" w:color="000000"/>
            </w:tcBorders>
            <w:shd w:val="clear" w:color="auto" w:fill="FFFFFF"/>
          </w:tcPr>
          <w:p w14:paraId="7CE27D17"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bCs/>
                <w:color w:val="000000"/>
                <w:lang w:eastAsia="ar-SA"/>
              </w:rPr>
              <w:t xml:space="preserve">Pacientų dalis (%) </w:t>
            </w:r>
          </w:p>
        </w:tc>
        <w:tc>
          <w:tcPr>
            <w:tcW w:w="20" w:type="dxa"/>
            <w:tcBorders>
              <w:left w:val="single" w:sz="4" w:space="0" w:color="000000"/>
            </w:tcBorders>
            <w:shd w:val="clear" w:color="auto" w:fill="auto"/>
          </w:tcPr>
          <w:p w14:paraId="17E5DA70"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169C30AB" w14:textId="77777777" w:rsidTr="0036275F">
        <w:tblPrEx>
          <w:tblCellMar>
            <w:left w:w="108" w:type="dxa"/>
            <w:right w:w="108" w:type="dxa"/>
          </w:tblCellMar>
        </w:tblPrEx>
        <w:tc>
          <w:tcPr>
            <w:tcW w:w="3790" w:type="dxa"/>
            <w:tcBorders>
              <w:top w:val="single" w:sz="4" w:space="0" w:color="000000"/>
            </w:tcBorders>
            <w:shd w:val="clear" w:color="auto" w:fill="FFFFFF"/>
          </w:tcPr>
          <w:p w14:paraId="70F74ECA"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Viduriavimas</w:t>
            </w:r>
          </w:p>
        </w:tc>
        <w:tc>
          <w:tcPr>
            <w:tcW w:w="2848" w:type="dxa"/>
            <w:gridSpan w:val="2"/>
            <w:tcBorders>
              <w:top w:val="single" w:sz="4" w:space="0" w:color="000000"/>
              <w:left w:val="single" w:sz="4" w:space="0" w:color="000000"/>
            </w:tcBorders>
            <w:shd w:val="clear" w:color="auto" w:fill="FFFFFF"/>
          </w:tcPr>
          <w:p w14:paraId="5A968A5A"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28</w:t>
            </w:r>
          </w:p>
        </w:tc>
        <w:tc>
          <w:tcPr>
            <w:tcW w:w="2525" w:type="dxa"/>
            <w:gridSpan w:val="3"/>
            <w:tcBorders>
              <w:top w:val="single" w:sz="4" w:space="0" w:color="000000"/>
              <w:right w:val="single" w:sz="4" w:space="0" w:color="000000"/>
            </w:tcBorders>
            <w:shd w:val="clear" w:color="auto" w:fill="FFFFFF"/>
          </w:tcPr>
          <w:p w14:paraId="5C4678FC"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3</w:t>
            </w:r>
          </w:p>
        </w:tc>
      </w:tr>
      <w:tr w:rsidR="00ED7DC3" w:rsidRPr="001D3C3D" w14:paraId="73A1C4C6" w14:textId="77777777" w:rsidTr="0036275F">
        <w:tblPrEx>
          <w:tblCellMar>
            <w:left w:w="108" w:type="dxa"/>
            <w:right w:w="108" w:type="dxa"/>
          </w:tblCellMar>
        </w:tblPrEx>
        <w:tc>
          <w:tcPr>
            <w:tcW w:w="3790" w:type="dxa"/>
            <w:shd w:val="clear" w:color="auto" w:fill="FFFFFF"/>
          </w:tcPr>
          <w:p w14:paraId="0103D0CA"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Skysčio susilaikymas</w:t>
            </w:r>
          </w:p>
        </w:tc>
        <w:tc>
          <w:tcPr>
            <w:tcW w:w="2848" w:type="dxa"/>
            <w:gridSpan w:val="2"/>
            <w:tcBorders>
              <w:left w:val="single" w:sz="4" w:space="0" w:color="000000"/>
            </w:tcBorders>
            <w:shd w:val="clear" w:color="auto" w:fill="FFFFFF"/>
          </w:tcPr>
          <w:p w14:paraId="0A6D7F7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33</w:t>
            </w:r>
          </w:p>
        </w:tc>
        <w:tc>
          <w:tcPr>
            <w:tcW w:w="2525" w:type="dxa"/>
            <w:gridSpan w:val="3"/>
            <w:tcBorders>
              <w:right w:val="single" w:sz="4" w:space="0" w:color="000000"/>
            </w:tcBorders>
            <w:shd w:val="clear" w:color="auto" w:fill="FFFFFF"/>
          </w:tcPr>
          <w:p w14:paraId="25C0E1C3"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7</w:t>
            </w:r>
          </w:p>
        </w:tc>
      </w:tr>
      <w:tr w:rsidR="00ED7DC3" w:rsidRPr="001D3C3D" w14:paraId="1FBD1467" w14:textId="77777777" w:rsidTr="0036275F">
        <w:tblPrEx>
          <w:tblCellMar>
            <w:left w:w="108" w:type="dxa"/>
            <w:right w:w="108" w:type="dxa"/>
          </w:tblCellMar>
        </w:tblPrEx>
        <w:tc>
          <w:tcPr>
            <w:tcW w:w="3790" w:type="dxa"/>
            <w:shd w:val="clear" w:color="auto" w:fill="FFFFFF"/>
          </w:tcPr>
          <w:p w14:paraId="2006DAB4"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Paviršinė edema</w:t>
            </w:r>
          </w:p>
        </w:tc>
        <w:tc>
          <w:tcPr>
            <w:tcW w:w="2848" w:type="dxa"/>
            <w:gridSpan w:val="2"/>
            <w:tcBorders>
              <w:left w:val="single" w:sz="4" w:space="0" w:color="000000"/>
            </w:tcBorders>
            <w:shd w:val="clear" w:color="auto" w:fill="FFFFFF"/>
          </w:tcPr>
          <w:p w14:paraId="4200E383"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15</w:t>
            </w:r>
          </w:p>
        </w:tc>
        <w:tc>
          <w:tcPr>
            <w:tcW w:w="2525" w:type="dxa"/>
            <w:gridSpan w:val="3"/>
            <w:tcBorders>
              <w:right w:val="single" w:sz="4" w:space="0" w:color="000000"/>
            </w:tcBorders>
            <w:shd w:val="clear" w:color="auto" w:fill="FFFFFF"/>
          </w:tcPr>
          <w:p w14:paraId="3724F44E"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&lt;1</w:t>
            </w:r>
          </w:p>
        </w:tc>
      </w:tr>
      <w:tr w:rsidR="00ED7DC3" w:rsidRPr="001D3C3D" w14:paraId="5359B580" w14:textId="77777777" w:rsidTr="0036275F">
        <w:tblPrEx>
          <w:tblCellMar>
            <w:left w:w="108" w:type="dxa"/>
            <w:right w:w="108" w:type="dxa"/>
          </w:tblCellMar>
        </w:tblPrEx>
        <w:tc>
          <w:tcPr>
            <w:tcW w:w="3790" w:type="dxa"/>
            <w:shd w:val="clear" w:color="auto" w:fill="FFFFFF"/>
          </w:tcPr>
          <w:p w14:paraId="33C47282"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Pleuros efuzija</w:t>
            </w:r>
          </w:p>
        </w:tc>
        <w:tc>
          <w:tcPr>
            <w:tcW w:w="2848" w:type="dxa"/>
            <w:gridSpan w:val="2"/>
            <w:tcBorders>
              <w:left w:val="single" w:sz="4" w:space="0" w:color="000000"/>
            </w:tcBorders>
            <w:shd w:val="clear" w:color="auto" w:fill="FFFFFF"/>
          </w:tcPr>
          <w:p w14:paraId="1269BCD2"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20</w:t>
            </w:r>
          </w:p>
        </w:tc>
        <w:tc>
          <w:tcPr>
            <w:tcW w:w="2525" w:type="dxa"/>
            <w:gridSpan w:val="3"/>
            <w:tcBorders>
              <w:right w:val="single" w:sz="4" w:space="0" w:color="000000"/>
            </w:tcBorders>
            <w:shd w:val="clear" w:color="auto" w:fill="FFFFFF"/>
          </w:tcPr>
          <w:p w14:paraId="7D7D84B9"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6</w:t>
            </w:r>
          </w:p>
        </w:tc>
      </w:tr>
      <w:tr w:rsidR="00ED7DC3" w:rsidRPr="001D3C3D" w14:paraId="4A174C8D" w14:textId="77777777" w:rsidTr="0036275F">
        <w:tblPrEx>
          <w:tblCellMar>
            <w:left w:w="108" w:type="dxa"/>
            <w:right w:w="108" w:type="dxa"/>
          </w:tblCellMar>
        </w:tblPrEx>
        <w:tc>
          <w:tcPr>
            <w:tcW w:w="3790" w:type="dxa"/>
            <w:shd w:val="clear" w:color="auto" w:fill="FFFFFF"/>
          </w:tcPr>
          <w:p w14:paraId="3394D8ED"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Išplitusi edema</w:t>
            </w:r>
          </w:p>
        </w:tc>
        <w:tc>
          <w:tcPr>
            <w:tcW w:w="2848" w:type="dxa"/>
            <w:gridSpan w:val="2"/>
            <w:tcBorders>
              <w:left w:val="single" w:sz="4" w:space="0" w:color="000000"/>
            </w:tcBorders>
            <w:shd w:val="clear" w:color="auto" w:fill="FFFFFF"/>
          </w:tcPr>
          <w:p w14:paraId="7052C560"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2525" w:type="dxa"/>
            <w:gridSpan w:val="3"/>
            <w:tcBorders>
              <w:right w:val="single" w:sz="4" w:space="0" w:color="000000"/>
            </w:tcBorders>
            <w:shd w:val="clear" w:color="auto" w:fill="FFFFFF"/>
          </w:tcPr>
          <w:p w14:paraId="326AE671"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0</w:t>
            </w:r>
          </w:p>
        </w:tc>
      </w:tr>
      <w:tr w:rsidR="00ED7DC3" w:rsidRPr="001D3C3D" w14:paraId="5D447F66" w14:textId="77777777" w:rsidTr="0036275F">
        <w:tblPrEx>
          <w:tblCellMar>
            <w:left w:w="108" w:type="dxa"/>
            <w:right w:w="108" w:type="dxa"/>
          </w:tblCellMar>
        </w:tblPrEx>
        <w:tc>
          <w:tcPr>
            <w:tcW w:w="3790" w:type="dxa"/>
            <w:shd w:val="clear" w:color="auto" w:fill="FFFFFF"/>
          </w:tcPr>
          <w:p w14:paraId="7AE08C58"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Stazinis širdies nepakankamumas/ širdies funkcijos sutrikimas</w:t>
            </w:r>
            <w:r w:rsidRPr="001D3C3D">
              <w:rPr>
                <w:rFonts w:ascii="Times New Roman" w:eastAsia="Calibri" w:hAnsi="Times New Roman" w:cs="Times New Roman"/>
                <w:color w:val="000000"/>
                <w:vertAlign w:val="superscript"/>
                <w:lang w:eastAsia="ar-SA"/>
              </w:rPr>
              <w:t>b</w:t>
            </w:r>
          </w:p>
        </w:tc>
        <w:tc>
          <w:tcPr>
            <w:tcW w:w="2848" w:type="dxa"/>
            <w:gridSpan w:val="2"/>
            <w:tcBorders>
              <w:left w:val="single" w:sz="4" w:space="0" w:color="000000"/>
            </w:tcBorders>
            <w:shd w:val="clear" w:color="auto" w:fill="FFFFFF"/>
          </w:tcPr>
          <w:p w14:paraId="137504FB"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0B4CD22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2525" w:type="dxa"/>
            <w:gridSpan w:val="3"/>
            <w:tcBorders>
              <w:right w:val="single" w:sz="4" w:space="0" w:color="000000"/>
            </w:tcBorders>
            <w:shd w:val="clear" w:color="auto" w:fill="FFFFFF"/>
          </w:tcPr>
          <w:p w14:paraId="1D26C1CA" w14:textId="77777777" w:rsidR="00ED7DC3" w:rsidRPr="001D3C3D" w:rsidRDefault="00ED7DC3" w:rsidP="00ED7DC3">
            <w:pPr>
              <w:widowControl w:val="0"/>
              <w:tabs>
                <w:tab w:val="left" w:pos="1340"/>
              </w:tabs>
              <w:suppressAutoHyphens/>
              <w:snapToGrid w:val="0"/>
              <w:spacing w:after="0" w:line="240" w:lineRule="auto"/>
              <w:jc w:val="center"/>
              <w:rPr>
                <w:rFonts w:ascii="Times New Roman" w:eastAsia="Calibri" w:hAnsi="Times New Roman" w:cs="Times New Roman"/>
                <w:color w:val="000000"/>
                <w:lang w:eastAsia="ar-SA"/>
              </w:rPr>
            </w:pPr>
          </w:p>
          <w:p w14:paraId="72E52EE2"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0</w:t>
            </w:r>
          </w:p>
        </w:tc>
      </w:tr>
      <w:tr w:rsidR="00ED7DC3" w:rsidRPr="001D3C3D" w14:paraId="24720C6E" w14:textId="77777777" w:rsidTr="0036275F">
        <w:tblPrEx>
          <w:tblCellMar>
            <w:left w:w="108" w:type="dxa"/>
            <w:right w:w="108" w:type="dxa"/>
          </w:tblCellMar>
        </w:tblPrEx>
        <w:tc>
          <w:tcPr>
            <w:tcW w:w="3790" w:type="dxa"/>
            <w:shd w:val="clear" w:color="auto" w:fill="FFFFFF"/>
          </w:tcPr>
          <w:p w14:paraId="27D84A17"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Perikardo efuzija</w:t>
            </w:r>
          </w:p>
        </w:tc>
        <w:tc>
          <w:tcPr>
            <w:tcW w:w="2848" w:type="dxa"/>
            <w:gridSpan w:val="2"/>
            <w:tcBorders>
              <w:left w:val="single" w:sz="4" w:space="0" w:color="000000"/>
            </w:tcBorders>
            <w:shd w:val="clear" w:color="auto" w:fill="FFFFFF"/>
          </w:tcPr>
          <w:p w14:paraId="2F9F2C9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w:t>
            </w:r>
          </w:p>
        </w:tc>
        <w:tc>
          <w:tcPr>
            <w:tcW w:w="2525" w:type="dxa"/>
            <w:gridSpan w:val="3"/>
            <w:tcBorders>
              <w:right w:val="single" w:sz="4" w:space="0" w:color="000000"/>
            </w:tcBorders>
            <w:shd w:val="clear" w:color="auto" w:fill="FFFFFF"/>
          </w:tcPr>
          <w:p w14:paraId="087FA88E"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w:t>
            </w:r>
          </w:p>
        </w:tc>
      </w:tr>
      <w:tr w:rsidR="00ED7DC3" w:rsidRPr="001D3C3D" w14:paraId="672D67E2" w14:textId="77777777" w:rsidTr="0036275F">
        <w:tblPrEx>
          <w:tblCellMar>
            <w:left w:w="108" w:type="dxa"/>
            <w:right w:w="108" w:type="dxa"/>
          </w:tblCellMar>
        </w:tblPrEx>
        <w:tc>
          <w:tcPr>
            <w:tcW w:w="3790" w:type="dxa"/>
            <w:shd w:val="clear" w:color="auto" w:fill="FFFFFF"/>
          </w:tcPr>
          <w:p w14:paraId="46539E52"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Plaučių edema</w:t>
            </w:r>
          </w:p>
        </w:tc>
        <w:tc>
          <w:tcPr>
            <w:tcW w:w="2848" w:type="dxa"/>
            <w:gridSpan w:val="2"/>
            <w:tcBorders>
              <w:left w:val="single" w:sz="4" w:space="0" w:color="000000"/>
            </w:tcBorders>
            <w:shd w:val="clear" w:color="auto" w:fill="FFFFFF"/>
          </w:tcPr>
          <w:p w14:paraId="10ED78C6"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w:t>
            </w:r>
          </w:p>
        </w:tc>
        <w:tc>
          <w:tcPr>
            <w:tcW w:w="2525" w:type="dxa"/>
            <w:gridSpan w:val="3"/>
            <w:tcBorders>
              <w:right w:val="single" w:sz="4" w:space="0" w:color="000000"/>
            </w:tcBorders>
            <w:shd w:val="clear" w:color="auto" w:fill="FFFFFF"/>
          </w:tcPr>
          <w:p w14:paraId="013EF443"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1</w:t>
            </w:r>
          </w:p>
        </w:tc>
      </w:tr>
      <w:tr w:rsidR="00ED7DC3" w:rsidRPr="001D3C3D" w14:paraId="5A55AF7C" w14:textId="77777777" w:rsidTr="0036275F">
        <w:tblPrEx>
          <w:tblCellMar>
            <w:left w:w="108" w:type="dxa"/>
            <w:right w:w="108" w:type="dxa"/>
          </w:tblCellMar>
        </w:tblPrEx>
        <w:tc>
          <w:tcPr>
            <w:tcW w:w="3790" w:type="dxa"/>
            <w:shd w:val="clear" w:color="auto" w:fill="FFFFFF"/>
          </w:tcPr>
          <w:p w14:paraId="53F7361F" w14:textId="77777777" w:rsidR="00ED7DC3" w:rsidRPr="001D3C3D" w:rsidRDefault="00ED7DC3" w:rsidP="00ED7DC3">
            <w:pPr>
              <w:widowControl w:val="0"/>
              <w:tabs>
                <w:tab w:val="left" w:pos="1340"/>
              </w:tabs>
              <w:suppressAutoHyphens/>
              <w:spacing w:after="0" w:line="240" w:lineRule="auto"/>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Kraujavimas</w:t>
            </w:r>
          </w:p>
        </w:tc>
        <w:tc>
          <w:tcPr>
            <w:tcW w:w="2848" w:type="dxa"/>
            <w:gridSpan w:val="2"/>
            <w:tcBorders>
              <w:left w:val="single" w:sz="4" w:space="0" w:color="000000"/>
            </w:tcBorders>
            <w:shd w:val="clear" w:color="auto" w:fill="FFFFFF"/>
          </w:tcPr>
          <w:p w14:paraId="4DE43394"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23</w:t>
            </w:r>
          </w:p>
        </w:tc>
        <w:tc>
          <w:tcPr>
            <w:tcW w:w="2525" w:type="dxa"/>
            <w:gridSpan w:val="3"/>
            <w:tcBorders>
              <w:right w:val="single" w:sz="4" w:space="0" w:color="000000"/>
            </w:tcBorders>
            <w:shd w:val="clear" w:color="auto" w:fill="FFFFFF"/>
          </w:tcPr>
          <w:p w14:paraId="469B9952"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8</w:t>
            </w:r>
          </w:p>
        </w:tc>
      </w:tr>
      <w:tr w:rsidR="00ED7DC3" w:rsidRPr="001D3C3D" w14:paraId="31922E1F" w14:textId="77777777" w:rsidTr="0036275F">
        <w:tblPrEx>
          <w:tblCellMar>
            <w:left w:w="108" w:type="dxa"/>
            <w:right w:w="108" w:type="dxa"/>
          </w:tblCellMar>
        </w:tblPrEx>
        <w:tc>
          <w:tcPr>
            <w:tcW w:w="3790" w:type="dxa"/>
            <w:tcBorders>
              <w:bottom w:val="single" w:sz="4" w:space="0" w:color="000000"/>
            </w:tcBorders>
            <w:shd w:val="clear" w:color="auto" w:fill="FFFFFF"/>
          </w:tcPr>
          <w:p w14:paraId="243A19F1" w14:textId="77777777" w:rsidR="00ED7DC3" w:rsidRPr="001D3C3D" w:rsidRDefault="00ED7DC3" w:rsidP="00ED7DC3">
            <w:pPr>
              <w:widowControl w:val="0"/>
              <w:tabs>
                <w:tab w:val="left" w:pos="1340"/>
              </w:tabs>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Kraujavimas iš virškinimo trakto</w:t>
            </w:r>
          </w:p>
        </w:tc>
        <w:tc>
          <w:tcPr>
            <w:tcW w:w="2848" w:type="dxa"/>
            <w:gridSpan w:val="2"/>
            <w:tcBorders>
              <w:left w:val="single" w:sz="4" w:space="0" w:color="000000"/>
              <w:bottom w:val="single" w:sz="4" w:space="0" w:color="000000"/>
            </w:tcBorders>
            <w:shd w:val="clear" w:color="auto" w:fill="FFFFFF"/>
          </w:tcPr>
          <w:p w14:paraId="6401E99F" w14:textId="77777777" w:rsidR="00ED7DC3" w:rsidRPr="001D3C3D" w:rsidRDefault="00ED7DC3" w:rsidP="00ED7DC3">
            <w:pPr>
              <w:widowControl w:val="0"/>
              <w:tabs>
                <w:tab w:val="left" w:pos="1340"/>
              </w:tabs>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w:t>
            </w:r>
          </w:p>
        </w:tc>
        <w:tc>
          <w:tcPr>
            <w:tcW w:w="2525" w:type="dxa"/>
            <w:gridSpan w:val="3"/>
            <w:tcBorders>
              <w:bottom w:val="single" w:sz="4" w:space="0" w:color="000000"/>
              <w:right w:val="single" w:sz="4" w:space="0" w:color="000000"/>
            </w:tcBorders>
            <w:shd w:val="clear" w:color="auto" w:fill="FFFFFF"/>
          </w:tcPr>
          <w:p w14:paraId="386C6602" w14:textId="77777777" w:rsidR="00ED7DC3" w:rsidRPr="001D3C3D" w:rsidRDefault="00ED7DC3" w:rsidP="00ED7DC3">
            <w:pPr>
              <w:widowControl w:val="0"/>
              <w:tabs>
                <w:tab w:val="left" w:pos="1340"/>
              </w:tabs>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6</w:t>
            </w:r>
          </w:p>
        </w:tc>
      </w:tr>
    </w:tbl>
    <w:p w14:paraId="50003B78" w14:textId="1D9B8809" w:rsidR="00ED7DC3" w:rsidRPr="00B92E23" w:rsidRDefault="00ED7DC3" w:rsidP="00ED7DC3">
      <w:pPr>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III fazės dozės optimizavimo tyrimo duomenys, apie kuriuos gauta pranešimų iš rekomenduojamą pradinę 140</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mg dozę kartą per parą vartojusių pacientų populiacijos (n</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304) baigus 2</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metus trukusį stebėjimą.</w:t>
      </w:r>
    </w:p>
    <w:p w14:paraId="33F64D20" w14:textId="77777777" w:rsidR="00ED7DC3" w:rsidRPr="00B92E23" w:rsidRDefault="00ED7DC3" w:rsidP="00ED7DC3">
      <w:pPr>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b</w:t>
      </w:r>
      <w:r w:rsidRPr="00B92E23">
        <w:rPr>
          <w:rFonts w:ascii="Times New Roman" w:eastAsia="SimSun" w:hAnsi="Times New Roman" w:cs="Times New Roman"/>
          <w:color w:val="000000"/>
          <w:sz w:val="20"/>
          <w:szCs w:val="20"/>
          <w:lang w:eastAsia="ar-SA"/>
        </w:rPr>
        <w:t xml:space="preserve"> Apima skilvelių disfunkciją, širdies nepakankamumą, stazinį širdies nepakankamumą, kardiomiopatiją, stazinę kardiomiopatiją, diastolinę disfunkciją, sumažėjusią išstūmimo frakciją, skilvelių nepakankamumą.</w:t>
      </w:r>
    </w:p>
    <w:p w14:paraId="0AF998F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46F3658" w14:textId="0AD38823"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Be to, atlikti du dazatinibo derinio su chemoterapija tyrimai, kuriuose dalyvavo 161 Ph+ ŪLL sergantis vaikų populiacijos pacientas. Pagrindinio tyrimo metu 106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vaikų populiacijos pacientai gydyti dazatinibo ir chemoterapijos deriniu nepertraukiama tvarka. Palaikomajame tyrime dalyvavo 55</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vaikų populiacijos pacientai, iš kurių 35</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gydyti dazatinibo ir chemoterapijos deriniu pertraukiama tvarka (2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savaitės gydymo, paskui 1</w:t>
      </w:r>
      <w:r w:rsidR="001436F5">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savaičių pertrauka) ir 20</w:t>
      </w:r>
      <w:r w:rsidR="00576BA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vaikų populiacijos pacientų gydyti – dazatinibo ir chemoterapijos deriniu nepertraukiama tvarka. 126 Ph+ ŪLL sirgusių vaikų populiacijos pacientų, gydytų dazatinibo ir chemoterapijos deriniu nepertraukiama tvarka, gydymo trukmės mediana buvo 23,6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(diapazonas – nuo 1,4 iki 33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w:t>
      </w:r>
    </w:p>
    <w:p w14:paraId="5984A14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02C6D1F" w14:textId="55346803"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2 iš 126 (1,6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Ph+ ŪLL sirgusių vaikų populiacijos pacientų, gydytų nepertraukiama tvarka, patyrė nepageidaujamų reakcijų, dėl kurių teko nutraukti gydymą. Šių dviejų pediatrinių tyrimų metu pacientams, gydytiems nepertraukiama tvarka, nustatytos nepageidaujamos reakcijos, kurių dažnis ≥</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pateikiamos 7</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lentelėje. Skystis pleuros ertmėje nustatytas tik 7 šios grupės pacientams (5,6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todėl į lentelę neįtrauktas. </w:t>
      </w:r>
    </w:p>
    <w:p w14:paraId="536324E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D8BF901" w14:textId="37B3F72A" w:rsidR="00ED7DC3" w:rsidRPr="001D3C3D" w:rsidRDefault="00ED7DC3" w:rsidP="00ED7DC3">
      <w:pPr>
        <w:suppressAutoHyphens/>
        <w:spacing w:after="0" w:line="240" w:lineRule="auto"/>
        <w:ind w:left="842" w:hanging="808"/>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7</w:t>
      </w:r>
      <w:r w:rsidR="001436F5">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lentelė. Nepageidaujamos reakcijos, užfiksuotos ≥</w:t>
      </w:r>
      <w:r w:rsidR="001436F5">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10</w:t>
      </w:r>
      <w:r w:rsidR="001436F5">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 Ph+ ŪLL sirgusių vaikų, gydytų dazatinibu nepertraukiama tvarka ir chemoterapijos deriniu (N</w:t>
      </w:r>
      <w:r w:rsidR="001436F5">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w:t>
      </w:r>
      <w:r w:rsidR="001436F5">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126)</w:t>
      </w:r>
      <w:r w:rsidRPr="001D3C3D">
        <w:rPr>
          <w:rFonts w:ascii="Times New Roman" w:eastAsia="SimSun" w:hAnsi="Times New Roman" w:cs="Times New Roman"/>
          <w:b/>
          <w:bCs/>
          <w:color w:val="000000"/>
          <w:vertAlign w:val="superscript"/>
          <w:lang w:eastAsia="ar-SA"/>
        </w:rPr>
        <w:t>a</w:t>
      </w:r>
      <w:r w:rsidRPr="001D3C3D">
        <w:rPr>
          <w:rFonts w:ascii="Times New Roman" w:eastAsia="SimSun" w:hAnsi="Times New Roman" w:cs="Times New Roman"/>
          <w:b/>
          <w:bCs/>
          <w:color w:val="000000"/>
          <w:lang w:eastAsia="ar-SA"/>
        </w:rPr>
        <w:t xml:space="preserve"> </w:t>
      </w:r>
    </w:p>
    <w:p w14:paraId="1DDC669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tbl>
      <w:tblPr>
        <w:tblW w:w="0" w:type="auto"/>
        <w:tblInd w:w="37" w:type="dxa"/>
        <w:tblLayout w:type="fixed"/>
        <w:tblCellMar>
          <w:top w:w="25" w:type="dxa"/>
          <w:left w:w="0" w:type="dxa"/>
          <w:right w:w="115" w:type="dxa"/>
        </w:tblCellMar>
        <w:tblLook w:val="0000" w:firstRow="0" w:lastRow="0" w:firstColumn="0" w:lastColumn="0" w:noHBand="0" w:noVBand="0"/>
      </w:tblPr>
      <w:tblGrid>
        <w:gridCol w:w="3417"/>
        <w:gridCol w:w="2041"/>
        <w:gridCol w:w="3277"/>
      </w:tblGrid>
      <w:tr w:rsidR="00ED7DC3" w:rsidRPr="001D3C3D" w14:paraId="4873DD33" w14:textId="77777777" w:rsidTr="0036275F">
        <w:trPr>
          <w:trHeight w:val="335"/>
        </w:trPr>
        <w:tc>
          <w:tcPr>
            <w:tcW w:w="3417" w:type="dxa"/>
            <w:tcBorders>
              <w:top w:val="single" w:sz="4" w:space="0" w:color="000000"/>
              <w:bottom w:val="single" w:sz="4" w:space="0" w:color="000000"/>
            </w:tcBorders>
            <w:shd w:val="clear" w:color="auto" w:fill="auto"/>
          </w:tcPr>
          <w:p w14:paraId="2B5896C8" w14:textId="77777777" w:rsidR="00ED7DC3" w:rsidRPr="001D3C3D" w:rsidRDefault="00ED7DC3" w:rsidP="00ED7DC3">
            <w:pPr>
              <w:suppressAutoHyphens/>
              <w:snapToGrid w:val="0"/>
              <w:spacing w:after="0" w:line="252" w:lineRule="auto"/>
              <w:rPr>
                <w:rFonts w:ascii="Times New Roman" w:eastAsia="Times New Roman" w:hAnsi="Times New Roman" w:cs="Times New Roman"/>
                <w:color w:val="000000"/>
                <w:lang w:eastAsia="ar-SA"/>
              </w:rPr>
            </w:pPr>
          </w:p>
        </w:tc>
        <w:tc>
          <w:tcPr>
            <w:tcW w:w="2041" w:type="dxa"/>
            <w:tcBorders>
              <w:top w:val="single" w:sz="4" w:space="0" w:color="000000"/>
              <w:bottom w:val="single" w:sz="4" w:space="0" w:color="000000"/>
            </w:tcBorders>
            <w:shd w:val="clear" w:color="auto" w:fill="auto"/>
          </w:tcPr>
          <w:p w14:paraId="009D4E07" w14:textId="77777777" w:rsidR="00ED7DC3" w:rsidRPr="001D3C3D" w:rsidRDefault="00ED7DC3" w:rsidP="00ED7DC3">
            <w:pPr>
              <w:suppressAutoHyphens/>
              <w:snapToGrid w:val="0"/>
              <w:spacing w:after="0" w:line="252" w:lineRule="auto"/>
              <w:rPr>
                <w:rFonts w:ascii="Times New Roman" w:eastAsia="Times New Roman" w:hAnsi="Times New Roman" w:cs="Times New Roman"/>
                <w:color w:val="000000"/>
                <w:lang w:eastAsia="ar-SA"/>
              </w:rPr>
            </w:pPr>
          </w:p>
        </w:tc>
        <w:tc>
          <w:tcPr>
            <w:tcW w:w="3277" w:type="dxa"/>
            <w:tcBorders>
              <w:top w:val="single" w:sz="4" w:space="0" w:color="000000"/>
              <w:bottom w:val="single" w:sz="4" w:space="0" w:color="000000"/>
            </w:tcBorders>
            <w:shd w:val="clear" w:color="auto" w:fill="auto"/>
          </w:tcPr>
          <w:p w14:paraId="2DC70E14"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 xml:space="preserve">Pacientų dalis (%) </w:t>
            </w:r>
          </w:p>
        </w:tc>
      </w:tr>
      <w:tr w:rsidR="00ED7DC3" w:rsidRPr="001D3C3D" w14:paraId="264A9B9F" w14:textId="77777777" w:rsidTr="0036275F">
        <w:trPr>
          <w:trHeight w:val="247"/>
        </w:trPr>
        <w:tc>
          <w:tcPr>
            <w:tcW w:w="3417" w:type="dxa"/>
            <w:tcBorders>
              <w:top w:val="single" w:sz="4" w:space="0" w:color="000000"/>
              <w:bottom w:val="single" w:sz="4" w:space="0" w:color="000000"/>
            </w:tcBorders>
            <w:shd w:val="clear" w:color="auto" w:fill="auto"/>
          </w:tcPr>
          <w:p w14:paraId="1FF9BAE5" w14:textId="77777777" w:rsidR="00ED7DC3" w:rsidRPr="001D3C3D" w:rsidRDefault="00ED7DC3" w:rsidP="00ED7DC3">
            <w:pPr>
              <w:suppressAutoHyphens/>
              <w:spacing w:after="0" w:line="252"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 xml:space="preserve">Nerpageidaujama reakcija </w:t>
            </w:r>
          </w:p>
        </w:tc>
        <w:tc>
          <w:tcPr>
            <w:tcW w:w="2041" w:type="dxa"/>
            <w:tcBorders>
              <w:top w:val="single" w:sz="4" w:space="0" w:color="000000"/>
              <w:bottom w:val="single" w:sz="4" w:space="0" w:color="000000"/>
            </w:tcBorders>
            <w:shd w:val="clear" w:color="auto" w:fill="auto"/>
          </w:tcPr>
          <w:p w14:paraId="4A839864" w14:textId="77777777" w:rsidR="00ED7DC3" w:rsidRPr="001D3C3D" w:rsidRDefault="00ED7DC3" w:rsidP="00ED7DC3">
            <w:pPr>
              <w:suppressAutoHyphens/>
              <w:spacing w:after="0" w:line="252" w:lineRule="auto"/>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 xml:space="preserve">Visų laipsnių </w:t>
            </w:r>
          </w:p>
        </w:tc>
        <w:tc>
          <w:tcPr>
            <w:tcW w:w="3277" w:type="dxa"/>
            <w:tcBorders>
              <w:top w:val="single" w:sz="4" w:space="0" w:color="000000"/>
              <w:bottom w:val="single" w:sz="4" w:space="0" w:color="000000"/>
            </w:tcBorders>
            <w:shd w:val="clear" w:color="auto" w:fill="auto"/>
          </w:tcPr>
          <w:p w14:paraId="357A0CD2" w14:textId="77777777" w:rsidR="00ED7DC3" w:rsidRPr="001D3C3D" w:rsidRDefault="00ED7DC3" w:rsidP="00ED7DC3">
            <w:pPr>
              <w:suppressAutoHyphens/>
              <w:spacing w:after="0" w:line="252" w:lineRule="auto"/>
              <w:ind w:left="92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 xml:space="preserve">3 arba 4 laipsnio </w:t>
            </w:r>
          </w:p>
        </w:tc>
      </w:tr>
      <w:tr w:rsidR="00ED7DC3" w:rsidRPr="001D3C3D" w14:paraId="76CBF27F" w14:textId="77777777" w:rsidTr="0036275F">
        <w:trPr>
          <w:trHeight w:val="267"/>
        </w:trPr>
        <w:tc>
          <w:tcPr>
            <w:tcW w:w="3417" w:type="dxa"/>
            <w:tcBorders>
              <w:top w:val="single" w:sz="4" w:space="0" w:color="000000"/>
            </w:tcBorders>
            <w:shd w:val="clear" w:color="auto" w:fill="auto"/>
          </w:tcPr>
          <w:p w14:paraId="1740F99B"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Febrili neutropenija</w:t>
            </w:r>
          </w:p>
        </w:tc>
        <w:tc>
          <w:tcPr>
            <w:tcW w:w="2041" w:type="dxa"/>
            <w:tcBorders>
              <w:top w:val="single" w:sz="4" w:space="0" w:color="000000"/>
            </w:tcBorders>
            <w:shd w:val="clear" w:color="auto" w:fill="auto"/>
          </w:tcPr>
          <w:p w14:paraId="32B476CB"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27,0</w:t>
            </w:r>
          </w:p>
        </w:tc>
        <w:tc>
          <w:tcPr>
            <w:tcW w:w="3277" w:type="dxa"/>
            <w:tcBorders>
              <w:top w:val="single" w:sz="4" w:space="0" w:color="000000"/>
            </w:tcBorders>
            <w:shd w:val="clear" w:color="auto" w:fill="auto"/>
          </w:tcPr>
          <w:p w14:paraId="503E0829" w14:textId="77777777" w:rsidR="00ED7DC3" w:rsidRPr="001D3C3D" w:rsidRDefault="00ED7DC3" w:rsidP="00ED7DC3">
            <w:pPr>
              <w:suppressAutoHyphens/>
              <w:spacing w:after="0" w:line="252" w:lineRule="auto"/>
              <w:ind w:left="1099"/>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26,2</w:t>
            </w:r>
          </w:p>
        </w:tc>
      </w:tr>
      <w:tr w:rsidR="00ED7DC3" w:rsidRPr="001D3C3D" w14:paraId="7B0BD100" w14:textId="77777777" w:rsidTr="0036275F">
        <w:trPr>
          <w:trHeight w:val="238"/>
        </w:trPr>
        <w:tc>
          <w:tcPr>
            <w:tcW w:w="3417" w:type="dxa"/>
            <w:shd w:val="clear" w:color="auto" w:fill="auto"/>
          </w:tcPr>
          <w:p w14:paraId="0922D7AB"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Pykinimas </w:t>
            </w:r>
          </w:p>
        </w:tc>
        <w:tc>
          <w:tcPr>
            <w:tcW w:w="2041" w:type="dxa"/>
            <w:shd w:val="clear" w:color="auto" w:fill="auto"/>
          </w:tcPr>
          <w:p w14:paraId="18B87365"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20,6</w:t>
            </w:r>
          </w:p>
        </w:tc>
        <w:tc>
          <w:tcPr>
            <w:tcW w:w="3277" w:type="dxa"/>
            <w:shd w:val="clear" w:color="auto" w:fill="auto"/>
          </w:tcPr>
          <w:p w14:paraId="772FACF9" w14:textId="77777777" w:rsidR="00ED7DC3" w:rsidRPr="001D3C3D" w:rsidRDefault="00ED7DC3" w:rsidP="00ED7DC3">
            <w:pPr>
              <w:suppressAutoHyphens/>
              <w:spacing w:after="0" w:line="252" w:lineRule="auto"/>
              <w:ind w:left="1099"/>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5,6</w:t>
            </w:r>
          </w:p>
        </w:tc>
      </w:tr>
      <w:tr w:rsidR="00ED7DC3" w:rsidRPr="001D3C3D" w14:paraId="07F1E92B" w14:textId="77777777" w:rsidTr="0036275F">
        <w:trPr>
          <w:trHeight w:val="238"/>
        </w:trPr>
        <w:tc>
          <w:tcPr>
            <w:tcW w:w="3417" w:type="dxa"/>
            <w:shd w:val="clear" w:color="auto" w:fill="auto"/>
          </w:tcPr>
          <w:p w14:paraId="0F5DF9A5"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Vėmimas</w:t>
            </w:r>
          </w:p>
        </w:tc>
        <w:tc>
          <w:tcPr>
            <w:tcW w:w="2041" w:type="dxa"/>
            <w:shd w:val="clear" w:color="auto" w:fill="auto"/>
          </w:tcPr>
          <w:p w14:paraId="233EE02C"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20,6</w:t>
            </w:r>
          </w:p>
        </w:tc>
        <w:tc>
          <w:tcPr>
            <w:tcW w:w="3277" w:type="dxa"/>
            <w:shd w:val="clear" w:color="auto" w:fill="auto"/>
          </w:tcPr>
          <w:p w14:paraId="3E2AB86C" w14:textId="77777777" w:rsidR="00ED7DC3" w:rsidRPr="001D3C3D" w:rsidRDefault="00ED7DC3" w:rsidP="00ED7DC3">
            <w:pPr>
              <w:suppressAutoHyphens/>
              <w:spacing w:after="0" w:line="252" w:lineRule="auto"/>
              <w:ind w:left="1099"/>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4,8</w:t>
            </w:r>
          </w:p>
        </w:tc>
      </w:tr>
      <w:tr w:rsidR="00ED7DC3" w:rsidRPr="001D3C3D" w14:paraId="2E169010" w14:textId="77777777" w:rsidTr="0036275F">
        <w:trPr>
          <w:trHeight w:val="238"/>
        </w:trPr>
        <w:tc>
          <w:tcPr>
            <w:tcW w:w="3417" w:type="dxa"/>
            <w:shd w:val="clear" w:color="auto" w:fill="auto"/>
          </w:tcPr>
          <w:p w14:paraId="668AD99B"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Pilvo skausmas </w:t>
            </w:r>
          </w:p>
        </w:tc>
        <w:tc>
          <w:tcPr>
            <w:tcW w:w="2041" w:type="dxa"/>
            <w:shd w:val="clear" w:color="auto" w:fill="auto"/>
          </w:tcPr>
          <w:p w14:paraId="77CAF7FB" w14:textId="77777777" w:rsidR="00ED7DC3" w:rsidRPr="001D3C3D" w:rsidRDefault="00ED7DC3" w:rsidP="00ED7DC3">
            <w:pPr>
              <w:suppressAutoHyphens/>
              <w:spacing w:after="0" w:line="252" w:lineRule="auto"/>
              <w:ind w:left="69"/>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14,3</w:t>
            </w:r>
          </w:p>
        </w:tc>
        <w:tc>
          <w:tcPr>
            <w:tcW w:w="3277" w:type="dxa"/>
            <w:shd w:val="clear" w:color="auto" w:fill="auto"/>
          </w:tcPr>
          <w:p w14:paraId="40984EDF" w14:textId="77777777" w:rsidR="00ED7DC3" w:rsidRPr="001D3C3D" w:rsidRDefault="00ED7DC3" w:rsidP="00ED7DC3">
            <w:pPr>
              <w:suppressAutoHyphens/>
              <w:spacing w:after="0" w:line="252" w:lineRule="auto"/>
              <w:ind w:left="1100"/>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3,2</w:t>
            </w:r>
          </w:p>
        </w:tc>
      </w:tr>
      <w:tr w:rsidR="00ED7DC3" w:rsidRPr="001D3C3D" w14:paraId="56DD4B8A" w14:textId="77777777" w:rsidTr="0036275F">
        <w:trPr>
          <w:trHeight w:val="238"/>
        </w:trPr>
        <w:tc>
          <w:tcPr>
            <w:tcW w:w="3417" w:type="dxa"/>
            <w:shd w:val="clear" w:color="auto" w:fill="auto"/>
          </w:tcPr>
          <w:p w14:paraId="32A1817E"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Viduriavimas</w:t>
            </w:r>
          </w:p>
        </w:tc>
        <w:tc>
          <w:tcPr>
            <w:tcW w:w="2041" w:type="dxa"/>
            <w:shd w:val="clear" w:color="auto" w:fill="auto"/>
          </w:tcPr>
          <w:p w14:paraId="78F183C7"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12,7</w:t>
            </w:r>
          </w:p>
        </w:tc>
        <w:tc>
          <w:tcPr>
            <w:tcW w:w="3277" w:type="dxa"/>
            <w:shd w:val="clear" w:color="auto" w:fill="auto"/>
          </w:tcPr>
          <w:p w14:paraId="645974A8" w14:textId="77777777" w:rsidR="00ED7DC3" w:rsidRPr="001D3C3D" w:rsidRDefault="00ED7DC3" w:rsidP="00ED7DC3">
            <w:pPr>
              <w:suppressAutoHyphens/>
              <w:spacing w:after="0" w:line="252" w:lineRule="auto"/>
              <w:ind w:left="1098"/>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4,8 </w:t>
            </w:r>
          </w:p>
        </w:tc>
      </w:tr>
      <w:tr w:rsidR="00ED7DC3" w:rsidRPr="001D3C3D" w14:paraId="0472EBB8" w14:textId="77777777" w:rsidTr="0036275F">
        <w:trPr>
          <w:trHeight w:val="238"/>
        </w:trPr>
        <w:tc>
          <w:tcPr>
            <w:tcW w:w="3417" w:type="dxa"/>
            <w:shd w:val="clear" w:color="auto" w:fill="auto"/>
          </w:tcPr>
          <w:p w14:paraId="02A7C64D"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Karščiavimas </w:t>
            </w:r>
          </w:p>
        </w:tc>
        <w:tc>
          <w:tcPr>
            <w:tcW w:w="2041" w:type="dxa"/>
            <w:shd w:val="clear" w:color="auto" w:fill="auto"/>
          </w:tcPr>
          <w:p w14:paraId="796F314A"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12,7</w:t>
            </w:r>
          </w:p>
        </w:tc>
        <w:tc>
          <w:tcPr>
            <w:tcW w:w="3277" w:type="dxa"/>
            <w:shd w:val="clear" w:color="auto" w:fill="auto"/>
          </w:tcPr>
          <w:p w14:paraId="39C2E25D" w14:textId="77777777" w:rsidR="00ED7DC3" w:rsidRPr="001D3C3D" w:rsidRDefault="00ED7DC3" w:rsidP="00ED7DC3">
            <w:pPr>
              <w:suppressAutoHyphens/>
              <w:spacing w:after="0" w:line="252" w:lineRule="auto"/>
              <w:ind w:left="109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5,6</w:t>
            </w:r>
          </w:p>
        </w:tc>
      </w:tr>
      <w:tr w:rsidR="00ED7DC3" w:rsidRPr="001D3C3D" w14:paraId="0B90602E" w14:textId="77777777" w:rsidTr="0036275F">
        <w:trPr>
          <w:trHeight w:val="238"/>
        </w:trPr>
        <w:tc>
          <w:tcPr>
            <w:tcW w:w="3417" w:type="dxa"/>
            <w:shd w:val="clear" w:color="auto" w:fill="auto"/>
          </w:tcPr>
          <w:p w14:paraId="47C9B4D4"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Galvos skausmas </w:t>
            </w:r>
          </w:p>
        </w:tc>
        <w:tc>
          <w:tcPr>
            <w:tcW w:w="2041" w:type="dxa"/>
            <w:shd w:val="clear" w:color="auto" w:fill="auto"/>
          </w:tcPr>
          <w:p w14:paraId="202B11B1" w14:textId="77777777" w:rsidR="00ED7DC3" w:rsidRPr="001D3C3D" w:rsidRDefault="00ED7DC3" w:rsidP="00ED7DC3">
            <w:pPr>
              <w:suppressAutoHyphens/>
              <w:spacing w:after="0" w:line="252" w:lineRule="auto"/>
              <w:ind w:left="68"/>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11,1</w:t>
            </w:r>
          </w:p>
        </w:tc>
        <w:tc>
          <w:tcPr>
            <w:tcW w:w="3277" w:type="dxa"/>
            <w:shd w:val="clear" w:color="auto" w:fill="auto"/>
          </w:tcPr>
          <w:p w14:paraId="2F5283A0" w14:textId="77777777" w:rsidR="00ED7DC3" w:rsidRPr="001D3C3D" w:rsidRDefault="00ED7DC3" w:rsidP="00ED7DC3">
            <w:pPr>
              <w:suppressAutoHyphens/>
              <w:spacing w:after="0" w:line="252" w:lineRule="auto"/>
              <w:ind w:left="1100"/>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4,8</w:t>
            </w:r>
          </w:p>
        </w:tc>
      </w:tr>
      <w:tr w:rsidR="00ED7DC3" w:rsidRPr="001D3C3D" w14:paraId="742BDE36" w14:textId="77777777" w:rsidTr="0036275F">
        <w:trPr>
          <w:trHeight w:val="238"/>
        </w:trPr>
        <w:tc>
          <w:tcPr>
            <w:tcW w:w="3417" w:type="dxa"/>
            <w:shd w:val="clear" w:color="auto" w:fill="auto"/>
          </w:tcPr>
          <w:p w14:paraId="3CC66A07"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Sumažėjęs apetitas </w:t>
            </w:r>
          </w:p>
        </w:tc>
        <w:tc>
          <w:tcPr>
            <w:tcW w:w="2041" w:type="dxa"/>
            <w:shd w:val="clear" w:color="auto" w:fill="auto"/>
          </w:tcPr>
          <w:p w14:paraId="22DE538E" w14:textId="77777777" w:rsidR="00ED7DC3" w:rsidRPr="001D3C3D" w:rsidRDefault="00ED7DC3" w:rsidP="00ED7DC3">
            <w:pPr>
              <w:suppressAutoHyphens/>
              <w:spacing w:after="0" w:line="252" w:lineRule="auto"/>
              <w:ind w:left="70"/>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10,3 </w:t>
            </w:r>
          </w:p>
        </w:tc>
        <w:tc>
          <w:tcPr>
            <w:tcW w:w="3277" w:type="dxa"/>
            <w:shd w:val="clear" w:color="auto" w:fill="auto"/>
          </w:tcPr>
          <w:p w14:paraId="46382D3A" w14:textId="77777777" w:rsidR="00ED7DC3" w:rsidRPr="001D3C3D" w:rsidRDefault="00ED7DC3" w:rsidP="00ED7DC3">
            <w:pPr>
              <w:suppressAutoHyphens/>
              <w:spacing w:after="0" w:line="252" w:lineRule="auto"/>
              <w:ind w:left="1101"/>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4,8 </w:t>
            </w:r>
          </w:p>
        </w:tc>
      </w:tr>
      <w:tr w:rsidR="00ED7DC3" w:rsidRPr="001D3C3D" w14:paraId="4F4902A8" w14:textId="77777777" w:rsidTr="0036275F">
        <w:trPr>
          <w:trHeight w:val="218"/>
        </w:trPr>
        <w:tc>
          <w:tcPr>
            <w:tcW w:w="3417" w:type="dxa"/>
            <w:tcBorders>
              <w:bottom w:val="single" w:sz="4" w:space="0" w:color="000000"/>
            </w:tcBorders>
            <w:shd w:val="clear" w:color="auto" w:fill="auto"/>
          </w:tcPr>
          <w:p w14:paraId="51F8BD25" w14:textId="77777777" w:rsidR="00ED7DC3" w:rsidRPr="001D3C3D" w:rsidRDefault="00ED7DC3" w:rsidP="00ED7DC3">
            <w:pPr>
              <w:suppressAutoHyphens/>
              <w:spacing w:after="0" w:line="252" w:lineRule="auto"/>
              <w:ind w:left="2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Nuovargis</w:t>
            </w:r>
          </w:p>
        </w:tc>
        <w:tc>
          <w:tcPr>
            <w:tcW w:w="2041" w:type="dxa"/>
            <w:tcBorders>
              <w:bottom w:val="single" w:sz="4" w:space="0" w:color="000000"/>
            </w:tcBorders>
            <w:shd w:val="clear" w:color="auto" w:fill="auto"/>
          </w:tcPr>
          <w:p w14:paraId="4E7D1446" w14:textId="77777777" w:rsidR="00ED7DC3" w:rsidRPr="001D3C3D" w:rsidRDefault="00ED7DC3" w:rsidP="00ED7DC3">
            <w:pPr>
              <w:suppressAutoHyphens/>
              <w:spacing w:after="0" w:line="252" w:lineRule="auto"/>
              <w:ind w:left="6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10,3</w:t>
            </w:r>
          </w:p>
        </w:tc>
        <w:tc>
          <w:tcPr>
            <w:tcW w:w="3277" w:type="dxa"/>
            <w:tcBorders>
              <w:bottom w:val="single" w:sz="4" w:space="0" w:color="000000"/>
            </w:tcBorders>
            <w:shd w:val="clear" w:color="auto" w:fill="auto"/>
          </w:tcPr>
          <w:p w14:paraId="2F7FA77C" w14:textId="77777777" w:rsidR="00ED7DC3" w:rsidRPr="001D3C3D" w:rsidRDefault="00ED7DC3" w:rsidP="00ED7DC3">
            <w:pPr>
              <w:suppressAutoHyphens/>
              <w:spacing w:after="0" w:line="252" w:lineRule="auto"/>
              <w:ind w:left="1099"/>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0 </w:t>
            </w:r>
          </w:p>
        </w:tc>
      </w:tr>
    </w:tbl>
    <w:p w14:paraId="3EF7D33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vertAlign w:val="superscript"/>
          <w:lang w:eastAsia="ar-SA"/>
        </w:rPr>
        <w:t>a</w:t>
      </w:r>
      <w:r w:rsidRPr="001D3C3D">
        <w:rPr>
          <w:rFonts w:ascii="Times New Roman" w:eastAsia="SimSun" w:hAnsi="Times New Roman" w:cs="Times New Roman"/>
          <w:color w:val="000000"/>
          <w:lang w:eastAsia="ar-SA"/>
        </w:rPr>
        <w:t xml:space="preserve"> </w:t>
      </w:r>
      <w:r w:rsidRPr="00B92E23">
        <w:rPr>
          <w:rFonts w:ascii="Times New Roman" w:eastAsia="SimSun" w:hAnsi="Times New Roman" w:cs="Times New Roman"/>
          <w:color w:val="000000"/>
          <w:sz w:val="20"/>
          <w:szCs w:val="20"/>
          <w:lang w:eastAsia="ar-SA"/>
        </w:rPr>
        <w:t xml:space="preserve">Pagrindžiamojo tyrimo metu 24 iš 106 pacientų išgėrė bent vieną miltelių geriamajai suspensijai dozę, 8 iš jų vartojo tik miltelius geriamajai suspensijai. </w:t>
      </w:r>
    </w:p>
    <w:p w14:paraId="446F3D00"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387F9A2" w14:textId="0E1DC6C6" w:rsidR="00ED7DC3" w:rsidRPr="001D3C3D" w:rsidRDefault="00ED7DC3" w:rsidP="00B92E23">
      <w:pPr>
        <w:keepNext/>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lastRenderedPageBreak/>
        <w:t>Laboratorinių tyrimų nenormalumai</w:t>
      </w:r>
    </w:p>
    <w:p w14:paraId="02809B3D" w14:textId="77777777" w:rsidR="00ED7DC3" w:rsidRPr="001D3C3D" w:rsidRDefault="00ED7DC3" w:rsidP="00B92E23">
      <w:pPr>
        <w:keepNext/>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Hematologiniai tyrimai</w:t>
      </w:r>
    </w:p>
    <w:p w14:paraId="1AD02F68" w14:textId="43037790"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III fazės tyrimo, kuriame dalyvavo naujai diagnozuota lėtinės fazės LML sergantys pacientai, metu per ne trumpesnį kaip 12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gauta pranešimų apie dazatinibą vartojantiems pacientams pasireiškusius šiuos 3 ar 4 laipsnio laboratorinių tyrimų nenormalumus: neutropeniją (21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trombocitopeniją (19</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anemiją (10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ne trumpesnį kaip 60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suminis neutropenijos pasireiškimo dažnis buvo 29</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trombocitopenijos </w:t>
      </w:r>
      <w:r w:rsidR="001436F5">
        <w:rPr>
          <w:rFonts w:ascii="Times New Roman" w:eastAsia="SimSun" w:hAnsi="Times New Roman" w:cs="Times New Roman"/>
          <w:color w:val="000000"/>
          <w:lang w:eastAsia="ar-SA"/>
        </w:rPr>
        <w:t>–</w:t>
      </w:r>
      <w:r w:rsidRPr="001D3C3D">
        <w:rPr>
          <w:rFonts w:ascii="Times New Roman" w:eastAsia="SimSun" w:hAnsi="Times New Roman" w:cs="Times New Roman"/>
          <w:color w:val="000000"/>
          <w:lang w:eastAsia="ar-SA"/>
        </w:rPr>
        <w:t xml:space="preserve"> 22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anemijos – 13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p>
    <w:p w14:paraId="3FB75DC2"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894B610" w14:textId="066249D8"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Dazatinibu gydytų naujai diagnozuota lėtinės fazės LML sergančių pacientų, kuriems pasireiškė 3 ar 4 laipsnio kaulų čiulpų slopinimas, būklė paprastai sunormalėdavo trumpam nutraukus vaistinio preparato vartojimą ir (arba) sumažinus jo dozę; per ne trumpesnį kaip 12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visam laikui gydymą vaistiniu preparatu nutraukė 1,6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Per ne trumpesnį kaip 60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dėl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kaulų čiulpų slopinimo gydymo vaistiniu preparatu nutraukimo suminis dažnis buvo 2,3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p>
    <w:p w14:paraId="7C1974CD"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7A2D960" w14:textId="03B7A21D" w:rsidR="00ED7DC3"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Pacientams, sirgusiems ankstesniam gydymui imatinibu atsparia LML arba gydymo imatinibu betoleravusiems, citopenijų (trombocitopenija, neutropenija, anemija) būdavo nustatoma nuolat, jų pasireiškimas akivaizdžiai priklausė nuo ligos stadijos. 3 ir 4 laipsnio hematologinių nenormalumų pasireiškimo dažnis nurodytas </w:t>
      </w:r>
      <w:r w:rsidRPr="001D3C3D">
        <w:rPr>
          <w:rFonts w:ascii="Times New Roman" w:eastAsia="SimSun" w:hAnsi="Times New Roman" w:cs="Times New Roman"/>
          <w:b/>
          <w:color w:val="000000"/>
          <w:lang w:eastAsia="ar-SA"/>
        </w:rPr>
        <w:t>8</w:t>
      </w:r>
      <w:r w:rsidR="001436F5">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lentelėje</w:t>
      </w:r>
      <w:r w:rsidRPr="001D3C3D">
        <w:rPr>
          <w:rFonts w:ascii="Times New Roman" w:eastAsia="SimSun" w:hAnsi="Times New Roman" w:cs="Times New Roman"/>
          <w:color w:val="000000"/>
          <w:lang w:eastAsia="ar-SA"/>
        </w:rPr>
        <w:t>.</w:t>
      </w:r>
    </w:p>
    <w:p w14:paraId="70E74C3A" w14:textId="77777777" w:rsidR="00886581" w:rsidRPr="001D3C3D" w:rsidRDefault="00886581" w:rsidP="00ED7DC3">
      <w:pPr>
        <w:suppressAutoHyphens/>
        <w:spacing w:after="0" w:line="240" w:lineRule="auto"/>
        <w:rPr>
          <w:rFonts w:ascii="Times New Roman" w:eastAsia="Times New Roman" w:hAnsi="Times New Roman" w:cs="Times New Roman"/>
          <w:color w:val="000000"/>
          <w:lang w:eastAsia="ar-SA"/>
        </w:rPr>
      </w:pPr>
    </w:p>
    <w:p w14:paraId="3D7A3049" w14:textId="0390EC8B" w:rsidR="00ED7DC3" w:rsidRPr="001D3C3D" w:rsidRDefault="00ED7DC3" w:rsidP="00ED7DC3">
      <w:pPr>
        <w:suppressAutoHyphens/>
        <w:spacing w:after="0" w:line="240" w:lineRule="auto"/>
        <w:ind w:left="831" w:hanging="854"/>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8</w:t>
      </w:r>
      <w:r w:rsidR="001436F5">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lentelė. 3</w:t>
      </w:r>
      <w:r w:rsidR="001436F5">
        <w:rPr>
          <w:rFonts w:ascii="Times New Roman" w:eastAsia="SimSun" w:hAnsi="Times New Roman" w:cs="Times New Roman"/>
          <w:b/>
          <w:color w:val="000000"/>
          <w:lang w:eastAsia="ar-SA"/>
        </w:rPr>
        <w:noBreakHyphen/>
      </w:r>
      <w:r w:rsidRPr="001D3C3D">
        <w:rPr>
          <w:rFonts w:ascii="Times New Roman" w:eastAsia="SimSun" w:hAnsi="Times New Roman" w:cs="Times New Roman"/>
          <w:b/>
          <w:color w:val="000000"/>
          <w:lang w:eastAsia="ar-SA"/>
        </w:rPr>
        <w:t>4</w:t>
      </w:r>
      <w:r w:rsidR="001436F5">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 xml:space="preserve">laipsnio pagal bendruosius toksiškumo kriterijus (angl. </w:t>
      </w:r>
      <w:r w:rsidRPr="001D3C3D">
        <w:rPr>
          <w:rFonts w:ascii="Times New Roman" w:eastAsia="SimSun" w:hAnsi="Times New Roman" w:cs="Times New Roman"/>
          <w:b/>
          <w:i/>
          <w:color w:val="000000"/>
          <w:lang w:eastAsia="ar-SA"/>
        </w:rPr>
        <w:t>Common Toxicity Criteria</w:t>
      </w:r>
      <w:r w:rsidRPr="001D3C3D">
        <w:rPr>
          <w:rFonts w:ascii="Times New Roman" w:eastAsia="SimSun" w:hAnsi="Times New Roman" w:cs="Times New Roman"/>
          <w:b/>
          <w:color w:val="000000"/>
          <w:lang w:eastAsia="ar-SA"/>
        </w:rPr>
        <w:t>, CTC) kraujo tyrimų nenormalumai, klinikinių tyrimų metu pasireiškusios pacientams, sirgusiems liga atsparia ankstesniam gydymui imatinibu arba tokio gydymo netoleravusiems</w:t>
      </w:r>
      <w:r w:rsidRPr="001D3C3D">
        <w:rPr>
          <w:rFonts w:ascii="Times New Roman" w:eastAsia="SimSun" w:hAnsi="Times New Roman" w:cs="Times New Roman"/>
          <w:b/>
          <w:color w:val="000000"/>
          <w:vertAlign w:val="superscript"/>
          <w:lang w:eastAsia="ar-SA"/>
        </w:rPr>
        <w:t>a</w:t>
      </w:r>
    </w:p>
    <w:p w14:paraId="139B3677"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tbl>
      <w:tblPr>
        <w:tblW w:w="0" w:type="auto"/>
        <w:tblInd w:w="58" w:type="dxa"/>
        <w:tblLayout w:type="fixed"/>
        <w:tblLook w:val="0000" w:firstRow="0" w:lastRow="0" w:firstColumn="0" w:lastColumn="0" w:noHBand="0" w:noVBand="0"/>
      </w:tblPr>
      <w:tblGrid>
        <w:gridCol w:w="2593"/>
        <w:gridCol w:w="1503"/>
        <w:gridCol w:w="1590"/>
        <w:gridCol w:w="1637"/>
        <w:gridCol w:w="1631"/>
        <w:gridCol w:w="59"/>
      </w:tblGrid>
      <w:tr w:rsidR="00ED7DC3" w:rsidRPr="001D3C3D" w14:paraId="058FD227" w14:textId="77777777" w:rsidTr="0036275F">
        <w:tc>
          <w:tcPr>
            <w:tcW w:w="2593" w:type="dxa"/>
            <w:tcBorders>
              <w:top w:val="single" w:sz="4" w:space="0" w:color="000000"/>
            </w:tcBorders>
            <w:shd w:val="clear" w:color="auto" w:fill="FFFFFF"/>
          </w:tcPr>
          <w:p w14:paraId="448533D2"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1503" w:type="dxa"/>
            <w:tcBorders>
              <w:top w:val="single" w:sz="4" w:space="0" w:color="000000"/>
              <w:bottom w:val="single" w:sz="4" w:space="0" w:color="000000"/>
            </w:tcBorders>
            <w:shd w:val="clear" w:color="auto" w:fill="FFFFFF"/>
            <w:vAlign w:val="bottom"/>
          </w:tcPr>
          <w:p w14:paraId="4521C8CB"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Lėtinė fazė</w:t>
            </w:r>
          </w:p>
          <w:p w14:paraId="3C20F4DB" w14:textId="69CF423F" w:rsidR="00ED7DC3" w:rsidRPr="001D3C3D" w:rsidRDefault="00ED7DC3" w:rsidP="00ED7DC3">
            <w:pPr>
              <w:widowControl w:val="0"/>
              <w:suppressAutoHyphens/>
              <w:spacing w:after="0" w:line="240" w:lineRule="auto"/>
              <w:jc w:val="center"/>
              <w:rPr>
                <w:rFonts w:ascii="Times New Roman" w:eastAsia="Times New Roman" w:hAnsi="Times New Roman" w:cs="Times New Roman"/>
                <w:b/>
                <w:bCs/>
                <w:color w:val="000000"/>
                <w:lang w:eastAsia="ar-SA"/>
              </w:rPr>
            </w:pPr>
            <w:r w:rsidRPr="001D3C3D">
              <w:rPr>
                <w:rFonts w:ascii="Times New Roman" w:eastAsia="Calibri" w:hAnsi="Times New Roman" w:cs="Times New Roman"/>
                <w:b/>
                <w:bCs/>
                <w:color w:val="000000"/>
                <w:lang w:eastAsia="ar-SA"/>
              </w:rPr>
              <w:t>(n</w:t>
            </w:r>
            <w:r w:rsidR="001436F5">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w:t>
            </w:r>
            <w:r w:rsidR="001436F5">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165)</w:t>
            </w:r>
            <w:r w:rsidRPr="001D3C3D">
              <w:rPr>
                <w:rFonts w:ascii="Times New Roman" w:eastAsia="Times New Roman" w:hAnsi="Times New Roman" w:cs="Times New Roman"/>
                <w:b/>
                <w:bCs/>
                <w:color w:val="000000"/>
                <w:vertAlign w:val="superscript"/>
                <w:lang w:eastAsia="ar-SA"/>
              </w:rPr>
              <w:t>b</w:t>
            </w:r>
          </w:p>
        </w:tc>
        <w:tc>
          <w:tcPr>
            <w:tcW w:w="1590" w:type="dxa"/>
            <w:tcBorders>
              <w:top w:val="single" w:sz="4" w:space="0" w:color="000000"/>
              <w:bottom w:val="single" w:sz="4" w:space="0" w:color="000000"/>
            </w:tcBorders>
            <w:shd w:val="clear" w:color="auto" w:fill="FFFFFF"/>
            <w:vAlign w:val="bottom"/>
          </w:tcPr>
          <w:p w14:paraId="575E389E"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b/>
                <w:bCs/>
                <w:color w:val="000000"/>
                <w:lang w:eastAsia="ar-SA"/>
              </w:rPr>
            </w:pPr>
            <w:r w:rsidRPr="001D3C3D">
              <w:rPr>
                <w:rFonts w:ascii="Times New Roman" w:eastAsia="Times New Roman" w:hAnsi="Times New Roman" w:cs="Times New Roman"/>
                <w:b/>
                <w:bCs/>
                <w:color w:val="000000"/>
                <w:lang w:eastAsia="ar-SA"/>
              </w:rPr>
              <w:t>Progresavusi fazė</w:t>
            </w:r>
          </w:p>
          <w:p w14:paraId="54AEF50A" w14:textId="4F2D5C1A"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Times New Roman" w:hAnsi="Times New Roman" w:cs="Times New Roman"/>
                <w:b/>
                <w:bCs/>
                <w:color w:val="000000"/>
                <w:lang w:eastAsia="ar-SA"/>
              </w:rPr>
              <w:t>(n</w:t>
            </w:r>
            <w:r w:rsidR="001436F5">
              <w:rPr>
                <w:rFonts w:ascii="Times New Roman" w:eastAsia="Times New Roman" w:hAnsi="Times New Roman" w:cs="Times New Roman"/>
                <w:b/>
                <w:bCs/>
                <w:color w:val="000000"/>
                <w:lang w:eastAsia="ar-SA"/>
              </w:rPr>
              <w:t> </w:t>
            </w:r>
            <w:r w:rsidRPr="001D3C3D">
              <w:rPr>
                <w:rFonts w:ascii="Times New Roman" w:eastAsia="Times New Roman" w:hAnsi="Times New Roman" w:cs="Times New Roman"/>
                <w:b/>
                <w:bCs/>
                <w:color w:val="000000"/>
                <w:lang w:eastAsia="ar-SA"/>
              </w:rPr>
              <w:t>=</w:t>
            </w:r>
            <w:r w:rsidR="001436F5">
              <w:rPr>
                <w:rFonts w:ascii="Times New Roman" w:eastAsia="Times New Roman" w:hAnsi="Times New Roman" w:cs="Times New Roman"/>
                <w:b/>
                <w:bCs/>
                <w:color w:val="000000"/>
                <w:lang w:eastAsia="ar-SA"/>
              </w:rPr>
              <w:t> </w:t>
            </w:r>
            <w:r w:rsidRPr="001D3C3D">
              <w:rPr>
                <w:rFonts w:ascii="Times New Roman" w:eastAsia="Times New Roman" w:hAnsi="Times New Roman" w:cs="Times New Roman"/>
                <w:b/>
                <w:bCs/>
                <w:color w:val="000000"/>
                <w:lang w:eastAsia="ar-SA"/>
              </w:rPr>
              <w:t>157)</w:t>
            </w:r>
            <w:r w:rsidRPr="001D3C3D">
              <w:rPr>
                <w:rFonts w:ascii="Times New Roman" w:eastAsia="Times New Roman" w:hAnsi="Times New Roman" w:cs="Times New Roman"/>
                <w:b/>
                <w:bCs/>
                <w:color w:val="000000"/>
                <w:vertAlign w:val="superscript"/>
                <w:lang w:eastAsia="ar-SA"/>
              </w:rPr>
              <w:t>c</w:t>
            </w:r>
          </w:p>
        </w:tc>
        <w:tc>
          <w:tcPr>
            <w:tcW w:w="1637" w:type="dxa"/>
            <w:tcBorders>
              <w:top w:val="single" w:sz="4" w:space="0" w:color="000000"/>
              <w:bottom w:val="single" w:sz="4" w:space="0" w:color="000000"/>
            </w:tcBorders>
            <w:shd w:val="clear" w:color="auto" w:fill="FFFFFF"/>
            <w:vAlign w:val="bottom"/>
          </w:tcPr>
          <w:p w14:paraId="56FB7332"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Mieloidinių blastų fazė</w:t>
            </w:r>
          </w:p>
          <w:p w14:paraId="077F3AF5" w14:textId="1A333CE5"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(n</w:t>
            </w:r>
            <w:r w:rsidR="001436F5">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w:t>
            </w:r>
            <w:r w:rsidR="001436F5">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74)</w:t>
            </w:r>
            <w:r w:rsidRPr="001D3C3D">
              <w:rPr>
                <w:rFonts w:ascii="Times New Roman" w:eastAsia="Calibri" w:hAnsi="Times New Roman" w:cs="Times New Roman"/>
                <w:b/>
                <w:color w:val="000000"/>
                <w:vertAlign w:val="superscript"/>
                <w:lang w:eastAsia="ar-SA"/>
              </w:rPr>
              <w:t>c</w:t>
            </w:r>
          </w:p>
        </w:tc>
        <w:tc>
          <w:tcPr>
            <w:tcW w:w="1690" w:type="dxa"/>
            <w:gridSpan w:val="2"/>
            <w:tcBorders>
              <w:top w:val="single" w:sz="4" w:space="0" w:color="000000"/>
              <w:bottom w:val="single" w:sz="4" w:space="0" w:color="000000"/>
            </w:tcBorders>
            <w:shd w:val="clear" w:color="auto" w:fill="FFFFFF"/>
            <w:vAlign w:val="bottom"/>
          </w:tcPr>
          <w:p w14:paraId="37056ACC"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Limfoidinių blastų fazė</w:t>
            </w:r>
          </w:p>
          <w:p w14:paraId="65DEEAE0"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Ph+ ŪLL</w:t>
            </w:r>
          </w:p>
          <w:p w14:paraId="33E57A41" w14:textId="3AB3E2CD"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(n</w:t>
            </w:r>
            <w:r w:rsidR="001436F5">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w:t>
            </w:r>
            <w:r w:rsidR="001436F5">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168)</w:t>
            </w:r>
            <w:r w:rsidRPr="001D3C3D">
              <w:rPr>
                <w:rFonts w:ascii="Times New Roman" w:eastAsia="Calibri" w:hAnsi="Times New Roman" w:cs="Times New Roman"/>
                <w:b/>
                <w:color w:val="000000"/>
                <w:vertAlign w:val="superscript"/>
                <w:lang w:eastAsia="ar-SA"/>
              </w:rPr>
              <w:t>c</w:t>
            </w:r>
          </w:p>
        </w:tc>
      </w:tr>
      <w:tr w:rsidR="00ED7DC3" w:rsidRPr="001D3C3D" w14:paraId="4CDFAE76" w14:textId="77777777" w:rsidTr="0036275F">
        <w:tblPrEx>
          <w:tblCellMar>
            <w:left w:w="0" w:type="dxa"/>
            <w:right w:w="0" w:type="dxa"/>
          </w:tblCellMar>
        </w:tblPrEx>
        <w:tc>
          <w:tcPr>
            <w:tcW w:w="2593" w:type="dxa"/>
            <w:tcBorders>
              <w:bottom w:val="single" w:sz="4" w:space="0" w:color="000000"/>
            </w:tcBorders>
            <w:shd w:val="clear" w:color="auto" w:fill="FFFFFF"/>
          </w:tcPr>
          <w:p w14:paraId="797DE108" w14:textId="77777777" w:rsidR="00ED7DC3" w:rsidRPr="001D3C3D" w:rsidRDefault="00ED7DC3" w:rsidP="00ED7DC3">
            <w:pPr>
              <w:widowControl w:val="0"/>
              <w:suppressAutoHyphens/>
              <w:snapToGrid w:val="0"/>
              <w:spacing w:after="0" w:line="240" w:lineRule="auto"/>
              <w:rPr>
                <w:rFonts w:ascii="Times New Roman" w:eastAsia="Calibri" w:hAnsi="Times New Roman" w:cs="Times New Roman"/>
                <w:color w:val="000000"/>
                <w:lang w:eastAsia="ar-SA"/>
              </w:rPr>
            </w:pPr>
          </w:p>
        </w:tc>
        <w:tc>
          <w:tcPr>
            <w:tcW w:w="6361" w:type="dxa"/>
            <w:gridSpan w:val="4"/>
            <w:tcBorders>
              <w:top w:val="single" w:sz="4" w:space="0" w:color="000000"/>
              <w:bottom w:val="single" w:sz="4" w:space="0" w:color="000000"/>
            </w:tcBorders>
            <w:shd w:val="clear" w:color="auto" w:fill="FFFFFF"/>
          </w:tcPr>
          <w:p w14:paraId="6D2ED8F4"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Pacientų dalis (%)</w:t>
            </w:r>
          </w:p>
        </w:tc>
        <w:tc>
          <w:tcPr>
            <w:tcW w:w="59" w:type="dxa"/>
            <w:shd w:val="clear" w:color="auto" w:fill="auto"/>
          </w:tcPr>
          <w:p w14:paraId="3945FBF5"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39F62082" w14:textId="77777777" w:rsidTr="0036275F">
        <w:tc>
          <w:tcPr>
            <w:tcW w:w="2593" w:type="dxa"/>
            <w:tcBorders>
              <w:top w:val="single" w:sz="4" w:space="0" w:color="000000"/>
            </w:tcBorders>
            <w:shd w:val="clear" w:color="auto" w:fill="FFFFFF"/>
          </w:tcPr>
          <w:p w14:paraId="3C34B125" w14:textId="77777777" w:rsidR="00ED7DC3" w:rsidRPr="001D3C3D" w:rsidRDefault="00ED7DC3" w:rsidP="00ED7DC3">
            <w:pPr>
              <w:widowControl w:val="0"/>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Hematologiniai rodikliai</w:t>
            </w:r>
          </w:p>
        </w:tc>
        <w:tc>
          <w:tcPr>
            <w:tcW w:w="1503" w:type="dxa"/>
            <w:tcBorders>
              <w:top w:val="single" w:sz="4" w:space="0" w:color="000000"/>
            </w:tcBorders>
            <w:shd w:val="clear" w:color="auto" w:fill="FFFFFF"/>
          </w:tcPr>
          <w:p w14:paraId="4C7CAED5"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590" w:type="dxa"/>
            <w:tcBorders>
              <w:top w:val="single" w:sz="4" w:space="0" w:color="000000"/>
            </w:tcBorders>
            <w:shd w:val="clear" w:color="auto" w:fill="FFFFFF"/>
          </w:tcPr>
          <w:p w14:paraId="664C0BC6"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37" w:type="dxa"/>
            <w:tcBorders>
              <w:top w:val="single" w:sz="4" w:space="0" w:color="000000"/>
            </w:tcBorders>
            <w:shd w:val="clear" w:color="auto" w:fill="FFFFFF"/>
          </w:tcPr>
          <w:p w14:paraId="0E6CA870"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90" w:type="dxa"/>
            <w:gridSpan w:val="2"/>
            <w:tcBorders>
              <w:top w:val="single" w:sz="4" w:space="0" w:color="000000"/>
            </w:tcBorders>
            <w:shd w:val="clear" w:color="auto" w:fill="FFFFFF"/>
          </w:tcPr>
          <w:p w14:paraId="79868DAD"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28EF06FE" w14:textId="77777777" w:rsidTr="0036275F">
        <w:tc>
          <w:tcPr>
            <w:tcW w:w="2593" w:type="dxa"/>
            <w:shd w:val="clear" w:color="auto" w:fill="FFFFFF"/>
          </w:tcPr>
          <w:p w14:paraId="3249DC0A" w14:textId="77777777" w:rsidR="00ED7DC3" w:rsidRPr="001D3C3D" w:rsidRDefault="00ED7DC3" w:rsidP="00ED7DC3">
            <w:pPr>
              <w:widowControl w:val="0"/>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Neutropenija</w:t>
            </w:r>
          </w:p>
        </w:tc>
        <w:tc>
          <w:tcPr>
            <w:tcW w:w="1503" w:type="dxa"/>
            <w:shd w:val="clear" w:color="auto" w:fill="FFFFFF"/>
          </w:tcPr>
          <w:p w14:paraId="568B4A0B"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36</w:t>
            </w:r>
          </w:p>
        </w:tc>
        <w:tc>
          <w:tcPr>
            <w:tcW w:w="1590" w:type="dxa"/>
            <w:shd w:val="clear" w:color="auto" w:fill="FFFFFF"/>
          </w:tcPr>
          <w:p w14:paraId="38A45CBE"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58</w:t>
            </w:r>
          </w:p>
        </w:tc>
        <w:tc>
          <w:tcPr>
            <w:tcW w:w="1637" w:type="dxa"/>
            <w:shd w:val="clear" w:color="auto" w:fill="FFFFFF"/>
          </w:tcPr>
          <w:p w14:paraId="1486A936"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77</w:t>
            </w:r>
          </w:p>
        </w:tc>
        <w:tc>
          <w:tcPr>
            <w:tcW w:w="1690" w:type="dxa"/>
            <w:gridSpan w:val="2"/>
            <w:shd w:val="clear" w:color="auto" w:fill="FFFFFF"/>
          </w:tcPr>
          <w:p w14:paraId="0D163B56"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76</w:t>
            </w:r>
          </w:p>
        </w:tc>
      </w:tr>
      <w:tr w:rsidR="00ED7DC3" w:rsidRPr="001D3C3D" w14:paraId="2B673A10" w14:textId="77777777" w:rsidTr="0036275F">
        <w:tc>
          <w:tcPr>
            <w:tcW w:w="2593" w:type="dxa"/>
            <w:shd w:val="clear" w:color="auto" w:fill="FFFFFF"/>
          </w:tcPr>
          <w:p w14:paraId="74EC1350" w14:textId="77777777" w:rsidR="00ED7DC3" w:rsidRPr="001D3C3D" w:rsidRDefault="00ED7DC3" w:rsidP="00ED7DC3">
            <w:pPr>
              <w:widowControl w:val="0"/>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Trombocitopenija</w:t>
            </w:r>
          </w:p>
        </w:tc>
        <w:tc>
          <w:tcPr>
            <w:tcW w:w="1503" w:type="dxa"/>
            <w:shd w:val="clear" w:color="auto" w:fill="FFFFFF"/>
          </w:tcPr>
          <w:p w14:paraId="1FADEA7C"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23</w:t>
            </w:r>
          </w:p>
        </w:tc>
        <w:tc>
          <w:tcPr>
            <w:tcW w:w="1590" w:type="dxa"/>
            <w:shd w:val="clear" w:color="auto" w:fill="FFFFFF"/>
          </w:tcPr>
          <w:p w14:paraId="6E096BCA"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63</w:t>
            </w:r>
          </w:p>
        </w:tc>
        <w:tc>
          <w:tcPr>
            <w:tcW w:w="1637" w:type="dxa"/>
            <w:shd w:val="clear" w:color="auto" w:fill="FFFFFF"/>
          </w:tcPr>
          <w:p w14:paraId="7A790EED"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78</w:t>
            </w:r>
          </w:p>
        </w:tc>
        <w:tc>
          <w:tcPr>
            <w:tcW w:w="1690" w:type="dxa"/>
            <w:gridSpan w:val="2"/>
            <w:shd w:val="clear" w:color="auto" w:fill="FFFFFF"/>
          </w:tcPr>
          <w:p w14:paraId="113EA5B1"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74</w:t>
            </w:r>
          </w:p>
        </w:tc>
      </w:tr>
      <w:tr w:rsidR="00ED7DC3" w:rsidRPr="001D3C3D" w14:paraId="1D96E510" w14:textId="77777777" w:rsidTr="0036275F">
        <w:tc>
          <w:tcPr>
            <w:tcW w:w="2593" w:type="dxa"/>
            <w:tcBorders>
              <w:bottom w:val="single" w:sz="4" w:space="0" w:color="000000"/>
            </w:tcBorders>
            <w:shd w:val="clear" w:color="auto" w:fill="FFFFFF"/>
          </w:tcPr>
          <w:p w14:paraId="322B4B95" w14:textId="77777777" w:rsidR="00ED7DC3" w:rsidRPr="001D3C3D" w:rsidRDefault="00ED7DC3" w:rsidP="00ED7DC3">
            <w:pPr>
              <w:widowControl w:val="0"/>
              <w:suppressAutoHyphens/>
              <w:spacing w:after="0" w:line="240" w:lineRule="auto"/>
              <w:jc w:val="right"/>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Anemija</w:t>
            </w:r>
          </w:p>
        </w:tc>
        <w:tc>
          <w:tcPr>
            <w:tcW w:w="1503" w:type="dxa"/>
            <w:tcBorders>
              <w:bottom w:val="single" w:sz="4" w:space="0" w:color="000000"/>
            </w:tcBorders>
            <w:shd w:val="clear" w:color="auto" w:fill="FFFFFF"/>
          </w:tcPr>
          <w:p w14:paraId="41FF6FD1"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13</w:t>
            </w:r>
          </w:p>
        </w:tc>
        <w:tc>
          <w:tcPr>
            <w:tcW w:w="1590" w:type="dxa"/>
            <w:tcBorders>
              <w:bottom w:val="single" w:sz="4" w:space="0" w:color="000000"/>
            </w:tcBorders>
            <w:shd w:val="clear" w:color="auto" w:fill="FFFFFF"/>
          </w:tcPr>
          <w:p w14:paraId="7F7172D9"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47</w:t>
            </w:r>
          </w:p>
        </w:tc>
        <w:tc>
          <w:tcPr>
            <w:tcW w:w="1637" w:type="dxa"/>
            <w:tcBorders>
              <w:bottom w:val="single" w:sz="4" w:space="0" w:color="000000"/>
            </w:tcBorders>
            <w:shd w:val="clear" w:color="auto" w:fill="FFFFFF"/>
          </w:tcPr>
          <w:p w14:paraId="3E4FEB70"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74</w:t>
            </w:r>
          </w:p>
        </w:tc>
        <w:tc>
          <w:tcPr>
            <w:tcW w:w="1690" w:type="dxa"/>
            <w:gridSpan w:val="2"/>
            <w:tcBorders>
              <w:bottom w:val="single" w:sz="4" w:space="0" w:color="000000"/>
            </w:tcBorders>
            <w:shd w:val="clear" w:color="auto" w:fill="FFFFFF"/>
          </w:tcPr>
          <w:p w14:paraId="1B08043A"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44</w:t>
            </w:r>
          </w:p>
        </w:tc>
      </w:tr>
    </w:tbl>
    <w:p w14:paraId="40DE4EEF" w14:textId="2210A280" w:rsidR="00ED7DC3" w:rsidRPr="00B92E23" w:rsidRDefault="00ED7DC3" w:rsidP="00ED7DC3">
      <w:pPr>
        <w:suppressAutoHyphens/>
        <w:spacing w:after="0" w:line="240" w:lineRule="auto"/>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III fazės dozės optimizavimo tyrimo duomenys, apie kuriuos gauta pranešimų 2</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metų stebėjimo metu.</w:t>
      </w:r>
    </w:p>
    <w:p w14:paraId="2B87028A" w14:textId="7336BBAC" w:rsidR="00ED7DC3" w:rsidRPr="00B92E23" w:rsidRDefault="00ED7DC3" w:rsidP="00ED7DC3">
      <w:pPr>
        <w:suppressAutoHyphens/>
        <w:spacing w:after="0" w:line="240" w:lineRule="auto"/>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b</w:t>
      </w:r>
      <w:r w:rsidRPr="00B92E23">
        <w:rPr>
          <w:rFonts w:ascii="Times New Roman" w:eastAsia="SimSun" w:hAnsi="Times New Roman" w:cs="Times New Roman"/>
          <w:color w:val="000000"/>
          <w:sz w:val="20"/>
          <w:szCs w:val="20"/>
          <w:lang w:eastAsia="ar-SA"/>
        </w:rPr>
        <w:t xml:space="preserve"> CA180-034 tyrimo duomenys, užfiksuoti vartojant rekomenduojamą pradinę 100</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mg kartą per parą dozę.</w:t>
      </w:r>
    </w:p>
    <w:p w14:paraId="75792832" w14:textId="15CAB803" w:rsidR="00ED7DC3" w:rsidRPr="00B92E23" w:rsidRDefault="00ED7DC3" w:rsidP="00ED7DC3">
      <w:pPr>
        <w:suppressAutoHyphens/>
        <w:spacing w:after="0" w:line="240" w:lineRule="auto"/>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c</w:t>
      </w:r>
      <w:r w:rsidRPr="00B92E23">
        <w:rPr>
          <w:rFonts w:ascii="Times New Roman" w:eastAsia="SimSun" w:hAnsi="Times New Roman" w:cs="Times New Roman"/>
          <w:color w:val="000000"/>
          <w:sz w:val="20"/>
          <w:szCs w:val="20"/>
          <w:lang w:eastAsia="ar-SA"/>
        </w:rPr>
        <w:t xml:space="preserve"> CA180-035 tyrimo duomenys, užfiksuoti vartojant rekomenduojamą pradinę 140</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mg kartą per parą dozę.</w:t>
      </w:r>
    </w:p>
    <w:p w14:paraId="4407EB9E" w14:textId="072FD4F9" w:rsidR="00ED7DC3" w:rsidRPr="00B92E23" w:rsidRDefault="00ED7DC3" w:rsidP="00ED7DC3">
      <w:pPr>
        <w:suppressAutoHyphens/>
        <w:spacing w:after="0" w:line="240" w:lineRule="auto"/>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lang w:eastAsia="ar-SA"/>
        </w:rPr>
        <w:t>CTC laipsniai: neutropenija (3</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 xml:space="preserve">laipsnis </w:t>
      </w:r>
      <w:r w:rsidRPr="00B92E23">
        <w:rPr>
          <w:rFonts w:ascii="Times New Roman" w:eastAsia="SimSun" w:hAnsi="Times New Roman" w:cs="Times New Roman" w:hint="eastAsia"/>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0,5</w:t>
      </w:r>
      <w:r w:rsidR="001436F5" w:rsidRPr="00B92E23">
        <w:rPr>
          <w:rFonts w:ascii="Times New Roman" w:eastAsia="SimSun" w:hAnsi="Times New Roman" w:cs="Times New Roman"/>
          <w:color w:val="000000"/>
          <w:sz w:val="20"/>
          <w:szCs w:val="20"/>
          <w:lang w:eastAsia="ar-SA"/>
        </w:rPr>
        <w:t> </w:t>
      </w:r>
      <w:r w:rsidR="001436F5" w:rsidRPr="00B92E23">
        <w:rPr>
          <w:rFonts w:ascii="Times New Roman" w:eastAsia="SimSun" w:hAnsi="Times New Roman" w:cs="Times New Roman"/>
          <w:color w:val="000000"/>
          <w:sz w:val="20"/>
          <w:szCs w:val="20"/>
          <w:lang w:eastAsia="ar-SA"/>
        </w:rPr>
        <w:noBreakHyphen/>
        <w:t> </w:t>
      </w:r>
      <w:r w:rsidRPr="00B92E23">
        <w:rPr>
          <w:rFonts w:ascii="Times New Roman" w:eastAsia="SimSun" w:hAnsi="Times New Roman" w:cs="Times New Roman"/>
          <w:color w:val="000000"/>
          <w:sz w:val="20"/>
          <w:szCs w:val="20"/>
          <w:lang w:eastAsia="ar-SA"/>
        </w:rPr>
        <w:t>&lt;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10</w:t>
      </w:r>
      <w:r w:rsidRPr="00B92E23">
        <w:rPr>
          <w:rFonts w:ascii="Times New Roman" w:eastAsia="SimSun" w:hAnsi="Times New Roman" w:cs="Times New Roman"/>
          <w:color w:val="000000"/>
          <w:sz w:val="20"/>
          <w:szCs w:val="20"/>
          <w:vertAlign w:val="superscript"/>
          <w:lang w:eastAsia="ar-SA"/>
        </w:rPr>
        <w:t>9</w:t>
      </w:r>
      <w:r w:rsidRPr="00B92E23">
        <w:rPr>
          <w:rFonts w:ascii="Times New Roman" w:eastAsia="SimSun" w:hAnsi="Times New Roman" w:cs="Times New Roman"/>
          <w:color w:val="000000"/>
          <w:sz w:val="20"/>
          <w:szCs w:val="20"/>
          <w:lang w:eastAsia="ar-SA"/>
        </w:rPr>
        <w:t>/l, 4</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laipsnis &lt;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0,5</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10</w:t>
      </w:r>
      <w:r w:rsidRPr="00B92E23">
        <w:rPr>
          <w:rFonts w:ascii="Times New Roman" w:eastAsia="SimSun" w:hAnsi="Times New Roman" w:cs="Times New Roman"/>
          <w:color w:val="000000"/>
          <w:sz w:val="20"/>
          <w:szCs w:val="20"/>
          <w:vertAlign w:val="superscript"/>
          <w:lang w:eastAsia="ar-SA"/>
        </w:rPr>
        <w:t>9</w:t>
      </w:r>
      <w:r w:rsidRPr="00B92E23">
        <w:rPr>
          <w:rFonts w:ascii="Times New Roman" w:eastAsia="SimSun" w:hAnsi="Times New Roman" w:cs="Times New Roman"/>
          <w:color w:val="000000"/>
          <w:sz w:val="20"/>
          <w:szCs w:val="20"/>
          <w:lang w:eastAsia="ar-SA"/>
        </w:rPr>
        <w:t>/l); trombocitopenija (3</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 xml:space="preserve">laipsnis </w:t>
      </w:r>
      <w:r w:rsidRPr="00B92E23">
        <w:rPr>
          <w:rFonts w:ascii="Times New Roman" w:eastAsia="SimSun" w:hAnsi="Times New Roman" w:cs="Times New Roman" w:hint="eastAsia"/>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25</w:t>
      </w:r>
      <w:r w:rsidR="001436F5" w:rsidRPr="00B92E23">
        <w:rPr>
          <w:rFonts w:ascii="Times New Roman" w:eastAsia="SimSun" w:hAnsi="Times New Roman" w:cs="Times New Roman"/>
          <w:color w:val="000000"/>
          <w:sz w:val="20"/>
          <w:szCs w:val="20"/>
          <w:lang w:eastAsia="ar-SA"/>
        </w:rPr>
        <w:t> </w:t>
      </w:r>
      <w:r w:rsidR="001436F5" w:rsidRPr="00B92E23">
        <w:rPr>
          <w:rFonts w:ascii="Times New Roman" w:eastAsia="SimSun" w:hAnsi="Times New Roman" w:cs="Times New Roman"/>
          <w:color w:val="000000"/>
          <w:sz w:val="20"/>
          <w:szCs w:val="20"/>
          <w:lang w:eastAsia="ar-SA"/>
        </w:rPr>
        <w:noBreakHyphen/>
        <w:t> </w:t>
      </w:r>
      <w:r w:rsidRPr="00B92E23">
        <w:rPr>
          <w:rFonts w:ascii="Times New Roman" w:eastAsia="SimSun" w:hAnsi="Times New Roman" w:cs="Times New Roman"/>
          <w:color w:val="000000"/>
          <w:sz w:val="20"/>
          <w:szCs w:val="20"/>
          <w:lang w:eastAsia="ar-SA"/>
        </w:rPr>
        <w:t>&lt;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50</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10</w:t>
      </w:r>
      <w:r w:rsidRPr="00B92E23">
        <w:rPr>
          <w:rFonts w:ascii="Times New Roman" w:eastAsia="SimSun" w:hAnsi="Times New Roman" w:cs="Times New Roman"/>
          <w:color w:val="000000"/>
          <w:sz w:val="20"/>
          <w:szCs w:val="20"/>
          <w:vertAlign w:val="superscript"/>
          <w:lang w:eastAsia="ar-SA"/>
        </w:rPr>
        <w:t>9</w:t>
      </w:r>
      <w:r w:rsidRPr="00B92E23">
        <w:rPr>
          <w:rFonts w:ascii="Times New Roman" w:eastAsia="SimSun" w:hAnsi="Times New Roman" w:cs="Times New Roman"/>
          <w:color w:val="000000"/>
          <w:sz w:val="20"/>
          <w:szCs w:val="20"/>
          <w:lang w:eastAsia="ar-SA"/>
        </w:rPr>
        <w:t>/l, 4</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laipsnis &lt;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25</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10</w:t>
      </w:r>
      <w:r w:rsidRPr="00B92E23">
        <w:rPr>
          <w:rFonts w:ascii="Times New Roman" w:eastAsia="SimSun" w:hAnsi="Times New Roman" w:cs="Times New Roman"/>
          <w:color w:val="000000"/>
          <w:sz w:val="20"/>
          <w:szCs w:val="20"/>
          <w:vertAlign w:val="superscript"/>
          <w:lang w:eastAsia="ar-SA"/>
        </w:rPr>
        <w:t>9</w:t>
      </w:r>
      <w:r w:rsidRPr="00B92E23">
        <w:rPr>
          <w:rFonts w:ascii="Times New Roman" w:eastAsia="SimSun" w:hAnsi="Times New Roman" w:cs="Times New Roman"/>
          <w:color w:val="000000"/>
          <w:sz w:val="20"/>
          <w:szCs w:val="20"/>
          <w:lang w:eastAsia="ar-SA"/>
        </w:rPr>
        <w:t>/l); anemija (hemoglobino 3</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 xml:space="preserve">laipsnis </w:t>
      </w:r>
      <w:r w:rsidRPr="00B92E23">
        <w:rPr>
          <w:rFonts w:ascii="Times New Roman" w:eastAsia="SimSun" w:hAnsi="Times New Roman" w:cs="Times New Roman" w:hint="eastAsia"/>
          <w:color w:val="000000"/>
          <w:sz w:val="20"/>
          <w:szCs w:val="20"/>
          <w:lang w:eastAsia="ar-SA"/>
        </w:rPr>
        <w: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65</w:t>
      </w:r>
      <w:r w:rsidR="001436F5" w:rsidRPr="00B92E23">
        <w:rPr>
          <w:rFonts w:ascii="Times New Roman" w:eastAsia="SimSun" w:hAnsi="Times New Roman" w:cs="Times New Roman"/>
          <w:color w:val="000000"/>
          <w:sz w:val="20"/>
          <w:szCs w:val="20"/>
          <w:lang w:eastAsia="ar-SA"/>
        </w:rPr>
        <w:t> </w:t>
      </w:r>
      <w:r w:rsidR="001436F5" w:rsidRPr="00B92E23">
        <w:rPr>
          <w:rFonts w:ascii="Times New Roman" w:eastAsia="SimSun" w:hAnsi="Times New Roman" w:cs="Times New Roman"/>
          <w:color w:val="000000"/>
          <w:sz w:val="20"/>
          <w:szCs w:val="20"/>
          <w:lang w:eastAsia="ar-SA"/>
        </w:rPr>
        <w:noBreakHyphen/>
        <w:t> </w:t>
      </w:r>
      <w:r w:rsidRPr="00B92E23">
        <w:rPr>
          <w:rFonts w:ascii="Times New Roman" w:eastAsia="SimSun" w:hAnsi="Times New Roman" w:cs="Times New Roman"/>
          <w:color w:val="000000"/>
          <w:sz w:val="20"/>
          <w:szCs w:val="20"/>
          <w:lang w:eastAsia="ar-SA"/>
        </w:rPr>
        <w:t>&lt;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80</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g/l, 4</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laipsnis &lt;</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65</w:t>
      </w:r>
      <w:r w:rsidR="001436F5"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g/l).</w:t>
      </w:r>
    </w:p>
    <w:p w14:paraId="7EE6E423"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7ACB0773" w14:textId="481DFFBB"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Suminis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citopenijų pasireiškimo dažnis vartojant 100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po 2 ir 5</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buvo panašus: neutropenijos – atitinkamai 35</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36</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trombocitopenijos – 23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24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anemijos – 13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13</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w:t>
      </w:r>
    </w:p>
    <w:p w14:paraId="59E9C6FA" w14:textId="41E87416"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kaulų čiulpų funkcijos sutrikimas paprastai praeidavo trumpam nutraukus vaistinio preparato vartojimą ir (arba) sumažinus jo dozę. Visam laikui vaistinio preparato vartojimą nutraukė 5</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Dauguma pacientų vėliau gydymą tęsė toliau be pastebimų kaulų čiulpų slopinimo požymių.</w:t>
      </w:r>
    </w:p>
    <w:p w14:paraId="78835CED"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290F6D1"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Biocheminiai rodikliai</w:t>
      </w:r>
    </w:p>
    <w:p w14:paraId="6E59A08A" w14:textId="2925F20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Naujai diagnozuotos lėtinės fazės LML tyrimo metu per ne trumpesnį kaip 12</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gauta pranešimų apie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hipofosfatemiją, pasireiškusią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dazatinibu gydytų pacientų, bei pranešimų apie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transaminazių aktyvumo, kreatinino ir bilirubino kiekio padidėjimą ≤</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Per ne trumpesnį kaip 60</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laikotarpį suminis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hipofosfatemijos pasireiškimo dažnis buvo 7</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laipsnio kreatinino ir bilirubino kiekio </w:t>
      </w:r>
      <w:r w:rsidRPr="001D3C3D">
        <w:rPr>
          <w:rFonts w:ascii="Times New Roman" w:eastAsia="SimSun" w:hAnsi="Times New Roman" w:cs="Times New Roman"/>
          <w:color w:val="000000"/>
          <w:lang w:eastAsia="ar-SA"/>
        </w:rPr>
        <w:lastRenderedPageBreak/>
        <w:t xml:space="preserve">padidėjimo dažnis </w:t>
      </w:r>
      <w:r w:rsidR="001436F5">
        <w:rPr>
          <w:rFonts w:ascii="Times New Roman" w:eastAsia="SimSun" w:hAnsi="Times New Roman" w:cs="Times New Roman"/>
          <w:color w:val="000000"/>
          <w:lang w:eastAsia="ar-SA"/>
        </w:rPr>
        <w:t>–</w:t>
      </w:r>
      <w:r w:rsidRPr="001D3C3D">
        <w:rPr>
          <w:rFonts w:ascii="Times New Roman" w:eastAsia="SimSun" w:hAnsi="Times New Roman" w:cs="Times New Roman"/>
          <w:color w:val="000000"/>
          <w:lang w:eastAsia="ar-SA"/>
        </w:rPr>
        <w:t xml:space="preserve"> 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o 3 ar 4</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transaminazių aktyvumo padidėjimo dažnis liko 1</w:t>
      </w:r>
      <w:r w:rsidR="001436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Dėl šių biocheminių laboratorinių rodiklių pokyčių dazatinibo vartojimo nenutraukė nė vienas pacientas.</w:t>
      </w:r>
    </w:p>
    <w:p w14:paraId="7F70CE8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25B12AAE" w14:textId="2FC1CE08"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2</w:t>
      </w:r>
      <w:r w:rsidR="00926DBC">
        <w:rPr>
          <w:rFonts w:ascii="Times New Roman" w:eastAsia="SimSun" w:hAnsi="Times New Roman" w:cs="Times New Roman"/>
          <w:i/>
          <w:color w:val="000000"/>
          <w:lang w:eastAsia="ar-SA"/>
        </w:rPr>
        <w:t> </w:t>
      </w:r>
      <w:r w:rsidRPr="001D3C3D">
        <w:rPr>
          <w:rFonts w:ascii="Times New Roman" w:eastAsia="SimSun" w:hAnsi="Times New Roman" w:cs="Times New Roman"/>
          <w:i/>
          <w:color w:val="000000"/>
          <w:lang w:eastAsia="ar-SA"/>
        </w:rPr>
        <w:t>metų trukmės stebėjimas</w:t>
      </w:r>
    </w:p>
    <w:p w14:paraId="18BF09E3" w14:textId="7079AE25"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3 ar 4</w:t>
      </w:r>
      <w:r w:rsidR="00926DB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transaminazių aktyvumo ar bilirubino kiekio padidėjimas nustatytas 1</w:t>
      </w:r>
      <w:r w:rsidR="00926DB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sergančių lėtinės fazės LML, atsparia ankstesniam gydymui imatinibu, arba tokio gydymo netoleruojantiems pacientams, bei 1</w:t>
      </w:r>
      <w:r w:rsidR="00926DBC">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7</w:t>
      </w:r>
      <w:r w:rsidR="00926DB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progresavusios fazės LML ir Ph+ ŪLL sergančių pacientų. Nustačius šį sutrikimą, paprastai būdavo mažinama vaistinio preparato dozė arba jo vartojimas laikinai nutraukiamas. III fazės dozės optimizavimo tyrimo, kuriame dalyvavo lėtinės fazės LML sergantys pacientai, metu 3 ar 4</w:t>
      </w:r>
      <w:r w:rsidR="00926DB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transaminazių aktyvumo ar bilirubino kiekio padidėjimas nustatytas ≤</w:t>
      </w:r>
      <w:r w:rsidR="00926DB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 (panašiu mažu dažniu visose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gydymo grupėse). III fazės dozės optimizavimo tyrimo, kuriame dalyvavo progresavusios fazės LML ir Ph+ ŪLL sergantys pacientai, metu 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transaminazių aktyvumas ar bilirubino kiekio padidėjimas nustatytas 1</w:t>
      </w:r>
      <w:r w:rsidR="008B7AC3">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5</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visų gydymo grupių pacientų.</w:t>
      </w:r>
    </w:p>
    <w:p w14:paraId="73EB178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CF2ED50" w14:textId="57DC24A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Maždaug 5</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dazatinibu gydytų pacientų, kuriems kalcio koncentracija iki tyrimo buvo normali, tyrimo metu kuriuo nors laiku pasireiškė 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trumpalaikė hipokalcemija. Apskritai ryšio tarp sumažėjusios kalcio koncentracijos s ir klinikinių simptomų nebuvo. 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laipsnio hipokalcemiją dažnai pavykdavo sureguliuoti geriamaisiais kalcio papildais. </w:t>
      </w:r>
    </w:p>
    <w:p w14:paraId="2E86EA5C" w14:textId="1296A158"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hipokalcemija, hipokalemija bei hipofosfatemija nustatytas visose LML fazėse, tačiau dažniau pasireiškė mieloidinių ar limfoidinių blastų fazės LML ir Ph+ ŪLL sergantiems pacientams. 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kreatinino koncentracijos padidėjimas nustatytas &lt;</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lėtinės fazės LML ir 1</w:t>
      </w:r>
      <w:r w:rsidR="008B7AC3">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progresavusios fazės LML sergančių pacientų.</w:t>
      </w:r>
    </w:p>
    <w:p w14:paraId="08D98C2A"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1CE2D857" w14:textId="77777777" w:rsidR="00ED7DC3" w:rsidRPr="001D3C3D" w:rsidRDefault="00ED7DC3" w:rsidP="0086689D">
      <w:pPr>
        <w:suppressAutoHyphens/>
        <w:spacing w:after="0" w:line="240" w:lineRule="auto"/>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 xml:space="preserve">Vaikų populiacija </w:t>
      </w:r>
    </w:p>
    <w:p w14:paraId="4592341B" w14:textId="37B8736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Monoterapijos dazanitibu saugumo pobūdis Ph+ LML LF sergantiems vaikams buvo panašus į suaugusiųjų. Dazanitibo derinio su chemoterapija saugumo pobūdis Ph+ ŪLL sergantiems vaikų populiacijos pacientams buvo panašus į suaugusiųjų ir atitiko tikėtiną chemoterapijos poveikį, išskyrus tai, kad skystis pleuros ertmėje vaikams pasireiškė rečiau negu suaugusiesiems. </w:t>
      </w:r>
    </w:p>
    <w:p w14:paraId="14E5D9FC"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0E85AC8"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LML tyrimų metu vaikų populiacijos pacientams laboratorinių nukrypimų dažnis buvo panašus į anksčiau nustatytą suaugusiesiems. </w:t>
      </w:r>
    </w:p>
    <w:p w14:paraId="7CEF9A5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F02280C"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ŪLL tyrimų metu vaikų populiacijos pacientams laboratorinių nukrypimų dažnis buvo panašus į anksčiau nustatytą suaugusiesiems taikant ūminės leukemijos bazinę chemoterapiją. </w:t>
      </w:r>
    </w:p>
    <w:p w14:paraId="60C71FC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521C4507"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Ypatingos populiacijos</w:t>
      </w:r>
    </w:p>
    <w:p w14:paraId="21910EE9" w14:textId="10817121"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saugumo pobūdis senyviems žmonėms yra panašus kaip jaunesniems, tačiau 65</w:t>
      </w:r>
      <w:r w:rsidR="00FD77D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ir vyresnių pacientų polinkis į dažnas nepageidaujamas reakcijas (pvz., nuovargį, pleuros efuziją, dusulį, kosulį, kraujavimą iš apatinės virškinimo trakto dalies ir apetito sutrikimus) bei retesnes nepageidaujamas reakcijas (pvz., pilvo pūtimą, svaigulį, perikardo efuziją, stazinį širdies nepakankamumą ir svorio sumažėjimą) yra didesnis, todėl jų būklę reikia atidžiai stebėti (žr.</w:t>
      </w:r>
      <w:r w:rsidR="00FD77D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4.4</w:t>
      </w:r>
      <w:r w:rsidR="00FD77DC">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54F5D3A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5C6047C" w14:textId="77777777" w:rsidR="00ED7DC3" w:rsidRPr="001D3C3D" w:rsidRDefault="00ED7DC3" w:rsidP="0086689D">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lang w:eastAsia="ar-SA"/>
        </w:rPr>
        <w:t>Pranešimas apie įtariamas nepageidaujamas reakcijas</w:t>
      </w:r>
    </w:p>
    <w:p w14:paraId="590CC8ED" w14:textId="639C8285" w:rsidR="00B44CBE" w:rsidRPr="001D3C3D" w:rsidRDefault="00B44CBE" w:rsidP="00B92E23">
      <w:pPr>
        <w:autoSpaceDE w:val="0"/>
        <w:autoSpaceDN w:val="0"/>
        <w:adjustRightInd w:val="0"/>
        <w:spacing w:after="0" w:line="240" w:lineRule="auto"/>
        <w:contextualSpacing/>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9" w:history="1">
        <w:r w:rsidRPr="001D3C3D">
          <w:rPr>
            <w:rFonts w:ascii="Times New Roman" w:eastAsia="SimSun" w:hAnsi="Times New Roman" w:cs="Times New Roman"/>
            <w:color w:val="000000"/>
            <w:lang w:eastAsia="ar-SA"/>
          </w:rPr>
          <w:t>https://vapris.vvkt.lt/vvkt-web/public/nrvSpecialist</w:t>
        </w:r>
      </w:hyperlink>
      <w:r w:rsidRPr="001D3C3D">
        <w:rPr>
          <w:rFonts w:ascii="Times New Roman" w:eastAsia="SimSun" w:hAnsi="Times New Roman" w:cs="Times New Roman"/>
          <w:color w:val="000000"/>
          <w:lang w:eastAsia="ar-SA"/>
        </w:rPr>
        <w:t xml:space="preserve"> arba užpildę Sveikatos priežiūros ar farmacijos specialisto pranešimo apie įtariamą nepageidaujamą reakciją (ĮNR) formą, kuri skelbiama </w:t>
      </w:r>
      <w:hyperlink r:id="rId10" w:history="1">
        <w:r w:rsidRPr="001D3C3D">
          <w:rPr>
            <w:rFonts w:ascii="Times New Roman" w:eastAsia="SimSun" w:hAnsi="Times New Roman" w:cs="Times New Roman"/>
            <w:color w:val="000000"/>
            <w:lang w:eastAsia="ar-SA"/>
          </w:rPr>
          <w:t>https://www.vvkt.lt/index.php?1399030386</w:t>
        </w:r>
      </w:hyperlink>
      <w:r w:rsidRPr="001D3C3D">
        <w:rPr>
          <w:rFonts w:ascii="Times New Roman" w:eastAsia="SimSun" w:hAnsi="Times New Roman" w:cs="Times New Roman"/>
          <w:color w:val="000000"/>
          <w:lang w:eastAsia="ar-SA"/>
        </w:rPr>
        <w:t xml:space="preserve">, ir atsiųsti elektroniniu paštu (adresu </w:t>
      </w:r>
      <w:r w:rsidRPr="001D3C3D">
        <w:rPr>
          <w:rFonts w:ascii="Times New Roman" w:hAnsi="Times New Roman"/>
          <w:color w:val="000000"/>
        </w:rPr>
        <w:t>NepageidaujamaR@vvkt.lt</w:t>
      </w:r>
      <w:r w:rsidRPr="001D3C3D">
        <w:rPr>
          <w:rFonts w:ascii="Times New Roman" w:eastAsia="SimSun" w:hAnsi="Times New Roman" w:cs="Times New Roman"/>
          <w:color w:val="000000"/>
          <w:lang w:eastAsia="ar-SA"/>
        </w:rPr>
        <w:t>).</w:t>
      </w:r>
    </w:p>
    <w:p w14:paraId="49BEDDB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A4CC318"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4.9</w:t>
      </w:r>
      <w:r w:rsidRPr="001D3C3D">
        <w:rPr>
          <w:rFonts w:ascii="Times New Roman" w:eastAsia="SimSun" w:hAnsi="Times New Roman" w:cs="Times New Roman"/>
          <w:b/>
          <w:color w:val="000000"/>
          <w:lang w:eastAsia="ar-SA"/>
        </w:rPr>
        <w:tab/>
        <w:t>Perdozavimas</w:t>
      </w:r>
    </w:p>
    <w:p w14:paraId="2DE5551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51FE70B4" w14:textId="666D15D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lastRenderedPageBreak/>
        <w:t>Klinikinių tyrimų metu buvo tik pavienių dazatinibo perdozavimo atvejų. 2 daugiausia perdozavę pacientai vartojo 280</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per parą vieną savaitę, jiems abiems reikšmingai sumažėjo trombocitų. Kadangi dazatinibas yra susijęs su 3 ar 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laipsnio kaulų čiulpų slopinimu (žr. 4.4 skyrių), todėl didesnę negu rekomenduojama dozę išgėrusį pacientą reikia atidžiai stebėti dėl galimo kaulų čiulpų slopinimo ir skirti tinkamą palaikomąjį gydymą.</w:t>
      </w:r>
    </w:p>
    <w:p w14:paraId="2936945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2DE4A29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373F7445"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w:t>
      </w:r>
      <w:r w:rsidRPr="001D3C3D">
        <w:rPr>
          <w:rFonts w:ascii="Times New Roman" w:eastAsia="SimSun" w:hAnsi="Times New Roman" w:cs="Times New Roman"/>
          <w:b/>
          <w:color w:val="000000"/>
          <w:lang w:eastAsia="ar-SA"/>
        </w:rPr>
        <w:tab/>
        <w:t>FARMAKOLOGINĖS SAVYBĖS</w:t>
      </w:r>
    </w:p>
    <w:p w14:paraId="185C51F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28C1FF00"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5.1</w:t>
      </w:r>
      <w:r w:rsidRPr="001D3C3D">
        <w:rPr>
          <w:rFonts w:ascii="Times New Roman" w:eastAsia="SimSun" w:hAnsi="Times New Roman" w:cs="Times New Roman"/>
          <w:b/>
          <w:color w:val="000000"/>
          <w:lang w:eastAsia="ar-SA"/>
        </w:rPr>
        <w:tab/>
        <w:t>Farmakodinaminės savybės</w:t>
      </w:r>
    </w:p>
    <w:p w14:paraId="35605D4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CE7EC3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Farmakoterapinė grupė – vaistiniai preparatai nuo vėžio, proteinkinazės inhibitoriai.</w:t>
      </w:r>
    </w:p>
    <w:p w14:paraId="558A2E53" w14:textId="7B512A4D" w:rsidR="00E853AD"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ATC kodas –</w:t>
      </w:r>
      <w:r w:rsidR="002E1726" w:rsidRPr="001D3C3D">
        <w:rPr>
          <w:rFonts w:ascii="Times New Roman" w:eastAsia="SimSun" w:hAnsi="Times New Roman" w:cs="Times New Roman"/>
          <w:color w:val="000000"/>
          <w:lang w:eastAsia="ar-SA"/>
        </w:rPr>
        <w:t xml:space="preserve"> </w:t>
      </w:r>
      <w:r w:rsidR="002E1726" w:rsidRPr="00B92E23">
        <w:rPr>
          <w:rFonts w:ascii="Times New Roman" w:eastAsia="SimSun" w:hAnsi="Times New Roman" w:cs="Times New Roman"/>
          <w:color w:val="000000"/>
          <w:lang w:eastAsia="ar-SA"/>
        </w:rPr>
        <w:t>L01EA02</w:t>
      </w:r>
      <w:r w:rsidRPr="001D3C3D">
        <w:rPr>
          <w:rFonts w:ascii="Times New Roman" w:eastAsia="SimSun" w:hAnsi="Times New Roman" w:cs="Times New Roman"/>
          <w:color w:val="000000"/>
          <w:lang w:eastAsia="ar-SA"/>
        </w:rPr>
        <w:t xml:space="preserve"> </w:t>
      </w:r>
    </w:p>
    <w:p w14:paraId="4F4CBE6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E328CF4"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Farmakodinaminis poveikis</w:t>
      </w:r>
    </w:p>
    <w:p w14:paraId="0456445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Dazatinibas slopina BCR-ABL kinazės ir SRC šeimos kinazių aktyvumą, taip pat daugelį kitų onkogeninių kinazių, įskaitant c-KIT, efrino (EPH) receptorių kinazes ir PDGFβ receptorius.</w:t>
      </w:r>
    </w:p>
    <w:p w14:paraId="7C87521A" w14:textId="290847B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Dazatinibas yra stiprus BCR-ABL kinazės inhibitorius, kurio poveikis pasireiškia esant 0,6</w:t>
      </w:r>
      <w:r w:rsidR="008B7AC3">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0,8</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nM subnanomolinei koncentracijai. Šis vaistinis preparatas prisijungia tiek prie neaktyvios, tiek prie aktyvios struktūros BCR-ABL fermento.</w:t>
      </w:r>
    </w:p>
    <w:p w14:paraId="6E65B39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EA89E1F"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1D3C3D">
        <w:rPr>
          <w:rFonts w:ascii="Times New Roman" w:eastAsia="SimSun" w:hAnsi="Times New Roman" w:cs="Times New Roman"/>
          <w:color w:val="000000"/>
          <w:u w:val="single"/>
          <w:lang w:eastAsia="ar-SA"/>
        </w:rPr>
        <w:t>Veikimo mechanizmas</w:t>
      </w:r>
    </w:p>
    <w:p w14:paraId="35C6F07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iCs/>
          <w:color w:val="000000"/>
          <w:lang w:eastAsia="ar-SA"/>
        </w:rPr>
        <w:t xml:space="preserve">In vitro </w:t>
      </w:r>
      <w:r w:rsidRPr="001D3C3D">
        <w:rPr>
          <w:rFonts w:ascii="Times New Roman" w:eastAsia="SimSun" w:hAnsi="Times New Roman" w:cs="Times New Roman"/>
          <w:color w:val="000000"/>
          <w:lang w:eastAsia="ar-SA"/>
        </w:rPr>
        <w:t>dazatinibas yra aktyvus leukemini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linijose, reprezentuojančiose imatinibui jautrią ir jam atsparią ligą. Šie ikiklinikiniai tyrimai parod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kad dazatinibas gali įveikti atsparumą imatinibui, atsiradusį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BCR-ABL hiperekspresijos, BCR-ABL kinaz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domeno mutacij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alternatyvi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signalo perdavimo keli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dalyvaujant SRC šeimos kinaz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ms (LYN, HCK) suaktyv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jimo ir atsparum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daugeliui vaistini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preparat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lemianči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gen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hiperekspresijos. Be to, subnanomolin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dazatinibo koncentracijos slopina SRC šeimos kinazes.</w:t>
      </w:r>
    </w:p>
    <w:p w14:paraId="2C04D47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50577FA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Atliekant atskirus eksperimentus su pelinių pošeimio LML modeliais </w:t>
      </w:r>
      <w:r w:rsidRPr="001D3C3D">
        <w:rPr>
          <w:rFonts w:ascii="Times New Roman" w:eastAsia="SimSun" w:hAnsi="Times New Roman" w:cs="Times New Roman"/>
          <w:i/>
          <w:iCs/>
          <w:color w:val="000000"/>
          <w:lang w:eastAsia="ar-SA"/>
        </w:rPr>
        <w:t>in vivo</w:t>
      </w:r>
      <w:r w:rsidRPr="001D3C3D">
        <w:rPr>
          <w:rFonts w:ascii="Times New Roman" w:eastAsia="SimSun" w:hAnsi="Times New Roman" w:cs="Times New Roman"/>
          <w:color w:val="000000"/>
          <w:lang w:eastAsia="ar-SA"/>
        </w:rPr>
        <w:t>, dazatinibas sutrukdė 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tinei LML progresuoti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blast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faz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ir pailgino išgyvenamumą peli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kurioms buvo perkelta LML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linij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iš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vairi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paciento organizmo viet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skaitant centrin</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nerv</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sistem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w:t>
      </w:r>
    </w:p>
    <w:p w14:paraId="47C9A3E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1DA2AF04"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Klinikinis veiksmingumas ir saugumas</w:t>
      </w:r>
    </w:p>
    <w:p w14:paraId="0520DFDC" w14:textId="2538FD4B"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 fazės tyrimo metu hematologinis ir citogenetinis atsakas pirmiesiems 84</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gydytiems pacientams, stebėtiems iki 27</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nustatytas visose LML ir Ph+ ŪLL fazėse. Visose LML ir Ph+ ŪLL fazėse jis buvo ilgalaikis.</w:t>
      </w:r>
    </w:p>
    <w:p w14:paraId="59389F4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6C42AAD9" w14:textId="2235737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saugumui ir veiksmingumui nustatyti sergant lėtinės, akceleracijos ar blastų fazės LML kai yra atsparumas imatinibui arba jo netoleravimas, atlikti 4 vienos grupės nekontroliuojami atviri II fazės klinikiniai tyrimai. Vienas atsitiktinės atrankos nepalyginamasis tyrimas atliktas su lėtinės fazės pacientais, kuriems pradinis gydymas 400 ar 600 mg imatinibo doze buvo neveiksmingas. Pradinė dazatinibo dozė buvo po 70 mg 2</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kartus per parą. Vaistinio preparato aktyvumui pagerinti ar toksiškumui koreguoti buvo leidžiamas dozės koregavimas (žr.</w:t>
      </w:r>
      <w:r w:rsidR="002F6A4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w:t>
      </w:r>
      <w:r w:rsidR="002F6A4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54A13B0B" w14:textId="3A84E86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2 atsitiktinės atrankos atviri III fazės tyrimai atlikti dazatinibo vartojimo 1</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veiksmingumui palyginti su vartojimu 2</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kartus per parą. Be to, vienas atviras atsitiktinės atrankos palyginamasis III fazės tyrimas atliktas su suaugusiais pacientais, sirgusiais naujai diagnozuota lėtinės fazės LML.</w:t>
      </w:r>
    </w:p>
    <w:p w14:paraId="48630AB5"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1A9EA94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veiksmingumo įrodymai pagrįsti hematologinio ir citogenetinio atsako dažniu. Papildomi dazatinibo klinikinės naudos įrodymai yra sukeliamo atsako trukmė ir apskaičiuoti išgyvenimo rodikliai.</w:t>
      </w:r>
    </w:p>
    <w:p w14:paraId="53D1F03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37F9A136" w14:textId="56F1490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Klinikinių tyrimų metu iš viso tirta 2</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712 pacientų, 23</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 jų buvo 65</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ar vyresni, 5</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 75</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ar vyresni.</w:t>
      </w:r>
    </w:p>
    <w:p w14:paraId="7EAA5AA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68657251"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u w:val="single"/>
          <w:lang w:eastAsia="ar-SA"/>
        </w:rPr>
        <w:lastRenderedPageBreak/>
        <w:t xml:space="preserve">Naujai diagnozuota lėtinės fazės LML </w:t>
      </w:r>
    </w:p>
    <w:p w14:paraId="16DF74C1" w14:textId="394D189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Tarptautiniame atvirame daugiacentriame atsitiktinės atrankos palyginamajame III fazės tyrime dalyvavo suaugę pacientai, sergantys naujai diagnozuota lėtinės fazės LML. Pacientai buvo atsitiktinai parinkti vartoti 100</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1</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arba 400</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imatinibo 1</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Pagrindinė vertinamoji baigtis buvo patvirtinto visiško citogenetinio atsako (cCCyR) pasireiškimo dažnis per 12</w:t>
      </w:r>
      <w:r w:rsidR="008B7AC3">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mėnesių. Antrinės vertinamosios baigtys buvo cCCyR trukmė (atsako tvarumo matas), laikas iki cCCyR pasireiškimo, didžiojo molekulinio atsako (MMR, angl. </w:t>
      </w:r>
      <w:r w:rsidRPr="001D3C3D">
        <w:rPr>
          <w:rFonts w:ascii="Times New Roman" w:eastAsia="SimSun" w:hAnsi="Times New Roman" w:cs="Times New Roman"/>
          <w:i/>
          <w:color w:val="000000"/>
          <w:lang w:eastAsia="ar-SA"/>
        </w:rPr>
        <w:t>major molecular response</w:t>
      </w:r>
      <w:r w:rsidRPr="001D3C3D">
        <w:rPr>
          <w:rFonts w:ascii="Times New Roman" w:eastAsia="SimSun" w:hAnsi="Times New Roman" w:cs="Times New Roman"/>
          <w:color w:val="000000"/>
          <w:lang w:eastAsia="ar-SA"/>
        </w:rPr>
        <w:t xml:space="preserve">) pasireiškimo dažnis, laikas iki MMR pasireiškimo, neprogresuojant ligai išgyventas laikotarpis (PFS, angl. </w:t>
      </w:r>
      <w:r w:rsidRPr="001D3C3D">
        <w:rPr>
          <w:rFonts w:ascii="Times New Roman" w:eastAsia="SimSun" w:hAnsi="Times New Roman" w:cs="Times New Roman"/>
          <w:i/>
          <w:color w:val="000000"/>
          <w:lang w:eastAsia="ar-SA"/>
        </w:rPr>
        <w:t>progression free survival</w:t>
      </w:r>
      <w:r w:rsidRPr="001D3C3D">
        <w:rPr>
          <w:rFonts w:ascii="Times New Roman" w:eastAsia="SimSun" w:hAnsi="Times New Roman" w:cs="Times New Roman"/>
          <w:color w:val="000000"/>
          <w:lang w:eastAsia="ar-SA"/>
        </w:rPr>
        <w:t xml:space="preserve">) ir bendras išgyventas laikotarpis (OS, angl. </w:t>
      </w:r>
      <w:r w:rsidRPr="001D3C3D">
        <w:rPr>
          <w:rFonts w:ascii="Times New Roman" w:eastAsia="SimSun" w:hAnsi="Times New Roman" w:cs="Times New Roman"/>
          <w:i/>
          <w:color w:val="000000"/>
          <w:lang w:eastAsia="ar-SA"/>
        </w:rPr>
        <w:t>overall survival</w:t>
      </w:r>
      <w:r w:rsidRPr="001D3C3D">
        <w:rPr>
          <w:rFonts w:ascii="Times New Roman" w:eastAsia="SimSun" w:hAnsi="Times New Roman" w:cs="Times New Roman"/>
          <w:color w:val="000000"/>
          <w:lang w:eastAsia="ar-SA"/>
        </w:rPr>
        <w:t xml:space="preserve">). Kiti tiesiogiai susiję veiksmingumo duomenys buvo CCyR pasireiškimo dažnis ir visiško molekulinio atsako (CMR, angl. </w:t>
      </w:r>
      <w:r w:rsidRPr="001D3C3D">
        <w:rPr>
          <w:rFonts w:ascii="Times New Roman" w:eastAsia="SimSun" w:hAnsi="Times New Roman" w:cs="Times New Roman"/>
          <w:i/>
          <w:color w:val="000000"/>
          <w:lang w:eastAsia="ar-SA"/>
        </w:rPr>
        <w:t>complete molecular response</w:t>
      </w:r>
      <w:r w:rsidRPr="001D3C3D">
        <w:rPr>
          <w:rFonts w:ascii="Times New Roman" w:eastAsia="SimSun" w:hAnsi="Times New Roman" w:cs="Times New Roman"/>
          <w:color w:val="000000"/>
          <w:lang w:eastAsia="ar-SA"/>
        </w:rPr>
        <w:t>) pasireiškimo dažnis. Šis tyrimas dar vyksta.</w:t>
      </w:r>
    </w:p>
    <w:p w14:paraId="158ED61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23B84996" w14:textId="4C5E31E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Iš viso į gydymo grupes buvo atsitiktinės atrankos būdu įtraukta 519 pacientų (259 į dazatinibo ir 260 į imatinibo grupę). Įtraukiant pacientus į šias grupes, buvo gerai išlaikyta pusiausvyra pagal pagrindines jų savybes: amžių (dazatinibo grupės pacientų amžiaus mediana buvo 46</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metai, imatinibo – 49; 65</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ir vyresnių buvo atitinkamai 10</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11</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lytį (moterų buvo atitinkamai 44</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37</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rasę (europidų buvo atitinkamai 51</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55</w:t>
      </w:r>
      <w:r w:rsidR="00A32DF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azijiečių – 42</w:t>
      </w:r>
      <w:r w:rsidR="00D67E5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37</w:t>
      </w:r>
      <w:r w:rsidR="00D67E5F">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Prieš gydymo pradžią gydymo </w:t>
      </w:r>
      <w:r w:rsidRPr="001D3C3D">
        <w:rPr>
          <w:rFonts w:ascii="Times New Roman" w:eastAsia="SimSun" w:hAnsi="Times New Roman" w:cs="Times New Roman"/>
          <w:i/>
          <w:color w:val="000000"/>
          <w:lang w:eastAsia="ar-SA"/>
        </w:rPr>
        <w:t>Hasford</w:t>
      </w:r>
      <w:r w:rsidRPr="001D3C3D">
        <w:rPr>
          <w:rFonts w:ascii="Times New Roman" w:eastAsia="SimSun" w:hAnsi="Times New Roman" w:cs="Times New Roman"/>
          <w:color w:val="000000"/>
          <w:lang w:eastAsia="ar-SA"/>
        </w:rPr>
        <w:t xml:space="preserve"> skalės balų pasiskirstymas dazatinibo ir imatinibo grupėse buvo panašus (maža rizika – atitinkamai 33</w:t>
      </w:r>
      <w:r w:rsidR="008816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34</w:t>
      </w:r>
      <w:r w:rsidR="008816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vidutinė rizika – 48</w:t>
      </w:r>
      <w:r w:rsidR="008816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47</w:t>
      </w:r>
      <w:r w:rsidR="008816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didelė rizika – 19</w:t>
      </w:r>
      <w:r w:rsidR="0088165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19</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Po bent 12</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trukusio stebėjimo 85</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dazatinibo grupės ir 81</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imatinibo grupės pacientų toliau buvo taikomas pirmaeilis gydymas. Dėl ligos progresavimo per 12</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dazatinibo vartojimą nutraukė 3</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ir imatinibo </w:t>
      </w:r>
      <w:r w:rsidR="00617A34">
        <w:rPr>
          <w:rFonts w:ascii="Times New Roman" w:eastAsia="SimSun" w:hAnsi="Times New Roman" w:cs="Times New Roman"/>
          <w:color w:val="000000"/>
          <w:lang w:eastAsia="ar-SA"/>
        </w:rPr>
        <w:t>–</w:t>
      </w:r>
      <w:r w:rsidRPr="001D3C3D">
        <w:rPr>
          <w:rFonts w:ascii="Times New Roman" w:eastAsia="SimSun" w:hAnsi="Times New Roman" w:cs="Times New Roman"/>
          <w:color w:val="000000"/>
          <w:lang w:eastAsia="ar-SA"/>
        </w:rPr>
        <w:t xml:space="preserve"> 5</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pacientų.</w:t>
      </w:r>
    </w:p>
    <w:p w14:paraId="6FEBC46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2DB67A2" w14:textId="347624A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Po ne trumpesnio kaip 60</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laikotarpio 60</w:t>
      </w:r>
      <w:r w:rsidR="00617A3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į dazatinibo grupę atsitiktinės atrankos būdu paskirtų pacientų ir 63</w:t>
      </w:r>
      <w:r w:rsidR="00733BB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į imatinibo grupę atsitiktinės atrankos būdu paskirtų pacientų toliau taikytas pirmaeilis gydymas. Per 60</w:t>
      </w:r>
      <w:r w:rsidR="00733BB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dėl ligos progresavimo vartojimą nutraukė 11</w:t>
      </w:r>
      <w:r w:rsidR="00733BBE">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dazatinibu gydomų pacientų ir 14</w:t>
      </w:r>
      <w:r w:rsidR="00DA274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imatinibu gydomų pacientų. </w:t>
      </w:r>
    </w:p>
    <w:p w14:paraId="76238A3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C79598F" w14:textId="7BD287D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Veiksmingumo duomenys pateikti 9</w:t>
      </w:r>
      <w:r w:rsidR="00DA274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lentelėje. Per pirmuosius 12</w:t>
      </w:r>
      <w:r w:rsidR="00DA274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gydymo mėnesių cCCyR pasireiškė statistiškai patikimai didesnei dazatinibo grupės pacientų daliai negu imatinibo. Dazatinibo veiksmingumas buvo nuosekliai įrodytas įvairiems pogrupiams, įskaitant sudarytus pagal amžių, lytį ir </w:t>
      </w:r>
      <w:r w:rsidRPr="001D3C3D">
        <w:rPr>
          <w:rFonts w:ascii="Times New Roman" w:eastAsia="SimSun" w:hAnsi="Times New Roman" w:cs="Times New Roman"/>
          <w:i/>
          <w:color w:val="000000"/>
          <w:lang w:eastAsia="ar-SA"/>
        </w:rPr>
        <w:t>Hasford</w:t>
      </w:r>
      <w:r w:rsidRPr="001D3C3D">
        <w:rPr>
          <w:rFonts w:ascii="Times New Roman" w:eastAsia="SimSun" w:hAnsi="Times New Roman" w:cs="Times New Roman"/>
          <w:color w:val="000000"/>
          <w:lang w:eastAsia="ar-SA"/>
        </w:rPr>
        <w:t xml:space="preserve"> skalės balus prieš gydymo pradžią.</w:t>
      </w:r>
    </w:p>
    <w:p w14:paraId="666DA22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16F3B9BF" w14:textId="77777777" w:rsidR="00ED7DC3" w:rsidRPr="001D3C3D" w:rsidRDefault="00ED7DC3" w:rsidP="00ED7DC3">
      <w:pPr>
        <w:pageBreakBefore/>
        <w:widowControl w:val="0"/>
        <w:tabs>
          <w:tab w:val="left" w:pos="567"/>
        </w:tabs>
        <w:suppressAutoHyphens/>
        <w:spacing w:after="0" w:line="240" w:lineRule="auto"/>
        <w:rPr>
          <w:rFonts w:ascii="Times New Roman" w:eastAsia="SimSun" w:hAnsi="Times New Roman" w:cs="Times New Roman"/>
          <w:b/>
          <w:color w:val="000000"/>
          <w:lang w:eastAsia="ar-SA"/>
        </w:rPr>
      </w:pPr>
    </w:p>
    <w:p w14:paraId="1F29919B" w14:textId="56B15FA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9</w:t>
      </w:r>
      <w:r w:rsidR="00DA2744">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 xml:space="preserve">lentelė. III fazės tyrimo metu nustatyti veiksmingumo duomenys pacientams, sergantiems naujai diagnozuota lėtinės fazės LML </w:t>
      </w:r>
    </w:p>
    <w:p w14:paraId="18C3AA2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tbl>
      <w:tblPr>
        <w:tblW w:w="0" w:type="auto"/>
        <w:tblLayout w:type="fixed"/>
        <w:tblLook w:val="0000" w:firstRow="0" w:lastRow="0" w:firstColumn="0" w:lastColumn="0" w:noHBand="0" w:noVBand="0"/>
      </w:tblPr>
      <w:tblGrid>
        <w:gridCol w:w="2886"/>
        <w:gridCol w:w="1562"/>
        <w:gridCol w:w="422"/>
        <w:gridCol w:w="2409"/>
        <w:gridCol w:w="1617"/>
      </w:tblGrid>
      <w:tr w:rsidR="00ED7DC3" w:rsidRPr="001D3C3D" w14:paraId="6FD04000" w14:textId="77777777" w:rsidTr="0036275F">
        <w:tc>
          <w:tcPr>
            <w:tcW w:w="2886" w:type="dxa"/>
            <w:tcBorders>
              <w:top w:val="single" w:sz="4" w:space="0" w:color="000000"/>
              <w:bottom w:val="single" w:sz="4" w:space="0" w:color="000000"/>
            </w:tcBorders>
            <w:shd w:val="clear" w:color="auto" w:fill="FFFFFF"/>
          </w:tcPr>
          <w:p w14:paraId="2563282E"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984" w:type="dxa"/>
            <w:gridSpan w:val="2"/>
            <w:tcBorders>
              <w:top w:val="single" w:sz="4" w:space="0" w:color="000000"/>
              <w:bottom w:val="single" w:sz="4" w:space="0" w:color="000000"/>
            </w:tcBorders>
            <w:shd w:val="clear" w:color="auto" w:fill="FFFFFF"/>
          </w:tcPr>
          <w:p w14:paraId="68094546"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 xml:space="preserve">Dazatinibas </w:t>
            </w:r>
          </w:p>
          <w:p w14:paraId="46B38318" w14:textId="6DB04856"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N</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259</w:t>
            </w:r>
          </w:p>
        </w:tc>
        <w:tc>
          <w:tcPr>
            <w:tcW w:w="2409" w:type="dxa"/>
            <w:tcBorders>
              <w:top w:val="single" w:sz="4" w:space="0" w:color="000000"/>
              <w:bottom w:val="single" w:sz="4" w:space="0" w:color="000000"/>
            </w:tcBorders>
            <w:shd w:val="clear" w:color="auto" w:fill="FFFFFF"/>
          </w:tcPr>
          <w:p w14:paraId="6FB90270"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Imatinibas</w:t>
            </w:r>
          </w:p>
          <w:p w14:paraId="279F70E9" w14:textId="1ED3F8F1"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N</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260</w:t>
            </w:r>
          </w:p>
        </w:tc>
        <w:tc>
          <w:tcPr>
            <w:tcW w:w="1617" w:type="dxa"/>
            <w:tcBorders>
              <w:top w:val="single" w:sz="4" w:space="0" w:color="000000"/>
              <w:bottom w:val="single" w:sz="4" w:space="0" w:color="000000"/>
            </w:tcBorders>
            <w:shd w:val="clear" w:color="auto" w:fill="FFFFFF"/>
            <w:vAlign w:val="center"/>
          </w:tcPr>
          <w:p w14:paraId="2ABB559D"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 reikšmė</w:t>
            </w:r>
          </w:p>
        </w:tc>
      </w:tr>
      <w:tr w:rsidR="00ED7DC3" w:rsidRPr="001D3C3D" w14:paraId="286C983E" w14:textId="77777777" w:rsidTr="0036275F">
        <w:tblPrEx>
          <w:tblCellMar>
            <w:left w:w="0" w:type="dxa"/>
            <w:right w:w="0" w:type="dxa"/>
          </w:tblCellMar>
        </w:tblPrEx>
        <w:tc>
          <w:tcPr>
            <w:tcW w:w="2886" w:type="dxa"/>
            <w:tcBorders>
              <w:top w:val="single" w:sz="4" w:space="0" w:color="000000"/>
              <w:bottom w:val="single" w:sz="4" w:space="0" w:color="000000"/>
            </w:tcBorders>
            <w:shd w:val="clear" w:color="auto" w:fill="FFFFFF"/>
          </w:tcPr>
          <w:p w14:paraId="23342348"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562" w:type="dxa"/>
            <w:tcBorders>
              <w:top w:val="single" w:sz="4" w:space="0" w:color="000000"/>
              <w:bottom w:val="single" w:sz="4" w:space="0" w:color="000000"/>
            </w:tcBorders>
            <w:shd w:val="clear" w:color="auto" w:fill="FFFFFF"/>
          </w:tcPr>
          <w:p w14:paraId="223A4E8F" w14:textId="4501E608"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Atsako dažnis (95</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 PI)</w:t>
            </w:r>
          </w:p>
        </w:tc>
        <w:tc>
          <w:tcPr>
            <w:tcW w:w="4448" w:type="dxa"/>
            <w:gridSpan w:val="3"/>
            <w:shd w:val="clear" w:color="auto" w:fill="auto"/>
          </w:tcPr>
          <w:p w14:paraId="31E48FC7"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8EF245B" w14:textId="77777777" w:rsidTr="0036275F">
        <w:tc>
          <w:tcPr>
            <w:tcW w:w="2886" w:type="dxa"/>
            <w:tcBorders>
              <w:top w:val="single" w:sz="4" w:space="0" w:color="000000"/>
            </w:tcBorders>
            <w:shd w:val="clear" w:color="auto" w:fill="FFFFFF"/>
          </w:tcPr>
          <w:p w14:paraId="691938EB"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Citogenetinis atsakas</w:t>
            </w:r>
          </w:p>
          <w:p w14:paraId="07A98AA2" w14:textId="74E28863"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per 12</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w:t>
            </w:r>
          </w:p>
        </w:tc>
        <w:tc>
          <w:tcPr>
            <w:tcW w:w="1984" w:type="dxa"/>
            <w:gridSpan w:val="2"/>
            <w:tcBorders>
              <w:top w:val="single" w:sz="4" w:space="0" w:color="000000"/>
            </w:tcBorders>
            <w:shd w:val="clear" w:color="auto" w:fill="FFFFFF"/>
          </w:tcPr>
          <w:p w14:paraId="0E38149D"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tcBorders>
              <w:top w:val="single" w:sz="4" w:space="0" w:color="000000"/>
            </w:tcBorders>
            <w:shd w:val="clear" w:color="auto" w:fill="FFFFFF"/>
          </w:tcPr>
          <w:p w14:paraId="187B8183"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tcBorders>
              <w:top w:val="single" w:sz="4" w:space="0" w:color="000000"/>
            </w:tcBorders>
            <w:shd w:val="clear" w:color="auto" w:fill="FFFFFF"/>
          </w:tcPr>
          <w:p w14:paraId="55243416"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6F0F0013" w14:textId="77777777" w:rsidTr="0036275F">
        <w:trPr>
          <w:trHeight w:val="381"/>
        </w:trPr>
        <w:tc>
          <w:tcPr>
            <w:tcW w:w="2886" w:type="dxa"/>
            <w:shd w:val="clear" w:color="auto" w:fill="FFFFFF"/>
          </w:tcPr>
          <w:p w14:paraId="39529445"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w:t>
            </w:r>
            <w:r w:rsidRPr="001D3C3D">
              <w:rPr>
                <w:rFonts w:ascii="Times New Roman" w:eastAsia="Calibri" w:hAnsi="Times New Roman" w:cs="Times New Roman"/>
                <w:color w:val="000000"/>
                <w:vertAlign w:val="superscript"/>
                <w:lang w:eastAsia="ar-SA"/>
              </w:rPr>
              <w:t>a</w:t>
            </w:r>
          </w:p>
        </w:tc>
        <w:tc>
          <w:tcPr>
            <w:tcW w:w="1984" w:type="dxa"/>
            <w:gridSpan w:val="2"/>
            <w:shd w:val="clear" w:color="auto" w:fill="FFFFFF"/>
          </w:tcPr>
          <w:p w14:paraId="300EF368" w14:textId="0E1CB8B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76,8</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(71,2</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 xml:space="preserve">81,8) </w:t>
            </w:r>
          </w:p>
        </w:tc>
        <w:tc>
          <w:tcPr>
            <w:tcW w:w="2409" w:type="dxa"/>
            <w:shd w:val="clear" w:color="auto" w:fill="FFFFFF"/>
          </w:tcPr>
          <w:p w14:paraId="489CBC8A" w14:textId="6F4FCA1E"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66,2</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(60,1</w:t>
            </w:r>
            <w:r w:rsidR="00AA1BB1">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71,9)</w:t>
            </w:r>
          </w:p>
        </w:tc>
        <w:tc>
          <w:tcPr>
            <w:tcW w:w="1617" w:type="dxa"/>
            <w:shd w:val="clear" w:color="auto" w:fill="FFFFFF"/>
          </w:tcPr>
          <w:p w14:paraId="3FF9D938" w14:textId="08B2266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0,007*</w:t>
            </w:r>
          </w:p>
        </w:tc>
      </w:tr>
      <w:tr w:rsidR="00ED7DC3" w:rsidRPr="001D3C3D" w14:paraId="1EC8E695" w14:textId="77777777" w:rsidTr="0036275F">
        <w:trPr>
          <w:trHeight w:val="273"/>
        </w:trPr>
        <w:tc>
          <w:tcPr>
            <w:tcW w:w="2886" w:type="dxa"/>
            <w:shd w:val="clear" w:color="auto" w:fill="FFFFFF"/>
          </w:tcPr>
          <w:p w14:paraId="2D82C4BA" w14:textId="3576DE9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CCyR</w:t>
            </w:r>
            <w:r w:rsidRPr="001D3C3D">
              <w:rPr>
                <w:rFonts w:ascii="Times New Roman" w:eastAsia="Calibri" w:hAnsi="Times New Roman" w:cs="Times New Roman"/>
                <w:color w:val="000000"/>
                <w:vertAlign w:val="superscript"/>
                <w:lang w:eastAsia="ar-SA"/>
              </w:rPr>
              <w:t>b</w:t>
            </w:r>
          </w:p>
        </w:tc>
        <w:tc>
          <w:tcPr>
            <w:tcW w:w="1984" w:type="dxa"/>
            <w:gridSpan w:val="2"/>
            <w:shd w:val="clear" w:color="auto" w:fill="FFFFFF"/>
          </w:tcPr>
          <w:p w14:paraId="0CC1D5BC" w14:textId="0CBC6FF6"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85,3</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xml:space="preserve">% (80,4 </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89,4)</w:t>
            </w:r>
          </w:p>
        </w:tc>
        <w:tc>
          <w:tcPr>
            <w:tcW w:w="2409" w:type="dxa"/>
            <w:shd w:val="clear" w:color="auto" w:fill="FFFFFF"/>
          </w:tcPr>
          <w:p w14:paraId="03314FB0" w14:textId="46242AC3"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73,5</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(67,7</w:t>
            </w:r>
            <w:r w:rsidR="00AA1BB1">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78,7)</w:t>
            </w:r>
          </w:p>
        </w:tc>
        <w:tc>
          <w:tcPr>
            <w:tcW w:w="1617" w:type="dxa"/>
            <w:shd w:val="clear" w:color="auto" w:fill="FFFFFF"/>
          </w:tcPr>
          <w:p w14:paraId="15CAC3DE"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350949A1" w14:textId="77777777" w:rsidTr="0036275F">
        <w:tc>
          <w:tcPr>
            <w:tcW w:w="2886" w:type="dxa"/>
            <w:shd w:val="clear" w:color="auto" w:fill="FFFFFF"/>
          </w:tcPr>
          <w:p w14:paraId="1C429ED3" w14:textId="7489548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per 24</w:t>
            </w:r>
            <w:r w:rsidR="00DA2744">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mėnesius</w:t>
            </w:r>
          </w:p>
        </w:tc>
        <w:tc>
          <w:tcPr>
            <w:tcW w:w="1984" w:type="dxa"/>
            <w:gridSpan w:val="2"/>
            <w:shd w:val="clear" w:color="auto" w:fill="FFFFFF"/>
          </w:tcPr>
          <w:p w14:paraId="42D3BD13"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shd w:val="clear" w:color="auto" w:fill="FFFFFF"/>
          </w:tcPr>
          <w:p w14:paraId="50095320"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shd w:val="clear" w:color="auto" w:fill="FFFFFF"/>
          </w:tcPr>
          <w:p w14:paraId="10C6C892"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62F9A7D5" w14:textId="77777777" w:rsidTr="0036275F">
        <w:trPr>
          <w:trHeight w:val="351"/>
        </w:trPr>
        <w:tc>
          <w:tcPr>
            <w:tcW w:w="2886" w:type="dxa"/>
            <w:shd w:val="clear" w:color="auto" w:fill="FFFFFF"/>
          </w:tcPr>
          <w:p w14:paraId="405A6EFE"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cCCyRa</w:t>
            </w:r>
          </w:p>
        </w:tc>
        <w:tc>
          <w:tcPr>
            <w:tcW w:w="1984" w:type="dxa"/>
            <w:gridSpan w:val="2"/>
            <w:shd w:val="clear" w:color="auto" w:fill="FFFFFF"/>
          </w:tcPr>
          <w:p w14:paraId="6860E761" w14:textId="537CA92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80,3</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68995DA9" w14:textId="7071ABB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74,2</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5EAB0C09"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7858410D" w14:textId="77777777" w:rsidTr="0036275F">
        <w:tc>
          <w:tcPr>
            <w:tcW w:w="2886" w:type="dxa"/>
            <w:shd w:val="clear" w:color="auto" w:fill="FFFFFF"/>
          </w:tcPr>
          <w:p w14:paraId="1EA88C2B" w14:textId="53D53298"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CCyR</w:t>
            </w:r>
            <w:r w:rsidRPr="001D3C3D">
              <w:rPr>
                <w:rFonts w:ascii="Times New Roman" w:eastAsia="Calibri" w:hAnsi="Times New Roman" w:cs="Times New Roman"/>
                <w:color w:val="000000"/>
                <w:vertAlign w:val="superscript"/>
                <w:lang w:eastAsia="ar-SA"/>
              </w:rPr>
              <w:t>b</w:t>
            </w:r>
          </w:p>
        </w:tc>
        <w:tc>
          <w:tcPr>
            <w:tcW w:w="1984" w:type="dxa"/>
            <w:gridSpan w:val="2"/>
            <w:shd w:val="clear" w:color="auto" w:fill="FFFFFF"/>
          </w:tcPr>
          <w:p w14:paraId="431615C7" w14:textId="3502C42A"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87,3</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414E4A0F" w14:textId="462C5C0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82,3</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737C0853"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4E3A0771" w14:textId="77777777" w:rsidTr="0036275F">
        <w:tc>
          <w:tcPr>
            <w:tcW w:w="2886" w:type="dxa"/>
            <w:shd w:val="clear" w:color="auto" w:fill="FFFFFF"/>
          </w:tcPr>
          <w:p w14:paraId="6CC474F3" w14:textId="2ED300B6"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bCs/>
                <w:color w:val="000000"/>
                <w:lang w:eastAsia="ar-SA"/>
              </w:rPr>
              <w:t>per 36</w:t>
            </w:r>
            <w:r w:rsidR="00DA2744">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mėnesius</w:t>
            </w:r>
          </w:p>
        </w:tc>
        <w:tc>
          <w:tcPr>
            <w:tcW w:w="1984" w:type="dxa"/>
            <w:gridSpan w:val="2"/>
            <w:shd w:val="clear" w:color="auto" w:fill="FFFFFF"/>
          </w:tcPr>
          <w:p w14:paraId="47C77767"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shd w:val="clear" w:color="auto" w:fill="FFFFFF"/>
          </w:tcPr>
          <w:p w14:paraId="4A3C7E43"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shd w:val="clear" w:color="auto" w:fill="FFFFFF"/>
          </w:tcPr>
          <w:p w14:paraId="0DC4B3FF"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5BD15AF8" w14:textId="77777777" w:rsidTr="0036275F">
        <w:trPr>
          <w:trHeight w:val="334"/>
        </w:trPr>
        <w:tc>
          <w:tcPr>
            <w:tcW w:w="2886" w:type="dxa"/>
            <w:shd w:val="clear" w:color="auto" w:fill="FFFFFF"/>
          </w:tcPr>
          <w:p w14:paraId="233C50AC"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w:t>
            </w:r>
            <w:r w:rsidRPr="001D3C3D">
              <w:rPr>
                <w:rFonts w:ascii="Times New Roman" w:eastAsia="Calibri" w:hAnsi="Times New Roman" w:cs="Times New Roman"/>
                <w:color w:val="000000"/>
                <w:vertAlign w:val="superscript"/>
                <w:lang w:eastAsia="ar-SA"/>
              </w:rPr>
              <w:t>a</w:t>
            </w:r>
          </w:p>
        </w:tc>
        <w:tc>
          <w:tcPr>
            <w:tcW w:w="1984" w:type="dxa"/>
            <w:gridSpan w:val="2"/>
            <w:shd w:val="clear" w:color="auto" w:fill="FFFFFF"/>
          </w:tcPr>
          <w:p w14:paraId="5BEF890F" w14:textId="6FCF183C"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82,6</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0F69F598" w14:textId="76E1B8FE"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77,3</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6EFF8655"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7843528F" w14:textId="77777777" w:rsidTr="0036275F">
        <w:trPr>
          <w:trHeight w:val="282"/>
        </w:trPr>
        <w:tc>
          <w:tcPr>
            <w:tcW w:w="2886" w:type="dxa"/>
            <w:shd w:val="clear" w:color="auto" w:fill="FFFFFF"/>
          </w:tcPr>
          <w:p w14:paraId="099BD21C" w14:textId="4C82EA93"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CCyR</w:t>
            </w:r>
            <w:r w:rsidRPr="001D3C3D">
              <w:rPr>
                <w:rFonts w:ascii="Times New Roman" w:eastAsia="Calibri" w:hAnsi="Times New Roman" w:cs="Times New Roman"/>
                <w:color w:val="000000"/>
                <w:vertAlign w:val="superscript"/>
                <w:lang w:eastAsia="ar-SA"/>
              </w:rPr>
              <w:t>b</w:t>
            </w:r>
          </w:p>
        </w:tc>
        <w:tc>
          <w:tcPr>
            <w:tcW w:w="1984" w:type="dxa"/>
            <w:gridSpan w:val="2"/>
            <w:shd w:val="clear" w:color="auto" w:fill="FFFFFF"/>
          </w:tcPr>
          <w:p w14:paraId="39D832DF" w14:textId="556DDE72"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88,0</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36245F6B" w14:textId="72FB9B78"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83,5</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2C6D4D83"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001E058A" w14:textId="77777777" w:rsidTr="0036275F">
        <w:tc>
          <w:tcPr>
            <w:tcW w:w="2886" w:type="dxa"/>
            <w:shd w:val="clear" w:color="auto" w:fill="FFFFFF"/>
          </w:tcPr>
          <w:p w14:paraId="49C32C16" w14:textId="3988458D"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per 48</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mėnesius</w:t>
            </w:r>
          </w:p>
        </w:tc>
        <w:tc>
          <w:tcPr>
            <w:tcW w:w="1984" w:type="dxa"/>
            <w:gridSpan w:val="2"/>
            <w:shd w:val="clear" w:color="auto" w:fill="FFFFFF"/>
          </w:tcPr>
          <w:p w14:paraId="5F7F36CF"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shd w:val="clear" w:color="auto" w:fill="FFFFFF"/>
          </w:tcPr>
          <w:p w14:paraId="2E6695D7"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shd w:val="clear" w:color="auto" w:fill="FFFFFF"/>
          </w:tcPr>
          <w:p w14:paraId="308F2F80"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2A0285C8" w14:textId="77777777" w:rsidTr="0036275F">
        <w:trPr>
          <w:trHeight w:val="346"/>
        </w:trPr>
        <w:tc>
          <w:tcPr>
            <w:tcW w:w="2886" w:type="dxa"/>
            <w:shd w:val="clear" w:color="auto" w:fill="FFFFFF"/>
          </w:tcPr>
          <w:p w14:paraId="1AC72FEA"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w:t>
            </w:r>
            <w:r w:rsidRPr="001D3C3D">
              <w:rPr>
                <w:rFonts w:ascii="Times New Roman" w:eastAsia="Calibri" w:hAnsi="Times New Roman" w:cs="Times New Roman"/>
                <w:color w:val="000000"/>
                <w:vertAlign w:val="superscript"/>
                <w:lang w:eastAsia="ar-SA"/>
              </w:rPr>
              <w:t>a</w:t>
            </w:r>
          </w:p>
        </w:tc>
        <w:tc>
          <w:tcPr>
            <w:tcW w:w="1984" w:type="dxa"/>
            <w:gridSpan w:val="2"/>
            <w:shd w:val="clear" w:color="auto" w:fill="FFFFFF"/>
          </w:tcPr>
          <w:p w14:paraId="6685E100" w14:textId="3BE10EE9"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82,6</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39159FAE" w14:textId="4405CE92"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78,5</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0D9BB885"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25FB9AF8" w14:textId="77777777" w:rsidTr="0036275F">
        <w:trPr>
          <w:trHeight w:val="280"/>
        </w:trPr>
        <w:tc>
          <w:tcPr>
            <w:tcW w:w="2886" w:type="dxa"/>
            <w:shd w:val="clear" w:color="auto" w:fill="FFFFFF"/>
          </w:tcPr>
          <w:p w14:paraId="3DD31DBA" w14:textId="2DD28D48"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CCyR</w:t>
            </w:r>
            <w:r w:rsidRPr="001D3C3D">
              <w:rPr>
                <w:rFonts w:ascii="Times New Roman" w:eastAsia="Calibri" w:hAnsi="Times New Roman" w:cs="Times New Roman"/>
                <w:color w:val="000000"/>
                <w:vertAlign w:val="superscript"/>
                <w:lang w:eastAsia="ar-SA"/>
              </w:rPr>
              <w:t>b</w:t>
            </w:r>
          </w:p>
        </w:tc>
        <w:tc>
          <w:tcPr>
            <w:tcW w:w="1984" w:type="dxa"/>
            <w:gridSpan w:val="2"/>
            <w:shd w:val="clear" w:color="auto" w:fill="FFFFFF"/>
          </w:tcPr>
          <w:p w14:paraId="67283AC4" w14:textId="0182DF9F"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87,6</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0D635503" w14:textId="14C98FC9"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83,8</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36C10578"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5EE29114" w14:textId="77777777" w:rsidTr="0036275F">
        <w:tc>
          <w:tcPr>
            <w:tcW w:w="2886" w:type="dxa"/>
            <w:shd w:val="clear" w:color="auto" w:fill="FFFFFF"/>
          </w:tcPr>
          <w:p w14:paraId="4074F5C9" w14:textId="139DCE4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per 60</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mėnesių</w:t>
            </w:r>
          </w:p>
        </w:tc>
        <w:tc>
          <w:tcPr>
            <w:tcW w:w="1984" w:type="dxa"/>
            <w:gridSpan w:val="2"/>
            <w:shd w:val="clear" w:color="auto" w:fill="FFFFFF"/>
          </w:tcPr>
          <w:p w14:paraId="6205E3C1"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shd w:val="clear" w:color="auto" w:fill="FFFFFF"/>
          </w:tcPr>
          <w:p w14:paraId="16FF44BF"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shd w:val="clear" w:color="auto" w:fill="FFFFFF"/>
          </w:tcPr>
          <w:p w14:paraId="59FD20DC"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0D0DB96D" w14:textId="77777777" w:rsidTr="0036275F">
        <w:trPr>
          <w:trHeight w:val="330"/>
        </w:trPr>
        <w:tc>
          <w:tcPr>
            <w:tcW w:w="2886" w:type="dxa"/>
            <w:shd w:val="clear" w:color="auto" w:fill="FFFFFF"/>
          </w:tcPr>
          <w:p w14:paraId="34E4A174"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w:t>
            </w:r>
            <w:r w:rsidRPr="001D3C3D">
              <w:rPr>
                <w:rFonts w:ascii="Times New Roman" w:eastAsia="Calibri" w:hAnsi="Times New Roman" w:cs="Times New Roman"/>
                <w:color w:val="000000"/>
                <w:vertAlign w:val="superscript"/>
                <w:lang w:eastAsia="ar-SA"/>
              </w:rPr>
              <w:t>a</w:t>
            </w:r>
          </w:p>
        </w:tc>
        <w:tc>
          <w:tcPr>
            <w:tcW w:w="1984" w:type="dxa"/>
            <w:gridSpan w:val="2"/>
            <w:shd w:val="clear" w:color="auto" w:fill="FFFFFF"/>
          </w:tcPr>
          <w:p w14:paraId="4212BC47" w14:textId="27FEC72E"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83,0</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63CDC12A" w14:textId="742C01F1"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78,5</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67784C23"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2C1F6163" w14:textId="77777777" w:rsidTr="0036275F">
        <w:trPr>
          <w:trHeight w:val="292"/>
        </w:trPr>
        <w:tc>
          <w:tcPr>
            <w:tcW w:w="2886" w:type="dxa"/>
            <w:shd w:val="clear" w:color="auto" w:fill="FFFFFF"/>
          </w:tcPr>
          <w:p w14:paraId="628F54DA" w14:textId="5753750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CCyR</w:t>
            </w:r>
            <w:r w:rsidRPr="001D3C3D">
              <w:rPr>
                <w:rFonts w:ascii="Times New Roman" w:eastAsia="Calibri" w:hAnsi="Times New Roman" w:cs="Times New Roman"/>
                <w:color w:val="000000"/>
                <w:vertAlign w:val="superscript"/>
                <w:lang w:eastAsia="ar-SA"/>
              </w:rPr>
              <w:t>b</w:t>
            </w:r>
          </w:p>
        </w:tc>
        <w:tc>
          <w:tcPr>
            <w:tcW w:w="1984" w:type="dxa"/>
            <w:gridSpan w:val="2"/>
            <w:shd w:val="clear" w:color="auto" w:fill="FFFFFF"/>
          </w:tcPr>
          <w:p w14:paraId="2FB70943" w14:textId="37BD29CB"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88,0</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2409" w:type="dxa"/>
            <w:shd w:val="clear" w:color="auto" w:fill="FFFFFF"/>
          </w:tcPr>
          <w:p w14:paraId="1BEB0F8E" w14:textId="6EF9169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83,8</w:t>
            </w:r>
            <w:r w:rsidR="00AA1BB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p>
        </w:tc>
        <w:tc>
          <w:tcPr>
            <w:tcW w:w="1617" w:type="dxa"/>
            <w:shd w:val="clear" w:color="auto" w:fill="FFFFFF"/>
          </w:tcPr>
          <w:p w14:paraId="23C0879D"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63FEBC7A" w14:textId="77777777" w:rsidTr="0036275F">
        <w:tc>
          <w:tcPr>
            <w:tcW w:w="2886" w:type="dxa"/>
            <w:shd w:val="clear" w:color="auto" w:fill="FFFFFF"/>
          </w:tcPr>
          <w:p w14:paraId="4AE7D427"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Didysis molekulinis atsakas</w:t>
            </w:r>
            <w:r w:rsidRPr="001D3C3D">
              <w:rPr>
                <w:rFonts w:ascii="Times New Roman" w:eastAsia="Calibri" w:hAnsi="Times New Roman" w:cs="Times New Roman"/>
                <w:b/>
                <w:color w:val="000000"/>
                <w:vertAlign w:val="superscript"/>
                <w:lang w:eastAsia="ar-SA"/>
              </w:rPr>
              <w:t>c</w:t>
            </w:r>
          </w:p>
        </w:tc>
        <w:tc>
          <w:tcPr>
            <w:tcW w:w="1984" w:type="dxa"/>
            <w:gridSpan w:val="2"/>
            <w:shd w:val="clear" w:color="auto" w:fill="FFFFFF"/>
          </w:tcPr>
          <w:p w14:paraId="3AC2B70E"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2409" w:type="dxa"/>
            <w:shd w:val="clear" w:color="auto" w:fill="FFFFFF"/>
          </w:tcPr>
          <w:p w14:paraId="5AF57A96"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617" w:type="dxa"/>
            <w:shd w:val="clear" w:color="auto" w:fill="FFFFFF"/>
          </w:tcPr>
          <w:p w14:paraId="166CB8EB"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r>
      <w:tr w:rsidR="00ED7DC3" w:rsidRPr="001D3C3D" w14:paraId="05DA5CCD" w14:textId="77777777" w:rsidTr="0036275F">
        <w:trPr>
          <w:trHeight w:val="283"/>
        </w:trPr>
        <w:tc>
          <w:tcPr>
            <w:tcW w:w="2886" w:type="dxa"/>
            <w:shd w:val="clear" w:color="auto" w:fill="FFFFFF"/>
          </w:tcPr>
          <w:p w14:paraId="3E917B7F" w14:textId="64E410B1"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12</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mėnesių</w:t>
            </w:r>
          </w:p>
        </w:tc>
        <w:tc>
          <w:tcPr>
            <w:tcW w:w="1984" w:type="dxa"/>
            <w:gridSpan w:val="2"/>
            <w:shd w:val="clear" w:color="auto" w:fill="FFFFFF"/>
          </w:tcPr>
          <w:p w14:paraId="6E3B958B" w14:textId="5B5D7A43"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52,1</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(45,9</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58,3)</w:t>
            </w:r>
          </w:p>
        </w:tc>
        <w:tc>
          <w:tcPr>
            <w:tcW w:w="2409" w:type="dxa"/>
            <w:shd w:val="clear" w:color="auto" w:fill="FFFFFF"/>
          </w:tcPr>
          <w:p w14:paraId="7EE4F09A" w14:textId="1DE7120F"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33,8</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(28,1</w:t>
            </w:r>
            <w:r w:rsidR="0028159C">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39,9)</w:t>
            </w:r>
          </w:p>
        </w:tc>
        <w:tc>
          <w:tcPr>
            <w:tcW w:w="1617" w:type="dxa"/>
            <w:shd w:val="clear" w:color="auto" w:fill="FFFFFF"/>
          </w:tcPr>
          <w:p w14:paraId="2FEF2E92" w14:textId="2891DE26"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0,00003*</w:t>
            </w:r>
          </w:p>
        </w:tc>
      </w:tr>
      <w:tr w:rsidR="00ED7DC3" w:rsidRPr="001D3C3D" w14:paraId="425BA661" w14:textId="77777777" w:rsidTr="0036275F">
        <w:trPr>
          <w:trHeight w:val="301"/>
        </w:trPr>
        <w:tc>
          <w:tcPr>
            <w:tcW w:w="2886" w:type="dxa"/>
            <w:shd w:val="clear" w:color="auto" w:fill="FFFFFF"/>
          </w:tcPr>
          <w:p w14:paraId="2526DC12" w14:textId="7F0430E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24</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mėnesiai</w:t>
            </w:r>
          </w:p>
        </w:tc>
        <w:tc>
          <w:tcPr>
            <w:tcW w:w="1984" w:type="dxa"/>
            <w:gridSpan w:val="2"/>
            <w:shd w:val="clear" w:color="auto" w:fill="FFFFFF"/>
          </w:tcPr>
          <w:p w14:paraId="5ED56FD6" w14:textId="1D21358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64,5</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(58,3</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70,3)</w:t>
            </w:r>
          </w:p>
        </w:tc>
        <w:tc>
          <w:tcPr>
            <w:tcW w:w="2409" w:type="dxa"/>
            <w:shd w:val="clear" w:color="auto" w:fill="FFFFFF"/>
          </w:tcPr>
          <w:p w14:paraId="3D3041A7" w14:textId="3F91CFB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50</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(43,8</w:t>
            </w:r>
            <w:r w:rsidR="0028159C">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56,2)</w:t>
            </w:r>
          </w:p>
        </w:tc>
        <w:tc>
          <w:tcPr>
            <w:tcW w:w="1617" w:type="dxa"/>
            <w:shd w:val="clear" w:color="auto" w:fill="FFFFFF"/>
          </w:tcPr>
          <w:p w14:paraId="7F53867F"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7C79AB36" w14:textId="77777777" w:rsidTr="0036275F">
        <w:trPr>
          <w:trHeight w:val="277"/>
        </w:trPr>
        <w:tc>
          <w:tcPr>
            <w:tcW w:w="2886" w:type="dxa"/>
            <w:shd w:val="clear" w:color="auto" w:fill="FFFFFF"/>
          </w:tcPr>
          <w:p w14:paraId="510AB4F9" w14:textId="57DA79B1"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36</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mėnesiai</w:t>
            </w:r>
          </w:p>
        </w:tc>
        <w:tc>
          <w:tcPr>
            <w:tcW w:w="1984" w:type="dxa"/>
            <w:gridSpan w:val="2"/>
            <w:shd w:val="clear" w:color="auto" w:fill="FFFFFF"/>
          </w:tcPr>
          <w:p w14:paraId="22CD9737" w14:textId="617D69B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69,1</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(63,1</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74,7)</w:t>
            </w:r>
          </w:p>
        </w:tc>
        <w:tc>
          <w:tcPr>
            <w:tcW w:w="2409" w:type="dxa"/>
            <w:shd w:val="clear" w:color="auto" w:fill="FFFFFF"/>
          </w:tcPr>
          <w:p w14:paraId="442EDBE4" w14:textId="64EB4D3A"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56,2</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(49,9</w:t>
            </w:r>
            <w:r w:rsidR="0028159C">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62,3)</w:t>
            </w:r>
          </w:p>
        </w:tc>
        <w:tc>
          <w:tcPr>
            <w:tcW w:w="1617" w:type="dxa"/>
            <w:shd w:val="clear" w:color="auto" w:fill="FFFFFF"/>
          </w:tcPr>
          <w:p w14:paraId="54B69B89"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4794D491" w14:textId="77777777" w:rsidTr="0036275F">
        <w:trPr>
          <w:trHeight w:val="281"/>
        </w:trPr>
        <w:tc>
          <w:tcPr>
            <w:tcW w:w="2886" w:type="dxa"/>
            <w:shd w:val="clear" w:color="auto" w:fill="FFFFFF"/>
          </w:tcPr>
          <w:p w14:paraId="62AA2BA7" w14:textId="31FEA03C"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48</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mėnesiai</w:t>
            </w:r>
          </w:p>
        </w:tc>
        <w:tc>
          <w:tcPr>
            <w:tcW w:w="1984" w:type="dxa"/>
            <w:gridSpan w:val="2"/>
            <w:shd w:val="clear" w:color="auto" w:fill="FFFFFF"/>
          </w:tcPr>
          <w:p w14:paraId="35599B62" w14:textId="49DC7E7C"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75,7</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(70,0</w:t>
            </w:r>
            <w:r w:rsidR="00AA1BB1">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 xml:space="preserve">80,8) </w:t>
            </w:r>
          </w:p>
        </w:tc>
        <w:tc>
          <w:tcPr>
            <w:tcW w:w="2409" w:type="dxa"/>
            <w:shd w:val="clear" w:color="auto" w:fill="FFFFFF"/>
          </w:tcPr>
          <w:p w14:paraId="49AABFCA" w14:textId="6B4EC066"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62,7</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(56,5</w:t>
            </w:r>
            <w:r w:rsidR="0028159C">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68,6)</w:t>
            </w:r>
          </w:p>
        </w:tc>
        <w:tc>
          <w:tcPr>
            <w:tcW w:w="1617" w:type="dxa"/>
            <w:shd w:val="clear" w:color="auto" w:fill="FFFFFF"/>
          </w:tcPr>
          <w:p w14:paraId="368C8346"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781991F9" w14:textId="77777777" w:rsidTr="0036275F">
        <w:trPr>
          <w:trHeight w:val="285"/>
        </w:trPr>
        <w:tc>
          <w:tcPr>
            <w:tcW w:w="2886" w:type="dxa"/>
            <w:tcBorders>
              <w:bottom w:val="single" w:sz="4" w:space="0" w:color="000000"/>
            </w:tcBorders>
            <w:shd w:val="clear" w:color="auto" w:fill="FFFFFF"/>
          </w:tcPr>
          <w:p w14:paraId="33ABAB19" w14:textId="4737FA59"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b/>
                <w:color w:val="000000"/>
                <w:lang w:eastAsia="ar-SA"/>
              </w:rPr>
              <w:t>60</w:t>
            </w:r>
            <w:r w:rsidR="00DA2744">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mėnesių</w:t>
            </w:r>
          </w:p>
        </w:tc>
        <w:tc>
          <w:tcPr>
            <w:tcW w:w="1984" w:type="dxa"/>
            <w:gridSpan w:val="2"/>
            <w:tcBorders>
              <w:bottom w:val="single" w:sz="4" w:space="0" w:color="000000"/>
            </w:tcBorders>
            <w:shd w:val="clear" w:color="auto" w:fill="FFFFFF"/>
          </w:tcPr>
          <w:p w14:paraId="5BCFB18D" w14:textId="192B3B7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76,4</w:t>
            </w:r>
            <w:r w:rsidR="00DA2744">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(70,8</w:t>
            </w:r>
            <w:r w:rsidR="00DA2744">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 xml:space="preserve">81,5) </w:t>
            </w:r>
          </w:p>
        </w:tc>
        <w:tc>
          <w:tcPr>
            <w:tcW w:w="2409" w:type="dxa"/>
            <w:tcBorders>
              <w:bottom w:val="single" w:sz="4" w:space="0" w:color="000000"/>
            </w:tcBorders>
            <w:shd w:val="clear" w:color="auto" w:fill="FFFFFF"/>
          </w:tcPr>
          <w:p w14:paraId="49DB5566" w14:textId="2306012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64.2</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 (58,1</w:t>
            </w:r>
            <w:r w:rsidR="0028159C">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70,1)</w:t>
            </w:r>
          </w:p>
        </w:tc>
        <w:tc>
          <w:tcPr>
            <w:tcW w:w="1617" w:type="dxa"/>
            <w:tcBorders>
              <w:bottom w:val="single" w:sz="4" w:space="0" w:color="000000"/>
            </w:tcBorders>
            <w:shd w:val="clear" w:color="auto" w:fill="FFFFFF"/>
          </w:tcPr>
          <w:p w14:paraId="7E680876" w14:textId="61FA30F4"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r w:rsidR="0028159C">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0,0021</w:t>
            </w:r>
          </w:p>
        </w:tc>
      </w:tr>
    </w:tbl>
    <w:p w14:paraId="0801E815"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tbl>
      <w:tblPr>
        <w:tblW w:w="0" w:type="auto"/>
        <w:tblInd w:w="-108" w:type="dxa"/>
        <w:tblLayout w:type="fixed"/>
        <w:tblCellMar>
          <w:left w:w="0" w:type="dxa"/>
          <w:right w:w="0" w:type="dxa"/>
        </w:tblCellMar>
        <w:tblLook w:val="0000" w:firstRow="0" w:lastRow="0" w:firstColumn="0" w:lastColumn="0" w:noHBand="0" w:noVBand="0"/>
      </w:tblPr>
      <w:tblGrid>
        <w:gridCol w:w="4161"/>
        <w:gridCol w:w="1770"/>
        <w:gridCol w:w="1349"/>
        <w:gridCol w:w="1617"/>
      </w:tblGrid>
      <w:tr w:rsidR="00ED7DC3" w:rsidRPr="001D3C3D" w14:paraId="66FD6A9A" w14:textId="77777777" w:rsidTr="0036275F">
        <w:trPr>
          <w:trHeight w:val="300"/>
        </w:trPr>
        <w:tc>
          <w:tcPr>
            <w:tcW w:w="4161" w:type="dxa"/>
            <w:shd w:val="clear" w:color="auto" w:fill="FFFFFF"/>
          </w:tcPr>
          <w:p w14:paraId="4C313363"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770" w:type="dxa"/>
            <w:shd w:val="clear" w:color="auto" w:fill="FFFFFF"/>
          </w:tcPr>
          <w:p w14:paraId="168D3AEE"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Rizikos santykis (RS)</w:t>
            </w:r>
          </w:p>
        </w:tc>
        <w:tc>
          <w:tcPr>
            <w:tcW w:w="2966" w:type="dxa"/>
            <w:gridSpan w:val="2"/>
            <w:shd w:val="clear" w:color="auto" w:fill="auto"/>
          </w:tcPr>
          <w:p w14:paraId="431A6765"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2EA00ADC" w14:textId="77777777" w:rsidTr="0036275F">
        <w:trPr>
          <w:trHeight w:val="300"/>
        </w:trPr>
        <w:tc>
          <w:tcPr>
            <w:tcW w:w="4161" w:type="dxa"/>
            <w:shd w:val="clear" w:color="auto" w:fill="FFFFFF"/>
          </w:tcPr>
          <w:p w14:paraId="22EF78C7"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770" w:type="dxa"/>
            <w:shd w:val="clear" w:color="auto" w:fill="FFFFFF"/>
            <w:vAlign w:val="center"/>
          </w:tcPr>
          <w:p w14:paraId="57F9342C" w14:textId="45D3A52A"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per 12</w:t>
            </w:r>
            <w:r w:rsidR="0028159C">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 (99,99</w:t>
            </w:r>
            <w:r w:rsidR="0028159C">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 PI)</w:t>
            </w:r>
          </w:p>
        </w:tc>
        <w:tc>
          <w:tcPr>
            <w:tcW w:w="2966" w:type="dxa"/>
            <w:gridSpan w:val="2"/>
            <w:shd w:val="clear" w:color="auto" w:fill="auto"/>
          </w:tcPr>
          <w:p w14:paraId="0E535993"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FEC6EBD" w14:textId="77777777" w:rsidTr="0036275F">
        <w:tblPrEx>
          <w:tblCellMar>
            <w:left w:w="108" w:type="dxa"/>
            <w:right w:w="108" w:type="dxa"/>
          </w:tblCellMar>
        </w:tblPrEx>
        <w:trPr>
          <w:trHeight w:val="300"/>
        </w:trPr>
        <w:tc>
          <w:tcPr>
            <w:tcW w:w="4161" w:type="dxa"/>
            <w:shd w:val="clear" w:color="auto" w:fill="FFFFFF"/>
          </w:tcPr>
          <w:p w14:paraId="4CCD6513"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cCCyR pasireiškimo</w:t>
            </w:r>
          </w:p>
        </w:tc>
        <w:tc>
          <w:tcPr>
            <w:tcW w:w="3119" w:type="dxa"/>
            <w:gridSpan w:val="2"/>
            <w:shd w:val="clear" w:color="auto" w:fill="FFFFFF"/>
          </w:tcPr>
          <w:p w14:paraId="7EAB6ADB" w14:textId="6374174B"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1,55 (1,0</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2,3)</w:t>
            </w:r>
          </w:p>
        </w:tc>
        <w:tc>
          <w:tcPr>
            <w:tcW w:w="1617" w:type="dxa"/>
            <w:shd w:val="clear" w:color="auto" w:fill="FFFFFF"/>
          </w:tcPr>
          <w:p w14:paraId="112F556A" w14:textId="7E57F9C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0,0001*</w:t>
            </w:r>
          </w:p>
        </w:tc>
      </w:tr>
      <w:tr w:rsidR="00ED7DC3" w:rsidRPr="001D3C3D" w14:paraId="38A44BD8" w14:textId="77777777" w:rsidTr="0036275F">
        <w:tblPrEx>
          <w:tblCellMar>
            <w:left w:w="108" w:type="dxa"/>
            <w:right w:w="108" w:type="dxa"/>
          </w:tblCellMar>
        </w:tblPrEx>
        <w:trPr>
          <w:trHeight w:val="300"/>
        </w:trPr>
        <w:tc>
          <w:tcPr>
            <w:tcW w:w="4161" w:type="dxa"/>
            <w:shd w:val="clear" w:color="auto" w:fill="FFFFFF"/>
          </w:tcPr>
          <w:p w14:paraId="0C614173"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MMR pasireiškimo</w:t>
            </w:r>
          </w:p>
        </w:tc>
        <w:tc>
          <w:tcPr>
            <w:tcW w:w="3119" w:type="dxa"/>
            <w:gridSpan w:val="2"/>
            <w:shd w:val="clear" w:color="auto" w:fill="FFFFFF"/>
          </w:tcPr>
          <w:p w14:paraId="0A1884C4" w14:textId="10153569"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2,01 (1,2</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3,4)</w:t>
            </w:r>
          </w:p>
        </w:tc>
        <w:tc>
          <w:tcPr>
            <w:tcW w:w="1617" w:type="dxa"/>
            <w:shd w:val="clear" w:color="auto" w:fill="FFFFFF"/>
          </w:tcPr>
          <w:p w14:paraId="69A9F837" w14:textId="02BA3E6B"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0,0001*</w:t>
            </w:r>
          </w:p>
        </w:tc>
      </w:tr>
      <w:tr w:rsidR="00ED7DC3" w:rsidRPr="001D3C3D" w14:paraId="2FD77B26" w14:textId="77777777" w:rsidTr="0036275F">
        <w:tblPrEx>
          <w:tblCellMar>
            <w:left w:w="108" w:type="dxa"/>
            <w:right w:w="108" w:type="dxa"/>
          </w:tblCellMar>
        </w:tblPrEx>
        <w:trPr>
          <w:trHeight w:val="300"/>
        </w:trPr>
        <w:tc>
          <w:tcPr>
            <w:tcW w:w="4161" w:type="dxa"/>
            <w:shd w:val="clear" w:color="auto" w:fill="FFFFFF"/>
          </w:tcPr>
          <w:p w14:paraId="11FE6C99"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 tvarumas</w:t>
            </w:r>
          </w:p>
        </w:tc>
        <w:tc>
          <w:tcPr>
            <w:tcW w:w="3119" w:type="dxa"/>
            <w:gridSpan w:val="2"/>
            <w:shd w:val="clear" w:color="auto" w:fill="FFFFFF"/>
          </w:tcPr>
          <w:p w14:paraId="6898D5DD" w14:textId="3DF93D41"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0,7 (0,4</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1,4)</w:t>
            </w:r>
          </w:p>
        </w:tc>
        <w:tc>
          <w:tcPr>
            <w:tcW w:w="1617" w:type="dxa"/>
            <w:shd w:val="clear" w:color="auto" w:fill="FFFFFF"/>
          </w:tcPr>
          <w:p w14:paraId="4A516689" w14:textId="7738503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0,035</w:t>
            </w:r>
          </w:p>
        </w:tc>
      </w:tr>
      <w:tr w:rsidR="00ED7DC3" w:rsidRPr="001D3C3D" w14:paraId="3B629FC1" w14:textId="77777777" w:rsidTr="0036275F">
        <w:trPr>
          <w:trHeight w:val="300"/>
        </w:trPr>
        <w:tc>
          <w:tcPr>
            <w:tcW w:w="4161" w:type="dxa"/>
            <w:shd w:val="clear" w:color="auto" w:fill="FFFFFF"/>
          </w:tcPr>
          <w:p w14:paraId="789C316D"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770" w:type="dxa"/>
            <w:shd w:val="clear" w:color="auto" w:fill="FFFFFF"/>
            <w:vAlign w:val="center"/>
          </w:tcPr>
          <w:p w14:paraId="1B210D86" w14:textId="4DDD0FC6"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per 24</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 (99,99</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 PI)</w:t>
            </w:r>
          </w:p>
        </w:tc>
        <w:tc>
          <w:tcPr>
            <w:tcW w:w="2966" w:type="dxa"/>
            <w:gridSpan w:val="2"/>
            <w:shd w:val="clear" w:color="auto" w:fill="auto"/>
          </w:tcPr>
          <w:p w14:paraId="5E1088F2"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6C38154E" w14:textId="77777777" w:rsidTr="0036275F">
        <w:tblPrEx>
          <w:tblCellMar>
            <w:left w:w="108" w:type="dxa"/>
            <w:right w:w="108" w:type="dxa"/>
          </w:tblCellMar>
        </w:tblPrEx>
        <w:trPr>
          <w:trHeight w:val="300"/>
        </w:trPr>
        <w:tc>
          <w:tcPr>
            <w:tcW w:w="4161" w:type="dxa"/>
            <w:shd w:val="clear" w:color="auto" w:fill="FFFFFF"/>
          </w:tcPr>
          <w:p w14:paraId="519781E9"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cCCyR pasireiškimo</w:t>
            </w:r>
          </w:p>
        </w:tc>
        <w:tc>
          <w:tcPr>
            <w:tcW w:w="3119" w:type="dxa"/>
            <w:gridSpan w:val="2"/>
            <w:shd w:val="clear" w:color="auto" w:fill="FFFFFF"/>
          </w:tcPr>
          <w:p w14:paraId="3C5F9678" w14:textId="34B305E2"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1,49 (1,22</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1,82)</w:t>
            </w:r>
          </w:p>
        </w:tc>
        <w:tc>
          <w:tcPr>
            <w:tcW w:w="1617" w:type="dxa"/>
            <w:shd w:val="clear" w:color="auto" w:fill="FFFFFF"/>
          </w:tcPr>
          <w:p w14:paraId="3A1C56BB"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3B26A08B" w14:textId="77777777" w:rsidTr="0036275F">
        <w:tblPrEx>
          <w:tblCellMar>
            <w:left w:w="108" w:type="dxa"/>
            <w:right w:w="108" w:type="dxa"/>
          </w:tblCellMar>
        </w:tblPrEx>
        <w:trPr>
          <w:trHeight w:val="300"/>
        </w:trPr>
        <w:tc>
          <w:tcPr>
            <w:tcW w:w="4161" w:type="dxa"/>
            <w:shd w:val="clear" w:color="auto" w:fill="FFFFFF"/>
          </w:tcPr>
          <w:p w14:paraId="3E963537"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MMR pasireiškimo</w:t>
            </w:r>
          </w:p>
        </w:tc>
        <w:tc>
          <w:tcPr>
            <w:tcW w:w="3119" w:type="dxa"/>
            <w:gridSpan w:val="2"/>
            <w:shd w:val="clear" w:color="auto" w:fill="FFFFFF"/>
          </w:tcPr>
          <w:p w14:paraId="23845DC4" w14:textId="52F5789B"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1,69 (1,34</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2,12)</w:t>
            </w:r>
          </w:p>
        </w:tc>
        <w:tc>
          <w:tcPr>
            <w:tcW w:w="1617" w:type="dxa"/>
            <w:shd w:val="clear" w:color="auto" w:fill="FFFFFF"/>
          </w:tcPr>
          <w:p w14:paraId="280DF96D"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645DDEF2" w14:textId="77777777" w:rsidTr="0036275F">
        <w:tblPrEx>
          <w:tblCellMar>
            <w:left w:w="108" w:type="dxa"/>
            <w:right w:w="108" w:type="dxa"/>
          </w:tblCellMar>
        </w:tblPrEx>
        <w:trPr>
          <w:trHeight w:val="300"/>
        </w:trPr>
        <w:tc>
          <w:tcPr>
            <w:tcW w:w="4161" w:type="dxa"/>
            <w:shd w:val="clear" w:color="auto" w:fill="FFFFFF"/>
          </w:tcPr>
          <w:p w14:paraId="53E9B515"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 tvarumas</w:t>
            </w:r>
          </w:p>
        </w:tc>
        <w:tc>
          <w:tcPr>
            <w:tcW w:w="3119" w:type="dxa"/>
            <w:gridSpan w:val="2"/>
            <w:shd w:val="clear" w:color="auto" w:fill="FFFFFF"/>
          </w:tcPr>
          <w:p w14:paraId="47D4D67F" w14:textId="2E20B36B"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0,77 (0,55</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1,10)</w:t>
            </w:r>
          </w:p>
        </w:tc>
        <w:tc>
          <w:tcPr>
            <w:tcW w:w="1617" w:type="dxa"/>
            <w:shd w:val="clear" w:color="auto" w:fill="FFFFFF"/>
          </w:tcPr>
          <w:p w14:paraId="4B35A73E"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04280FC0" w14:textId="77777777" w:rsidTr="0036275F">
        <w:trPr>
          <w:trHeight w:val="300"/>
        </w:trPr>
        <w:tc>
          <w:tcPr>
            <w:tcW w:w="4161" w:type="dxa"/>
            <w:shd w:val="clear" w:color="auto" w:fill="FFFFFF"/>
          </w:tcPr>
          <w:p w14:paraId="003ED990"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color w:val="000000"/>
                <w:lang w:eastAsia="ar-SA"/>
              </w:rPr>
            </w:pPr>
          </w:p>
        </w:tc>
        <w:tc>
          <w:tcPr>
            <w:tcW w:w="1770" w:type="dxa"/>
            <w:shd w:val="clear" w:color="auto" w:fill="FFFFFF"/>
            <w:vAlign w:val="center"/>
          </w:tcPr>
          <w:p w14:paraId="062D0F28" w14:textId="239BE41B"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per 36</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 (99,99</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 PI)</w:t>
            </w:r>
          </w:p>
        </w:tc>
        <w:tc>
          <w:tcPr>
            <w:tcW w:w="2966" w:type="dxa"/>
            <w:gridSpan w:val="2"/>
            <w:shd w:val="clear" w:color="auto" w:fill="auto"/>
          </w:tcPr>
          <w:p w14:paraId="09AB1A99"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8FEF550" w14:textId="77777777" w:rsidTr="0036275F">
        <w:tblPrEx>
          <w:tblCellMar>
            <w:left w:w="108" w:type="dxa"/>
            <w:right w:w="108" w:type="dxa"/>
          </w:tblCellMar>
        </w:tblPrEx>
        <w:trPr>
          <w:trHeight w:val="300"/>
        </w:trPr>
        <w:tc>
          <w:tcPr>
            <w:tcW w:w="4161" w:type="dxa"/>
            <w:shd w:val="clear" w:color="auto" w:fill="FFFFFF"/>
          </w:tcPr>
          <w:p w14:paraId="0FF0F3D6"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cCCyR pasireiškimo</w:t>
            </w:r>
          </w:p>
        </w:tc>
        <w:tc>
          <w:tcPr>
            <w:tcW w:w="3119" w:type="dxa"/>
            <w:gridSpan w:val="2"/>
            <w:shd w:val="clear" w:color="auto" w:fill="FFFFFF"/>
          </w:tcPr>
          <w:p w14:paraId="29C7019E" w14:textId="2E8AAC03"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1,48 (1,22</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1,80)</w:t>
            </w:r>
          </w:p>
        </w:tc>
        <w:tc>
          <w:tcPr>
            <w:tcW w:w="1617" w:type="dxa"/>
            <w:shd w:val="clear" w:color="auto" w:fill="FFFFFF"/>
          </w:tcPr>
          <w:p w14:paraId="5295D450"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29AA5BC2" w14:textId="77777777" w:rsidTr="0036275F">
        <w:tblPrEx>
          <w:tblCellMar>
            <w:left w:w="108" w:type="dxa"/>
            <w:right w:w="108" w:type="dxa"/>
          </w:tblCellMar>
        </w:tblPrEx>
        <w:trPr>
          <w:trHeight w:val="300"/>
        </w:trPr>
        <w:tc>
          <w:tcPr>
            <w:tcW w:w="4161" w:type="dxa"/>
            <w:shd w:val="clear" w:color="auto" w:fill="FFFFFF"/>
          </w:tcPr>
          <w:p w14:paraId="4815E3F7"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MMR pasireiškimo</w:t>
            </w:r>
          </w:p>
        </w:tc>
        <w:tc>
          <w:tcPr>
            <w:tcW w:w="3119" w:type="dxa"/>
            <w:gridSpan w:val="2"/>
            <w:shd w:val="clear" w:color="auto" w:fill="FFFFFF"/>
          </w:tcPr>
          <w:p w14:paraId="0AD755C6" w14:textId="18F5BE84"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1,59 (1,28</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1,99)</w:t>
            </w:r>
          </w:p>
        </w:tc>
        <w:tc>
          <w:tcPr>
            <w:tcW w:w="1617" w:type="dxa"/>
            <w:shd w:val="clear" w:color="auto" w:fill="FFFFFF"/>
          </w:tcPr>
          <w:p w14:paraId="020234A5"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6727E968" w14:textId="77777777" w:rsidTr="0036275F">
        <w:tblPrEx>
          <w:tblCellMar>
            <w:left w:w="108" w:type="dxa"/>
            <w:right w:w="108" w:type="dxa"/>
          </w:tblCellMar>
        </w:tblPrEx>
        <w:trPr>
          <w:trHeight w:val="300"/>
        </w:trPr>
        <w:tc>
          <w:tcPr>
            <w:tcW w:w="4161" w:type="dxa"/>
            <w:shd w:val="clear" w:color="auto" w:fill="FFFFFF"/>
          </w:tcPr>
          <w:p w14:paraId="078EF5B4"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 tvarumas</w:t>
            </w:r>
          </w:p>
        </w:tc>
        <w:tc>
          <w:tcPr>
            <w:tcW w:w="3119" w:type="dxa"/>
            <w:gridSpan w:val="2"/>
            <w:shd w:val="clear" w:color="auto" w:fill="FFFFFF"/>
          </w:tcPr>
          <w:p w14:paraId="1274A4CE" w14:textId="269A961C"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0,77 (0,53</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1,11)</w:t>
            </w:r>
          </w:p>
        </w:tc>
        <w:tc>
          <w:tcPr>
            <w:tcW w:w="1617" w:type="dxa"/>
            <w:shd w:val="clear" w:color="auto" w:fill="FFFFFF"/>
          </w:tcPr>
          <w:p w14:paraId="1FE31EF9"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56039BD9" w14:textId="77777777" w:rsidTr="0036275F">
        <w:trPr>
          <w:trHeight w:val="300"/>
        </w:trPr>
        <w:tc>
          <w:tcPr>
            <w:tcW w:w="4161" w:type="dxa"/>
            <w:shd w:val="clear" w:color="auto" w:fill="FFFFFF"/>
          </w:tcPr>
          <w:p w14:paraId="01322868"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b/>
                <w:color w:val="000000"/>
                <w:lang w:eastAsia="ar-SA"/>
              </w:rPr>
            </w:pPr>
          </w:p>
        </w:tc>
        <w:tc>
          <w:tcPr>
            <w:tcW w:w="1770" w:type="dxa"/>
            <w:shd w:val="clear" w:color="auto" w:fill="FFFFFF"/>
          </w:tcPr>
          <w:p w14:paraId="7C44C74A" w14:textId="51AE8C1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color w:val="000000"/>
                <w:lang w:eastAsia="ar-SA"/>
              </w:rPr>
              <w:t>per 48</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mėn. (99,99</w:t>
            </w:r>
            <w:r w:rsidR="00B56009">
              <w:rPr>
                <w:rFonts w:ascii="Times New Roman" w:eastAsia="Calibri" w:hAnsi="Times New Roman" w:cs="Times New Roman"/>
                <w:b/>
                <w:color w:val="000000"/>
                <w:lang w:eastAsia="ar-SA"/>
              </w:rPr>
              <w:t> </w:t>
            </w:r>
            <w:r w:rsidRPr="001D3C3D">
              <w:rPr>
                <w:rFonts w:ascii="Times New Roman" w:eastAsia="Calibri" w:hAnsi="Times New Roman" w:cs="Times New Roman"/>
                <w:b/>
                <w:color w:val="000000"/>
                <w:lang w:eastAsia="ar-SA"/>
              </w:rPr>
              <w:t>% PI)</w:t>
            </w:r>
          </w:p>
        </w:tc>
        <w:tc>
          <w:tcPr>
            <w:tcW w:w="2966" w:type="dxa"/>
            <w:gridSpan w:val="2"/>
            <w:shd w:val="clear" w:color="auto" w:fill="auto"/>
          </w:tcPr>
          <w:p w14:paraId="759E53D9"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1CC1F98C" w14:textId="77777777" w:rsidTr="0036275F">
        <w:tblPrEx>
          <w:tblCellMar>
            <w:left w:w="108" w:type="dxa"/>
            <w:right w:w="108" w:type="dxa"/>
          </w:tblCellMar>
        </w:tblPrEx>
        <w:trPr>
          <w:trHeight w:val="300"/>
        </w:trPr>
        <w:tc>
          <w:tcPr>
            <w:tcW w:w="4161" w:type="dxa"/>
            <w:shd w:val="clear" w:color="auto" w:fill="FFFFFF"/>
          </w:tcPr>
          <w:p w14:paraId="637EC2F3"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cCCyR pasireiškimo</w:t>
            </w:r>
          </w:p>
        </w:tc>
        <w:tc>
          <w:tcPr>
            <w:tcW w:w="3119" w:type="dxa"/>
            <w:gridSpan w:val="2"/>
            <w:shd w:val="clear" w:color="auto" w:fill="FFFFFF"/>
          </w:tcPr>
          <w:p w14:paraId="1109CC6E" w14:textId="30402AB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1,45 (1,20</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1,77)</w:t>
            </w:r>
          </w:p>
        </w:tc>
        <w:tc>
          <w:tcPr>
            <w:tcW w:w="1617" w:type="dxa"/>
            <w:shd w:val="clear" w:color="auto" w:fill="FFFFFF"/>
          </w:tcPr>
          <w:p w14:paraId="3FF45DDF"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425056AD" w14:textId="77777777" w:rsidTr="0036275F">
        <w:tblPrEx>
          <w:tblCellMar>
            <w:left w:w="108" w:type="dxa"/>
            <w:right w:w="108" w:type="dxa"/>
          </w:tblCellMar>
        </w:tblPrEx>
        <w:trPr>
          <w:trHeight w:val="300"/>
        </w:trPr>
        <w:tc>
          <w:tcPr>
            <w:tcW w:w="4161" w:type="dxa"/>
            <w:shd w:val="clear" w:color="auto" w:fill="FFFFFF"/>
          </w:tcPr>
          <w:p w14:paraId="588F38EA"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lastRenderedPageBreak/>
              <w:t>Laikas iki MMR pasireiškimo</w:t>
            </w:r>
          </w:p>
        </w:tc>
        <w:tc>
          <w:tcPr>
            <w:tcW w:w="3119" w:type="dxa"/>
            <w:gridSpan w:val="2"/>
            <w:shd w:val="clear" w:color="auto" w:fill="FFFFFF"/>
          </w:tcPr>
          <w:p w14:paraId="098746AC" w14:textId="28B36D59"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1,55 (1,26</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1,91)</w:t>
            </w:r>
          </w:p>
        </w:tc>
        <w:tc>
          <w:tcPr>
            <w:tcW w:w="1617" w:type="dxa"/>
            <w:shd w:val="clear" w:color="auto" w:fill="FFFFFF"/>
          </w:tcPr>
          <w:p w14:paraId="25AEE9E9"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2C382751" w14:textId="77777777" w:rsidTr="0036275F">
        <w:tblPrEx>
          <w:tblCellMar>
            <w:left w:w="108" w:type="dxa"/>
            <w:right w:w="108" w:type="dxa"/>
          </w:tblCellMar>
        </w:tblPrEx>
        <w:trPr>
          <w:trHeight w:val="300"/>
        </w:trPr>
        <w:tc>
          <w:tcPr>
            <w:tcW w:w="4161" w:type="dxa"/>
            <w:shd w:val="clear" w:color="auto" w:fill="FFFFFF"/>
          </w:tcPr>
          <w:p w14:paraId="1F1A0C2F"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 tvarumas</w:t>
            </w:r>
          </w:p>
        </w:tc>
        <w:tc>
          <w:tcPr>
            <w:tcW w:w="3119" w:type="dxa"/>
            <w:gridSpan w:val="2"/>
            <w:shd w:val="clear" w:color="auto" w:fill="FFFFFF"/>
          </w:tcPr>
          <w:p w14:paraId="455218AD" w14:textId="0676B206"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0,81 (0,56</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1,17)</w:t>
            </w:r>
          </w:p>
        </w:tc>
        <w:tc>
          <w:tcPr>
            <w:tcW w:w="1617" w:type="dxa"/>
            <w:shd w:val="clear" w:color="auto" w:fill="FFFFFF"/>
          </w:tcPr>
          <w:p w14:paraId="79898820"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Cambria Math" w:eastAsia="Calibri" w:hAnsi="Cambria Math" w:cs="Cambria Math"/>
                <w:color w:val="000000"/>
                <w:lang w:eastAsia="ar-SA"/>
              </w:rPr>
              <w:t>⎯</w:t>
            </w:r>
          </w:p>
        </w:tc>
      </w:tr>
      <w:tr w:rsidR="00ED7DC3" w:rsidRPr="001D3C3D" w14:paraId="48A477C4" w14:textId="77777777" w:rsidTr="0036275F">
        <w:trPr>
          <w:trHeight w:val="300"/>
        </w:trPr>
        <w:tc>
          <w:tcPr>
            <w:tcW w:w="4161" w:type="dxa"/>
            <w:shd w:val="clear" w:color="auto" w:fill="FFFFFF"/>
          </w:tcPr>
          <w:p w14:paraId="0149134A" w14:textId="77777777" w:rsidR="00ED7DC3" w:rsidRPr="001D3C3D" w:rsidRDefault="00ED7DC3" w:rsidP="00ED7DC3">
            <w:pPr>
              <w:widowControl w:val="0"/>
              <w:suppressAutoHyphens/>
              <w:snapToGrid w:val="0"/>
              <w:spacing w:after="0" w:line="240" w:lineRule="auto"/>
              <w:jc w:val="center"/>
              <w:rPr>
                <w:rFonts w:ascii="Times New Roman" w:eastAsia="Calibri" w:hAnsi="Times New Roman" w:cs="Times New Roman"/>
                <w:b/>
                <w:color w:val="000000"/>
                <w:lang w:eastAsia="ar-SA"/>
              </w:rPr>
            </w:pPr>
          </w:p>
        </w:tc>
        <w:tc>
          <w:tcPr>
            <w:tcW w:w="1770" w:type="dxa"/>
            <w:shd w:val="clear" w:color="auto" w:fill="FFFFFF"/>
          </w:tcPr>
          <w:p w14:paraId="6B75AE95" w14:textId="74742C34"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bCs/>
                <w:color w:val="000000"/>
                <w:lang w:eastAsia="ar-SA"/>
              </w:rPr>
              <w:t>per 60</w:t>
            </w:r>
            <w:r w:rsidR="00B56009">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mėn. (99,99</w:t>
            </w:r>
            <w:r w:rsidR="00B56009">
              <w:rPr>
                <w:rFonts w:ascii="Times New Roman" w:eastAsia="Calibri" w:hAnsi="Times New Roman" w:cs="Times New Roman"/>
                <w:b/>
                <w:bCs/>
                <w:color w:val="000000"/>
                <w:lang w:eastAsia="ar-SA"/>
              </w:rPr>
              <w:t> </w:t>
            </w:r>
            <w:r w:rsidRPr="001D3C3D">
              <w:rPr>
                <w:rFonts w:ascii="Times New Roman" w:eastAsia="Calibri" w:hAnsi="Times New Roman" w:cs="Times New Roman"/>
                <w:b/>
                <w:bCs/>
                <w:color w:val="000000"/>
                <w:lang w:eastAsia="ar-SA"/>
              </w:rPr>
              <w:t>% PI)</w:t>
            </w:r>
          </w:p>
        </w:tc>
        <w:tc>
          <w:tcPr>
            <w:tcW w:w="2966" w:type="dxa"/>
            <w:gridSpan w:val="2"/>
            <w:shd w:val="clear" w:color="auto" w:fill="auto"/>
          </w:tcPr>
          <w:p w14:paraId="1CB78CE2"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89ABAB5" w14:textId="77777777" w:rsidTr="0036275F">
        <w:tblPrEx>
          <w:tblCellMar>
            <w:left w:w="108" w:type="dxa"/>
            <w:right w:w="108" w:type="dxa"/>
          </w:tblCellMar>
        </w:tblPrEx>
        <w:trPr>
          <w:trHeight w:val="300"/>
        </w:trPr>
        <w:tc>
          <w:tcPr>
            <w:tcW w:w="4161" w:type="dxa"/>
            <w:shd w:val="clear" w:color="auto" w:fill="FFFFFF"/>
          </w:tcPr>
          <w:p w14:paraId="689386D9"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cCCyR pasireiškimo</w:t>
            </w:r>
          </w:p>
        </w:tc>
        <w:tc>
          <w:tcPr>
            <w:tcW w:w="3119" w:type="dxa"/>
            <w:gridSpan w:val="2"/>
            <w:shd w:val="clear" w:color="auto" w:fill="FFFFFF"/>
          </w:tcPr>
          <w:p w14:paraId="7EA91B34" w14:textId="27D0BACE"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1,46 (1,20</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1,77)</w:t>
            </w:r>
          </w:p>
        </w:tc>
        <w:tc>
          <w:tcPr>
            <w:tcW w:w="1617" w:type="dxa"/>
            <w:shd w:val="clear" w:color="auto" w:fill="FFFFFF"/>
          </w:tcPr>
          <w:p w14:paraId="38859B11" w14:textId="198CA086"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0,0001</w:t>
            </w:r>
          </w:p>
        </w:tc>
      </w:tr>
      <w:tr w:rsidR="00ED7DC3" w:rsidRPr="001D3C3D" w14:paraId="2C4376CA" w14:textId="77777777" w:rsidTr="0036275F">
        <w:tblPrEx>
          <w:tblCellMar>
            <w:left w:w="108" w:type="dxa"/>
            <w:right w:w="108" w:type="dxa"/>
          </w:tblCellMar>
        </w:tblPrEx>
        <w:trPr>
          <w:trHeight w:val="300"/>
        </w:trPr>
        <w:tc>
          <w:tcPr>
            <w:tcW w:w="4161" w:type="dxa"/>
            <w:shd w:val="clear" w:color="auto" w:fill="FFFFFF"/>
          </w:tcPr>
          <w:p w14:paraId="62F9A24B"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Laikas iki MMR pasireiškimo</w:t>
            </w:r>
          </w:p>
        </w:tc>
        <w:tc>
          <w:tcPr>
            <w:tcW w:w="3119" w:type="dxa"/>
            <w:gridSpan w:val="2"/>
            <w:shd w:val="clear" w:color="auto" w:fill="FFFFFF"/>
          </w:tcPr>
          <w:p w14:paraId="1DD410DB" w14:textId="42F6E7B5"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1,54 (1,25</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1,89)</w:t>
            </w:r>
          </w:p>
        </w:tc>
        <w:tc>
          <w:tcPr>
            <w:tcW w:w="1617" w:type="dxa"/>
            <w:shd w:val="clear" w:color="auto" w:fill="FFFFFF"/>
          </w:tcPr>
          <w:p w14:paraId="6B9773D4" w14:textId="1B47E0F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&lt;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0,0001</w:t>
            </w:r>
          </w:p>
        </w:tc>
      </w:tr>
      <w:tr w:rsidR="00ED7DC3" w:rsidRPr="001D3C3D" w14:paraId="6F800529" w14:textId="77777777" w:rsidTr="0036275F">
        <w:tblPrEx>
          <w:tblCellMar>
            <w:left w:w="108" w:type="dxa"/>
            <w:right w:w="108" w:type="dxa"/>
          </w:tblCellMar>
        </w:tblPrEx>
        <w:trPr>
          <w:trHeight w:val="300"/>
        </w:trPr>
        <w:tc>
          <w:tcPr>
            <w:tcW w:w="4161" w:type="dxa"/>
            <w:tcBorders>
              <w:bottom w:val="single" w:sz="4" w:space="0" w:color="000000"/>
            </w:tcBorders>
            <w:shd w:val="clear" w:color="auto" w:fill="FFFFFF"/>
          </w:tcPr>
          <w:p w14:paraId="3330F714"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cCCyR tvarumas</w:t>
            </w:r>
          </w:p>
        </w:tc>
        <w:tc>
          <w:tcPr>
            <w:tcW w:w="3119" w:type="dxa"/>
            <w:gridSpan w:val="2"/>
            <w:tcBorders>
              <w:bottom w:val="single" w:sz="4" w:space="0" w:color="000000"/>
            </w:tcBorders>
            <w:shd w:val="clear" w:color="auto" w:fill="FFFFFF"/>
          </w:tcPr>
          <w:p w14:paraId="78838FFB" w14:textId="2F8D232B" w:rsidR="00ED7DC3" w:rsidRPr="001D3C3D" w:rsidRDefault="00ED7DC3" w:rsidP="00ED7DC3">
            <w:pPr>
              <w:widowControl w:val="0"/>
              <w:suppressAutoHyphens/>
              <w:spacing w:after="0" w:line="240" w:lineRule="auto"/>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0,79 (0,55</w:t>
            </w:r>
            <w:r w:rsidR="00B56009">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1,13)</w:t>
            </w:r>
          </w:p>
        </w:tc>
        <w:tc>
          <w:tcPr>
            <w:tcW w:w="1617" w:type="dxa"/>
            <w:tcBorders>
              <w:bottom w:val="single" w:sz="4" w:space="0" w:color="000000"/>
            </w:tcBorders>
            <w:shd w:val="clear" w:color="auto" w:fill="FFFFFF"/>
          </w:tcPr>
          <w:p w14:paraId="6A378897" w14:textId="6F38B098"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p</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w:t>
            </w:r>
            <w:r w:rsidR="00B56009">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0,1983</w:t>
            </w:r>
          </w:p>
        </w:tc>
      </w:tr>
    </w:tbl>
    <w:p w14:paraId="1D52DCD9" w14:textId="43778339" w:rsidR="00ED7DC3" w:rsidRPr="00B92E23" w:rsidRDefault="00ED7DC3" w:rsidP="00ED7DC3">
      <w:pPr>
        <w:widowControl w:val="0"/>
        <w:tabs>
          <w:tab w:val="left" w:pos="567"/>
        </w:tabs>
        <w:suppressAutoHyphens/>
        <w:spacing w:after="0" w:line="240" w:lineRule="auto"/>
        <w:ind w:left="142" w:hanging="142"/>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Patvirtintas visiškas citogenetinis atsakas (cCCyR) apibrėžtas kaip 2</w:t>
      </w:r>
      <w:r w:rsidR="00B56009"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kartus iš eilės su ne mažesne kaip 28</w:t>
      </w:r>
      <w:r w:rsidR="00B56009"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parų pertrauka nustatytas atsakas.</w:t>
      </w:r>
    </w:p>
    <w:p w14:paraId="0EEF3A7D" w14:textId="77777777" w:rsidR="00ED7DC3" w:rsidRPr="00B92E23" w:rsidRDefault="00ED7DC3" w:rsidP="00ED7DC3">
      <w:pPr>
        <w:widowControl w:val="0"/>
        <w:tabs>
          <w:tab w:val="left" w:pos="567"/>
        </w:tabs>
        <w:suppressAutoHyphens/>
        <w:spacing w:after="0" w:line="240" w:lineRule="auto"/>
        <w:rPr>
          <w:rFonts w:ascii="Times New Roman" w:eastAsia="SimSun" w:hAnsi="Times New Roman" w:cs="Times New Roman"/>
          <w:color w:val="000000"/>
          <w:sz w:val="20"/>
          <w:szCs w:val="20"/>
          <w:vertAlign w:val="superscript"/>
          <w:lang w:eastAsia="ar-SA"/>
        </w:rPr>
      </w:pPr>
      <w:r w:rsidRPr="00B92E23">
        <w:rPr>
          <w:rFonts w:ascii="Times New Roman" w:eastAsia="SimSun" w:hAnsi="Times New Roman" w:cs="Times New Roman"/>
          <w:color w:val="000000"/>
          <w:sz w:val="20"/>
          <w:szCs w:val="20"/>
          <w:vertAlign w:val="superscript"/>
          <w:lang w:eastAsia="ar-SA"/>
        </w:rPr>
        <w:t>b</w:t>
      </w:r>
      <w:r w:rsidRPr="00B92E23">
        <w:rPr>
          <w:rFonts w:ascii="Times New Roman" w:eastAsia="SimSun" w:hAnsi="Times New Roman" w:cs="Times New Roman"/>
          <w:color w:val="000000"/>
          <w:sz w:val="20"/>
          <w:szCs w:val="20"/>
          <w:lang w:eastAsia="ar-SA"/>
        </w:rPr>
        <w:t xml:space="preserve"> Visiškas citogenetinis atsakas (CCyR) buvo nustatomas vienu kaulų čiulpų citogenetiniu tyrimu.</w:t>
      </w:r>
    </w:p>
    <w:p w14:paraId="0AA39618" w14:textId="115FEF1E" w:rsidR="00ED7DC3" w:rsidRPr="00B92E23" w:rsidRDefault="00ED7DC3" w:rsidP="00ED7DC3">
      <w:pPr>
        <w:widowControl w:val="0"/>
        <w:tabs>
          <w:tab w:val="left" w:pos="567"/>
        </w:tabs>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c</w:t>
      </w:r>
      <w:r w:rsidRPr="00B92E23">
        <w:rPr>
          <w:rFonts w:ascii="Times New Roman" w:eastAsia="SimSun" w:hAnsi="Times New Roman" w:cs="Times New Roman"/>
          <w:color w:val="000000"/>
          <w:sz w:val="20"/>
          <w:szCs w:val="20"/>
          <w:lang w:eastAsia="ar-SA"/>
        </w:rPr>
        <w:t xml:space="preserve"> Didysis molekulinis atsakas (MMR, angl. </w:t>
      </w:r>
      <w:r w:rsidRPr="00B92E23">
        <w:rPr>
          <w:rFonts w:ascii="Times New Roman" w:eastAsia="SimSun" w:hAnsi="Times New Roman" w:cs="Times New Roman"/>
          <w:i/>
          <w:color w:val="000000"/>
          <w:sz w:val="20"/>
          <w:szCs w:val="20"/>
          <w:lang w:eastAsia="ar-SA"/>
        </w:rPr>
        <w:t>major molecular response</w:t>
      </w:r>
      <w:r w:rsidRPr="00B92E23">
        <w:rPr>
          <w:rFonts w:ascii="Times New Roman" w:eastAsia="SimSun" w:hAnsi="Times New Roman" w:cs="Times New Roman"/>
          <w:color w:val="000000"/>
          <w:sz w:val="20"/>
          <w:szCs w:val="20"/>
          <w:lang w:eastAsia="ar-SA"/>
        </w:rPr>
        <w:t xml:space="preserve">) (bet kuriuo laiku) apibrėžtas kaip BCR-ABL periferinio kraujo mėginiuose RQ-PCR metodu (standartizuotas pagal tarptautinę skalę) </w:t>
      </w:r>
      <w:r w:rsidRPr="00B92E23">
        <w:rPr>
          <w:rFonts w:ascii="Times New Roman" w:eastAsia="SimSun" w:hAnsi="Times New Roman" w:cs="Times New Roman" w:hint="eastAsia"/>
          <w:color w:val="000000"/>
          <w:sz w:val="20"/>
          <w:szCs w:val="20"/>
          <w:lang w:eastAsia="ar-SA"/>
        </w:rPr>
        <w:t>≤</w:t>
      </w:r>
      <w:r w:rsidR="00B56009"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0,1</w:t>
      </w:r>
      <w:r w:rsidR="00B56009"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 Pateikti suminiai duomenys, rodantys minimalios trukmės stebėjimą nurodyto laikotarpio ribose.</w:t>
      </w:r>
    </w:p>
    <w:p w14:paraId="40C1D18A" w14:textId="77777777" w:rsidR="00ED7DC3" w:rsidRPr="00B92E23" w:rsidRDefault="00ED7DC3" w:rsidP="00ED7DC3">
      <w:pPr>
        <w:widowControl w:val="0"/>
        <w:tabs>
          <w:tab w:val="left" w:pos="567"/>
        </w:tabs>
        <w:suppressAutoHyphens/>
        <w:spacing w:after="0" w:line="240" w:lineRule="auto"/>
        <w:ind w:left="142" w:hanging="142"/>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lang w:eastAsia="ar-SA"/>
        </w:rPr>
        <w:t xml:space="preserve">* Koreguota pagal </w:t>
      </w:r>
      <w:r w:rsidRPr="00B92E23">
        <w:rPr>
          <w:rFonts w:ascii="Times New Roman" w:eastAsia="SimSun" w:hAnsi="Times New Roman" w:cs="Times New Roman"/>
          <w:i/>
          <w:color w:val="000000"/>
          <w:sz w:val="20"/>
          <w:szCs w:val="20"/>
          <w:lang w:eastAsia="ar-SA"/>
        </w:rPr>
        <w:t>Hasford</w:t>
      </w:r>
      <w:r w:rsidRPr="00B92E23">
        <w:rPr>
          <w:rFonts w:ascii="Times New Roman" w:eastAsia="SimSun" w:hAnsi="Times New Roman" w:cs="Times New Roman"/>
          <w:color w:val="000000"/>
          <w:sz w:val="20"/>
          <w:szCs w:val="20"/>
          <w:lang w:eastAsia="ar-SA"/>
        </w:rPr>
        <w:t xml:space="preserve"> skalę; rodo statistinį reikšmingumą pagal iš anksto numatytą nominalų reikšmingumo lygį.</w:t>
      </w:r>
    </w:p>
    <w:p w14:paraId="66906529" w14:textId="77777777" w:rsidR="00ED7DC3" w:rsidRPr="00B92E23" w:rsidRDefault="00ED7DC3" w:rsidP="00ED7DC3">
      <w:pPr>
        <w:widowControl w:val="0"/>
        <w:tabs>
          <w:tab w:val="left" w:pos="567"/>
        </w:tabs>
        <w:suppressAutoHyphens/>
        <w:spacing w:after="0" w:line="240" w:lineRule="auto"/>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lang w:eastAsia="ar-SA"/>
        </w:rPr>
        <w:t>PI = pasikliautinasis intervalas.</w:t>
      </w:r>
    </w:p>
    <w:p w14:paraId="4C85C16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4259F273" w14:textId="56FD23E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Po 60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dazatinibo grupės pacientams, kuriems buvo patvirtintas CCyR, laikotarpio iki cCCyR pasireiškimo mediana buvo 3,1</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imatinibo grupės – 5,8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Po 60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stebėjimo dazatinibo grupės pacientams, kuriems nustatytas MMR, laikotarpio iki MMR pasireiškimo mediana buvo 9,3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imatinibo grupės – 15,0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 Šie duomenys derinasi su duomenimis gautais po 12, 24 ir 36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w:t>
      </w:r>
    </w:p>
    <w:p w14:paraId="0FB6F1AF" w14:textId="48585F9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1</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paveiksle grafiškai pavaizduotas laikas iki MMR pasireiškimo. Laikas iki MMR pasireiškimo dazatinibu gydytiems pacientams buvo pastoviai trumpesnis negu imatinibu gydytiems pacientams.</w:t>
      </w:r>
    </w:p>
    <w:p w14:paraId="78627A1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74F3F643" w14:textId="01570C0E" w:rsidR="00ED7DC3" w:rsidRPr="001D3C3D" w:rsidRDefault="00ED7DC3" w:rsidP="00ED7DC3">
      <w:pPr>
        <w:widowControl w:val="0"/>
        <w:tabs>
          <w:tab w:val="left" w:pos="567"/>
        </w:tabs>
        <w:suppressAutoHyphens/>
        <w:spacing w:after="0" w:line="240" w:lineRule="auto"/>
        <w:ind w:left="567" w:hanging="567"/>
        <w:rPr>
          <w:rFonts w:ascii="Times New Roman" w:eastAsia="Times New Roman" w:hAnsi="Times New Roman" w:cs="Times New Roman"/>
          <w:color w:val="000000"/>
          <w:lang w:eastAsia="ar-SA"/>
        </w:rPr>
      </w:pPr>
      <w:r w:rsidRPr="001D3C3D">
        <w:rPr>
          <w:rFonts w:ascii="Times New Roman" w:eastAsia="SimSun" w:hAnsi="Times New Roman" w:cs="Times New Roman"/>
          <w:b/>
          <w:color w:val="000000"/>
          <w:lang w:eastAsia="ar-SA"/>
        </w:rPr>
        <w:t>1</w:t>
      </w:r>
      <w:r w:rsidR="00B56009">
        <w:rPr>
          <w:rFonts w:ascii="Times New Roman" w:eastAsia="SimSun" w:hAnsi="Times New Roman" w:cs="Times New Roman"/>
          <w:b/>
          <w:color w:val="000000"/>
          <w:lang w:eastAsia="ar-SA"/>
        </w:rPr>
        <w:t> </w:t>
      </w:r>
      <w:r w:rsidRPr="001D3C3D">
        <w:rPr>
          <w:rFonts w:ascii="Times New Roman" w:eastAsia="SimSun" w:hAnsi="Times New Roman" w:cs="Times New Roman"/>
          <w:b/>
          <w:color w:val="000000"/>
          <w:lang w:eastAsia="ar-SA"/>
        </w:rPr>
        <w:t xml:space="preserve">pav. </w:t>
      </w:r>
      <w:r w:rsidRPr="001D3C3D">
        <w:rPr>
          <w:rFonts w:ascii="Times New Roman" w:eastAsia="SimSun" w:hAnsi="Times New Roman" w:cs="Times New Roman"/>
          <w:b/>
          <w:i/>
          <w:color w:val="000000"/>
          <w:lang w:eastAsia="ar-SA"/>
        </w:rPr>
        <w:t xml:space="preserve">Kaplan-Meier </w:t>
      </w:r>
      <w:r w:rsidRPr="001D3C3D">
        <w:rPr>
          <w:rFonts w:ascii="Times New Roman" w:eastAsia="SimSun" w:hAnsi="Times New Roman" w:cs="Times New Roman"/>
          <w:b/>
          <w:color w:val="000000"/>
          <w:lang w:eastAsia="ar-SA"/>
        </w:rPr>
        <w:t>metodu apskaičiuotas laikas iki didžiojo molekulinio atsako (MMR) pasireiškimo</w:t>
      </w:r>
    </w:p>
    <w:p w14:paraId="4E3B640C"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position w:val="-3"/>
          <w:lang w:eastAsia="ar-SA"/>
        </w:rPr>
      </w:pPr>
      <w:r w:rsidRPr="001D3C3D">
        <w:rPr>
          <w:rFonts w:ascii="Times New Roman" w:eastAsia="Times New Roman" w:hAnsi="Times New Roman" w:cs="Times New Roman"/>
          <w:noProof/>
          <w:color w:val="000000"/>
          <w:lang w:eastAsia="lt-LT"/>
        </w:rPr>
        <w:drawing>
          <wp:inline distT="0" distB="0" distL="0" distR="0" wp14:anchorId="2912F437" wp14:editId="572F9CDF">
            <wp:extent cx="5724525" cy="3219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solidFill>
                      <a:srgbClr val="FFFFFF"/>
                    </a:solidFill>
                    <a:ln>
                      <a:noFill/>
                    </a:ln>
                  </pic:spPr>
                </pic:pic>
              </a:graphicData>
            </a:graphic>
          </wp:inline>
        </w:drawing>
      </w:r>
    </w:p>
    <w:tbl>
      <w:tblPr>
        <w:tblW w:w="0" w:type="auto"/>
        <w:tblInd w:w="117" w:type="dxa"/>
        <w:tblLayout w:type="fixed"/>
        <w:tblCellMar>
          <w:left w:w="0" w:type="dxa"/>
          <w:right w:w="0" w:type="dxa"/>
        </w:tblCellMar>
        <w:tblLook w:val="0000" w:firstRow="0" w:lastRow="0" w:firstColumn="0" w:lastColumn="0" w:noHBand="0" w:noVBand="0"/>
      </w:tblPr>
      <w:tblGrid>
        <w:gridCol w:w="2591"/>
        <w:gridCol w:w="3670"/>
        <w:gridCol w:w="2694"/>
      </w:tblGrid>
      <w:tr w:rsidR="00ED7DC3" w:rsidRPr="001D3C3D" w14:paraId="3A5E6B51" w14:textId="77777777" w:rsidTr="00B92E23">
        <w:trPr>
          <w:trHeight w:hRule="exact" w:val="538"/>
        </w:trPr>
        <w:tc>
          <w:tcPr>
            <w:tcW w:w="2591" w:type="dxa"/>
            <w:tcBorders>
              <w:bottom w:val="single" w:sz="4" w:space="0" w:color="000000"/>
            </w:tcBorders>
            <w:shd w:val="clear" w:color="auto" w:fill="auto"/>
          </w:tcPr>
          <w:p w14:paraId="5779F60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position w:val="-3"/>
                <w:lang w:eastAsia="ar-SA"/>
              </w:rPr>
              <w:t>GRUPĖ</w:t>
            </w:r>
          </w:p>
        </w:tc>
        <w:tc>
          <w:tcPr>
            <w:tcW w:w="3670" w:type="dxa"/>
            <w:tcBorders>
              <w:bottom w:val="single" w:sz="4" w:space="0" w:color="000000"/>
            </w:tcBorders>
            <w:shd w:val="clear" w:color="auto" w:fill="auto"/>
          </w:tcPr>
          <w:p w14:paraId="7CDF4F70"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position w:val="-22"/>
                <w:lang w:eastAsia="ar-SA"/>
              </w:rPr>
            </w:pPr>
            <w:r w:rsidRPr="001D3C3D">
              <w:rPr>
                <w:rFonts w:ascii="Times New Roman" w:eastAsia="Times New Roman" w:hAnsi="Times New Roman" w:cs="Times New Roman"/>
                <w:color w:val="000000"/>
                <w:lang w:eastAsia="ar-SA"/>
              </w:rPr>
              <w:t>PASIEKĖ ATSAKĄ / ATRINKTA ATSITIKTINĖS ATRANKOS BŪDU RANDOMIZED</w:t>
            </w:r>
          </w:p>
        </w:tc>
        <w:tc>
          <w:tcPr>
            <w:tcW w:w="2694" w:type="dxa"/>
            <w:tcBorders>
              <w:bottom w:val="single" w:sz="4" w:space="0" w:color="000000"/>
            </w:tcBorders>
            <w:shd w:val="clear" w:color="auto" w:fill="auto"/>
          </w:tcPr>
          <w:p w14:paraId="1DF77C0B" w14:textId="0376286A"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position w:val="-22"/>
                <w:lang w:eastAsia="ar-SA"/>
              </w:rPr>
              <w:t>RIZIKOS SANTYKIS</w:t>
            </w:r>
            <w:r w:rsidRPr="001D3C3D">
              <w:rPr>
                <w:rFonts w:ascii="Times New Roman" w:eastAsia="Times New Roman" w:hAnsi="Times New Roman" w:cs="Times New Roman"/>
                <w:color w:val="000000"/>
                <w:spacing w:val="1"/>
                <w:position w:val="-9"/>
                <w:lang w:eastAsia="ar-SA"/>
              </w:rPr>
              <w:t xml:space="preserve"> </w:t>
            </w:r>
            <w:r w:rsidRPr="001D3C3D">
              <w:rPr>
                <w:rFonts w:ascii="Times New Roman" w:eastAsia="Times New Roman" w:hAnsi="Times New Roman" w:cs="Times New Roman"/>
                <w:color w:val="000000"/>
                <w:position w:val="-22"/>
                <w:lang w:eastAsia="ar-SA"/>
              </w:rPr>
              <w:t>(95</w:t>
            </w:r>
            <w:r w:rsidR="00B56009">
              <w:rPr>
                <w:rFonts w:ascii="Times New Roman" w:eastAsia="Times New Roman" w:hAnsi="Times New Roman" w:cs="Times New Roman"/>
                <w:color w:val="000000"/>
                <w:position w:val="-22"/>
                <w:lang w:eastAsia="ar-SA"/>
              </w:rPr>
              <w:t> </w:t>
            </w:r>
            <w:r w:rsidRPr="001D3C3D">
              <w:rPr>
                <w:rFonts w:ascii="Times New Roman" w:eastAsia="Times New Roman" w:hAnsi="Times New Roman" w:cs="Times New Roman"/>
                <w:color w:val="000000"/>
                <w:position w:val="-22"/>
                <w:lang w:eastAsia="ar-SA"/>
              </w:rPr>
              <w:t>%</w:t>
            </w:r>
            <w:r w:rsidRPr="001D3C3D">
              <w:rPr>
                <w:rFonts w:ascii="Times New Roman" w:eastAsia="Times New Roman" w:hAnsi="Times New Roman" w:cs="Times New Roman"/>
                <w:color w:val="000000"/>
                <w:spacing w:val="1"/>
                <w:position w:val="-22"/>
                <w:lang w:eastAsia="ar-SA"/>
              </w:rPr>
              <w:t xml:space="preserve"> </w:t>
            </w:r>
            <w:r w:rsidRPr="001D3C3D">
              <w:rPr>
                <w:rFonts w:ascii="Times New Roman" w:eastAsia="Times New Roman" w:hAnsi="Times New Roman" w:cs="Times New Roman"/>
                <w:color w:val="000000"/>
                <w:position w:val="-22"/>
                <w:lang w:eastAsia="ar-SA"/>
              </w:rPr>
              <w:t>PI)</w:t>
            </w:r>
          </w:p>
        </w:tc>
      </w:tr>
      <w:tr w:rsidR="00ED7DC3" w:rsidRPr="001D3C3D" w14:paraId="0ADA7445" w14:textId="77777777" w:rsidTr="0036275F">
        <w:trPr>
          <w:trHeight w:hRule="exact" w:val="294"/>
        </w:trPr>
        <w:tc>
          <w:tcPr>
            <w:tcW w:w="2591" w:type="dxa"/>
            <w:tcBorders>
              <w:top w:val="single" w:sz="4" w:space="0" w:color="000000"/>
            </w:tcBorders>
            <w:shd w:val="clear" w:color="auto" w:fill="auto"/>
          </w:tcPr>
          <w:p w14:paraId="5347DA8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Dazatinibo</w:t>
            </w:r>
          </w:p>
        </w:tc>
        <w:tc>
          <w:tcPr>
            <w:tcW w:w="3670" w:type="dxa"/>
            <w:tcBorders>
              <w:top w:val="single" w:sz="4" w:space="0" w:color="000000"/>
            </w:tcBorders>
            <w:shd w:val="clear" w:color="auto" w:fill="auto"/>
          </w:tcPr>
          <w:p w14:paraId="0697D15A"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198/259</w:t>
            </w:r>
          </w:p>
        </w:tc>
        <w:tc>
          <w:tcPr>
            <w:tcW w:w="2694" w:type="dxa"/>
            <w:tcBorders>
              <w:top w:val="single" w:sz="4" w:space="0" w:color="000000"/>
            </w:tcBorders>
            <w:shd w:val="clear" w:color="auto" w:fill="auto"/>
          </w:tcPr>
          <w:p w14:paraId="09472EC8" w14:textId="77777777" w:rsidR="00ED7DC3" w:rsidRPr="001D3C3D" w:rsidRDefault="00ED7DC3" w:rsidP="00ED7DC3">
            <w:pPr>
              <w:widowControl w:val="0"/>
              <w:suppressAutoHyphens/>
              <w:snapToGrid w:val="0"/>
              <w:spacing w:after="0" w:line="240" w:lineRule="auto"/>
              <w:ind w:left="57"/>
              <w:jc w:val="center"/>
              <w:rPr>
                <w:rFonts w:ascii="Times New Roman" w:eastAsia="Calibri" w:hAnsi="Times New Roman" w:cs="Times New Roman"/>
                <w:color w:val="000000"/>
                <w:lang w:eastAsia="ar-SA"/>
              </w:rPr>
            </w:pPr>
          </w:p>
        </w:tc>
      </w:tr>
      <w:tr w:rsidR="00ED7DC3" w:rsidRPr="001D3C3D" w14:paraId="236891A0" w14:textId="77777777" w:rsidTr="0036275F">
        <w:trPr>
          <w:trHeight w:hRule="exact" w:val="207"/>
        </w:trPr>
        <w:tc>
          <w:tcPr>
            <w:tcW w:w="2591" w:type="dxa"/>
            <w:shd w:val="clear" w:color="auto" w:fill="auto"/>
          </w:tcPr>
          <w:p w14:paraId="79AB24B9"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Imatinibo</w:t>
            </w:r>
          </w:p>
        </w:tc>
        <w:tc>
          <w:tcPr>
            <w:tcW w:w="3670" w:type="dxa"/>
            <w:shd w:val="clear" w:color="auto" w:fill="auto"/>
          </w:tcPr>
          <w:p w14:paraId="35ACCD1C"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167/260</w:t>
            </w:r>
          </w:p>
        </w:tc>
        <w:tc>
          <w:tcPr>
            <w:tcW w:w="2694" w:type="dxa"/>
            <w:shd w:val="clear" w:color="auto" w:fill="auto"/>
          </w:tcPr>
          <w:p w14:paraId="41458769" w14:textId="77777777" w:rsidR="00ED7DC3" w:rsidRPr="001D3C3D" w:rsidRDefault="00ED7DC3" w:rsidP="00ED7DC3">
            <w:pPr>
              <w:widowControl w:val="0"/>
              <w:suppressAutoHyphens/>
              <w:snapToGrid w:val="0"/>
              <w:spacing w:after="0" w:line="240" w:lineRule="auto"/>
              <w:ind w:left="57"/>
              <w:jc w:val="center"/>
              <w:rPr>
                <w:rFonts w:ascii="Times New Roman" w:eastAsia="Calibri" w:hAnsi="Times New Roman" w:cs="Times New Roman"/>
                <w:color w:val="000000"/>
                <w:lang w:eastAsia="ar-SA"/>
              </w:rPr>
            </w:pPr>
          </w:p>
        </w:tc>
      </w:tr>
      <w:tr w:rsidR="00ED7DC3" w:rsidRPr="001D3C3D" w14:paraId="1038A9CB" w14:textId="77777777" w:rsidTr="0036275F">
        <w:trPr>
          <w:trHeight w:hRule="exact" w:val="495"/>
        </w:trPr>
        <w:tc>
          <w:tcPr>
            <w:tcW w:w="2591" w:type="dxa"/>
            <w:shd w:val="clear" w:color="auto" w:fill="auto"/>
          </w:tcPr>
          <w:p w14:paraId="7DA76FBA" w14:textId="77777777" w:rsidR="00ED7DC3" w:rsidRPr="001D3C3D" w:rsidRDefault="00ED7DC3" w:rsidP="00ED7DC3">
            <w:pPr>
              <w:widowControl w:val="0"/>
              <w:suppressAutoHyphens/>
              <w:spacing w:after="0" w:line="240" w:lineRule="auto"/>
              <w:ind w:left="57"/>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Dazatinibas</w:t>
            </w:r>
            <w:r w:rsidRPr="001D3C3D">
              <w:rPr>
                <w:rFonts w:ascii="Times New Roman" w:eastAsia="Times New Roman" w:hAnsi="Times New Roman" w:cs="Times New Roman"/>
                <w:color w:val="000000"/>
                <w:spacing w:val="-8"/>
                <w:lang w:eastAsia="ar-SA"/>
              </w:rPr>
              <w:t xml:space="preserve"> </w:t>
            </w:r>
            <w:r w:rsidRPr="001D3C3D">
              <w:rPr>
                <w:rFonts w:ascii="Times New Roman" w:eastAsia="Times New Roman" w:hAnsi="Times New Roman" w:cs="Times New Roman"/>
                <w:color w:val="000000"/>
                <w:lang w:eastAsia="ar-SA"/>
              </w:rPr>
              <w:t>palyginti su</w:t>
            </w:r>
            <w:r w:rsidRPr="001D3C3D">
              <w:rPr>
                <w:rFonts w:ascii="Times New Roman" w:eastAsia="Times New Roman" w:hAnsi="Times New Roman" w:cs="Times New Roman"/>
                <w:color w:val="000000"/>
                <w:spacing w:val="-4"/>
                <w:lang w:eastAsia="ar-SA"/>
              </w:rPr>
              <w:t xml:space="preserve"> </w:t>
            </w:r>
            <w:r w:rsidRPr="001D3C3D">
              <w:rPr>
                <w:rFonts w:ascii="Times New Roman" w:eastAsia="Times New Roman" w:hAnsi="Times New Roman" w:cs="Times New Roman"/>
                <w:color w:val="000000"/>
                <w:lang w:eastAsia="ar-SA"/>
              </w:rPr>
              <w:t>imatinibu</w:t>
            </w:r>
          </w:p>
        </w:tc>
        <w:tc>
          <w:tcPr>
            <w:tcW w:w="3670" w:type="dxa"/>
            <w:shd w:val="clear" w:color="auto" w:fill="auto"/>
          </w:tcPr>
          <w:p w14:paraId="1B763326" w14:textId="77777777" w:rsidR="00ED7DC3" w:rsidRPr="001D3C3D" w:rsidRDefault="00ED7DC3" w:rsidP="00ED7DC3">
            <w:pPr>
              <w:widowControl w:val="0"/>
              <w:suppressAutoHyphens/>
              <w:snapToGrid w:val="0"/>
              <w:spacing w:after="0" w:line="240" w:lineRule="auto"/>
              <w:ind w:left="57"/>
              <w:jc w:val="center"/>
              <w:rPr>
                <w:rFonts w:ascii="Times New Roman" w:eastAsia="Calibri" w:hAnsi="Times New Roman" w:cs="Times New Roman"/>
                <w:color w:val="000000"/>
                <w:lang w:eastAsia="ar-SA"/>
              </w:rPr>
            </w:pPr>
          </w:p>
        </w:tc>
        <w:tc>
          <w:tcPr>
            <w:tcW w:w="2694" w:type="dxa"/>
            <w:shd w:val="clear" w:color="auto" w:fill="auto"/>
          </w:tcPr>
          <w:p w14:paraId="209506F5" w14:textId="60FCF42F"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1,54</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,25</w:t>
            </w:r>
            <w:r w:rsidR="00B56009">
              <w:rPr>
                <w:rFonts w:ascii="Times New Roman" w:eastAsia="Times New Roman" w:hAnsi="Times New Roman" w:cs="Times New Roman"/>
                <w:color w:val="000000"/>
                <w:lang w:eastAsia="ar-SA"/>
              </w:rPr>
              <w:noBreakHyphen/>
            </w:r>
            <w:r w:rsidRPr="001D3C3D">
              <w:rPr>
                <w:rFonts w:ascii="Times New Roman" w:eastAsia="Times New Roman" w:hAnsi="Times New Roman" w:cs="Times New Roman"/>
                <w:color w:val="000000"/>
                <w:lang w:eastAsia="ar-SA"/>
              </w:rPr>
              <w:t>1,8</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r>
    </w:tbl>
    <w:p w14:paraId="68D67A7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0725A132" w14:textId="4CAEA74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ir imatinibo grupių pacientams cCCyR pasireiškimo dažniai per 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(atitinkamai 54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(70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56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9</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(75</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63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24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(80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lang w:eastAsia="ar-SA"/>
        </w:rPr>
        <w:lastRenderedPageBreak/>
        <w:t>ir 74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36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(83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77</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48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(83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79</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per 60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(83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79</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derinosi su pagrindine vertinamąja baigtimi. MMR pasireiškimo dažniai dazatinibo ir imatinibo grupių pacientams per 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(atitinkamai 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0,4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(27</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9</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(39</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18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12</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(46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28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24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(64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46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36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(67</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55</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per 48</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mėnesius (73</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60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per 60</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mėnesių (76</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64</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taip pat derinosi su pagrindine vertinamąja baigtimi.</w:t>
      </w:r>
    </w:p>
    <w:p w14:paraId="49A5ACD7" w14:textId="63545DE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MMR dažniai numatytais momentais grafiškai pavaizduoti 2</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pav. dazatinibo vartojusiems pacientams.</w:t>
      </w:r>
    </w:p>
    <w:p w14:paraId="73E49E5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249BD244" w14:textId="36A3649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1D3C3D">
        <w:rPr>
          <w:rFonts w:ascii="Times New Roman" w:eastAsia="SimSun" w:hAnsi="Times New Roman" w:cs="Times New Roman"/>
          <w:color w:val="000000"/>
          <w:lang w:eastAsia="ar-SA"/>
        </w:rPr>
        <w:t>2</w:t>
      </w:r>
      <w:r w:rsidR="00B5600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paveiksle grafiškai pavaizduoti MMR dažniai apibrėžtu laiko momentu dazatinibu gydytiems pacientams buvo pastoviai didesni, palyginti su imatinibu gydytiems pacientams.</w:t>
      </w:r>
    </w:p>
    <w:p w14:paraId="08DE400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lang w:eastAsia="ar-SA"/>
        </w:rPr>
      </w:pPr>
    </w:p>
    <w:p w14:paraId="514A8D9A" w14:textId="35562655" w:rsidR="00ED7DC3" w:rsidRPr="001D3C3D" w:rsidRDefault="00ED7DC3" w:rsidP="00ED7DC3">
      <w:pPr>
        <w:widowControl w:val="0"/>
        <w:tabs>
          <w:tab w:val="left" w:pos="567"/>
        </w:tabs>
        <w:suppressAutoHyphens/>
        <w:spacing w:after="0" w:line="240" w:lineRule="auto"/>
        <w:ind w:left="1134" w:hanging="1134"/>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2</w:t>
      </w:r>
      <w:r w:rsidR="00B56009">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paveikslas. MMR dažniai laikui bėgant visų III fazės tyrimui randomizuotų pacientų, sirgusių naujai diagnozuota lėtinės fazės LML, duomenimis</w:t>
      </w:r>
    </w:p>
    <w:p w14:paraId="342736F8"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1D3C3D">
        <w:rPr>
          <w:rFonts w:ascii="Times New Roman" w:eastAsia="Times New Roman" w:hAnsi="Times New Roman" w:cs="Times New Roman"/>
          <w:noProof/>
          <w:color w:val="000000"/>
          <w:lang w:eastAsia="lt-LT"/>
        </w:rPr>
        <w:drawing>
          <wp:inline distT="0" distB="0" distL="0" distR="0" wp14:anchorId="58A20E5F" wp14:editId="5C0E39E9">
            <wp:extent cx="5715000" cy="33718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solidFill>
                      <a:srgbClr val="FFFFFF"/>
                    </a:solidFill>
                    <a:ln>
                      <a:noFill/>
                    </a:ln>
                  </pic:spPr>
                </pic:pic>
              </a:graphicData>
            </a:graphic>
          </wp:inline>
        </w:drawing>
      </w:r>
    </w:p>
    <w:p w14:paraId="5F74A2C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lang w:eastAsia="ar-SA"/>
        </w:rPr>
      </w:pPr>
    </w:p>
    <w:p w14:paraId="1894BE14" w14:textId="076ECB0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Bet kuriuo laiku BCR-ABL santykį ≤</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0,01</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(4</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log sumažėjimą) pasiekusių pacientų dalis dazatinibo grupėje buvo didesnė, palyginti su imatinibo grupe (54,1</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plg. su 45</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Bet kuriuo laiku BCR-ABL santykį ≤</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0,0032</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(4,5</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log sumažėjimą) pasiekusių pacientų dalis dazatinibo grupėje buvo didesnė, palyginti su imatinibo grupe (44</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plg. su 34</w:t>
      </w:r>
      <w:r w:rsidR="003931D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1D4CB15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23B8F80" w14:textId="4070492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MR4,5 dažniai laikui bėgant grafiškai pavaizduoti 3</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paveiksle. Dazatinibu gydytiems pacientams MR4,5 dažniai laikui bėgant buvo pastoviai didesni, palyginti su imatinibu gydytais pacientais.</w:t>
      </w:r>
    </w:p>
    <w:p w14:paraId="61FCECE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F18433D" w14:textId="2EB41792" w:rsidR="00ED7DC3" w:rsidRPr="001D3C3D" w:rsidRDefault="00ED7DC3" w:rsidP="00B92E23">
      <w:pPr>
        <w:keepNext/>
        <w:widowControl w:val="0"/>
        <w:tabs>
          <w:tab w:val="left" w:pos="567"/>
        </w:tabs>
        <w:suppressAutoHyphens/>
        <w:spacing w:after="0" w:line="240" w:lineRule="auto"/>
        <w:ind w:left="1134" w:hanging="1134"/>
        <w:rPr>
          <w:rFonts w:ascii="Times New Roman" w:eastAsia="SimSun" w:hAnsi="Times New Roman" w:cs="Times New Roman"/>
          <w:iCs/>
          <w:color w:val="000000"/>
          <w:lang w:eastAsia="ar-SA"/>
        </w:rPr>
      </w:pPr>
      <w:r w:rsidRPr="001D3C3D">
        <w:rPr>
          <w:rFonts w:ascii="Times New Roman" w:eastAsia="SimSun" w:hAnsi="Times New Roman" w:cs="Times New Roman"/>
          <w:b/>
          <w:iCs/>
          <w:color w:val="000000"/>
          <w:lang w:eastAsia="ar-SA"/>
        </w:rPr>
        <w:t>3</w:t>
      </w:r>
      <w:r w:rsidR="00BB05A9">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xml:space="preserve">paveikslas. MR4,5 dažniai laikui bėgant visų III fazės tyrimui randomizuotų pacientų, sirgusių </w:t>
      </w:r>
      <w:r w:rsidRPr="001D3C3D">
        <w:rPr>
          <w:rFonts w:ascii="Times New Roman" w:eastAsia="SimSun" w:hAnsi="Times New Roman" w:cs="Times New Roman"/>
          <w:b/>
          <w:iCs/>
          <w:color w:val="000000"/>
          <w:lang w:eastAsia="ar-SA"/>
        </w:rPr>
        <w:lastRenderedPageBreak/>
        <w:t>naujai diagnozuota lėtinės fazės LML, duomenimis</w:t>
      </w:r>
    </w:p>
    <w:p w14:paraId="20D84A49" w14:textId="77777777" w:rsidR="00ED7DC3" w:rsidRPr="001D3C3D" w:rsidRDefault="00ED7DC3" w:rsidP="00B92E23">
      <w:pPr>
        <w:keepNext/>
        <w:widowControl w:val="0"/>
        <w:tabs>
          <w:tab w:val="left" w:pos="567"/>
        </w:tabs>
        <w:suppressAutoHyphens/>
        <w:spacing w:after="0" w:line="240" w:lineRule="auto"/>
        <w:rPr>
          <w:rFonts w:ascii="Times New Roman" w:eastAsia="SimSun" w:hAnsi="Times New Roman" w:cs="Times New Roman"/>
          <w:iCs/>
          <w:color w:val="000000"/>
          <w:lang w:eastAsia="ar-SA"/>
        </w:rPr>
      </w:pPr>
    </w:p>
    <w:p w14:paraId="24A6A52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Times New Roman" w:hAnsi="Times New Roman" w:cs="Times New Roman"/>
          <w:noProof/>
          <w:color w:val="000000"/>
          <w:lang w:eastAsia="lt-LT"/>
        </w:rPr>
        <w:drawing>
          <wp:inline distT="0" distB="0" distL="0" distR="0" wp14:anchorId="28D092F6" wp14:editId="64A2AFBF">
            <wp:extent cx="5724525" cy="34861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3486150"/>
                    </a:xfrm>
                    <a:prstGeom prst="rect">
                      <a:avLst/>
                    </a:prstGeom>
                    <a:solidFill>
                      <a:srgbClr val="FFFFFF"/>
                    </a:solidFill>
                    <a:ln>
                      <a:noFill/>
                    </a:ln>
                  </pic:spPr>
                </pic:pic>
              </a:graphicData>
            </a:graphic>
          </wp:inline>
        </w:drawing>
      </w:r>
    </w:p>
    <w:p w14:paraId="281B238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42E179B" w14:textId="6DFC965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Visų rizikos grupių MMR dažnis kiekvienoje rizikos grupėje, nustatytoje pagal </w:t>
      </w:r>
      <w:r w:rsidRPr="001D3C3D">
        <w:rPr>
          <w:rFonts w:ascii="Times New Roman" w:eastAsia="SimSun" w:hAnsi="Times New Roman" w:cs="Times New Roman"/>
          <w:i/>
          <w:iCs/>
          <w:color w:val="000000"/>
          <w:lang w:eastAsia="ar-SA"/>
        </w:rPr>
        <w:t>Hasford</w:t>
      </w:r>
      <w:r w:rsidRPr="001D3C3D">
        <w:rPr>
          <w:rFonts w:ascii="Times New Roman" w:eastAsia="SimSun" w:hAnsi="Times New Roman" w:cs="Times New Roman"/>
          <w:iCs/>
          <w:color w:val="000000"/>
          <w:lang w:eastAsia="ar-SA"/>
        </w:rPr>
        <w:t xml:space="preserve"> skalės balus, bet kuriuo laiku dazatinibo grupėje buvo didesnis, palyginti su imatinibo grupe (mažos rizikos pacientų – 90</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69</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vidutinės rizikos – 71</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65</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didelės rizikos – atitinkamai 67</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54</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674C65E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8EF4661" w14:textId="5060837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Papildoma analizė parodė, kad ankstyvą molekulinį atsaką, apibūdinamą kaip BCR-ABL kiekis ≤</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10</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po 3</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pasiekė daugiau dazatinibu gydytų pacientų (84</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palyginti su imatinibu gydytais pacientais (64</w:t>
      </w:r>
      <w:r w:rsidR="00BB05A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Ankstyvą molekulinį atsaką pasiekusiems pacientams nustatyta mažesnė transformacijos rizika, didesnis išgyvenimo be ligos progresavimo rodiklis, didesnis bendro išgyvenimo (OS) rodiklis, kaip parodyta </w:t>
      </w:r>
      <w:r w:rsidRPr="001D3C3D">
        <w:rPr>
          <w:rFonts w:ascii="Times New Roman" w:eastAsia="SimSun" w:hAnsi="Times New Roman" w:cs="Times New Roman"/>
          <w:b/>
          <w:i/>
          <w:iCs/>
          <w:color w:val="000000"/>
          <w:lang w:eastAsia="ar-SA"/>
        </w:rPr>
        <w:t>10</w:t>
      </w:r>
      <w:r w:rsidR="00BB05A9">
        <w:rPr>
          <w:rFonts w:ascii="Times New Roman" w:eastAsia="SimSun" w:hAnsi="Times New Roman" w:cs="Times New Roman"/>
          <w:b/>
          <w:i/>
          <w:iCs/>
          <w:color w:val="000000"/>
          <w:lang w:eastAsia="ar-SA"/>
        </w:rPr>
        <w:t> </w:t>
      </w:r>
      <w:r w:rsidRPr="001D3C3D">
        <w:rPr>
          <w:rFonts w:ascii="Times New Roman" w:eastAsia="SimSun" w:hAnsi="Times New Roman" w:cs="Times New Roman"/>
          <w:b/>
          <w:i/>
          <w:iCs/>
          <w:color w:val="000000"/>
          <w:lang w:eastAsia="ar-SA"/>
        </w:rPr>
        <w:t>lentelėje</w:t>
      </w:r>
      <w:r w:rsidRPr="001D3C3D">
        <w:rPr>
          <w:rFonts w:ascii="Times New Roman" w:eastAsia="SimSun" w:hAnsi="Times New Roman" w:cs="Times New Roman"/>
          <w:iCs/>
          <w:color w:val="000000"/>
          <w:lang w:eastAsia="ar-SA"/>
        </w:rPr>
        <w:t>.</w:t>
      </w:r>
    </w:p>
    <w:p w14:paraId="0E6BFF2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0288E8D" w14:textId="2C699CFC" w:rsidR="00ED7DC3" w:rsidRPr="001D3C3D" w:rsidRDefault="00ED7DC3" w:rsidP="00ED7DC3">
      <w:pPr>
        <w:widowControl w:val="0"/>
        <w:tabs>
          <w:tab w:val="left" w:pos="567"/>
        </w:tabs>
        <w:suppressAutoHyphens/>
        <w:spacing w:after="0" w:line="240" w:lineRule="auto"/>
        <w:rPr>
          <w:rFonts w:ascii="Times New Roman" w:eastAsia="Calibri" w:hAnsi="Times New Roman" w:cs="Times New Roman"/>
          <w:b/>
          <w:bCs/>
          <w:color w:val="000000"/>
          <w:position w:val="-9"/>
          <w:lang w:eastAsia="ar-SA"/>
        </w:rPr>
      </w:pPr>
      <w:r w:rsidRPr="001D3C3D">
        <w:rPr>
          <w:rFonts w:ascii="Times New Roman" w:eastAsia="SimSun" w:hAnsi="Times New Roman" w:cs="Times New Roman"/>
          <w:b/>
          <w:iCs/>
          <w:color w:val="000000"/>
          <w:lang w:eastAsia="ar-SA"/>
        </w:rPr>
        <w:t>10</w:t>
      </w:r>
      <w:r w:rsidR="00BB05A9">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lentelė. Dazatinibo vartoję pacientai, kurių BCR-ABL po 3</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mėn. buvo ≤</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10</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ir &gt;</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10</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w:t>
      </w:r>
    </w:p>
    <w:tbl>
      <w:tblPr>
        <w:tblW w:w="0" w:type="auto"/>
        <w:tblInd w:w="58" w:type="dxa"/>
        <w:tblLayout w:type="fixed"/>
        <w:tblLook w:val="0000" w:firstRow="0" w:lastRow="0" w:firstColumn="0" w:lastColumn="0" w:noHBand="0" w:noVBand="0"/>
      </w:tblPr>
      <w:tblGrid>
        <w:gridCol w:w="3319"/>
        <w:gridCol w:w="2869"/>
        <w:gridCol w:w="2824"/>
      </w:tblGrid>
      <w:tr w:rsidR="00ED7DC3" w:rsidRPr="001D3C3D" w14:paraId="0F3B9EB9" w14:textId="77777777" w:rsidTr="0036275F">
        <w:tc>
          <w:tcPr>
            <w:tcW w:w="3319" w:type="dxa"/>
            <w:tcBorders>
              <w:top w:val="single" w:sz="4" w:space="0" w:color="000000"/>
              <w:bottom w:val="single" w:sz="4" w:space="0" w:color="000000"/>
            </w:tcBorders>
            <w:shd w:val="clear" w:color="auto" w:fill="FFFFFF"/>
            <w:vAlign w:val="bottom"/>
          </w:tcPr>
          <w:p w14:paraId="0EF19C14" w14:textId="38D6244E" w:rsidR="00ED7DC3" w:rsidRPr="001D3C3D" w:rsidRDefault="00ED7DC3" w:rsidP="00ED7DC3">
            <w:pPr>
              <w:widowControl w:val="0"/>
              <w:suppressAutoHyphens/>
              <w:spacing w:after="0" w:line="240" w:lineRule="auto"/>
              <w:rPr>
                <w:rFonts w:ascii="Times New Roman" w:eastAsia="Calibri" w:hAnsi="Times New Roman" w:cs="Times New Roman"/>
                <w:b/>
                <w:bCs/>
                <w:color w:val="000000"/>
                <w:position w:val="-9"/>
                <w:lang w:eastAsia="ar-SA"/>
              </w:rPr>
            </w:pPr>
            <w:r w:rsidRPr="001D3C3D">
              <w:rPr>
                <w:rFonts w:ascii="Times New Roman" w:eastAsia="Calibri" w:hAnsi="Times New Roman" w:cs="Times New Roman"/>
                <w:b/>
                <w:bCs/>
                <w:color w:val="000000"/>
                <w:position w:val="-9"/>
                <w:lang w:eastAsia="ar-SA"/>
              </w:rPr>
              <w:t>Dazatinibas N</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235</w:t>
            </w:r>
          </w:p>
        </w:tc>
        <w:tc>
          <w:tcPr>
            <w:tcW w:w="2869" w:type="dxa"/>
            <w:tcBorders>
              <w:top w:val="single" w:sz="4" w:space="0" w:color="000000"/>
              <w:bottom w:val="single" w:sz="4" w:space="0" w:color="000000"/>
            </w:tcBorders>
            <w:shd w:val="clear" w:color="auto" w:fill="FFFFFF"/>
            <w:vAlign w:val="bottom"/>
          </w:tcPr>
          <w:p w14:paraId="65FD7179" w14:textId="4F3518FF" w:rsidR="00ED7DC3" w:rsidRPr="001D3C3D" w:rsidRDefault="00ED7DC3" w:rsidP="00ED7DC3">
            <w:pPr>
              <w:widowControl w:val="0"/>
              <w:suppressAutoHyphens/>
              <w:spacing w:after="0" w:line="240" w:lineRule="auto"/>
              <w:jc w:val="center"/>
              <w:rPr>
                <w:rFonts w:ascii="Times New Roman" w:eastAsia="Calibri" w:hAnsi="Times New Roman" w:cs="Times New Roman"/>
                <w:b/>
                <w:bCs/>
                <w:color w:val="000000"/>
                <w:position w:val="-9"/>
                <w:lang w:eastAsia="ar-SA"/>
              </w:rPr>
            </w:pPr>
            <w:r w:rsidRPr="001D3C3D">
              <w:rPr>
                <w:rFonts w:ascii="Times New Roman" w:eastAsia="Calibri" w:hAnsi="Times New Roman" w:cs="Times New Roman"/>
                <w:b/>
                <w:bCs/>
                <w:color w:val="000000"/>
                <w:position w:val="-9"/>
                <w:lang w:eastAsia="ar-SA"/>
              </w:rPr>
              <w:t>Pacientai, kurių BCR-ABL po 3</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mėn. buvo ≤</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10</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 xml:space="preserve">% </w:t>
            </w:r>
          </w:p>
        </w:tc>
        <w:tc>
          <w:tcPr>
            <w:tcW w:w="2824" w:type="dxa"/>
            <w:tcBorders>
              <w:top w:val="single" w:sz="4" w:space="0" w:color="000000"/>
              <w:bottom w:val="single" w:sz="4" w:space="0" w:color="000000"/>
            </w:tcBorders>
            <w:shd w:val="clear" w:color="auto" w:fill="FFFFFF"/>
            <w:vAlign w:val="bottom"/>
          </w:tcPr>
          <w:p w14:paraId="46F7105D" w14:textId="5DFF2299"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
                <w:bCs/>
                <w:color w:val="000000"/>
                <w:position w:val="-9"/>
                <w:lang w:eastAsia="ar-SA"/>
              </w:rPr>
              <w:t>Pacientai, kurių BCR-ABL po 3</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mėn. buvo &gt;</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10</w:t>
            </w:r>
            <w:r w:rsidR="003C5D7A">
              <w:rPr>
                <w:rFonts w:ascii="Times New Roman" w:eastAsia="Calibri" w:hAnsi="Times New Roman" w:cs="Times New Roman"/>
                <w:b/>
                <w:bCs/>
                <w:color w:val="000000"/>
                <w:position w:val="-9"/>
                <w:lang w:eastAsia="ar-SA"/>
              </w:rPr>
              <w:t> </w:t>
            </w:r>
            <w:r w:rsidRPr="001D3C3D">
              <w:rPr>
                <w:rFonts w:ascii="Times New Roman" w:eastAsia="Calibri" w:hAnsi="Times New Roman" w:cs="Times New Roman"/>
                <w:b/>
                <w:bCs/>
                <w:color w:val="000000"/>
                <w:position w:val="-9"/>
                <w:lang w:eastAsia="ar-SA"/>
              </w:rPr>
              <w:t>%</w:t>
            </w:r>
          </w:p>
        </w:tc>
      </w:tr>
      <w:tr w:rsidR="00ED7DC3" w:rsidRPr="001D3C3D" w14:paraId="51882F49" w14:textId="77777777" w:rsidTr="0036275F">
        <w:tc>
          <w:tcPr>
            <w:tcW w:w="3319" w:type="dxa"/>
            <w:tcBorders>
              <w:top w:val="single" w:sz="4" w:space="0" w:color="000000"/>
            </w:tcBorders>
            <w:shd w:val="clear" w:color="auto" w:fill="FFFFFF"/>
          </w:tcPr>
          <w:p w14:paraId="7D44D800" w14:textId="77777777" w:rsidR="00ED7DC3" w:rsidRPr="001D3C3D" w:rsidRDefault="00ED7DC3" w:rsidP="00ED7DC3">
            <w:pPr>
              <w:widowControl w:val="0"/>
              <w:suppressAutoHyphens/>
              <w:spacing w:after="0" w:line="240" w:lineRule="auto"/>
              <w:rPr>
                <w:rFonts w:ascii="Times New Roman" w:eastAsia="Calibri" w:hAnsi="Times New Roman" w:cs="Times New Roman"/>
                <w:bCs/>
                <w:color w:val="000000"/>
                <w:position w:val="-9"/>
                <w:lang w:eastAsia="ar-SA"/>
              </w:rPr>
            </w:pPr>
            <w:r w:rsidRPr="001D3C3D">
              <w:rPr>
                <w:rFonts w:ascii="Times New Roman" w:eastAsia="Calibri" w:hAnsi="Times New Roman" w:cs="Times New Roman"/>
                <w:bCs/>
                <w:color w:val="000000"/>
                <w:position w:val="-9"/>
                <w:lang w:eastAsia="ar-SA"/>
              </w:rPr>
              <w:t>Pacientų skaičius (%)</w:t>
            </w:r>
          </w:p>
        </w:tc>
        <w:tc>
          <w:tcPr>
            <w:tcW w:w="2869" w:type="dxa"/>
            <w:tcBorders>
              <w:top w:val="single" w:sz="4" w:space="0" w:color="000000"/>
            </w:tcBorders>
            <w:shd w:val="clear" w:color="auto" w:fill="FFFFFF"/>
          </w:tcPr>
          <w:p w14:paraId="551F6C10"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Cs/>
                <w:color w:val="000000"/>
                <w:position w:val="-9"/>
                <w:lang w:eastAsia="ar-SA"/>
              </w:rPr>
            </w:pPr>
            <w:r w:rsidRPr="001D3C3D">
              <w:rPr>
                <w:rFonts w:ascii="Times New Roman" w:eastAsia="Calibri" w:hAnsi="Times New Roman" w:cs="Times New Roman"/>
                <w:bCs/>
                <w:color w:val="000000"/>
                <w:position w:val="-9"/>
                <w:lang w:eastAsia="ar-SA"/>
              </w:rPr>
              <w:t>198 (84,3)</w:t>
            </w:r>
          </w:p>
        </w:tc>
        <w:tc>
          <w:tcPr>
            <w:tcW w:w="2824" w:type="dxa"/>
            <w:tcBorders>
              <w:top w:val="single" w:sz="4" w:space="0" w:color="000000"/>
            </w:tcBorders>
            <w:shd w:val="clear" w:color="auto" w:fill="FFFFFF"/>
          </w:tcPr>
          <w:p w14:paraId="31818997"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Cs/>
                <w:color w:val="000000"/>
                <w:position w:val="-9"/>
                <w:lang w:eastAsia="ar-SA"/>
              </w:rPr>
              <w:t>37 (15,7)</w:t>
            </w:r>
          </w:p>
        </w:tc>
      </w:tr>
      <w:tr w:rsidR="00ED7DC3" w:rsidRPr="001D3C3D" w14:paraId="55DE6EF3" w14:textId="77777777" w:rsidTr="0036275F">
        <w:tc>
          <w:tcPr>
            <w:tcW w:w="3319" w:type="dxa"/>
            <w:shd w:val="clear" w:color="auto" w:fill="FFFFFF"/>
          </w:tcPr>
          <w:p w14:paraId="708ADDA8" w14:textId="1FDF2EB0" w:rsidR="00ED7DC3" w:rsidRPr="001D3C3D" w:rsidRDefault="00ED7DC3" w:rsidP="00ED7DC3">
            <w:pPr>
              <w:widowControl w:val="0"/>
              <w:suppressAutoHyphens/>
              <w:spacing w:after="0" w:line="240" w:lineRule="auto"/>
              <w:rPr>
                <w:rFonts w:ascii="Times New Roman" w:eastAsia="Calibri" w:hAnsi="Times New Roman" w:cs="Times New Roman"/>
                <w:bCs/>
                <w:color w:val="000000"/>
                <w:position w:val="-9"/>
                <w:lang w:eastAsia="ar-SA"/>
              </w:rPr>
            </w:pPr>
            <w:r w:rsidRPr="001D3C3D">
              <w:rPr>
                <w:rFonts w:ascii="Times New Roman" w:eastAsia="Calibri" w:hAnsi="Times New Roman" w:cs="Times New Roman"/>
                <w:color w:val="000000"/>
                <w:position w:val="-9"/>
                <w:lang w:eastAsia="ar-SA"/>
              </w:rPr>
              <w:t>Transformacijų skaičius po 60</w:t>
            </w:r>
            <w:r w:rsidR="003C5D7A">
              <w:rPr>
                <w:rFonts w:ascii="Times New Roman" w:eastAsia="Calibri" w:hAnsi="Times New Roman" w:cs="Times New Roman"/>
                <w:color w:val="000000"/>
                <w:position w:val="-9"/>
                <w:lang w:eastAsia="ar-SA"/>
              </w:rPr>
              <w:t> </w:t>
            </w:r>
            <w:r w:rsidRPr="001D3C3D">
              <w:rPr>
                <w:rFonts w:ascii="Times New Roman" w:eastAsia="Calibri" w:hAnsi="Times New Roman" w:cs="Times New Roman"/>
                <w:color w:val="000000"/>
                <w:position w:val="-9"/>
                <w:lang w:eastAsia="ar-SA"/>
              </w:rPr>
              <w:t>mėn., n/N (%)</w:t>
            </w:r>
          </w:p>
        </w:tc>
        <w:tc>
          <w:tcPr>
            <w:tcW w:w="2869" w:type="dxa"/>
            <w:shd w:val="clear" w:color="auto" w:fill="FFFFFF"/>
          </w:tcPr>
          <w:p w14:paraId="1A666394" w14:textId="77777777" w:rsidR="00ED7DC3" w:rsidRPr="001D3C3D" w:rsidRDefault="00ED7DC3" w:rsidP="00ED7DC3">
            <w:pPr>
              <w:widowControl w:val="0"/>
              <w:suppressAutoHyphens/>
              <w:spacing w:after="0" w:line="240" w:lineRule="auto"/>
              <w:jc w:val="center"/>
              <w:rPr>
                <w:rFonts w:ascii="Times New Roman" w:eastAsia="Calibri" w:hAnsi="Times New Roman" w:cs="Times New Roman"/>
                <w:bCs/>
                <w:color w:val="000000"/>
                <w:position w:val="-9"/>
                <w:lang w:eastAsia="ar-SA"/>
              </w:rPr>
            </w:pPr>
            <w:r w:rsidRPr="001D3C3D">
              <w:rPr>
                <w:rFonts w:ascii="Times New Roman" w:eastAsia="Calibri" w:hAnsi="Times New Roman" w:cs="Times New Roman"/>
                <w:bCs/>
                <w:color w:val="000000"/>
                <w:position w:val="-9"/>
                <w:lang w:eastAsia="ar-SA"/>
              </w:rPr>
              <w:t>6/198 (3,0)</w:t>
            </w:r>
          </w:p>
        </w:tc>
        <w:tc>
          <w:tcPr>
            <w:tcW w:w="2824" w:type="dxa"/>
            <w:shd w:val="clear" w:color="auto" w:fill="FFFFFF"/>
          </w:tcPr>
          <w:p w14:paraId="6506EDD2" w14:textId="77777777"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Cs/>
                <w:color w:val="000000"/>
                <w:position w:val="-9"/>
                <w:lang w:eastAsia="ar-SA"/>
              </w:rPr>
              <w:t>5/37 (13,5)</w:t>
            </w:r>
          </w:p>
        </w:tc>
      </w:tr>
      <w:tr w:rsidR="00ED7DC3" w:rsidRPr="001D3C3D" w14:paraId="16AEF376" w14:textId="77777777" w:rsidTr="0036275F">
        <w:tc>
          <w:tcPr>
            <w:tcW w:w="3319" w:type="dxa"/>
            <w:shd w:val="clear" w:color="auto" w:fill="FFFFFF"/>
          </w:tcPr>
          <w:p w14:paraId="51533C10" w14:textId="61F5BD51" w:rsidR="00ED7DC3" w:rsidRPr="001D3C3D" w:rsidRDefault="00ED7DC3" w:rsidP="00ED7DC3">
            <w:pPr>
              <w:widowControl w:val="0"/>
              <w:suppressAutoHyphens/>
              <w:spacing w:after="0" w:line="240" w:lineRule="auto"/>
              <w:rPr>
                <w:rFonts w:ascii="Times New Roman" w:eastAsia="Calibri" w:hAnsi="Times New Roman" w:cs="Times New Roman"/>
                <w:bCs/>
                <w:color w:val="000000"/>
                <w:position w:val="-9"/>
                <w:lang w:eastAsia="ar-SA"/>
              </w:rPr>
            </w:pPr>
            <w:r w:rsidRPr="001D3C3D">
              <w:rPr>
                <w:rFonts w:ascii="Times New Roman" w:eastAsia="Calibri" w:hAnsi="Times New Roman" w:cs="Times New Roman"/>
                <w:color w:val="000000"/>
                <w:position w:val="-9"/>
                <w:lang w:eastAsia="ar-SA"/>
              </w:rPr>
              <w:t>PFS rodiklis (95</w:t>
            </w:r>
            <w:r w:rsidR="003C5D7A">
              <w:rPr>
                <w:rFonts w:ascii="Times New Roman" w:eastAsia="Calibri" w:hAnsi="Times New Roman" w:cs="Times New Roman"/>
                <w:color w:val="000000"/>
                <w:position w:val="-9"/>
                <w:lang w:eastAsia="ar-SA"/>
              </w:rPr>
              <w:t> </w:t>
            </w:r>
            <w:r w:rsidRPr="001D3C3D">
              <w:rPr>
                <w:rFonts w:ascii="Times New Roman" w:eastAsia="Calibri" w:hAnsi="Times New Roman" w:cs="Times New Roman"/>
                <w:color w:val="000000"/>
                <w:position w:val="-9"/>
                <w:lang w:eastAsia="ar-SA"/>
              </w:rPr>
              <w:t>% PI) po 60</w:t>
            </w:r>
            <w:r w:rsidR="003C5D7A">
              <w:rPr>
                <w:rFonts w:ascii="Times New Roman" w:eastAsia="Calibri" w:hAnsi="Times New Roman" w:cs="Times New Roman"/>
                <w:color w:val="000000"/>
                <w:position w:val="-9"/>
                <w:lang w:eastAsia="ar-SA"/>
              </w:rPr>
              <w:t> </w:t>
            </w:r>
            <w:r w:rsidRPr="001D3C3D">
              <w:rPr>
                <w:rFonts w:ascii="Times New Roman" w:eastAsia="Calibri" w:hAnsi="Times New Roman" w:cs="Times New Roman"/>
                <w:color w:val="000000"/>
                <w:position w:val="-9"/>
                <w:lang w:eastAsia="ar-SA"/>
              </w:rPr>
              <w:t>mėn.</w:t>
            </w:r>
          </w:p>
        </w:tc>
        <w:tc>
          <w:tcPr>
            <w:tcW w:w="2869" w:type="dxa"/>
            <w:shd w:val="clear" w:color="auto" w:fill="FFFFFF"/>
          </w:tcPr>
          <w:p w14:paraId="01341F36" w14:textId="2B6CB69A" w:rsidR="00ED7DC3" w:rsidRPr="001D3C3D" w:rsidRDefault="00ED7DC3" w:rsidP="00ED7DC3">
            <w:pPr>
              <w:widowControl w:val="0"/>
              <w:suppressAutoHyphens/>
              <w:spacing w:after="0" w:line="240" w:lineRule="auto"/>
              <w:jc w:val="center"/>
              <w:rPr>
                <w:rFonts w:ascii="Times New Roman" w:eastAsia="Calibri" w:hAnsi="Times New Roman" w:cs="Times New Roman"/>
                <w:bCs/>
                <w:color w:val="000000"/>
                <w:position w:val="-9"/>
                <w:lang w:eastAsia="ar-SA"/>
              </w:rPr>
            </w:pPr>
            <w:r w:rsidRPr="001D3C3D">
              <w:rPr>
                <w:rFonts w:ascii="Times New Roman" w:eastAsia="Calibri" w:hAnsi="Times New Roman" w:cs="Times New Roman"/>
                <w:bCs/>
                <w:color w:val="000000"/>
                <w:position w:val="-9"/>
                <w:lang w:eastAsia="ar-SA"/>
              </w:rPr>
              <w:t>92,0</w:t>
            </w:r>
            <w:r w:rsidR="003C5D7A">
              <w:rPr>
                <w:rFonts w:ascii="Times New Roman" w:eastAsia="Calibri" w:hAnsi="Times New Roman" w:cs="Times New Roman"/>
                <w:bCs/>
                <w:color w:val="000000"/>
                <w:position w:val="-9"/>
                <w:lang w:eastAsia="ar-SA"/>
              </w:rPr>
              <w:t> </w:t>
            </w:r>
            <w:r w:rsidRPr="001D3C3D">
              <w:rPr>
                <w:rFonts w:ascii="Times New Roman" w:eastAsia="Calibri" w:hAnsi="Times New Roman" w:cs="Times New Roman"/>
                <w:bCs/>
                <w:color w:val="000000"/>
                <w:position w:val="-9"/>
                <w:lang w:eastAsia="ar-SA"/>
              </w:rPr>
              <w:t>% (89,6, 95,2)</w:t>
            </w:r>
          </w:p>
        </w:tc>
        <w:tc>
          <w:tcPr>
            <w:tcW w:w="2824" w:type="dxa"/>
            <w:shd w:val="clear" w:color="auto" w:fill="FFFFFF"/>
          </w:tcPr>
          <w:p w14:paraId="479E1596" w14:textId="04A5F430"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Cs/>
                <w:color w:val="000000"/>
                <w:position w:val="-9"/>
                <w:lang w:eastAsia="ar-SA"/>
              </w:rPr>
              <w:t>73,8</w:t>
            </w:r>
            <w:r w:rsidR="003C5D7A">
              <w:rPr>
                <w:rFonts w:ascii="Times New Roman" w:eastAsia="Calibri" w:hAnsi="Times New Roman" w:cs="Times New Roman"/>
                <w:bCs/>
                <w:color w:val="000000"/>
                <w:position w:val="-9"/>
                <w:lang w:eastAsia="ar-SA"/>
              </w:rPr>
              <w:t> </w:t>
            </w:r>
            <w:r w:rsidRPr="001D3C3D">
              <w:rPr>
                <w:rFonts w:ascii="Times New Roman" w:eastAsia="Calibri" w:hAnsi="Times New Roman" w:cs="Times New Roman"/>
                <w:bCs/>
                <w:color w:val="000000"/>
                <w:position w:val="-9"/>
                <w:lang w:eastAsia="ar-SA"/>
              </w:rPr>
              <w:t>% (52,0, 86,8)</w:t>
            </w:r>
          </w:p>
        </w:tc>
      </w:tr>
      <w:tr w:rsidR="00ED7DC3" w:rsidRPr="001D3C3D" w14:paraId="29E6B2E4" w14:textId="77777777" w:rsidTr="0036275F">
        <w:tc>
          <w:tcPr>
            <w:tcW w:w="3319" w:type="dxa"/>
            <w:tcBorders>
              <w:bottom w:val="single" w:sz="4" w:space="0" w:color="000000"/>
            </w:tcBorders>
            <w:shd w:val="clear" w:color="auto" w:fill="FFFFFF"/>
          </w:tcPr>
          <w:p w14:paraId="50BEBE3F" w14:textId="1A39E722" w:rsidR="00ED7DC3" w:rsidRPr="001D3C3D" w:rsidRDefault="00ED7DC3" w:rsidP="00ED7DC3">
            <w:pPr>
              <w:widowControl w:val="0"/>
              <w:suppressAutoHyphens/>
              <w:spacing w:after="0" w:line="240" w:lineRule="auto"/>
              <w:rPr>
                <w:rFonts w:ascii="Times New Roman" w:eastAsia="Calibri" w:hAnsi="Times New Roman" w:cs="Times New Roman"/>
                <w:bCs/>
                <w:color w:val="000000"/>
                <w:position w:val="-9"/>
                <w:lang w:eastAsia="ar-SA"/>
              </w:rPr>
            </w:pPr>
            <w:r w:rsidRPr="001D3C3D">
              <w:rPr>
                <w:rFonts w:ascii="Times New Roman" w:eastAsia="Calibri" w:hAnsi="Times New Roman" w:cs="Times New Roman"/>
                <w:color w:val="000000"/>
                <w:position w:val="-9"/>
                <w:lang w:eastAsia="ar-SA"/>
              </w:rPr>
              <w:t>OS rodiklis (95</w:t>
            </w:r>
            <w:r w:rsidR="003C5D7A">
              <w:rPr>
                <w:rFonts w:ascii="Times New Roman" w:eastAsia="Calibri" w:hAnsi="Times New Roman" w:cs="Times New Roman"/>
                <w:color w:val="000000"/>
                <w:position w:val="-9"/>
                <w:lang w:eastAsia="ar-SA"/>
              </w:rPr>
              <w:t> </w:t>
            </w:r>
            <w:r w:rsidRPr="001D3C3D">
              <w:rPr>
                <w:rFonts w:ascii="Times New Roman" w:eastAsia="Calibri" w:hAnsi="Times New Roman" w:cs="Times New Roman"/>
                <w:color w:val="000000"/>
                <w:position w:val="-9"/>
                <w:lang w:eastAsia="ar-SA"/>
              </w:rPr>
              <w:t>% PI)</w:t>
            </w:r>
            <w:r w:rsidRPr="001D3C3D">
              <w:rPr>
                <w:rFonts w:ascii="Times New Roman" w:eastAsia="Calibri" w:hAnsi="Times New Roman" w:cs="Times New Roman"/>
                <w:color w:val="000000"/>
                <w:lang w:eastAsia="ar-SA"/>
              </w:rPr>
              <w:t xml:space="preserve"> </w:t>
            </w:r>
            <w:r w:rsidRPr="001D3C3D">
              <w:rPr>
                <w:rFonts w:ascii="Times New Roman" w:eastAsia="Calibri" w:hAnsi="Times New Roman" w:cs="Times New Roman"/>
                <w:color w:val="000000"/>
                <w:position w:val="-9"/>
                <w:lang w:eastAsia="ar-SA"/>
              </w:rPr>
              <w:t>po 60</w:t>
            </w:r>
            <w:r w:rsidR="003C5D7A">
              <w:rPr>
                <w:rFonts w:ascii="Times New Roman" w:eastAsia="Calibri" w:hAnsi="Times New Roman" w:cs="Times New Roman"/>
                <w:color w:val="000000"/>
                <w:position w:val="-9"/>
                <w:lang w:eastAsia="ar-SA"/>
              </w:rPr>
              <w:t> </w:t>
            </w:r>
            <w:r w:rsidRPr="001D3C3D">
              <w:rPr>
                <w:rFonts w:ascii="Times New Roman" w:eastAsia="Calibri" w:hAnsi="Times New Roman" w:cs="Times New Roman"/>
                <w:color w:val="000000"/>
                <w:position w:val="-9"/>
                <w:lang w:eastAsia="ar-SA"/>
              </w:rPr>
              <w:t>mėn.</w:t>
            </w:r>
          </w:p>
        </w:tc>
        <w:tc>
          <w:tcPr>
            <w:tcW w:w="2869" w:type="dxa"/>
            <w:tcBorders>
              <w:bottom w:val="single" w:sz="4" w:space="0" w:color="000000"/>
            </w:tcBorders>
            <w:shd w:val="clear" w:color="auto" w:fill="FFFFFF"/>
          </w:tcPr>
          <w:p w14:paraId="4095628F" w14:textId="3A64CECE" w:rsidR="00ED7DC3" w:rsidRPr="001D3C3D" w:rsidRDefault="00ED7DC3" w:rsidP="00ED7DC3">
            <w:pPr>
              <w:widowControl w:val="0"/>
              <w:suppressAutoHyphens/>
              <w:spacing w:after="0" w:line="240" w:lineRule="auto"/>
              <w:jc w:val="center"/>
              <w:rPr>
                <w:rFonts w:ascii="Times New Roman" w:eastAsia="Calibri" w:hAnsi="Times New Roman" w:cs="Times New Roman"/>
                <w:bCs/>
                <w:color w:val="000000"/>
                <w:position w:val="-9"/>
                <w:lang w:eastAsia="ar-SA"/>
              </w:rPr>
            </w:pPr>
            <w:r w:rsidRPr="001D3C3D">
              <w:rPr>
                <w:rFonts w:ascii="Times New Roman" w:eastAsia="Calibri" w:hAnsi="Times New Roman" w:cs="Times New Roman"/>
                <w:bCs/>
                <w:color w:val="000000"/>
                <w:position w:val="-9"/>
                <w:lang w:eastAsia="ar-SA"/>
              </w:rPr>
              <w:t>93,8</w:t>
            </w:r>
            <w:r w:rsidR="003C5D7A">
              <w:rPr>
                <w:rFonts w:ascii="Times New Roman" w:eastAsia="Calibri" w:hAnsi="Times New Roman" w:cs="Times New Roman"/>
                <w:bCs/>
                <w:color w:val="000000"/>
                <w:position w:val="-9"/>
                <w:lang w:eastAsia="ar-SA"/>
              </w:rPr>
              <w:t> </w:t>
            </w:r>
            <w:r w:rsidRPr="001D3C3D">
              <w:rPr>
                <w:rFonts w:ascii="Times New Roman" w:eastAsia="Calibri" w:hAnsi="Times New Roman" w:cs="Times New Roman"/>
                <w:bCs/>
                <w:color w:val="000000"/>
                <w:position w:val="-9"/>
                <w:lang w:eastAsia="ar-SA"/>
              </w:rPr>
              <w:t>% (89,3, 96,4)</w:t>
            </w:r>
          </w:p>
        </w:tc>
        <w:tc>
          <w:tcPr>
            <w:tcW w:w="2824" w:type="dxa"/>
            <w:tcBorders>
              <w:bottom w:val="single" w:sz="4" w:space="0" w:color="000000"/>
            </w:tcBorders>
            <w:shd w:val="clear" w:color="auto" w:fill="FFFFFF"/>
          </w:tcPr>
          <w:p w14:paraId="3DF2E277" w14:textId="485E8B4E" w:rsidR="00ED7DC3" w:rsidRPr="001D3C3D" w:rsidRDefault="00ED7DC3" w:rsidP="00ED7DC3">
            <w:pPr>
              <w:widowControl w:val="0"/>
              <w:suppressAutoHyphens/>
              <w:spacing w:after="0" w:line="240" w:lineRule="auto"/>
              <w:jc w:val="center"/>
              <w:rPr>
                <w:rFonts w:ascii="Times New Roman" w:eastAsia="Times New Roman" w:hAnsi="Times New Roman" w:cs="Times New Roman"/>
                <w:color w:val="000000"/>
                <w:lang w:eastAsia="ar-SA"/>
              </w:rPr>
            </w:pPr>
            <w:r w:rsidRPr="001D3C3D">
              <w:rPr>
                <w:rFonts w:ascii="Times New Roman" w:eastAsia="Calibri" w:hAnsi="Times New Roman" w:cs="Times New Roman"/>
                <w:bCs/>
                <w:color w:val="000000"/>
                <w:position w:val="-9"/>
                <w:lang w:eastAsia="ar-SA"/>
              </w:rPr>
              <w:t>80,6</w:t>
            </w:r>
            <w:r w:rsidR="003C5D7A">
              <w:rPr>
                <w:rFonts w:ascii="Times New Roman" w:eastAsia="Calibri" w:hAnsi="Times New Roman" w:cs="Times New Roman"/>
                <w:bCs/>
                <w:color w:val="000000"/>
                <w:position w:val="-9"/>
                <w:lang w:eastAsia="ar-SA"/>
              </w:rPr>
              <w:t> </w:t>
            </w:r>
            <w:r w:rsidRPr="001D3C3D">
              <w:rPr>
                <w:rFonts w:ascii="Times New Roman" w:eastAsia="Calibri" w:hAnsi="Times New Roman" w:cs="Times New Roman"/>
                <w:bCs/>
                <w:color w:val="000000"/>
                <w:position w:val="-9"/>
                <w:lang w:eastAsia="ar-SA"/>
              </w:rPr>
              <w:t>% (63,5, 90,2)</w:t>
            </w:r>
          </w:p>
        </w:tc>
      </w:tr>
    </w:tbl>
    <w:p w14:paraId="1269AF7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B7E465E" w14:textId="7AC88954"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color w:val="000000"/>
          <w:lang w:eastAsia="ar-SA"/>
        </w:rPr>
        <w:t>4</w:t>
      </w:r>
      <w:r w:rsidR="003C5D7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paveiksle grafiškai pavaizduoti OS rodiklis apibrėžtu laiko momentu. OS rodiklis d</w:t>
      </w:r>
      <w:r w:rsidRPr="001D3C3D">
        <w:rPr>
          <w:rFonts w:ascii="Times New Roman" w:eastAsia="SimSun" w:hAnsi="Times New Roman" w:cs="Times New Roman"/>
          <w:iCs/>
          <w:color w:val="000000"/>
          <w:lang w:eastAsia="ar-SA"/>
        </w:rPr>
        <w:t>azatinibu gydytiems pacientams, kurie po 3</w:t>
      </w:r>
      <w:r w:rsidR="003C5D7A">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pasiekė BCR-ABL ≤</w:t>
      </w:r>
      <w:r w:rsidR="003C5D7A">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10</w:t>
      </w:r>
      <w:r w:rsidR="003C5D7A">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buvo pastoviai didesnis, negu tiems, kurie minėto lygio ribos nepasiekė.</w:t>
      </w:r>
    </w:p>
    <w:p w14:paraId="365E7CE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1EBAF2B" w14:textId="5478892A" w:rsidR="00ED7DC3" w:rsidRPr="001D3C3D" w:rsidRDefault="00ED7DC3" w:rsidP="00ED7DC3">
      <w:pPr>
        <w:widowControl w:val="0"/>
        <w:tabs>
          <w:tab w:val="left" w:pos="567"/>
        </w:tabs>
        <w:suppressAutoHyphens/>
        <w:spacing w:after="0" w:line="240" w:lineRule="auto"/>
        <w:ind w:left="1134" w:hanging="1134"/>
        <w:rPr>
          <w:rFonts w:ascii="Times New Roman" w:eastAsia="SimSun" w:hAnsi="Times New Roman" w:cs="Times New Roman"/>
          <w:iCs/>
          <w:color w:val="000000"/>
          <w:lang w:eastAsia="ar-SA"/>
        </w:rPr>
      </w:pPr>
      <w:r w:rsidRPr="001D3C3D">
        <w:rPr>
          <w:rFonts w:ascii="Times New Roman" w:eastAsia="SimSun" w:hAnsi="Times New Roman" w:cs="Times New Roman"/>
          <w:b/>
          <w:iCs/>
          <w:color w:val="000000"/>
          <w:lang w:eastAsia="ar-SA"/>
        </w:rPr>
        <w:t>4</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paveikslas. Bendro išgyvenimo vartojant dazatinibo kreivės priklausomai nuo BCR-ABL lygio (≤</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10</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ar &gt;</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10</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po 3</w:t>
      </w:r>
      <w:r w:rsidR="003C5D7A">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mėn. naujai diagnozuotos lėtinės fazės LML III fazės tyrimo metu</w:t>
      </w:r>
    </w:p>
    <w:p w14:paraId="29ABF65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5171D49"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position w:val="-3"/>
          <w:lang w:eastAsia="ar-SA"/>
        </w:rPr>
      </w:pPr>
      <w:r w:rsidRPr="001D3C3D">
        <w:rPr>
          <w:rFonts w:ascii="Times New Roman" w:eastAsia="Times New Roman" w:hAnsi="Times New Roman" w:cs="Times New Roman"/>
          <w:noProof/>
          <w:color w:val="000000"/>
          <w:lang w:eastAsia="lt-LT"/>
        </w:rPr>
        <w:lastRenderedPageBreak/>
        <w:drawing>
          <wp:inline distT="0" distB="0" distL="0" distR="0" wp14:anchorId="503D1E0F" wp14:editId="53B6FFF6">
            <wp:extent cx="5724525" cy="27813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781300"/>
                    </a:xfrm>
                    <a:prstGeom prst="rect">
                      <a:avLst/>
                    </a:prstGeom>
                    <a:solidFill>
                      <a:srgbClr val="FFFFFF"/>
                    </a:solidFill>
                    <a:ln>
                      <a:noFill/>
                    </a:ln>
                  </pic:spPr>
                </pic:pic>
              </a:graphicData>
            </a:graphic>
          </wp:inline>
        </w:drawing>
      </w:r>
    </w:p>
    <w:tbl>
      <w:tblPr>
        <w:tblW w:w="0" w:type="auto"/>
        <w:tblInd w:w="117" w:type="dxa"/>
        <w:tblLayout w:type="fixed"/>
        <w:tblCellMar>
          <w:left w:w="0" w:type="dxa"/>
          <w:right w:w="0" w:type="dxa"/>
        </w:tblCellMar>
        <w:tblLook w:val="0000" w:firstRow="0" w:lastRow="0" w:firstColumn="0" w:lastColumn="0" w:noHBand="0" w:noVBand="0"/>
      </w:tblPr>
      <w:tblGrid>
        <w:gridCol w:w="1016"/>
        <w:gridCol w:w="2834"/>
        <w:gridCol w:w="2268"/>
        <w:gridCol w:w="2836"/>
      </w:tblGrid>
      <w:tr w:rsidR="00ED7DC3" w:rsidRPr="001D3C3D" w14:paraId="5C8AD2C8" w14:textId="77777777" w:rsidTr="0036275F">
        <w:trPr>
          <w:trHeight w:hRule="exact" w:val="658"/>
        </w:trPr>
        <w:tc>
          <w:tcPr>
            <w:tcW w:w="1016" w:type="dxa"/>
            <w:tcBorders>
              <w:bottom w:val="single" w:sz="4" w:space="0" w:color="000000"/>
            </w:tcBorders>
            <w:shd w:val="clear" w:color="auto" w:fill="auto"/>
          </w:tcPr>
          <w:p w14:paraId="22CB48A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position w:val="-3"/>
                <w:lang w:eastAsia="ar-SA"/>
              </w:rPr>
              <w:t>GRUPĖ</w:t>
            </w:r>
          </w:p>
        </w:tc>
        <w:tc>
          <w:tcPr>
            <w:tcW w:w="2834" w:type="dxa"/>
            <w:tcBorders>
              <w:bottom w:val="single" w:sz="4" w:space="0" w:color="000000"/>
            </w:tcBorders>
            <w:shd w:val="clear" w:color="auto" w:fill="auto"/>
          </w:tcPr>
          <w:p w14:paraId="6BAEB496"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MIRČIŲ SKAIČIUS / PACIENTŲ SKAIČIUS</w:t>
            </w:r>
          </w:p>
        </w:tc>
        <w:tc>
          <w:tcPr>
            <w:tcW w:w="2268" w:type="dxa"/>
            <w:tcBorders>
              <w:bottom w:val="single" w:sz="4" w:space="0" w:color="000000"/>
            </w:tcBorders>
            <w:shd w:val="clear" w:color="auto" w:fill="auto"/>
          </w:tcPr>
          <w:p w14:paraId="2852C5BF" w14:textId="2F32E84D"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position w:val="-9"/>
                <w:lang w:eastAsia="ar-SA"/>
              </w:rPr>
              <w:t>MEDIANA (95</w:t>
            </w:r>
            <w:r w:rsidR="003C5D7A">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position w:val="-9"/>
                <w:lang w:eastAsia="ar-SA"/>
              </w:rPr>
              <w:t>% PI)</w:t>
            </w:r>
          </w:p>
        </w:tc>
        <w:tc>
          <w:tcPr>
            <w:tcW w:w="2836" w:type="dxa"/>
            <w:tcBorders>
              <w:bottom w:val="single" w:sz="4" w:space="0" w:color="000000"/>
            </w:tcBorders>
            <w:shd w:val="clear" w:color="auto" w:fill="auto"/>
          </w:tcPr>
          <w:p w14:paraId="0A78EF8E" w14:textId="4F0695DB"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position w:val="-9"/>
                <w:lang w:eastAsia="ar-SA"/>
              </w:rPr>
              <w:t>RIZIKOS SANTYKIS</w:t>
            </w:r>
            <w:r w:rsidRPr="001D3C3D">
              <w:rPr>
                <w:rFonts w:ascii="Times New Roman" w:eastAsia="Times New Roman" w:hAnsi="Times New Roman" w:cs="Times New Roman"/>
                <w:color w:val="000000"/>
                <w:spacing w:val="1"/>
                <w:position w:val="-22"/>
                <w:lang w:eastAsia="ar-SA"/>
              </w:rPr>
              <w:t xml:space="preserve"> </w:t>
            </w:r>
            <w:r w:rsidRPr="001D3C3D">
              <w:rPr>
                <w:rFonts w:ascii="Times New Roman" w:eastAsia="Times New Roman" w:hAnsi="Times New Roman" w:cs="Times New Roman"/>
                <w:color w:val="000000"/>
                <w:position w:val="-22"/>
                <w:lang w:eastAsia="ar-SA"/>
              </w:rPr>
              <w:t>(95</w:t>
            </w:r>
            <w:r w:rsidR="00BC6FEF">
              <w:rPr>
                <w:rFonts w:ascii="Times New Roman" w:eastAsia="Times New Roman" w:hAnsi="Times New Roman" w:cs="Times New Roman"/>
                <w:color w:val="000000"/>
                <w:position w:val="-22"/>
                <w:lang w:eastAsia="ar-SA"/>
              </w:rPr>
              <w:t> </w:t>
            </w:r>
            <w:r w:rsidRPr="001D3C3D">
              <w:rPr>
                <w:rFonts w:ascii="Times New Roman" w:eastAsia="Times New Roman" w:hAnsi="Times New Roman" w:cs="Times New Roman"/>
                <w:color w:val="000000"/>
                <w:position w:val="-22"/>
                <w:lang w:eastAsia="ar-SA"/>
              </w:rPr>
              <w:t>%</w:t>
            </w:r>
            <w:r w:rsidRPr="001D3C3D">
              <w:rPr>
                <w:rFonts w:ascii="Times New Roman" w:eastAsia="Times New Roman" w:hAnsi="Times New Roman" w:cs="Times New Roman"/>
                <w:color w:val="000000"/>
                <w:spacing w:val="1"/>
                <w:position w:val="-22"/>
                <w:lang w:eastAsia="ar-SA"/>
              </w:rPr>
              <w:t xml:space="preserve"> PI</w:t>
            </w:r>
            <w:r w:rsidRPr="001D3C3D">
              <w:rPr>
                <w:rFonts w:ascii="Times New Roman" w:eastAsia="Times New Roman" w:hAnsi="Times New Roman" w:cs="Times New Roman"/>
                <w:color w:val="000000"/>
                <w:position w:val="-22"/>
                <w:lang w:eastAsia="ar-SA"/>
              </w:rPr>
              <w:t>)</w:t>
            </w:r>
          </w:p>
        </w:tc>
      </w:tr>
      <w:tr w:rsidR="00ED7DC3" w:rsidRPr="001D3C3D" w14:paraId="693AF112" w14:textId="77777777" w:rsidTr="0036275F">
        <w:trPr>
          <w:trHeight w:hRule="exact" w:val="294"/>
        </w:trPr>
        <w:tc>
          <w:tcPr>
            <w:tcW w:w="1016" w:type="dxa"/>
            <w:tcBorders>
              <w:top w:val="single" w:sz="4" w:space="0" w:color="000000"/>
            </w:tcBorders>
            <w:shd w:val="clear" w:color="auto" w:fill="auto"/>
          </w:tcPr>
          <w:p w14:paraId="54C52556" w14:textId="4AAFE22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lang w:eastAsia="ar-SA"/>
              </w:rPr>
              <w:t>&lt;</w:t>
            </w:r>
            <w:r w:rsidR="00BC6FEF">
              <w:rPr>
                <w:rFonts w:ascii="Times New Roman" w:eastAsia="Times New Roman" w:hAnsi="Times New Roman" w:cs="Times New Roman"/>
                <w:color w:val="000000"/>
                <w:u w:val="single"/>
                <w:lang w:eastAsia="ar-SA"/>
              </w:rPr>
              <w:t> </w:t>
            </w:r>
            <w:r w:rsidRPr="001D3C3D">
              <w:rPr>
                <w:rFonts w:ascii="Times New Roman" w:eastAsia="Times New Roman" w:hAnsi="Times New Roman" w:cs="Times New Roman"/>
                <w:color w:val="000000"/>
                <w:lang w:eastAsia="ar-SA"/>
              </w:rPr>
              <w:t>10</w:t>
            </w:r>
            <w:r w:rsidR="00BC6FEF">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p>
        </w:tc>
        <w:tc>
          <w:tcPr>
            <w:tcW w:w="2834" w:type="dxa"/>
            <w:tcBorders>
              <w:top w:val="single" w:sz="4" w:space="0" w:color="000000"/>
            </w:tcBorders>
            <w:shd w:val="clear" w:color="auto" w:fill="auto"/>
          </w:tcPr>
          <w:p w14:paraId="2A36368D"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14/198</w:t>
            </w:r>
          </w:p>
        </w:tc>
        <w:tc>
          <w:tcPr>
            <w:tcW w:w="2268" w:type="dxa"/>
            <w:tcBorders>
              <w:top w:val="single" w:sz="4" w:space="0" w:color="000000"/>
            </w:tcBorders>
            <w:shd w:val="clear" w:color="auto" w:fill="auto"/>
          </w:tcPr>
          <w:p w14:paraId="7CD77EAF"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w:t>
            </w:r>
          </w:p>
        </w:tc>
        <w:tc>
          <w:tcPr>
            <w:tcW w:w="2836" w:type="dxa"/>
            <w:tcBorders>
              <w:top w:val="single" w:sz="4" w:space="0" w:color="000000"/>
            </w:tcBorders>
            <w:shd w:val="clear" w:color="auto" w:fill="auto"/>
          </w:tcPr>
          <w:p w14:paraId="7223FA01" w14:textId="77777777" w:rsidR="00ED7DC3" w:rsidRPr="001D3C3D" w:rsidRDefault="00ED7DC3" w:rsidP="00ED7DC3">
            <w:pPr>
              <w:widowControl w:val="0"/>
              <w:suppressAutoHyphens/>
              <w:snapToGrid w:val="0"/>
              <w:spacing w:after="0" w:line="240" w:lineRule="auto"/>
              <w:ind w:left="57"/>
              <w:jc w:val="center"/>
              <w:rPr>
                <w:rFonts w:ascii="Times New Roman" w:eastAsia="Calibri" w:hAnsi="Times New Roman" w:cs="Times New Roman"/>
                <w:color w:val="000000"/>
                <w:lang w:eastAsia="ar-SA"/>
              </w:rPr>
            </w:pPr>
          </w:p>
        </w:tc>
      </w:tr>
      <w:tr w:rsidR="00ED7DC3" w:rsidRPr="001D3C3D" w14:paraId="19BB43F8" w14:textId="77777777" w:rsidTr="0036275F">
        <w:trPr>
          <w:trHeight w:hRule="exact" w:val="326"/>
        </w:trPr>
        <w:tc>
          <w:tcPr>
            <w:tcW w:w="1016" w:type="dxa"/>
            <w:shd w:val="clear" w:color="auto" w:fill="auto"/>
          </w:tcPr>
          <w:p w14:paraId="153F315C" w14:textId="5882D139"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w:t>
            </w:r>
            <w:r w:rsidR="00BC6FEF">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10</w:t>
            </w:r>
            <w:r w:rsidR="00BC6FEF">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p>
        </w:tc>
        <w:tc>
          <w:tcPr>
            <w:tcW w:w="2834" w:type="dxa"/>
            <w:shd w:val="clear" w:color="auto" w:fill="auto"/>
          </w:tcPr>
          <w:p w14:paraId="34554687"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8/37</w:t>
            </w:r>
          </w:p>
        </w:tc>
        <w:tc>
          <w:tcPr>
            <w:tcW w:w="2268" w:type="dxa"/>
            <w:shd w:val="clear" w:color="auto" w:fill="auto"/>
          </w:tcPr>
          <w:p w14:paraId="467F740C" w14:textId="77777777" w:rsidR="00ED7DC3" w:rsidRPr="001D3C3D" w:rsidRDefault="00ED7DC3" w:rsidP="00ED7DC3">
            <w:pPr>
              <w:widowControl w:val="0"/>
              <w:suppressAutoHyphens/>
              <w:spacing w:after="0" w:line="240" w:lineRule="auto"/>
              <w:ind w:left="57"/>
              <w:jc w:val="center"/>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w:t>
            </w:r>
          </w:p>
        </w:tc>
        <w:tc>
          <w:tcPr>
            <w:tcW w:w="2836" w:type="dxa"/>
            <w:shd w:val="clear" w:color="auto" w:fill="auto"/>
          </w:tcPr>
          <w:p w14:paraId="2293C362" w14:textId="2DA14B41"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Calibri" w:hAnsi="Times New Roman" w:cs="Times New Roman"/>
                <w:color w:val="000000"/>
                <w:lang w:eastAsia="ar-SA"/>
              </w:rPr>
              <w:t>0,29 (0,12</w:t>
            </w:r>
            <w:r w:rsidR="00BC6FEF">
              <w:rPr>
                <w:rFonts w:ascii="Times New Roman" w:eastAsia="Calibri" w:hAnsi="Times New Roman" w:cs="Times New Roman"/>
                <w:color w:val="000000"/>
                <w:lang w:eastAsia="ar-SA"/>
              </w:rPr>
              <w:noBreakHyphen/>
            </w:r>
            <w:r w:rsidRPr="001D3C3D">
              <w:rPr>
                <w:rFonts w:ascii="Times New Roman" w:eastAsia="Calibri" w:hAnsi="Times New Roman" w:cs="Times New Roman"/>
                <w:color w:val="000000"/>
                <w:lang w:eastAsia="ar-SA"/>
              </w:rPr>
              <w:t>0,69)</w:t>
            </w:r>
          </w:p>
        </w:tc>
      </w:tr>
    </w:tbl>
    <w:p w14:paraId="402B51D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8F08425" w14:textId="384AA2F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Ligos progresavimas apibrėžtas kaip nepaisant tinkamo gydymo padidėjęs leukocitų skaičius, CHR dalinio CyR arba CCyR išnykimas, progresavimas į akceleruotą ar blastų fazę arba mirtis. Apskaičiuotas dazatinibo ir imatinibo grupių pacientų 60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PFS RODIKLIS buvo vienodas - 88,9</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84</w:t>
      </w:r>
      <w:r w:rsidR="0018710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92,4</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Transformaciją į akceleruotą ar blastų fazę per 60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patyrė mažiau dazatinibu (n</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8, t.y. 3</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negu imatinibu (n</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15, t.y. 5,8</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gydytų pacientų. Apskaičiuota 60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išgyvenusių dazatinibu gydytų pacientų dalis buvo 90,9</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86,6</w:t>
      </w:r>
      <w:r w:rsidR="0018710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93,8</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imatinibu gydytų - 89,6</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- 85,2</w:t>
      </w:r>
      <w:r w:rsidR="0018710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92,8</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Dazatinibo ir imatinibo vartojusių pacientų OS (RS 1,01, 95</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0,58</w:t>
      </w:r>
      <w:r w:rsidR="0018710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1,73, p</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0,9800) ir PFS (RS 1,00, 95</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0,58</w:t>
      </w:r>
      <w:r w:rsidR="0018710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 ,72, p</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0,9998) nesiskyrė.</w:t>
      </w:r>
    </w:p>
    <w:p w14:paraId="1E0A58C2"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DFBD1B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Pacientams, kuriems nustatytas ligos progresavimas, arba kurie nutraukė gydymą dazatinibu ar imatinibu, ir kurių kraujo mėginiai buvo turimi, atliktas šių mėginių tyrimas BCR-ABL sekai nustatyti. Abiejų grupių pacientams mutacijų rasta panašiu dažnumu. Dazatinibo vartojusiems pacientams aptikta T315I, F317I/L ir V299L mutacijų. Kitokio spektro mutacijų aptikta imatinibu gydytiems pacientams. Remiantis </w:t>
      </w:r>
      <w:r w:rsidRPr="001D3C3D">
        <w:rPr>
          <w:rFonts w:ascii="Times New Roman" w:eastAsia="SimSun" w:hAnsi="Times New Roman" w:cs="Times New Roman"/>
          <w:i/>
          <w:iCs/>
          <w:color w:val="000000"/>
          <w:lang w:eastAsia="ar-SA"/>
        </w:rPr>
        <w:t>in vitro</w:t>
      </w:r>
      <w:r w:rsidRPr="001D3C3D">
        <w:rPr>
          <w:rFonts w:ascii="Times New Roman" w:eastAsia="SimSun" w:hAnsi="Times New Roman" w:cs="Times New Roman"/>
          <w:iCs/>
          <w:color w:val="000000"/>
          <w:lang w:eastAsia="ar-SA"/>
        </w:rPr>
        <w:t xml:space="preserve"> duomenimis, dėl T3151 mutacijos dazatinibas turėtų būti neveiksmingas. </w:t>
      </w:r>
    </w:p>
    <w:p w14:paraId="10A9E92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1630896"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u w:val="single"/>
          <w:lang w:eastAsia="ar-SA"/>
        </w:rPr>
        <w:t>LML lėtinė fazė (atsparumas ankstesniam gydymui imatinibu jo netoleravimas)</w:t>
      </w:r>
    </w:p>
    <w:p w14:paraId="2F4D46E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Su imatinibui atspariais arba jo netoleruojančiais pacientais atlikti 2 klinikiniai tyrimai, kurių metu gydymo veiksmingumo pagrindinė vertinamoji baigtis buvo didysis citogenetinis atsakas (MCyR, angl. </w:t>
      </w:r>
      <w:r w:rsidRPr="001D3C3D">
        <w:rPr>
          <w:rFonts w:ascii="Times New Roman" w:eastAsia="SimSun" w:hAnsi="Times New Roman" w:cs="Times New Roman"/>
          <w:i/>
          <w:iCs/>
          <w:color w:val="000000"/>
          <w:lang w:eastAsia="ar-SA"/>
        </w:rPr>
        <w:t>Major Cytogenetic Response</w:t>
      </w:r>
      <w:r w:rsidRPr="001D3C3D">
        <w:rPr>
          <w:rFonts w:ascii="Times New Roman" w:eastAsia="SimSun" w:hAnsi="Times New Roman" w:cs="Times New Roman"/>
          <w:iCs/>
          <w:color w:val="000000"/>
          <w:lang w:eastAsia="ar-SA"/>
        </w:rPr>
        <w:t>).</w:t>
      </w:r>
    </w:p>
    <w:p w14:paraId="42A5A85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836FF32"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1-asis tyrimas</w:t>
      </w:r>
    </w:p>
    <w:p w14:paraId="20E8FDDA" w14:textId="09C84B95"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Atviras, atsitiktinės atrankos, nepalyginamasis daugiacentris tyrimas atliktas su pacientais, kuriems pradinis gydymas 400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arba 600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imatinibo doze buvo neveiksmingas. Jie buvo atsitiktinės atrankos būdu priskirti (2:1) vartoti dazatinibo (po 70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2</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arba imatinibo (po 400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2</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Perėjimas į kitą gydymo grupę buvo leidžiamas nustačius ligos progresavimą arba vaistinio preparato netoleravimą, kurio nebuvo galima sureguliuoti modifikuojant dozę. Pagrindinė gydymo veiksmingumo vertinamoji baigtis buvo MCyR po 12</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savaičių. Turimi 150</w:t>
      </w:r>
      <w:r w:rsidR="0018710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pacientų stebėjimo duomenys: 101 pacientas buvo atsitiktinai parinktas vartoti dazatinibo, 49 - imatinibo (imatinibui buvo atspari visų pacientų liga). Laikotarpio nuo diagnozės nustatyto iki įtraukimo atsitiktinės atrankos būdu į vieną iš grupių mediana dazatinibo grupės pacientams buvo 64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imatinibo – 52</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mėnesiai. </w:t>
      </w:r>
    </w:p>
    <w:p w14:paraId="255F621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7441581" w14:textId="447BAB8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lastRenderedPageBreak/>
        <w:t xml:space="preserve">Visi pacientai iki tol buvo ekstensyviai gydyti. Visiškas hematologinis atsakas (CHR, angl. </w:t>
      </w:r>
      <w:r w:rsidRPr="001D3C3D">
        <w:rPr>
          <w:rFonts w:ascii="Times New Roman" w:eastAsia="SimSun" w:hAnsi="Times New Roman" w:cs="Times New Roman"/>
          <w:i/>
          <w:iCs/>
          <w:color w:val="000000"/>
          <w:lang w:eastAsia="ar-SA"/>
        </w:rPr>
        <w:t>complete haematologic response</w:t>
      </w:r>
      <w:r w:rsidRPr="001D3C3D">
        <w:rPr>
          <w:rFonts w:ascii="Times New Roman" w:eastAsia="SimSun" w:hAnsi="Times New Roman" w:cs="Times New Roman"/>
          <w:iCs/>
          <w:color w:val="000000"/>
          <w:lang w:eastAsia="ar-SA"/>
        </w:rPr>
        <w:t>) imatinibui anksčiau buvo pasiektas 93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visos pacientų populiacijos. MCyR anksčiau buvo pasiektas 28</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į imatinibo grupę ir 29</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į dazatinibo grupę įtrauktų pacientų.</w:t>
      </w:r>
    </w:p>
    <w:p w14:paraId="69F9D253" w14:textId="3C2DBF6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Gydymo dazatinibu trukmės mediana buvo 23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(iki įvertinimo datos 44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vartojo vaistinio preparato ilgiau kaip 24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mėnesius), imatinibo – 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(iki įvertinimo datos 10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vartojo vaistinio preparato ilgiau kaip 24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mėnesius). Iki vaistinio preparato kryžminio keitimo visiškas hematologinis atsakas pasireiškė 93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dazatinibo grupės ir 82</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grupės pacientų.</w:t>
      </w:r>
    </w:p>
    <w:p w14:paraId="3006998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83CFF61" w14:textId="0334209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Po 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 MCyR dažniau nustatytas dazatinibo grupės pacientams (36</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negu imatinibo (29</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Visiškas citogenetinis atsakas (CCyR) pasireiškė 22</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dazatinibo grupės ir tik 8</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imatinibo grupės pacientų. Po ilgesnio gydymo ir stebėjimo laikotarpio (jo mediana </w:t>
      </w:r>
      <w:r w:rsidR="003C5609">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24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MCyR pasireiškė 53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dazatinibo (CCyR </w:t>
      </w:r>
      <w:r w:rsidR="003C5609">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44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33</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vartojusių pacientų (CCyR – 18</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iki vaistinio preparato kryžminio keitimo. Skaičiuojant tik tuos pacientus, kurie iki įtraukimo į šį tyrimą vartojo 400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imatinibo dozę, MCyR pasireiškė 61</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dazatinibo grupės ir 50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grupės pacientų.</w:t>
      </w:r>
    </w:p>
    <w:p w14:paraId="271DE137" w14:textId="2CB72A84"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Apskaičiavus </w:t>
      </w:r>
      <w:r w:rsidRPr="001D3C3D">
        <w:rPr>
          <w:rFonts w:ascii="Times New Roman" w:eastAsia="SimSun" w:hAnsi="Times New Roman" w:cs="Times New Roman"/>
          <w:i/>
          <w:iCs/>
          <w:color w:val="000000"/>
          <w:lang w:eastAsia="ar-SA"/>
        </w:rPr>
        <w:t>Kaplan-Meier</w:t>
      </w:r>
      <w:r w:rsidRPr="001D3C3D">
        <w:rPr>
          <w:rFonts w:ascii="Times New Roman" w:eastAsia="SimSun" w:hAnsi="Times New Roman" w:cs="Times New Roman"/>
          <w:iCs/>
          <w:color w:val="000000"/>
          <w:lang w:eastAsia="ar-SA"/>
        </w:rPr>
        <w:t xml:space="preserve"> metodu, pacientų, kuriems MCyR išliko 1</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dalis tarp vartojusių dazatinibo buvo 92</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85</w:t>
      </w:r>
      <w:r w:rsidR="003C5609">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(CCyR 97</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92</w:t>
      </w:r>
      <w:r w:rsidR="003C5609">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tarp vartojusių imatinibo – 74</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49</w:t>
      </w:r>
      <w:r w:rsidR="003C5609">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(CCyR 100</w:t>
      </w:r>
      <w:r w:rsidR="003C560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kuriems MCyR išliko 18</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 dalis tarp vartojusių dazatinibo buvo 90</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82</w:t>
      </w:r>
      <w:r w:rsidR="0036622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98</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(CCyR 94</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87</w:t>
      </w:r>
      <w:r w:rsidR="0036622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tarp vartojusių imatinibo – 74</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49</w:t>
      </w:r>
      <w:r w:rsidR="0036622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(CCyR – 100</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4055BE9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47C945F" w14:textId="2305B2E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Apskaičiavus </w:t>
      </w:r>
      <w:r w:rsidRPr="001D3C3D">
        <w:rPr>
          <w:rFonts w:ascii="Times New Roman" w:eastAsia="SimSun" w:hAnsi="Times New Roman" w:cs="Times New Roman"/>
          <w:i/>
          <w:iCs/>
          <w:color w:val="000000"/>
          <w:lang w:eastAsia="ar-SA"/>
        </w:rPr>
        <w:t>Kaplan-Meier</w:t>
      </w:r>
      <w:r w:rsidRPr="001D3C3D">
        <w:rPr>
          <w:rFonts w:ascii="Times New Roman" w:eastAsia="SimSun" w:hAnsi="Times New Roman" w:cs="Times New Roman"/>
          <w:iCs/>
          <w:color w:val="000000"/>
          <w:lang w:eastAsia="ar-SA"/>
        </w:rPr>
        <w:t xml:space="preserve"> metodu, pacientų, kurie ligai neprogresuojant išgyveno bent 1</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dalis tarp vartojusių dazatinibo buvo 91</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366226">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85</w:t>
      </w:r>
      <w:r w:rsidR="0036622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97</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tarp vartojusių imatinibo – 73</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366226">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54</w:t>
      </w:r>
      <w:r w:rsidR="0036622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91</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kurie ligai neprogresuojant išgyveno bent 2</w:t>
      </w:r>
      <w:r w:rsidR="0036622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dalis tarp vartojusių dazatinibo buvo 86</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78</w:t>
      </w:r>
      <w:r w:rsidR="008B458E">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93</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tarp vartojusių imatinibo – 65</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8B458E">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43</w:t>
      </w:r>
      <w:r w:rsidR="008B458E">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87</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2A54D63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3AB677C" w14:textId="2BE08EF2"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Iš viso 43</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dazatinibo grupės ir 82</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grupės pacientų gydymo nepakankamumas, apibūdinamas kaip ligos progresavimas arba paciento perkėlimas į tyrimo kryžminę grupę (dėl atsako nebuvimo, tiriamojo vaistinio preparato netoleravimo ir kt. priežasčių).</w:t>
      </w:r>
    </w:p>
    <w:p w14:paraId="31ADAF8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F349434" w14:textId="1C9B7CB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Didžiojo molekulinio atsako dažnis (angl. </w:t>
      </w:r>
      <w:r w:rsidRPr="001D3C3D">
        <w:rPr>
          <w:rFonts w:ascii="Times New Roman" w:eastAsia="SimSun" w:hAnsi="Times New Roman" w:cs="Times New Roman"/>
          <w:i/>
          <w:iCs/>
          <w:color w:val="000000"/>
          <w:lang w:eastAsia="ar-SA"/>
        </w:rPr>
        <w:t>major molecular response</w:t>
      </w:r>
      <w:r w:rsidRPr="001D3C3D">
        <w:rPr>
          <w:rFonts w:ascii="Times New Roman" w:eastAsia="SimSun" w:hAnsi="Times New Roman" w:cs="Times New Roman"/>
          <w:iCs/>
          <w:color w:val="000000"/>
          <w:lang w:eastAsia="ar-SA"/>
        </w:rPr>
        <w:t>) (apibūdinamas kaip BCR-ABL ir kontrolinių kopijų santykis periferinio kraujo mėginiuose RQ-PCR metodu ≤</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0,1</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iki kryžminio vaistinio preparato keitimo buvo 29</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vartojant dazatinibo ir 12</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vartojant imatinibo.</w:t>
      </w:r>
    </w:p>
    <w:p w14:paraId="4F2682E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377D27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2–asis tyrimas</w:t>
      </w:r>
    </w:p>
    <w:p w14:paraId="76D23289" w14:textId="4B10E7A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Atviras vienos grupės daugiacentris tyrimas, kuriame dalyvavę pacientai sirgo imatinibui atsparia liga arba jo netoleravo (t.</w:t>
      </w:r>
      <w:r w:rsidR="006B27FA">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y. pacientai, kuriems reikšmingas toksiškumas, pasireiškęs gydymo imatinibu metu, sukliudė tęsti šį gydymą).</w:t>
      </w:r>
    </w:p>
    <w:p w14:paraId="78E9B604" w14:textId="46B6E4D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Iš viso 387 pacientai vartojo po 70</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2</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(288 pacientų liga buvo atspari imatinibui, 99 pacientai šio vaistinio preparato netoleravo). Laiko nuo diagnozės nustatymo iki gydymo pradžios mediana buvo 61</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Dauguma (53</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tol imatinibo vartojo ilgiau kaip 3</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Dauguma pacientų, kuriems pasireiškė atsparumas (72</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vartojo &gt;</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600</w:t>
      </w:r>
      <w:r w:rsidR="008B458E">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imatinibo. Anksčiau kartu su imatinibu 35</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taikyta citotoksinė chemoterapija, 65</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vartojo interferoną, 10</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buvo persodinta kamieninių ląstelių. 38</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gydymo buvo nustatyta atsparumą imatinibui lemiančių mutacijų. Dazatinibo vartojimo trukmės mediana buvo 24</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51</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įvertinimo datos gydyti ilgiau kaip 24</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Veiksmingumo duomenys pateikti 7</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lentelėje. MCyR pasireiškė 55</w:t>
      </w:r>
      <w:r w:rsidR="009E652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sirgusių imatinibui atsparia ligos forma, ir 82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netoleravusių pacientų. Per vėlesnį bent 24</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trukmės stebėjimo laikotarpį liga progresavo ir MCyR trukmės medianos nebuvo pasiekta 21 iš 240 pacientų, kuriems pasireiškė MCyR.</w:t>
      </w:r>
    </w:p>
    <w:p w14:paraId="38F8A83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65A546C" w14:textId="4AB9A00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Apskaičiavus </w:t>
      </w:r>
      <w:r w:rsidRPr="001D3C3D">
        <w:rPr>
          <w:rFonts w:ascii="Times New Roman" w:eastAsia="SimSun" w:hAnsi="Times New Roman" w:cs="Times New Roman"/>
          <w:i/>
          <w:iCs/>
          <w:color w:val="000000"/>
          <w:lang w:eastAsia="ar-SA"/>
        </w:rPr>
        <w:t>Kaplan-Meier</w:t>
      </w:r>
      <w:r w:rsidRPr="001D3C3D">
        <w:rPr>
          <w:rFonts w:ascii="Times New Roman" w:eastAsia="SimSun" w:hAnsi="Times New Roman" w:cs="Times New Roman"/>
          <w:iCs/>
          <w:color w:val="000000"/>
          <w:lang w:eastAsia="ar-SA"/>
        </w:rPr>
        <w:t xml:space="preserve"> metodu,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924D65">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92</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98</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MCyR išliko bent 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88</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924D65">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83</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93</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 bent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Pacientų, kuriems CCyR išliko bent 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dalis buvo 97</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 </w:t>
      </w:r>
      <w:r w:rsidRPr="001D3C3D">
        <w:rPr>
          <w:rFonts w:ascii="Times New Roman" w:eastAsia="SimSun" w:hAnsi="Times New Roman" w:cs="Times New Roman"/>
          <w:iCs/>
          <w:color w:val="000000"/>
          <w:lang w:eastAsia="ar-SA"/>
        </w:rPr>
        <w:lastRenderedPageBreak/>
        <w:t>94</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99</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bent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 90</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atsparia ligos forma (jiems anksčiau vartojus imatinibą MCyR nepasireiškė, n</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188), vartojant dazatinibo pasireiškė MCyR.</w:t>
      </w:r>
    </w:p>
    <w:p w14:paraId="4265722D" w14:textId="6C17CAB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38</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į šį tyrimą įtrauktų pacientų buvo nustatytos 45 įvairios BCR-ABL mutacijos. Visiškas hematologinis atsakas ar MCyR pasireiškė pacientams, kuriems nustatyta įvairių BCR-ABL mutacijų, susijusių su atsparumu imatinibui, išskyrus T315I. Pacientams, kuriems iki gydymo buvo aptikta BCRABL mutacijų, P-kilpos mutacijų ir kuriems mutacijų nerasta, MCyR dažnis po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metų buvo panašus (atitinkamai 63</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61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62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48D9F20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C25D90B" w14:textId="14DC3E4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Imatinibui atsparia ligos forma sirgusių pacientų, kurie ligai neprogresuojant išgyveno bent 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apskaičiuotoji dalis buvo 88</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84</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bent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 75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69</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81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netoleravusių pacientų, kurie ligai neprogresuojant išgyveno bent 1</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apskaičiuotoji dalis buvo 98</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924D65">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95</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100</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bent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 94</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pasikliautinasis intervalas </w:t>
      </w:r>
      <w:r w:rsidR="00924D65">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88</w:t>
      </w:r>
      <w:r w:rsidR="00924D6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99</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03045C2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9511AD0" w14:textId="027A06FB"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Didžiojo molekulinio atsako dažnis po 24</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buvo 45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(imatinibui atsparia ligos forma sergantiems pacientams – 35</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imatinibo netoleruojantiems – 74</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177E900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D69488B"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u w:val="single"/>
          <w:lang w:eastAsia="ar-SA"/>
        </w:rPr>
        <w:t>LML akceleracijos fazė</w:t>
      </w:r>
    </w:p>
    <w:p w14:paraId="7B10E611" w14:textId="4F2C6F0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Atliktas atviras vienos grupės daugiacentrinis tyrimas, kuriame dalyvavę pacientai netoleruoja imatinibo arba serga jam atsparia liga. Iš viso 174 pacientai vartojo po 70</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2</w:t>
      </w:r>
      <w:r w:rsidR="00924D6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(161 liga buvo atspari imatinibui, 13 šio vaistinio preparato netoleravo). Laiko nuo diagnozės nustatymo iki gydymo pradžios mediana buvo 82</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Dazatinibo vartojimo trukmės mediana buvo 14</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31</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įvertinimo datos gydyti ilgiau kaip 24</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Didžiojo molekulinio atsako dažnis po 24</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buvo 46</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(nustatytas 41</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pacientui, kuriam pasireiškė CCyR). Kiti veiksmingumo duomenys pateikti </w:t>
      </w:r>
      <w:r w:rsidR="00A40691">
        <w:rPr>
          <w:rFonts w:ascii="Times New Roman" w:eastAsia="SimSun" w:hAnsi="Times New Roman" w:cs="Times New Roman"/>
          <w:iCs/>
          <w:color w:val="000000"/>
          <w:lang w:eastAsia="ar-SA"/>
        </w:rPr>
        <w:t>11</w:t>
      </w:r>
      <w:r w:rsidR="000379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lentelėje.</w:t>
      </w:r>
    </w:p>
    <w:p w14:paraId="525717D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23A1161"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u w:val="single"/>
          <w:lang w:eastAsia="ar-SA"/>
        </w:rPr>
        <w:t>LML mieloidinių blastų fazė</w:t>
      </w:r>
    </w:p>
    <w:p w14:paraId="38B9AF9F" w14:textId="1356566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1D3C3D">
        <w:rPr>
          <w:rFonts w:ascii="Times New Roman" w:eastAsia="SimSun" w:hAnsi="Times New Roman" w:cs="Times New Roman"/>
          <w:iCs/>
          <w:color w:val="000000"/>
          <w:lang w:eastAsia="ar-SA"/>
        </w:rPr>
        <w:t>Atliktas atviras vienos grupės daugiacentrinis tyrimas, kuriame dalyvavę pacientai netoleruoja imatinibo arba serga jam atsparia liga. Iš viso 109</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pacientai vartojo po 70</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2</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(99 liga buvo atspari imatinibui, 10 šio vaistinio preparato netoleravo). Laiko nuo diagnozės nustatymo iki gydymo pradžios mediana buvo 48</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Dazatinibo vartojimo trukmės mediana buvo 3,5</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12</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įvertinimo datos gydyti ilgiau kaip 24</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Didžiojo molekulinio atsako dažnis po 24</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buvo 68</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(nustatytas 19 pacientų, kuriems pasireiškė CCyR). Kiti veiksmingumo duomenys pateikti 11</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lentelėje.</w:t>
      </w:r>
    </w:p>
    <w:p w14:paraId="46934A7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p>
    <w:p w14:paraId="1B9D948C"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u w:val="single"/>
          <w:lang w:eastAsia="ar-SA"/>
        </w:rPr>
        <w:t>Limfoidinių blastų fazės LML ir Ph+ ŪLL</w:t>
      </w:r>
    </w:p>
    <w:p w14:paraId="0758915C" w14:textId="7ECDFFE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Atliktas atviras vienos grupės daugiacentrinis tyrimas su LML limfoidinių blastų faze ir Ph+ ŪLL sergančiais pacientais, kurie anksčiau netoleravo imatinibo arba sirgo jam atsparia liga. Iš viso 48 pacientai, sergantys LML limfoidinių blastų faze, vartojo po 70</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2</w:t>
      </w:r>
      <w:r w:rsidR="00CD680F">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(42 liga buvo atspari imatinibui, 6 šio vaistinio preparato netoleravo). Laiko nuo diagnozės nustatymo iki gydymo pradžios mediana buvo 28</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Dazatinibo vartojimo trukmės mediana buvo 3</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2</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įvertinimo datos gydyti ilgiau kaip 24</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Didžiojo molekulinio atsako dažnis po 24</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buvo 50</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(nustatytas visiems 22 gydytiems pacientams, kuriems pasireiškė CCyR). Be to, po 70</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2</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vartojo 46 Ph+ ŪLL sirgę pacientai (44 liga buvo atspari imatinibui, 2 šio vaistinio preparato netoleravo). Laiko nuo diagnozės nustatymo iki gydymo pradžios mediana buvo 18</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 Dazatinibo vartojimo trukmės mediana buvo 3</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7</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pacientų iki įvertinimo datos gydyti ilgiau kaip 24</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mėnesius. Didžiojo molekulinio atsako dažnis po 24</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 buvo 52</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(nustatytas visiems 25 gydytiems pacientams, kuriems pasireiškė CCyR). Kiti veiksmingumo duomenys pateikti 11</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lentelėje. Pastebėtina, kad didysis hematologinis atsakas (MaHR) pasireikšdavo greitai (LML limfoidinių blastų faze sergantiems pacientams dažniausiai per 35</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dienas, sergantiems Ph+ ŪLL – per 55</w:t>
      </w:r>
      <w:r w:rsidR="00B12CD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dienas po pirmojo dazatinibo pavartojimo). </w:t>
      </w:r>
    </w:p>
    <w:p w14:paraId="6BCD295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8B90F22" w14:textId="3FDF5D3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iCs/>
          <w:color w:val="000000"/>
          <w:lang w:eastAsia="ar-SA"/>
        </w:rPr>
        <w:t>11</w:t>
      </w:r>
      <w:r w:rsidR="00B12CD6">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xml:space="preserve">lentelė. </w:t>
      </w:r>
      <w:r w:rsidRPr="001D3C3D">
        <w:rPr>
          <w:rFonts w:ascii="Times New Roman" w:eastAsia="SimSun" w:hAnsi="Times New Roman" w:cs="Times New Roman"/>
          <w:b/>
          <w:iCs/>
          <w:color w:val="000000"/>
          <w:lang w:eastAsia="ar-SA"/>
        </w:rPr>
        <w:tab/>
        <w:t>Dazatinibo veiksmingumas II fazės vienos grupės klinikinių tyrimų metu</w:t>
      </w:r>
      <w:r w:rsidRPr="001D3C3D">
        <w:rPr>
          <w:rFonts w:ascii="Times New Roman" w:eastAsia="SimSun" w:hAnsi="Times New Roman" w:cs="Times New Roman"/>
          <w:b/>
          <w:iCs/>
          <w:color w:val="000000"/>
          <w:vertAlign w:val="superscript"/>
          <w:lang w:eastAsia="ar-SA"/>
        </w:rPr>
        <w:t>a</w:t>
      </w:r>
    </w:p>
    <w:p w14:paraId="2E865B4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tbl>
      <w:tblPr>
        <w:tblW w:w="0" w:type="auto"/>
        <w:tblInd w:w="117" w:type="dxa"/>
        <w:tblLayout w:type="fixed"/>
        <w:tblCellMar>
          <w:left w:w="0" w:type="dxa"/>
          <w:right w:w="0" w:type="dxa"/>
        </w:tblCellMar>
        <w:tblLook w:val="0000" w:firstRow="0" w:lastRow="0" w:firstColumn="0" w:lastColumn="0" w:noHBand="0" w:noVBand="0"/>
      </w:tblPr>
      <w:tblGrid>
        <w:gridCol w:w="2007"/>
        <w:gridCol w:w="1397"/>
        <w:gridCol w:w="1296"/>
        <w:gridCol w:w="469"/>
        <w:gridCol w:w="947"/>
        <w:gridCol w:w="1513"/>
        <w:gridCol w:w="1396"/>
      </w:tblGrid>
      <w:tr w:rsidR="00ED7DC3" w:rsidRPr="001D3C3D" w14:paraId="11AB87D2" w14:textId="77777777" w:rsidTr="0036275F">
        <w:trPr>
          <w:trHeight w:hRule="exact" w:val="794"/>
        </w:trPr>
        <w:tc>
          <w:tcPr>
            <w:tcW w:w="2007" w:type="dxa"/>
            <w:tcBorders>
              <w:top w:val="single" w:sz="4" w:space="0" w:color="000000"/>
            </w:tcBorders>
            <w:shd w:val="clear" w:color="auto" w:fill="auto"/>
          </w:tcPr>
          <w:p w14:paraId="73696B8A"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c>
          <w:tcPr>
            <w:tcW w:w="1397" w:type="dxa"/>
            <w:tcBorders>
              <w:top w:val="single" w:sz="4" w:space="0" w:color="000000"/>
            </w:tcBorders>
            <w:shd w:val="clear" w:color="auto" w:fill="auto"/>
          </w:tcPr>
          <w:p w14:paraId="2E4F93C8"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Lėtinė</w:t>
            </w:r>
          </w:p>
          <w:p w14:paraId="3DE522DE" w14:textId="77080395"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387)</w:t>
            </w:r>
          </w:p>
        </w:tc>
        <w:tc>
          <w:tcPr>
            <w:tcW w:w="1296" w:type="dxa"/>
            <w:tcBorders>
              <w:top w:val="single" w:sz="4" w:space="0" w:color="000000"/>
            </w:tcBorders>
            <w:shd w:val="clear" w:color="auto" w:fill="auto"/>
          </w:tcPr>
          <w:p w14:paraId="1A7775DE"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Akceleracijos</w:t>
            </w:r>
          </w:p>
          <w:p w14:paraId="73F1899B" w14:textId="097E6DF5"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174)</w:t>
            </w:r>
          </w:p>
        </w:tc>
        <w:tc>
          <w:tcPr>
            <w:tcW w:w="1416" w:type="dxa"/>
            <w:gridSpan w:val="2"/>
            <w:tcBorders>
              <w:top w:val="single" w:sz="4" w:space="0" w:color="000000"/>
            </w:tcBorders>
            <w:shd w:val="clear" w:color="auto" w:fill="auto"/>
          </w:tcPr>
          <w:p w14:paraId="1438F5D9"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Mieloidinių blastų</w:t>
            </w:r>
          </w:p>
          <w:p w14:paraId="683C4718" w14:textId="524D092C"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109)</w:t>
            </w:r>
          </w:p>
        </w:tc>
        <w:tc>
          <w:tcPr>
            <w:tcW w:w="1513" w:type="dxa"/>
            <w:tcBorders>
              <w:top w:val="single" w:sz="4" w:space="0" w:color="000000"/>
            </w:tcBorders>
            <w:shd w:val="clear" w:color="auto" w:fill="auto"/>
          </w:tcPr>
          <w:p w14:paraId="6B804593"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Limfoidinių blastų</w:t>
            </w:r>
          </w:p>
          <w:p w14:paraId="32F9FAC9" w14:textId="7065CD86"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48)</w:t>
            </w:r>
          </w:p>
        </w:tc>
        <w:tc>
          <w:tcPr>
            <w:tcW w:w="1396" w:type="dxa"/>
            <w:tcBorders>
              <w:top w:val="single" w:sz="4" w:space="0" w:color="000000"/>
            </w:tcBorders>
            <w:shd w:val="clear" w:color="auto" w:fill="auto"/>
          </w:tcPr>
          <w:p w14:paraId="3B16B787"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Ph+ ŪLL</w:t>
            </w:r>
          </w:p>
          <w:p w14:paraId="718B8CF5" w14:textId="0C8A8724"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(n</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B12CD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46)</w:t>
            </w:r>
          </w:p>
        </w:tc>
      </w:tr>
      <w:tr w:rsidR="00ED7DC3" w:rsidRPr="001D3C3D" w14:paraId="032E4EDC" w14:textId="77777777" w:rsidTr="0036275F">
        <w:trPr>
          <w:trHeight w:hRule="exact" w:val="383"/>
        </w:trPr>
        <w:tc>
          <w:tcPr>
            <w:tcW w:w="5169" w:type="dxa"/>
            <w:gridSpan w:val="4"/>
            <w:tcBorders>
              <w:top w:val="single" w:sz="4" w:space="0" w:color="000000"/>
            </w:tcBorders>
            <w:shd w:val="clear" w:color="auto" w:fill="auto"/>
          </w:tcPr>
          <w:p w14:paraId="7C863DA8"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Hematologinio atsako dažnis</w:t>
            </w:r>
            <w:r w:rsidRPr="001D3C3D">
              <w:rPr>
                <w:rFonts w:ascii="Times New Roman" w:eastAsia="Times New Roman" w:hAnsi="Times New Roman" w:cs="Times New Roman"/>
                <w:b/>
                <w:bCs/>
                <w:color w:val="000000"/>
                <w:spacing w:val="1"/>
                <w:vertAlign w:val="superscript"/>
                <w:lang w:eastAsia="ar-SA"/>
              </w:rPr>
              <w:t>b</w:t>
            </w:r>
            <w:r w:rsidRPr="001D3C3D">
              <w:rPr>
                <w:rFonts w:ascii="Times New Roman" w:eastAsia="Times New Roman" w:hAnsi="Times New Roman" w:cs="Times New Roman"/>
                <w:b/>
                <w:bCs/>
                <w:color w:val="000000"/>
                <w:spacing w:val="1"/>
                <w:lang w:eastAsia="ar-SA"/>
              </w:rPr>
              <w:t xml:space="preserve"> (%)</w:t>
            </w:r>
          </w:p>
        </w:tc>
        <w:tc>
          <w:tcPr>
            <w:tcW w:w="3856" w:type="dxa"/>
            <w:gridSpan w:val="3"/>
            <w:shd w:val="clear" w:color="auto" w:fill="auto"/>
          </w:tcPr>
          <w:p w14:paraId="44F842FA"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467BDA94" w14:textId="77777777" w:rsidTr="0036275F">
        <w:trPr>
          <w:trHeight w:hRule="exact" w:val="969"/>
        </w:trPr>
        <w:tc>
          <w:tcPr>
            <w:tcW w:w="2007" w:type="dxa"/>
            <w:tcBorders>
              <w:top w:val="single" w:sz="4" w:space="0" w:color="000000"/>
            </w:tcBorders>
            <w:shd w:val="clear" w:color="auto" w:fill="auto"/>
          </w:tcPr>
          <w:p w14:paraId="2293FFD4" w14:textId="396F347D" w:rsidR="00ED7DC3" w:rsidRPr="001D3C3D" w:rsidRDefault="00ED7DC3" w:rsidP="00ED7DC3">
            <w:pPr>
              <w:widowControl w:val="0"/>
              <w:suppressAutoHyphens/>
              <w:spacing w:after="0" w:line="240" w:lineRule="auto"/>
              <w:ind w:left="57" w:hanging="32"/>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1"/>
                <w:lang w:eastAsia="ar-SA"/>
              </w:rPr>
              <w:t>Ma</w:t>
            </w:r>
            <w:r w:rsidRPr="001D3C3D">
              <w:rPr>
                <w:rFonts w:ascii="Times New Roman" w:eastAsia="Times New Roman" w:hAnsi="Times New Roman" w:cs="Times New Roman"/>
                <w:color w:val="000000"/>
                <w:lang w:eastAsia="ar-SA"/>
              </w:rPr>
              <w:t xml:space="preserve">HR </w:t>
            </w:r>
            <w:r w:rsidRPr="001D3C3D">
              <w:rPr>
                <w:rFonts w:ascii="Times New Roman" w:eastAsia="Times New Roman" w:hAnsi="Times New Roman" w:cs="Times New Roman"/>
                <w:color w:val="000000"/>
                <w:spacing w:val="-1"/>
                <w:lang w:eastAsia="ar-SA"/>
              </w:rPr>
              <w:t>(</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5</w:t>
            </w:r>
            <w:r w:rsidR="00B12CD6">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PI</w:t>
            </w:r>
            <w:r w:rsidRPr="001D3C3D">
              <w:rPr>
                <w:rFonts w:ascii="Times New Roman" w:eastAsia="Times New Roman" w:hAnsi="Times New Roman" w:cs="Times New Roman"/>
                <w:color w:val="000000"/>
                <w:lang w:eastAsia="ar-SA"/>
              </w:rPr>
              <w:t xml:space="preserve">) </w:t>
            </w:r>
          </w:p>
          <w:p w14:paraId="22CA1A72" w14:textId="7A3D7307" w:rsidR="00ED7DC3" w:rsidRPr="001D3C3D" w:rsidRDefault="00ED7DC3" w:rsidP="00ED7DC3">
            <w:pPr>
              <w:widowControl w:val="0"/>
              <w:suppressAutoHyphens/>
              <w:spacing w:after="0" w:line="240" w:lineRule="auto"/>
              <w:ind w:left="57" w:hanging="32"/>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CHR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5</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PI)</w:t>
            </w:r>
          </w:p>
          <w:p w14:paraId="3E655B42" w14:textId="2272C8A8" w:rsidR="00ED7DC3" w:rsidRPr="001D3C3D" w:rsidRDefault="00ED7DC3" w:rsidP="00ED7DC3">
            <w:pPr>
              <w:widowControl w:val="0"/>
              <w:suppressAutoHyphens/>
              <w:spacing w:after="0" w:line="240" w:lineRule="auto"/>
              <w:ind w:left="57" w:hanging="32"/>
              <w:jc w:val="center"/>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position w:val="-9"/>
                <w:lang w:eastAsia="ar-SA"/>
              </w:rPr>
              <w:t xml:space="preserve">NEL </w:t>
            </w:r>
            <w:r w:rsidRPr="001D3C3D">
              <w:rPr>
                <w:rFonts w:ascii="Times New Roman" w:eastAsia="Times New Roman" w:hAnsi="Times New Roman" w:cs="Times New Roman"/>
                <w:color w:val="000000"/>
                <w:spacing w:val="-1"/>
                <w:position w:val="-9"/>
                <w:lang w:eastAsia="ar-SA"/>
              </w:rPr>
              <w:t>(</w:t>
            </w:r>
            <w:r w:rsidRPr="001D3C3D">
              <w:rPr>
                <w:rFonts w:ascii="Times New Roman" w:eastAsia="Times New Roman" w:hAnsi="Times New Roman" w:cs="Times New Roman"/>
                <w:color w:val="000000"/>
                <w:position w:val="-9"/>
                <w:lang w:eastAsia="ar-SA"/>
              </w:rPr>
              <w:t>95</w:t>
            </w:r>
            <w:r w:rsidR="00B12CD6">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position w:val="-9"/>
                <w:lang w:eastAsia="ar-SA"/>
              </w:rPr>
              <w:t>%</w:t>
            </w:r>
            <w:r w:rsidRPr="001D3C3D">
              <w:rPr>
                <w:rFonts w:ascii="Times New Roman" w:eastAsia="Times New Roman" w:hAnsi="Times New Roman" w:cs="Times New Roman"/>
                <w:color w:val="000000"/>
                <w:spacing w:val="-1"/>
                <w:position w:val="-9"/>
                <w:lang w:eastAsia="ar-SA"/>
              </w:rPr>
              <w:t xml:space="preserve"> </w:t>
            </w:r>
            <w:r w:rsidRPr="001D3C3D">
              <w:rPr>
                <w:rFonts w:ascii="Times New Roman" w:eastAsia="Times New Roman" w:hAnsi="Times New Roman" w:cs="Times New Roman"/>
                <w:color w:val="000000"/>
                <w:position w:val="-9"/>
                <w:lang w:eastAsia="ar-SA"/>
              </w:rPr>
              <w:t>P</w:t>
            </w:r>
            <w:r w:rsidRPr="001D3C3D">
              <w:rPr>
                <w:rFonts w:ascii="Times New Roman" w:eastAsia="Times New Roman" w:hAnsi="Times New Roman" w:cs="Times New Roman"/>
                <w:color w:val="000000"/>
                <w:spacing w:val="-1"/>
                <w:position w:val="-9"/>
                <w:lang w:eastAsia="ar-SA"/>
              </w:rPr>
              <w:t>I</w:t>
            </w:r>
            <w:r w:rsidRPr="001D3C3D">
              <w:rPr>
                <w:rFonts w:ascii="Times New Roman" w:eastAsia="Times New Roman" w:hAnsi="Times New Roman" w:cs="Times New Roman"/>
                <w:color w:val="000000"/>
                <w:position w:val="-9"/>
                <w:lang w:eastAsia="ar-SA"/>
              </w:rPr>
              <w:t>)</w:t>
            </w:r>
          </w:p>
        </w:tc>
        <w:tc>
          <w:tcPr>
            <w:tcW w:w="1397" w:type="dxa"/>
            <w:tcBorders>
              <w:top w:val="single" w:sz="4" w:space="0" w:color="000000"/>
            </w:tcBorders>
            <w:shd w:val="clear" w:color="auto" w:fill="auto"/>
          </w:tcPr>
          <w:p w14:paraId="516AD6A1"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spacing w:val="1"/>
                <w:lang w:eastAsia="ar-SA"/>
              </w:rPr>
              <w:t>n</w:t>
            </w:r>
            <w:r w:rsidRPr="001D3C3D">
              <w:rPr>
                <w:rFonts w:ascii="Times New Roman" w:eastAsia="Times New Roman" w:hAnsi="Times New Roman" w:cs="Times New Roman"/>
                <w:color w:val="000000"/>
                <w:lang w:eastAsia="ar-SA"/>
              </w:rPr>
              <w:t>/a</w:t>
            </w:r>
          </w:p>
          <w:p w14:paraId="0AB8CEA9" w14:textId="2888AB4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b/>
                <w:bCs/>
                <w:color w:val="000000"/>
                <w:spacing w:val="1"/>
                <w:lang w:eastAsia="ar-SA"/>
              </w:rPr>
              <w:t>91</w:t>
            </w:r>
            <w:r w:rsidR="00B12CD6">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(88</w:t>
            </w:r>
            <w:r w:rsidRPr="001D3C3D">
              <w:rPr>
                <w:rFonts w:ascii="Times New Roman" w:eastAsia="Times New Roman" w:hAnsi="Times New Roman" w:cs="Times New Roman"/>
                <w:b/>
                <w:bCs/>
                <w:color w:val="000000"/>
                <w:spacing w:val="-1"/>
                <w:lang w:eastAsia="ar-SA"/>
              </w:rPr>
              <w:t>-9</w:t>
            </w:r>
            <w:r w:rsidRPr="001D3C3D">
              <w:rPr>
                <w:rFonts w:ascii="Times New Roman" w:eastAsia="Times New Roman" w:hAnsi="Times New Roman" w:cs="Times New Roman"/>
                <w:b/>
                <w:bCs/>
                <w:color w:val="000000"/>
                <w:spacing w:val="1"/>
                <w:lang w:eastAsia="ar-SA"/>
              </w:rPr>
              <w:t>4</w:t>
            </w:r>
            <w:r w:rsidRPr="001D3C3D">
              <w:rPr>
                <w:rFonts w:ascii="Times New Roman" w:eastAsia="Times New Roman" w:hAnsi="Times New Roman" w:cs="Times New Roman"/>
                <w:b/>
                <w:bCs/>
                <w:color w:val="000000"/>
                <w:lang w:eastAsia="ar-SA"/>
              </w:rPr>
              <w:t>)</w:t>
            </w:r>
          </w:p>
          <w:p w14:paraId="6EDCD9A5"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position w:val="-9"/>
                <w:lang w:eastAsia="ar-SA"/>
              </w:rPr>
              <w:t>n/a</w:t>
            </w:r>
          </w:p>
        </w:tc>
        <w:tc>
          <w:tcPr>
            <w:tcW w:w="1296" w:type="dxa"/>
            <w:tcBorders>
              <w:top w:val="single" w:sz="4" w:space="0" w:color="000000"/>
            </w:tcBorders>
            <w:shd w:val="clear" w:color="auto" w:fill="auto"/>
          </w:tcPr>
          <w:p w14:paraId="29968E3F" w14:textId="1E1F78E5"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64</w:t>
            </w:r>
            <w:r w:rsidR="00327992">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(57</w:t>
            </w:r>
            <w:r w:rsidRPr="001D3C3D">
              <w:rPr>
                <w:rFonts w:ascii="Times New Roman" w:eastAsia="Times New Roman" w:hAnsi="Times New Roman" w:cs="Times New Roman"/>
                <w:b/>
                <w:bCs/>
                <w:color w:val="000000"/>
                <w:spacing w:val="-1"/>
                <w:lang w:eastAsia="ar-SA"/>
              </w:rPr>
              <w:t>-7</w:t>
            </w:r>
            <w:r w:rsidRPr="001D3C3D">
              <w:rPr>
                <w:rFonts w:ascii="Times New Roman" w:eastAsia="Times New Roman" w:hAnsi="Times New Roman" w:cs="Times New Roman"/>
                <w:b/>
                <w:bCs/>
                <w:color w:val="000000"/>
                <w:spacing w:val="1"/>
                <w:lang w:eastAsia="ar-SA"/>
              </w:rPr>
              <w:t>2</w:t>
            </w:r>
            <w:r w:rsidRPr="001D3C3D">
              <w:rPr>
                <w:rFonts w:ascii="Times New Roman" w:eastAsia="Times New Roman" w:hAnsi="Times New Roman" w:cs="Times New Roman"/>
                <w:b/>
                <w:bCs/>
                <w:color w:val="000000"/>
                <w:lang w:eastAsia="ar-SA"/>
              </w:rPr>
              <w:t>)</w:t>
            </w:r>
          </w:p>
          <w:p w14:paraId="0FDBD1BE" w14:textId="386DA236"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lang w:eastAsia="ar-SA"/>
              </w:rPr>
              <w:t>)</w:t>
            </w:r>
          </w:p>
          <w:p w14:paraId="7F0A2B1B" w14:textId="60F4D439"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position w:val="-9"/>
                <w:lang w:eastAsia="ar-SA"/>
              </w:rPr>
              <w:t>1</w:t>
            </w:r>
            <w:r w:rsidRPr="001D3C3D">
              <w:rPr>
                <w:rFonts w:ascii="Times New Roman" w:eastAsia="Times New Roman" w:hAnsi="Times New Roman" w:cs="Times New Roman"/>
                <w:color w:val="000000"/>
                <w:spacing w:val="-1"/>
                <w:position w:val="-9"/>
                <w:lang w:eastAsia="ar-SA"/>
              </w:rPr>
              <w:t>4</w:t>
            </w:r>
            <w:r w:rsidR="00327992">
              <w:rPr>
                <w:rFonts w:ascii="Times New Roman" w:eastAsia="Times New Roman" w:hAnsi="Times New Roman" w:cs="Times New Roman"/>
                <w:color w:val="000000"/>
                <w:spacing w:val="-1"/>
                <w:position w:val="-9"/>
                <w:lang w:eastAsia="ar-SA"/>
              </w:rPr>
              <w:t> </w:t>
            </w:r>
            <w:r w:rsidRPr="001D3C3D">
              <w:rPr>
                <w:rFonts w:ascii="Times New Roman" w:eastAsia="Times New Roman" w:hAnsi="Times New Roman" w:cs="Times New Roman"/>
                <w:color w:val="000000"/>
                <w:position w:val="-9"/>
                <w:lang w:eastAsia="ar-SA"/>
              </w:rPr>
              <w:t>%</w:t>
            </w:r>
            <w:r w:rsidRPr="001D3C3D">
              <w:rPr>
                <w:rFonts w:ascii="Times New Roman" w:eastAsia="Times New Roman" w:hAnsi="Times New Roman" w:cs="Times New Roman"/>
                <w:color w:val="000000"/>
                <w:spacing w:val="1"/>
                <w:position w:val="-9"/>
                <w:lang w:eastAsia="ar-SA"/>
              </w:rPr>
              <w:t xml:space="preserve"> </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position w:val="-9"/>
                <w:lang w:eastAsia="ar-SA"/>
              </w:rPr>
              <w:t>0</w:t>
            </w:r>
            <w:r w:rsidRPr="001D3C3D">
              <w:rPr>
                <w:rFonts w:ascii="Times New Roman" w:eastAsia="Times New Roman" w:hAnsi="Times New Roman" w:cs="Times New Roman"/>
                <w:color w:val="000000"/>
                <w:spacing w:val="-1"/>
                <w:position w:val="-9"/>
                <w:lang w:eastAsia="ar-SA"/>
              </w:rPr>
              <w:t>-2</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position w:val="-9"/>
                <w:lang w:eastAsia="ar-SA"/>
              </w:rPr>
              <w:t>)</w:t>
            </w:r>
          </w:p>
        </w:tc>
        <w:tc>
          <w:tcPr>
            <w:tcW w:w="1416" w:type="dxa"/>
            <w:gridSpan w:val="2"/>
            <w:tcBorders>
              <w:top w:val="single" w:sz="4" w:space="0" w:color="000000"/>
            </w:tcBorders>
            <w:shd w:val="clear" w:color="auto" w:fill="auto"/>
          </w:tcPr>
          <w:p w14:paraId="442496C8" w14:textId="2B7E6A0C"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33</w:t>
            </w:r>
            <w:r w:rsidR="00327992">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(24</w:t>
            </w:r>
            <w:r w:rsidRPr="001D3C3D">
              <w:rPr>
                <w:rFonts w:ascii="Times New Roman" w:eastAsia="Times New Roman" w:hAnsi="Times New Roman" w:cs="Times New Roman"/>
                <w:b/>
                <w:bCs/>
                <w:color w:val="000000"/>
                <w:spacing w:val="-1"/>
                <w:lang w:eastAsia="ar-SA"/>
              </w:rPr>
              <w:t>-4</w:t>
            </w:r>
            <w:r w:rsidRPr="001D3C3D">
              <w:rPr>
                <w:rFonts w:ascii="Times New Roman" w:eastAsia="Times New Roman" w:hAnsi="Times New Roman" w:cs="Times New Roman"/>
                <w:b/>
                <w:bCs/>
                <w:color w:val="000000"/>
                <w:spacing w:val="1"/>
                <w:lang w:eastAsia="ar-SA"/>
              </w:rPr>
              <w:t>3</w:t>
            </w:r>
            <w:r w:rsidRPr="001D3C3D">
              <w:rPr>
                <w:rFonts w:ascii="Times New Roman" w:eastAsia="Times New Roman" w:hAnsi="Times New Roman" w:cs="Times New Roman"/>
                <w:b/>
                <w:bCs/>
                <w:color w:val="000000"/>
                <w:lang w:eastAsia="ar-SA"/>
              </w:rPr>
              <w:t>)</w:t>
            </w:r>
          </w:p>
          <w:p w14:paraId="4AB946C1" w14:textId="2BB711F2"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6</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w:t>
            </w:r>
          </w:p>
          <w:p w14:paraId="40DC3A9F" w14:textId="2938449C"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position w:val="-9"/>
                <w:lang w:eastAsia="ar-SA"/>
              </w:rPr>
              <w:t>7</w:t>
            </w:r>
            <w:r w:rsidR="00327992">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spacing w:val="-1"/>
                <w:position w:val="-9"/>
                <w:lang w:eastAsia="ar-SA"/>
              </w:rPr>
              <w:t>3-</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spacing w:val="-1"/>
                <w:position w:val="-9"/>
                <w:lang w:eastAsia="ar-SA"/>
              </w:rPr>
              <w:t>4</w:t>
            </w:r>
            <w:r w:rsidRPr="001D3C3D">
              <w:rPr>
                <w:rFonts w:ascii="Times New Roman" w:eastAsia="Times New Roman" w:hAnsi="Times New Roman" w:cs="Times New Roman"/>
                <w:color w:val="000000"/>
                <w:position w:val="-9"/>
                <w:lang w:eastAsia="ar-SA"/>
              </w:rPr>
              <w:t>)</w:t>
            </w:r>
          </w:p>
        </w:tc>
        <w:tc>
          <w:tcPr>
            <w:tcW w:w="1513" w:type="dxa"/>
            <w:tcBorders>
              <w:top w:val="single" w:sz="4" w:space="0" w:color="000000"/>
            </w:tcBorders>
            <w:shd w:val="clear" w:color="auto" w:fill="auto"/>
          </w:tcPr>
          <w:p w14:paraId="5BC1BDCD" w14:textId="6EACEA63"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35</w:t>
            </w:r>
            <w:r w:rsidR="00327992">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(22</w:t>
            </w:r>
            <w:r w:rsidRPr="001D3C3D">
              <w:rPr>
                <w:rFonts w:ascii="Times New Roman" w:eastAsia="Times New Roman" w:hAnsi="Times New Roman" w:cs="Times New Roman"/>
                <w:b/>
                <w:bCs/>
                <w:color w:val="000000"/>
                <w:spacing w:val="-1"/>
                <w:lang w:eastAsia="ar-SA"/>
              </w:rPr>
              <w:t>-5</w:t>
            </w:r>
            <w:r w:rsidRPr="001D3C3D">
              <w:rPr>
                <w:rFonts w:ascii="Times New Roman" w:eastAsia="Times New Roman" w:hAnsi="Times New Roman" w:cs="Times New Roman"/>
                <w:b/>
                <w:bCs/>
                <w:color w:val="000000"/>
                <w:spacing w:val="1"/>
                <w:lang w:eastAsia="ar-SA"/>
              </w:rPr>
              <w:t>1</w:t>
            </w:r>
            <w:r w:rsidRPr="001D3C3D">
              <w:rPr>
                <w:rFonts w:ascii="Times New Roman" w:eastAsia="Times New Roman" w:hAnsi="Times New Roman" w:cs="Times New Roman"/>
                <w:b/>
                <w:bCs/>
                <w:color w:val="000000"/>
                <w:lang w:eastAsia="ar-SA"/>
              </w:rPr>
              <w:t>)</w:t>
            </w:r>
          </w:p>
          <w:p w14:paraId="329B4BB9" w14:textId="7AA8D05F"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9</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w:t>
            </w:r>
          </w:p>
          <w:p w14:paraId="0AB4C16A" w14:textId="394EC8D2"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position w:val="-9"/>
                <w:lang w:eastAsia="ar-SA"/>
              </w:rPr>
              <w:t>6</w:t>
            </w:r>
            <w:r w:rsidR="00327992">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spacing w:val="-1"/>
                <w:position w:val="-9"/>
                <w:lang w:eastAsia="ar-SA"/>
              </w:rPr>
              <w:t>7</w:t>
            </w:r>
            <w:r w:rsidRPr="001D3C3D">
              <w:rPr>
                <w:rFonts w:ascii="Times New Roman" w:eastAsia="Times New Roman" w:hAnsi="Times New Roman" w:cs="Times New Roman"/>
                <w:color w:val="000000"/>
                <w:position w:val="-9"/>
                <w:lang w:eastAsia="ar-SA"/>
              </w:rPr>
              <w:t>)</w:t>
            </w:r>
          </w:p>
        </w:tc>
        <w:tc>
          <w:tcPr>
            <w:tcW w:w="1396" w:type="dxa"/>
            <w:tcBorders>
              <w:top w:val="single" w:sz="4" w:space="0" w:color="000000"/>
            </w:tcBorders>
            <w:shd w:val="clear" w:color="auto" w:fill="auto"/>
          </w:tcPr>
          <w:p w14:paraId="536CC4BE" w14:textId="1E7AE0F4"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41</w:t>
            </w:r>
            <w:r w:rsidR="00327992">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(27</w:t>
            </w:r>
            <w:r w:rsidRPr="001D3C3D">
              <w:rPr>
                <w:rFonts w:ascii="Times New Roman" w:eastAsia="Times New Roman" w:hAnsi="Times New Roman" w:cs="Times New Roman"/>
                <w:b/>
                <w:bCs/>
                <w:color w:val="000000"/>
                <w:spacing w:val="-1"/>
                <w:lang w:eastAsia="ar-SA"/>
              </w:rPr>
              <w:t>-5</w:t>
            </w:r>
            <w:r w:rsidRPr="001D3C3D">
              <w:rPr>
                <w:rFonts w:ascii="Times New Roman" w:eastAsia="Times New Roman" w:hAnsi="Times New Roman" w:cs="Times New Roman"/>
                <w:b/>
                <w:bCs/>
                <w:color w:val="000000"/>
                <w:spacing w:val="1"/>
                <w:lang w:eastAsia="ar-SA"/>
              </w:rPr>
              <w:t>7</w:t>
            </w:r>
            <w:r w:rsidRPr="001D3C3D">
              <w:rPr>
                <w:rFonts w:ascii="Times New Roman" w:eastAsia="Times New Roman" w:hAnsi="Times New Roman" w:cs="Times New Roman"/>
                <w:b/>
                <w:bCs/>
                <w:color w:val="000000"/>
                <w:lang w:eastAsia="ar-SA"/>
              </w:rPr>
              <w:t>)</w:t>
            </w:r>
          </w:p>
          <w:p w14:paraId="0EC48092" w14:textId="6B14C11C"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position w:val="-9"/>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5</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lang w:eastAsia="ar-SA"/>
              </w:rPr>
              <w:t>)</w:t>
            </w:r>
          </w:p>
          <w:p w14:paraId="238528D3" w14:textId="16415286"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position w:val="-9"/>
                <w:lang w:eastAsia="ar-SA"/>
              </w:rPr>
              <w:t>7</w:t>
            </w:r>
            <w:r w:rsidR="00327992">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position w:val="-9"/>
                <w:lang w:eastAsia="ar-SA"/>
              </w:rPr>
              <w:t>% (</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spacing w:val="1"/>
                <w:position w:val="-9"/>
                <w:lang w:eastAsia="ar-SA"/>
              </w:rPr>
              <w:t>1</w:t>
            </w:r>
            <w:r w:rsidRPr="001D3C3D">
              <w:rPr>
                <w:rFonts w:ascii="Times New Roman" w:eastAsia="Times New Roman" w:hAnsi="Times New Roman" w:cs="Times New Roman"/>
                <w:color w:val="000000"/>
                <w:spacing w:val="-1"/>
                <w:position w:val="-9"/>
                <w:lang w:eastAsia="ar-SA"/>
              </w:rPr>
              <w:t>8</w:t>
            </w:r>
            <w:r w:rsidRPr="001D3C3D">
              <w:rPr>
                <w:rFonts w:ascii="Times New Roman" w:eastAsia="Times New Roman" w:hAnsi="Times New Roman" w:cs="Times New Roman"/>
                <w:color w:val="000000"/>
                <w:position w:val="-9"/>
                <w:lang w:eastAsia="ar-SA"/>
              </w:rPr>
              <w:t>)</w:t>
            </w:r>
          </w:p>
        </w:tc>
      </w:tr>
      <w:tr w:rsidR="00ED7DC3" w:rsidRPr="001D3C3D" w14:paraId="61FF2776" w14:textId="77777777" w:rsidTr="0036275F">
        <w:trPr>
          <w:trHeight w:hRule="exact" w:val="305"/>
        </w:trPr>
        <w:tc>
          <w:tcPr>
            <w:tcW w:w="5169" w:type="dxa"/>
            <w:gridSpan w:val="4"/>
            <w:shd w:val="clear" w:color="auto" w:fill="auto"/>
          </w:tcPr>
          <w:p w14:paraId="187D34E3"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2"/>
                <w:lang w:eastAsia="ar-SA"/>
              </w:rPr>
              <w:t>M</w:t>
            </w:r>
            <w:r w:rsidRPr="001D3C3D">
              <w:rPr>
                <w:rFonts w:ascii="Times New Roman" w:eastAsia="Times New Roman" w:hAnsi="Times New Roman" w:cs="Times New Roman"/>
                <w:color w:val="000000"/>
                <w:lang w:eastAsia="ar-SA"/>
              </w:rPr>
              <w:t>aHR</w:t>
            </w:r>
            <w:r w:rsidRPr="001D3C3D">
              <w:rPr>
                <w:rFonts w:ascii="Times New Roman" w:eastAsia="Times New Roman" w:hAnsi="Times New Roman" w:cs="Times New Roman"/>
                <w:color w:val="000000"/>
                <w:spacing w:val="1"/>
                <w:lang w:eastAsia="ar-SA"/>
              </w:rPr>
              <w:t xml:space="preserve"> trukmė</w:t>
            </w:r>
            <w:r w:rsidRPr="001D3C3D">
              <w:rPr>
                <w:rFonts w:ascii="Times New Roman" w:eastAsia="Times New Roman" w:hAnsi="Times New Roman" w:cs="Times New Roman"/>
                <w:color w:val="000000"/>
                <w:spacing w:val="-1"/>
                <w:lang w:eastAsia="ar-SA"/>
              </w:rPr>
              <w:t>(</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įvertinta </w:t>
            </w:r>
            <w:r w:rsidRPr="001D3C3D">
              <w:rPr>
                <w:rFonts w:ascii="Times New Roman" w:eastAsia="Times New Roman" w:hAnsi="Times New Roman" w:cs="Times New Roman"/>
                <w:i/>
                <w:color w:val="000000"/>
                <w:lang w:eastAsia="ar-SA"/>
              </w:rPr>
              <w:t>K</w:t>
            </w:r>
            <w:r w:rsidRPr="001D3C3D">
              <w:rPr>
                <w:rFonts w:ascii="Times New Roman" w:eastAsia="Times New Roman" w:hAnsi="Times New Roman" w:cs="Times New Roman"/>
                <w:i/>
                <w:color w:val="000000"/>
                <w:spacing w:val="-1"/>
                <w:lang w:eastAsia="ar-SA"/>
              </w:rPr>
              <w:t>a</w:t>
            </w:r>
            <w:r w:rsidRPr="001D3C3D">
              <w:rPr>
                <w:rFonts w:ascii="Times New Roman" w:eastAsia="Times New Roman" w:hAnsi="Times New Roman" w:cs="Times New Roman"/>
                <w:i/>
                <w:color w:val="000000"/>
                <w:lang w:eastAsia="ar-SA"/>
              </w:rPr>
              <w:t>p</w:t>
            </w:r>
            <w:r w:rsidRPr="001D3C3D">
              <w:rPr>
                <w:rFonts w:ascii="Times New Roman" w:eastAsia="Times New Roman" w:hAnsi="Times New Roman" w:cs="Times New Roman"/>
                <w:i/>
                <w:color w:val="000000"/>
                <w:spacing w:val="-2"/>
                <w:lang w:eastAsia="ar-SA"/>
              </w:rPr>
              <w:t>l</w:t>
            </w:r>
            <w:r w:rsidRPr="001D3C3D">
              <w:rPr>
                <w:rFonts w:ascii="Times New Roman" w:eastAsia="Times New Roman" w:hAnsi="Times New Roman" w:cs="Times New Roman"/>
                <w:i/>
                <w:color w:val="000000"/>
                <w:lang w:eastAsia="ar-SA"/>
              </w:rPr>
              <w:t>an-Meier</w:t>
            </w:r>
            <w:r w:rsidRPr="001D3C3D">
              <w:rPr>
                <w:rFonts w:ascii="Times New Roman" w:eastAsia="Times New Roman" w:hAnsi="Times New Roman" w:cs="Times New Roman"/>
                <w:color w:val="000000"/>
                <w:lang w:eastAsia="ar-SA"/>
              </w:rPr>
              <w:t xml:space="preserve"> metodu)</w:t>
            </w:r>
          </w:p>
        </w:tc>
        <w:tc>
          <w:tcPr>
            <w:tcW w:w="3856" w:type="dxa"/>
            <w:gridSpan w:val="3"/>
            <w:shd w:val="clear" w:color="auto" w:fill="auto"/>
          </w:tcPr>
          <w:p w14:paraId="1662A921"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5B4C0B47" w14:textId="77777777" w:rsidTr="0036275F">
        <w:trPr>
          <w:trHeight w:hRule="exact" w:val="270"/>
        </w:trPr>
        <w:tc>
          <w:tcPr>
            <w:tcW w:w="2007" w:type="dxa"/>
            <w:shd w:val="clear" w:color="auto" w:fill="auto"/>
          </w:tcPr>
          <w:p w14:paraId="1499B6DB" w14:textId="6307A230"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spacing w:val="-1"/>
                <w:lang w:eastAsia="ar-SA"/>
              </w:rPr>
              <w:t>metai</w:t>
            </w:r>
          </w:p>
        </w:tc>
        <w:tc>
          <w:tcPr>
            <w:tcW w:w="1397" w:type="dxa"/>
            <w:shd w:val="clear" w:color="auto" w:fill="auto"/>
          </w:tcPr>
          <w:p w14:paraId="6808B2FE"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n/a</w:t>
            </w:r>
          </w:p>
        </w:tc>
        <w:tc>
          <w:tcPr>
            <w:tcW w:w="1296" w:type="dxa"/>
            <w:shd w:val="clear" w:color="auto" w:fill="auto"/>
          </w:tcPr>
          <w:p w14:paraId="30C7A665" w14:textId="36E5FE8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9</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c>
          <w:tcPr>
            <w:tcW w:w="1416" w:type="dxa"/>
            <w:gridSpan w:val="2"/>
            <w:shd w:val="clear" w:color="auto" w:fill="auto"/>
          </w:tcPr>
          <w:p w14:paraId="76474EA6" w14:textId="30625AE2"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1</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c>
          <w:tcPr>
            <w:tcW w:w="1513" w:type="dxa"/>
            <w:shd w:val="clear" w:color="auto" w:fill="auto"/>
          </w:tcPr>
          <w:p w14:paraId="28A12DF8" w14:textId="484561C6"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9</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6)</w:t>
            </w:r>
          </w:p>
        </w:tc>
        <w:tc>
          <w:tcPr>
            <w:tcW w:w="1396" w:type="dxa"/>
            <w:shd w:val="clear" w:color="auto" w:fill="auto"/>
          </w:tcPr>
          <w:p w14:paraId="4A6D39B7" w14:textId="28C4C252"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2</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6)</w:t>
            </w:r>
          </w:p>
        </w:tc>
      </w:tr>
      <w:tr w:rsidR="00ED7DC3" w:rsidRPr="001D3C3D" w14:paraId="0C1160F6" w14:textId="77777777" w:rsidTr="0036275F">
        <w:trPr>
          <w:trHeight w:hRule="exact" w:val="274"/>
        </w:trPr>
        <w:tc>
          <w:tcPr>
            <w:tcW w:w="2007" w:type="dxa"/>
            <w:tcBorders>
              <w:bottom w:val="single" w:sz="4" w:space="0" w:color="000000"/>
            </w:tcBorders>
            <w:shd w:val="clear" w:color="auto" w:fill="auto"/>
          </w:tcPr>
          <w:p w14:paraId="0F598EEB" w14:textId="1F5F9204"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spacing w:val="-1"/>
                <w:lang w:eastAsia="ar-SA"/>
              </w:rPr>
              <w:t>metai</w:t>
            </w:r>
          </w:p>
        </w:tc>
        <w:tc>
          <w:tcPr>
            <w:tcW w:w="1397" w:type="dxa"/>
            <w:tcBorders>
              <w:bottom w:val="single" w:sz="4" w:space="0" w:color="000000"/>
            </w:tcBorders>
            <w:shd w:val="clear" w:color="auto" w:fill="auto"/>
          </w:tcPr>
          <w:p w14:paraId="79CC84F7"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n/a</w:t>
            </w:r>
          </w:p>
        </w:tc>
        <w:tc>
          <w:tcPr>
            <w:tcW w:w="1296" w:type="dxa"/>
            <w:tcBorders>
              <w:bottom w:val="single" w:sz="4" w:space="0" w:color="000000"/>
            </w:tcBorders>
            <w:shd w:val="clear" w:color="auto" w:fill="auto"/>
          </w:tcPr>
          <w:p w14:paraId="3615EF64" w14:textId="30716F35"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0</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lang w:eastAsia="ar-SA"/>
              </w:rPr>
              <w:t>)</w:t>
            </w:r>
          </w:p>
        </w:tc>
        <w:tc>
          <w:tcPr>
            <w:tcW w:w="1416" w:type="dxa"/>
            <w:gridSpan w:val="2"/>
            <w:tcBorders>
              <w:bottom w:val="single" w:sz="4" w:space="0" w:color="000000"/>
            </w:tcBorders>
            <w:shd w:val="clear" w:color="auto" w:fill="auto"/>
          </w:tcPr>
          <w:p w14:paraId="028DAC51" w14:textId="0AC4103C"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1</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lang w:eastAsia="ar-SA"/>
              </w:rPr>
              <w:t>)</w:t>
            </w:r>
          </w:p>
        </w:tc>
        <w:tc>
          <w:tcPr>
            <w:tcW w:w="1513" w:type="dxa"/>
            <w:tcBorders>
              <w:bottom w:val="single" w:sz="4" w:space="0" w:color="000000"/>
            </w:tcBorders>
            <w:shd w:val="clear" w:color="auto" w:fill="auto"/>
          </w:tcPr>
          <w:p w14:paraId="101862DD" w14:textId="1EAF8851"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8)</w:t>
            </w:r>
          </w:p>
        </w:tc>
        <w:tc>
          <w:tcPr>
            <w:tcW w:w="1396" w:type="dxa"/>
            <w:tcBorders>
              <w:bottom w:val="single" w:sz="4" w:space="0" w:color="000000"/>
            </w:tcBorders>
            <w:shd w:val="clear" w:color="auto" w:fill="auto"/>
          </w:tcPr>
          <w:p w14:paraId="12957E0D" w14:textId="4F0D5FF2"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7)</w:t>
            </w:r>
          </w:p>
        </w:tc>
      </w:tr>
      <w:tr w:rsidR="00ED7DC3" w:rsidRPr="001D3C3D" w14:paraId="525E322E" w14:textId="77777777" w:rsidTr="0036275F">
        <w:trPr>
          <w:trHeight w:hRule="exact" w:val="366"/>
        </w:trPr>
        <w:tc>
          <w:tcPr>
            <w:tcW w:w="5169" w:type="dxa"/>
            <w:gridSpan w:val="4"/>
            <w:shd w:val="clear" w:color="auto" w:fill="auto"/>
          </w:tcPr>
          <w:p w14:paraId="11C1859A"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C</w:t>
            </w:r>
            <w:r w:rsidRPr="001D3C3D">
              <w:rPr>
                <w:rFonts w:ascii="Times New Roman" w:eastAsia="Times New Roman" w:hAnsi="Times New Roman" w:cs="Times New Roman"/>
                <w:b/>
                <w:bCs/>
                <w:color w:val="000000"/>
                <w:spacing w:val="-1"/>
                <w:lang w:eastAsia="ar-SA"/>
              </w:rPr>
              <w:t>i</w:t>
            </w:r>
            <w:r w:rsidRPr="001D3C3D">
              <w:rPr>
                <w:rFonts w:ascii="Times New Roman" w:eastAsia="Times New Roman" w:hAnsi="Times New Roman" w:cs="Times New Roman"/>
                <w:b/>
                <w:bCs/>
                <w:color w:val="000000"/>
                <w:lang w:eastAsia="ar-SA"/>
              </w:rPr>
              <w:t>t</w:t>
            </w:r>
            <w:r w:rsidRPr="001D3C3D">
              <w:rPr>
                <w:rFonts w:ascii="Times New Roman" w:eastAsia="Times New Roman" w:hAnsi="Times New Roman" w:cs="Times New Roman"/>
                <w:b/>
                <w:bCs/>
                <w:color w:val="000000"/>
                <w:spacing w:val="-1"/>
                <w:lang w:eastAsia="ar-SA"/>
              </w:rPr>
              <w:t>o</w:t>
            </w:r>
            <w:r w:rsidRPr="001D3C3D">
              <w:rPr>
                <w:rFonts w:ascii="Times New Roman" w:eastAsia="Times New Roman" w:hAnsi="Times New Roman" w:cs="Times New Roman"/>
                <w:b/>
                <w:bCs/>
                <w:color w:val="000000"/>
                <w:lang w:eastAsia="ar-SA"/>
              </w:rPr>
              <w:t>ge</w:t>
            </w:r>
            <w:r w:rsidRPr="001D3C3D">
              <w:rPr>
                <w:rFonts w:ascii="Times New Roman" w:eastAsia="Times New Roman" w:hAnsi="Times New Roman" w:cs="Times New Roman"/>
                <w:b/>
                <w:bCs/>
                <w:color w:val="000000"/>
                <w:spacing w:val="-1"/>
                <w:lang w:eastAsia="ar-SA"/>
              </w:rPr>
              <w:t>n</w:t>
            </w:r>
            <w:r w:rsidRPr="001D3C3D">
              <w:rPr>
                <w:rFonts w:ascii="Times New Roman" w:eastAsia="Times New Roman" w:hAnsi="Times New Roman" w:cs="Times New Roman"/>
                <w:b/>
                <w:bCs/>
                <w:color w:val="000000"/>
                <w:lang w:eastAsia="ar-SA"/>
              </w:rPr>
              <w:t>etinis atsakas</w:t>
            </w:r>
            <w:r w:rsidRPr="001D3C3D">
              <w:rPr>
                <w:rFonts w:ascii="Times New Roman" w:eastAsia="Times New Roman" w:hAnsi="Times New Roman" w:cs="Times New Roman"/>
                <w:b/>
                <w:bCs/>
                <w:color w:val="000000"/>
                <w:spacing w:val="1"/>
                <w:vertAlign w:val="superscript"/>
                <w:lang w:eastAsia="ar-SA"/>
              </w:rPr>
              <w:t xml:space="preserve">c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4"/>
                <w:lang w:eastAsia="ar-SA"/>
              </w:rPr>
              <w:t>%</w:t>
            </w:r>
            <w:r w:rsidRPr="001D3C3D">
              <w:rPr>
                <w:rFonts w:ascii="Times New Roman" w:eastAsia="Times New Roman" w:hAnsi="Times New Roman" w:cs="Times New Roman"/>
                <w:b/>
                <w:bCs/>
                <w:color w:val="000000"/>
                <w:lang w:eastAsia="ar-SA"/>
              </w:rPr>
              <w:t>)</w:t>
            </w:r>
          </w:p>
        </w:tc>
        <w:tc>
          <w:tcPr>
            <w:tcW w:w="3856" w:type="dxa"/>
            <w:gridSpan w:val="3"/>
            <w:shd w:val="clear" w:color="auto" w:fill="auto"/>
          </w:tcPr>
          <w:p w14:paraId="482F1C51"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0933278D" w14:textId="77777777" w:rsidTr="0036275F">
        <w:trPr>
          <w:trHeight w:hRule="exact" w:val="332"/>
        </w:trPr>
        <w:tc>
          <w:tcPr>
            <w:tcW w:w="2007" w:type="dxa"/>
            <w:tcBorders>
              <w:top w:val="single" w:sz="4" w:space="0" w:color="000000"/>
            </w:tcBorders>
            <w:shd w:val="clear" w:color="auto" w:fill="auto"/>
          </w:tcPr>
          <w:p w14:paraId="02B7F7FD" w14:textId="4F269C8E" w:rsidR="00ED7DC3" w:rsidRPr="001D3C3D" w:rsidRDefault="00ED7DC3" w:rsidP="00ED7DC3">
            <w:pPr>
              <w:widowControl w:val="0"/>
              <w:suppressAutoHyphens/>
              <w:spacing w:after="0" w:line="240" w:lineRule="auto"/>
              <w:ind w:left="57"/>
              <w:rPr>
                <w:rFonts w:ascii="Times New Roman" w:eastAsia="Times New Roman" w:hAnsi="Times New Roman" w:cs="Times New Roman"/>
                <w:b/>
                <w:bCs/>
                <w:color w:val="000000"/>
                <w:spacing w:val="1"/>
                <w:lang w:eastAsia="ar-SA"/>
              </w:rPr>
            </w:pPr>
            <w:r w:rsidRPr="001D3C3D">
              <w:rPr>
                <w:rFonts w:ascii="Times New Roman" w:eastAsia="Times New Roman" w:hAnsi="Times New Roman" w:cs="Times New Roman"/>
                <w:color w:val="000000"/>
                <w:lang w:eastAsia="ar-SA"/>
              </w:rPr>
              <w:t>MCyR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5</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2"/>
                <w:lang w:eastAsia="ar-SA"/>
              </w:rPr>
              <w:t>P</w:t>
            </w:r>
            <w:r w:rsidRPr="001D3C3D">
              <w:rPr>
                <w:rFonts w:ascii="Times New Roman" w:eastAsia="Times New Roman" w:hAnsi="Times New Roman" w:cs="Times New Roman"/>
                <w:color w:val="000000"/>
                <w:lang w:eastAsia="ar-SA"/>
              </w:rPr>
              <w:t>I)</w:t>
            </w:r>
          </w:p>
        </w:tc>
        <w:tc>
          <w:tcPr>
            <w:tcW w:w="1397" w:type="dxa"/>
            <w:tcBorders>
              <w:top w:val="single" w:sz="4" w:space="0" w:color="000000"/>
            </w:tcBorders>
            <w:shd w:val="clear" w:color="auto" w:fill="auto"/>
          </w:tcPr>
          <w:p w14:paraId="66B16040" w14:textId="1750E508"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spacing w:val="1"/>
                <w:lang w:eastAsia="ar-SA"/>
              </w:rPr>
              <w:t>62</w:t>
            </w:r>
            <w:r w:rsidR="00327992">
              <w:rPr>
                <w:rFonts w:ascii="Times New Roman" w:eastAsia="Times New Roman" w:hAnsi="Times New Roman" w:cs="Times New Roman"/>
                <w:b/>
                <w:bCs/>
                <w:color w:val="000000"/>
                <w:spacing w:val="1"/>
                <w:lang w:eastAsia="ar-SA"/>
              </w:rPr>
              <w:t> </w:t>
            </w:r>
            <w:r w:rsidRPr="001D3C3D">
              <w:rPr>
                <w:rFonts w:ascii="Times New Roman" w:eastAsia="Times New Roman" w:hAnsi="Times New Roman" w:cs="Times New Roman"/>
                <w:b/>
                <w:bCs/>
                <w:color w:val="000000"/>
                <w:lang w:eastAsia="ar-SA"/>
              </w:rPr>
              <w:t>%</w:t>
            </w:r>
            <w:r w:rsidRPr="001D3C3D">
              <w:rPr>
                <w:rFonts w:ascii="Times New Roman" w:eastAsia="Times New Roman" w:hAnsi="Times New Roman" w:cs="Times New Roman"/>
                <w:b/>
                <w:bCs/>
                <w:color w:val="000000"/>
                <w:spacing w:val="-3"/>
                <w:lang w:eastAsia="ar-SA"/>
              </w:rPr>
              <w:t xml:space="preserve"> </w:t>
            </w:r>
            <w:r w:rsidRPr="001D3C3D">
              <w:rPr>
                <w:rFonts w:ascii="Times New Roman" w:eastAsia="Times New Roman" w:hAnsi="Times New Roman" w:cs="Times New Roman"/>
                <w:b/>
                <w:bCs/>
                <w:color w:val="000000"/>
                <w:spacing w:val="1"/>
                <w:lang w:eastAsia="ar-SA"/>
              </w:rPr>
              <w:t>(57</w:t>
            </w:r>
            <w:r w:rsidRPr="001D3C3D">
              <w:rPr>
                <w:rFonts w:ascii="Times New Roman" w:eastAsia="Times New Roman" w:hAnsi="Times New Roman" w:cs="Times New Roman"/>
                <w:b/>
                <w:bCs/>
                <w:color w:val="000000"/>
                <w:spacing w:val="-1"/>
                <w:lang w:eastAsia="ar-SA"/>
              </w:rPr>
              <w:t>-6</w:t>
            </w:r>
            <w:r w:rsidRPr="001D3C3D">
              <w:rPr>
                <w:rFonts w:ascii="Times New Roman" w:eastAsia="Times New Roman" w:hAnsi="Times New Roman" w:cs="Times New Roman"/>
                <w:b/>
                <w:bCs/>
                <w:color w:val="000000"/>
                <w:spacing w:val="1"/>
                <w:lang w:eastAsia="ar-SA"/>
              </w:rPr>
              <w:t>7</w:t>
            </w:r>
            <w:r w:rsidRPr="001D3C3D">
              <w:rPr>
                <w:rFonts w:ascii="Times New Roman" w:eastAsia="Times New Roman" w:hAnsi="Times New Roman" w:cs="Times New Roman"/>
                <w:b/>
                <w:bCs/>
                <w:color w:val="000000"/>
                <w:lang w:eastAsia="ar-SA"/>
              </w:rPr>
              <w:t>)</w:t>
            </w:r>
          </w:p>
        </w:tc>
        <w:tc>
          <w:tcPr>
            <w:tcW w:w="1296" w:type="dxa"/>
            <w:tcBorders>
              <w:top w:val="single" w:sz="4" w:space="0" w:color="000000"/>
            </w:tcBorders>
            <w:shd w:val="clear" w:color="auto" w:fill="auto"/>
          </w:tcPr>
          <w:p w14:paraId="3DC6720F" w14:textId="156F1789"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lang w:eastAsia="ar-SA"/>
              </w:rPr>
              <w:t>)</w:t>
            </w:r>
          </w:p>
        </w:tc>
        <w:tc>
          <w:tcPr>
            <w:tcW w:w="1416" w:type="dxa"/>
            <w:gridSpan w:val="2"/>
            <w:tcBorders>
              <w:top w:val="single" w:sz="4" w:space="0" w:color="000000"/>
            </w:tcBorders>
            <w:shd w:val="clear" w:color="auto" w:fill="auto"/>
          </w:tcPr>
          <w:p w14:paraId="01128F22" w14:textId="61E69C03"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w:t>
            </w:r>
          </w:p>
        </w:tc>
        <w:tc>
          <w:tcPr>
            <w:tcW w:w="1513" w:type="dxa"/>
            <w:tcBorders>
              <w:top w:val="single" w:sz="4" w:space="0" w:color="000000"/>
            </w:tcBorders>
            <w:shd w:val="clear" w:color="auto" w:fill="auto"/>
          </w:tcPr>
          <w:p w14:paraId="4009AB1F" w14:textId="66FC1699"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2</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c>
          <w:tcPr>
            <w:tcW w:w="1396" w:type="dxa"/>
            <w:tcBorders>
              <w:top w:val="single" w:sz="4" w:space="0" w:color="000000"/>
            </w:tcBorders>
            <w:shd w:val="clear" w:color="auto" w:fill="auto"/>
          </w:tcPr>
          <w:p w14:paraId="4DF69EB3" w14:textId="6FFBE0EB"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7</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w:t>
            </w:r>
          </w:p>
        </w:tc>
      </w:tr>
      <w:tr w:rsidR="00ED7DC3" w:rsidRPr="001D3C3D" w14:paraId="3622F428" w14:textId="77777777" w:rsidTr="0036275F">
        <w:trPr>
          <w:trHeight w:hRule="exact" w:val="325"/>
        </w:trPr>
        <w:tc>
          <w:tcPr>
            <w:tcW w:w="2007" w:type="dxa"/>
            <w:tcBorders>
              <w:bottom w:val="single" w:sz="4" w:space="0" w:color="000000"/>
            </w:tcBorders>
            <w:shd w:val="clear" w:color="auto" w:fill="auto"/>
          </w:tcPr>
          <w:p w14:paraId="0A80FCA1" w14:textId="2CF08272" w:rsidR="00ED7DC3" w:rsidRPr="001D3C3D" w:rsidRDefault="00ED7DC3" w:rsidP="00ED7DC3">
            <w:pPr>
              <w:widowControl w:val="0"/>
              <w:suppressAutoHyphens/>
              <w:spacing w:after="0" w:line="240" w:lineRule="auto"/>
              <w:ind w:left="57"/>
              <w:jc w:val="right"/>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spacing w:val="-1"/>
                <w:lang w:eastAsia="ar-SA"/>
              </w:rPr>
              <w:t>CCy</w:t>
            </w:r>
            <w:r w:rsidRPr="001D3C3D">
              <w:rPr>
                <w:rFonts w:ascii="Times New Roman" w:eastAsia="Times New Roman" w:hAnsi="Times New Roman" w:cs="Times New Roman"/>
                <w:color w:val="000000"/>
                <w:lang w:eastAsia="ar-SA"/>
              </w:rPr>
              <w:t>R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5</w:t>
            </w:r>
            <w:r w:rsidR="00B12CD6">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P</w:t>
            </w:r>
            <w:r w:rsidRPr="001D3C3D">
              <w:rPr>
                <w:rFonts w:ascii="Times New Roman" w:eastAsia="Times New Roman" w:hAnsi="Times New Roman" w:cs="Times New Roman"/>
                <w:color w:val="000000"/>
                <w:lang w:eastAsia="ar-SA"/>
              </w:rPr>
              <w:t>I)</w:t>
            </w:r>
          </w:p>
        </w:tc>
        <w:tc>
          <w:tcPr>
            <w:tcW w:w="1397" w:type="dxa"/>
            <w:tcBorders>
              <w:bottom w:val="single" w:sz="4" w:space="0" w:color="000000"/>
            </w:tcBorders>
            <w:shd w:val="clear" w:color="auto" w:fill="auto"/>
          </w:tcPr>
          <w:p w14:paraId="11686D01" w14:textId="21C9189F"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296" w:type="dxa"/>
            <w:tcBorders>
              <w:bottom w:val="single" w:sz="4" w:space="0" w:color="000000"/>
            </w:tcBorders>
            <w:shd w:val="clear" w:color="auto" w:fill="auto"/>
          </w:tcPr>
          <w:p w14:paraId="6E2A81E6" w14:textId="3AC250FF"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spacing w:val="-1"/>
                <w:lang w:eastAsia="ar-SA"/>
              </w:rPr>
              <w:t>3</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w:t>
            </w:r>
          </w:p>
        </w:tc>
        <w:tc>
          <w:tcPr>
            <w:tcW w:w="1416" w:type="dxa"/>
            <w:gridSpan w:val="2"/>
            <w:tcBorders>
              <w:bottom w:val="single" w:sz="4" w:space="0" w:color="000000"/>
            </w:tcBorders>
            <w:shd w:val="clear" w:color="auto" w:fill="auto"/>
          </w:tcPr>
          <w:p w14:paraId="6FC639C8" w14:textId="4BAA1A2E"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spacing w:val="-1"/>
                <w:lang w:eastAsia="ar-SA"/>
              </w:rPr>
              <w:t>7</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lang w:eastAsia="ar-SA"/>
              </w:rPr>
              <w:t>)</w:t>
            </w:r>
          </w:p>
        </w:tc>
        <w:tc>
          <w:tcPr>
            <w:tcW w:w="1513" w:type="dxa"/>
            <w:tcBorders>
              <w:bottom w:val="single" w:sz="4" w:space="0" w:color="000000"/>
            </w:tcBorders>
            <w:shd w:val="clear" w:color="auto" w:fill="auto"/>
          </w:tcPr>
          <w:p w14:paraId="22A396C8" w14:textId="57BB44DB"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spacing w:val="1"/>
                <w:lang w:eastAsia="ar-SA"/>
              </w:rPr>
            </w:pP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6</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w:t>
            </w:r>
          </w:p>
        </w:tc>
        <w:tc>
          <w:tcPr>
            <w:tcW w:w="1396" w:type="dxa"/>
            <w:tcBorders>
              <w:bottom w:val="single" w:sz="4" w:space="0" w:color="000000"/>
            </w:tcBorders>
            <w:shd w:val="clear" w:color="auto" w:fill="auto"/>
          </w:tcPr>
          <w:p w14:paraId="78DC4A7F" w14:textId="464D5FD9"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r>
      <w:tr w:rsidR="00ED7DC3" w:rsidRPr="001D3C3D" w14:paraId="723EA5CA" w14:textId="77777777" w:rsidTr="0036275F">
        <w:trPr>
          <w:trHeight w:hRule="exact" w:val="336"/>
        </w:trPr>
        <w:tc>
          <w:tcPr>
            <w:tcW w:w="5169" w:type="dxa"/>
            <w:gridSpan w:val="4"/>
            <w:tcBorders>
              <w:bottom w:val="single" w:sz="4" w:space="0" w:color="000000"/>
            </w:tcBorders>
            <w:shd w:val="clear" w:color="auto" w:fill="auto"/>
          </w:tcPr>
          <w:p w14:paraId="75FD6C7C"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Išgyvenimas</w:t>
            </w:r>
            <w:r w:rsidRPr="001D3C3D">
              <w:rPr>
                <w:rFonts w:ascii="Times New Roman" w:eastAsia="Times New Roman" w:hAnsi="Times New Roman" w:cs="Times New Roman"/>
                <w:b/>
                <w:bCs/>
                <w:color w:val="000000"/>
                <w:spacing w:val="-1"/>
                <w:lang w:eastAsia="ar-SA"/>
              </w:rPr>
              <w:t xml:space="preserve"> </w:t>
            </w:r>
            <w:r w:rsidRPr="001D3C3D">
              <w:rPr>
                <w:rFonts w:ascii="Times New Roman" w:eastAsia="Times New Roman" w:hAnsi="Times New Roman" w:cs="Times New Roman"/>
                <w:b/>
                <w:bCs/>
                <w:color w:val="000000"/>
                <w:spacing w:val="2"/>
                <w:lang w:eastAsia="ar-SA"/>
              </w:rPr>
              <w:t>(</w:t>
            </w:r>
            <w:r w:rsidRPr="001D3C3D">
              <w:rPr>
                <w:rFonts w:ascii="Times New Roman" w:eastAsia="Times New Roman" w:hAnsi="Times New Roman" w:cs="Times New Roman"/>
                <w:b/>
                <w:bCs/>
                <w:color w:val="000000"/>
                <w:spacing w:val="-4"/>
                <w:lang w:eastAsia="ar-SA"/>
              </w:rPr>
              <w:t>%</w:t>
            </w:r>
            <w:r w:rsidRPr="001D3C3D">
              <w:rPr>
                <w:rFonts w:ascii="Times New Roman" w:eastAsia="Times New Roman" w:hAnsi="Times New Roman" w:cs="Times New Roman"/>
                <w:b/>
                <w:bCs/>
                <w:color w:val="000000"/>
                <w:lang w:eastAsia="ar-SA"/>
              </w:rPr>
              <w:t xml:space="preserve">;įvertinta </w:t>
            </w:r>
            <w:r w:rsidRPr="001D3C3D">
              <w:rPr>
                <w:rFonts w:ascii="Times New Roman" w:eastAsia="Times New Roman" w:hAnsi="Times New Roman" w:cs="Times New Roman"/>
                <w:b/>
                <w:bCs/>
                <w:i/>
                <w:color w:val="000000"/>
                <w:lang w:eastAsia="ar-SA"/>
              </w:rPr>
              <w:t>Kaplan-Meier</w:t>
            </w:r>
            <w:r w:rsidRPr="001D3C3D">
              <w:rPr>
                <w:rFonts w:ascii="Times New Roman" w:eastAsia="Times New Roman" w:hAnsi="Times New Roman" w:cs="Times New Roman"/>
                <w:b/>
                <w:bCs/>
                <w:color w:val="000000"/>
                <w:lang w:eastAsia="ar-SA"/>
              </w:rPr>
              <w:t xml:space="preserve"> metodu)</w:t>
            </w:r>
          </w:p>
        </w:tc>
        <w:tc>
          <w:tcPr>
            <w:tcW w:w="3856" w:type="dxa"/>
            <w:gridSpan w:val="3"/>
            <w:shd w:val="clear" w:color="auto" w:fill="auto"/>
          </w:tcPr>
          <w:p w14:paraId="1637B59B"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7CD9EC19" w14:textId="77777777" w:rsidTr="0036275F">
        <w:trPr>
          <w:trHeight w:hRule="exact" w:val="510"/>
        </w:trPr>
        <w:tc>
          <w:tcPr>
            <w:tcW w:w="2007" w:type="dxa"/>
            <w:tcBorders>
              <w:top w:val="single" w:sz="4" w:space="0" w:color="000000"/>
            </w:tcBorders>
            <w:shd w:val="clear" w:color="auto" w:fill="auto"/>
          </w:tcPr>
          <w:p w14:paraId="686B3635" w14:textId="77777777"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Be ligos progresavimo</w:t>
            </w:r>
          </w:p>
        </w:tc>
        <w:tc>
          <w:tcPr>
            <w:tcW w:w="1397" w:type="dxa"/>
            <w:tcBorders>
              <w:top w:val="single" w:sz="4" w:space="0" w:color="000000"/>
            </w:tcBorders>
            <w:shd w:val="clear" w:color="auto" w:fill="auto"/>
          </w:tcPr>
          <w:p w14:paraId="740B8AF5"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c>
          <w:tcPr>
            <w:tcW w:w="1296" w:type="dxa"/>
            <w:tcBorders>
              <w:top w:val="single" w:sz="4" w:space="0" w:color="000000"/>
            </w:tcBorders>
            <w:shd w:val="clear" w:color="auto" w:fill="auto"/>
          </w:tcPr>
          <w:p w14:paraId="79DED4EF"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c>
          <w:tcPr>
            <w:tcW w:w="1416" w:type="dxa"/>
            <w:gridSpan w:val="2"/>
            <w:tcBorders>
              <w:top w:val="single" w:sz="4" w:space="0" w:color="000000"/>
            </w:tcBorders>
            <w:shd w:val="clear" w:color="auto" w:fill="auto"/>
          </w:tcPr>
          <w:p w14:paraId="749BBF72"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c>
          <w:tcPr>
            <w:tcW w:w="1513" w:type="dxa"/>
            <w:tcBorders>
              <w:top w:val="single" w:sz="4" w:space="0" w:color="000000"/>
            </w:tcBorders>
            <w:shd w:val="clear" w:color="auto" w:fill="auto"/>
          </w:tcPr>
          <w:p w14:paraId="160C648A"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c>
          <w:tcPr>
            <w:tcW w:w="1396" w:type="dxa"/>
            <w:tcBorders>
              <w:top w:val="single" w:sz="4" w:space="0" w:color="000000"/>
            </w:tcBorders>
            <w:shd w:val="clear" w:color="auto" w:fill="auto"/>
          </w:tcPr>
          <w:p w14:paraId="7479B9CD" w14:textId="77777777" w:rsidR="00ED7DC3" w:rsidRPr="001D3C3D" w:rsidRDefault="00ED7DC3" w:rsidP="00ED7DC3">
            <w:pPr>
              <w:widowControl w:val="0"/>
              <w:suppressAutoHyphens/>
              <w:snapToGrid w:val="0"/>
              <w:spacing w:after="0" w:line="240" w:lineRule="auto"/>
              <w:ind w:left="57"/>
              <w:rPr>
                <w:rFonts w:ascii="Times New Roman" w:eastAsia="Times New Roman" w:hAnsi="Times New Roman" w:cs="Times New Roman"/>
                <w:color w:val="000000"/>
                <w:lang w:eastAsia="ar-SA"/>
              </w:rPr>
            </w:pPr>
          </w:p>
        </w:tc>
      </w:tr>
      <w:tr w:rsidR="00ED7DC3" w:rsidRPr="001D3C3D" w14:paraId="79EFA36D" w14:textId="77777777" w:rsidTr="0036275F">
        <w:trPr>
          <w:trHeight w:hRule="exact" w:val="266"/>
        </w:trPr>
        <w:tc>
          <w:tcPr>
            <w:tcW w:w="2007" w:type="dxa"/>
            <w:shd w:val="clear" w:color="auto" w:fill="auto"/>
          </w:tcPr>
          <w:p w14:paraId="4F437A62" w14:textId="2162DCF4"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metai</w:t>
            </w:r>
          </w:p>
        </w:tc>
        <w:tc>
          <w:tcPr>
            <w:tcW w:w="1397" w:type="dxa"/>
            <w:shd w:val="clear" w:color="auto" w:fill="auto"/>
          </w:tcPr>
          <w:p w14:paraId="6ABAF2D1" w14:textId="68C33D4D"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w:t>
            </w:r>
            <w:r w:rsidRPr="001D3C3D">
              <w:rPr>
                <w:rFonts w:ascii="Times New Roman" w:eastAsia="Times New Roman" w:hAnsi="Times New Roman" w:cs="Times New Roman"/>
                <w:color w:val="000000"/>
                <w:spacing w:val="-1"/>
                <w:lang w:eastAsia="ar-SA"/>
              </w:rPr>
              <w:t>1</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w:t>
            </w:r>
          </w:p>
        </w:tc>
        <w:tc>
          <w:tcPr>
            <w:tcW w:w="1296" w:type="dxa"/>
            <w:shd w:val="clear" w:color="auto" w:fill="auto"/>
          </w:tcPr>
          <w:p w14:paraId="21022760" w14:textId="2513A9D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w:t>
            </w:r>
          </w:p>
        </w:tc>
        <w:tc>
          <w:tcPr>
            <w:tcW w:w="1416" w:type="dxa"/>
            <w:gridSpan w:val="2"/>
            <w:shd w:val="clear" w:color="auto" w:fill="auto"/>
          </w:tcPr>
          <w:p w14:paraId="6AAD537B" w14:textId="7E66472F"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5</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lang w:eastAsia="ar-SA"/>
              </w:rPr>
              <w:t>)</w:t>
            </w:r>
          </w:p>
        </w:tc>
        <w:tc>
          <w:tcPr>
            <w:tcW w:w="1513" w:type="dxa"/>
            <w:shd w:val="clear" w:color="auto" w:fill="auto"/>
          </w:tcPr>
          <w:p w14:paraId="16688C13" w14:textId="34C5BFE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5)</w:t>
            </w:r>
          </w:p>
        </w:tc>
        <w:tc>
          <w:tcPr>
            <w:tcW w:w="1396" w:type="dxa"/>
            <w:shd w:val="clear" w:color="auto" w:fill="auto"/>
          </w:tcPr>
          <w:p w14:paraId="43D26814" w14:textId="215EBA23"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1</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4)</w:t>
            </w:r>
          </w:p>
        </w:tc>
      </w:tr>
      <w:tr w:rsidR="00ED7DC3" w:rsidRPr="001D3C3D" w14:paraId="13BCC484" w14:textId="77777777" w:rsidTr="0036275F">
        <w:trPr>
          <w:trHeight w:hRule="exact" w:val="328"/>
        </w:trPr>
        <w:tc>
          <w:tcPr>
            <w:tcW w:w="2007" w:type="dxa"/>
            <w:tcBorders>
              <w:bottom w:val="single" w:sz="4" w:space="0" w:color="000000"/>
            </w:tcBorders>
            <w:shd w:val="clear" w:color="auto" w:fill="auto"/>
          </w:tcPr>
          <w:p w14:paraId="795D7678" w14:textId="4A178850"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spacing w:val="-1"/>
                <w:lang w:eastAsia="ar-SA"/>
              </w:rPr>
              <w:t>metai</w:t>
            </w:r>
          </w:p>
        </w:tc>
        <w:tc>
          <w:tcPr>
            <w:tcW w:w="1397" w:type="dxa"/>
            <w:tcBorders>
              <w:bottom w:val="single" w:sz="4" w:space="0" w:color="000000"/>
            </w:tcBorders>
            <w:shd w:val="clear" w:color="auto" w:fill="auto"/>
          </w:tcPr>
          <w:p w14:paraId="1196CCC3" w14:textId="03D5365D"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w:t>
            </w:r>
          </w:p>
        </w:tc>
        <w:tc>
          <w:tcPr>
            <w:tcW w:w="1296" w:type="dxa"/>
            <w:tcBorders>
              <w:bottom w:val="single" w:sz="4" w:space="0" w:color="000000"/>
            </w:tcBorders>
            <w:shd w:val="clear" w:color="auto" w:fill="auto"/>
          </w:tcPr>
          <w:p w14:paraId="613A0F5B" w14:textId="25934456"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6</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lang w:eastAsia="ar-SA"/>
              </w:rPr>
              <w:t>)</w:t>
            </w:r>
          </w:p>
        </w:tc>
        <w:tc>
          <w:tcPr>
            <w:tcW w:w="1416" w:type="dxa"/>
            <w:gridSpan w:val="2"/>
            <w:tcBorders>
              <w:bottom w:val="single" w:sz="4" w:space="0" w:color="000000"/>
            </w:tcBorders>
            <w:shd w:val="clear" w:color="auto" w:fill="auto"/>
          </w:tcPr>
          <w:p w14:paraId="0B6C10F2" w14:textId="1DB153B6"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513" w:type="dxa"/>
            <w:tcBorders>
              <w:bottom w:val="single" w:sz="4" w:space="0" w:color="000000"/>
            </w:tcBorders>
            <w:shd w:val="clear" w:color="auto" w:fill="auto"/>
          </w:tcPr>
          <w:p w14:paraId="4BD2C332" w14:textId="36E536FF"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w:t>
            </w:r>
            <w:r w:rsidR="00327992">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w:t>
            </w:r>
          </w:p>
        </w:tc>
        <w:tc>
          <w:tcPr>
            <w:tcW w:w="1396" w:type="dxa"/>
            <w:tcBorders>
              <w:bottom w:val="single" w:sz="4" w:space="0" w:color="000000"/>
            </w:tcBorders>
            <w:shd w:val="clear" w:color="auto" w:fill="auto"/>
          </w:tcPr>
          <w:p w14:paraId="6F97203D" w14:textId="127BB23A"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2</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3)</w:t>
            </w:r>
          </w:p>
        </w:tc>
      </w:tr>
      <w:tr w:rsidR="00ED7DC3" w:rsidRPr="001D3C3D" w14:paraId="5DB91609" w14:textId="77777777" w:rsidTr="0036275F">
        <w:trPr>
          <w:trHeight w:hRule="exact" w:val="285"/>
        </w:trPr>
        <w:tc>
          <w:tcPr>
            <w:tcW w:w="2007" w:type="dxa"/>
            <w:shd w:val="clear" w:color="auto" w:fill="auto"/>
          </w:tcPr>
          <w:p w14:paraId="4BCBB546" w14:textId="77777777" w:rsidR="00ED7DC3" w:rsidRPr="001D3C3D" w:rsidRDefault="00ED7DC3" w:rsidP="00ED7DC3">
            <w:pPr>
              <w:widowControl w:val="0"/>
              <w:suppressAutoHyphens/>
              <w:spacing w:after="0" w:line="240" w:lineRule="auto"/>
              <w:ind w:left="57"/>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Iš viso</w:t>
            </w:r>
          </w:p>
        </w:tc>
        <w:tc>
          <w:tcPr>
            <w:tcW w:w="1397" w:type="dxa"/>
            <w:shd w:val="clear" w:color="auto" w:fill="auto"/>
          </w:tcPr>
          <w:p w14:paraId="60F6168B" w14:textId="77777777" w:rsidR="00ED7DC3" w:rsidRPr="001D3C3D" w:rsidRDefault="00ED7DC3" w:rsidP="00ED7DC3">
            <w:pPr>
              <w:widowControl w:val="0"/>
              <w:suppressAutoHyphens/>
              <w:snapToGrid w:val="0"/>
              <w:spacing w:after="0" w:line="240" w:lineRule="auto"/>
              <w:ind w:left="57"/>
              <w:rPr>
                <w:rFonts w:ascii="Times New Roman" w:eastAsia="Calibri" w:hAnsi="Times New Roman" w:cs="Times New Roman"/>
                <w:color w:val="000000"/>
                <w:lang w:eastAsia="ar-SA"/>
              </w:rPr>
            </w:pPr>
          </w:p>
        </w:tc>
        <w:tc>
          <w:tcPr>
            <w:tcW w:w="1296" w:type="dxa"/>
            <w:shd w:val="clear" w:color="auto" w:fill="auto"/>
          </w:tcPr>
          <w:p w14:paraId="5BCBC3B6" w14:textId="77777777" w:rsidR="00ED7DC3" w:rsidRPr="001D3C3D" w:rsidRDefault="00ED7DC3" w:rsidP="00ED7DC3">
            <w:pPr>
              <w:widowControl w:val="0"/>
              <w:suppressAutoHyphens/>
              <w:snapToGrid w:val="0"/>
              <w:spacing w:after="0" w:line="240" w:lineRule="auto"/>
              <w:ind w:left="57"/>
              <w:rPr>
                <w:rFonts w:ascii="Times New Roman" w:eastAsia="Calibri" w:hAnsi="Times New Roman" w:cs="Times New Roman"/>
                <w:color w:val="000000"/>
                <w:lang w:eastAsia="ar-SA"/>
              </w:rPr>
            </w:pPr>
          </w:p>
        </w:tc>
        <w:tc>
          <w:tcPr>
            <w:tcW w:w="1416" w:type="dxa"/>
            <w:gridSpan w:val="2"/>
            <w:shd w:val="clear" w:color="auto" w:fill="auto"/>
          </w:tcPr>
          <w:p w14:paraId="33200891" w14:textId="77777777" w:rsidR="00ED7DC3" w:rsidRPr="001D3C3D" w:rsidRDefault="00ED7DC3" w:rsidP="00ED7DC3">
            <w:pPr>
              <w:widowControl w:val="0"/>
              <w:suppressAutoHyphens/>
              <w:snapToGrid w:val="0"/>
              <w:spacing w:after="0" w:line="240" w:lineRule="auto"/>
              <w:ind w:left="57"/>
              <w:rPr>
                <w:rFonts w:ascii="Times New Roman" w:eastAsia="Calibri" w:hAnsi="Times New Roman" w:cs="Times New Roman"/>
                <w:color w:val="000000"/>
                <w:lang w:eastAsia="ar-SA"/>
              </w:rPr>
            </w:pPr>
          </w:p>
        </w:tc>
        <w:tc>
          <w:tcPr>
            <w:tcW w:w="1513" w:type="dxa"/>
            <w:shd w:val="clear" w:color="auto" w:fill="auto"/>
          </w:tcPr>
          <w:p w14:paraId="6EF56848" w14:textId="77777777" w:rsidR="00ED7DC3" w:rsidRPr="001D3C3D" w:rsidRDefault="00ED7DC3" w:rsidP="00ED7DC3">
            <w:pPr>
              <w:widowControl w:val="0"/>
              <w:suppressAutoHyphens/>
              <w:snapToGrid w:val="0"/>
              <w:spacing w:after="0" w:line="240" w:lineRule="auto"/>
              <w:ind w:left="57"/>
              <w:rPr>
                <w:rFonts w:ascii="Times New Roman" w:eastAsia="Calibri" w:hAnsi="Times New Roman" w:cs="Times New Roman"/>
                <w:color w:val="000000"/>
                <w:lang w:eastAsia="ar-SA"/>
              </w:rPr>
            </w:pPr>
          </w:p>
        </w:tc>
        <w:tc>
          <w:tcPr>
            <w:tcW w:w="1396" w:type="dxa"/>
            <w:shd w:val="clear" w:color="auto" w:fill="auto"/>
          </w:tcPr>
          <w:p w14:paraId="57AE888B" w14:textId="77777777" w:rsidR="00ED7DC3" w:rsidRPr="001D3C3D" w:rsidRDefault="00ED7DC3" w:rsidP="00ED7DC3">
            <w:pPr>
              <w:widowControl w:val="0"/>
              <w:suppressAutoHyphens/>
              <w:snapToGrid w:val="0"/>
              <w:spacing w:after="0" w:line="240" w:lineRule="auto"/>
              <w:ind w:left="57"/>
              <w:rPr>
                <w:rFonts w:ascii="Times New Roman" w:eastAsia="Calibri" w:hAnsi="Times New Roman" w:cs="Times New Roman"/>
                <w:color w:val="000000"/>
                <w:lang w:eastAsia="ar-SA"/>
              </w:rPr>
            </w:pPr>
          </w:p>
        </w:tc>
      </w:tr>
      <w:tr w:rsidR="00ED7DC3" w:rsidRPr="001D3C3D" w14:paraId="6CC4D8D7" w14:textId="77777777" w:rsidTr="0036275F">
        <w:trPr>
          <w:trHeight w:hRule="exact" w:val="278"/>
        </w:trPr>
        <w:tc>
          <w:tcPr>
            <w:tcW w:w="2007" w:type="dxa"/>
            <w:shd w:val="clear" w:color="auto" w:fill="auto"/>
          </w:tcPr>
          <w:p w14:paraId="208F336F" w14:textId="2E71098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metai</w:t>
            </w:r>
          </w:p>
        </w:tc>
        <w:tc>
          <w:tcPr>
            <w:tcW w:w="1397" w:type="dxa"/>
            <w:shd w:val="clear" w:color="auto" w:fill="auto"/>
          </w:tcPr>
          <w:p w14:paraId="30B4ECD6" w14:textId="41874B32"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w:t>
            </w:r>
            <w:r w:rsidRPr="001D3C3D">
              <w:rPr>
                <w:rFonts w:ascii="Times New Roman" w:eastAsia="Times New Roman" w:hAnsi="Times New Roman" w:cs="Times New Roman"/>
                <w:color w:val="000000"/>
                <w:spacing w:val="-1"/>
                <w:lang w:eastAsia="ar-SA"/>
              </w:rPr>
              <w:t>7</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5</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296" w:type="dxa"/>
            <w:shd w:val="clear" w:color="auto" w:fill="auto"/>
          </w:tcPr>
          <w:p w14:paraId="27EE9A78" w14:textId="7E5C9E1E"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3</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-8</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416" w:type="dxa"/>
            <w:gridSpan w:val="2"/>
            <w:shd w:val="clear" w:color="auto" w:fill="auto"/>
          </w:tcPr>
          <w:p w14:paraId="07A8C770" w14:textId="422AE6C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8</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(3</w:t>
            </w:r>
            <w:r w:rsidRPr="001D3C3D">
              <w:rPr>
                <w:rFonts w:ascii="Times New Roman" w:eastAsia="Times New Roman" w:hAnsi="Times New Roman" w:cs="Times New Roman"/>
                <w:color w:val="000000"/>
                <w:lang w:eastAsia="ar-SA"/>
              </w:rPr>
              <w:t>8</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513" w:type="dxa"/>
            <w:shd w:val="clear" w:color="auto" w:fill="auto"/>
          </w:tcPr>
          <w:p w14:paraId="70F7BEFE" w14:textId="02E3255A"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0</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c>
          <w:tcPr>
            <w:tcW w:w="1396" w:type="dxa"/>
            <w:shd w:val="clear" w:color="auto" w:fill="auto"/>
          </w:tcPr>
          <w:p w14:paraId="6B671606" w14:textId="5F1C99C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5</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0</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w:t>
            </w:r>
          </w:p>
        </w:tc>
      </w:tr>
      <w:tr w:rsidR="00ED7DC3" w:rsidRPr="001D3C3D" w14:paraId="079E245A" w14:textId="77777777" w:rsidTr="0036275F">
        <w:trPr>
          <w:trHeight w:hRule="exact" w:val="328"/>
        </w:trPr>
        <w:tc>
          <w:tcPr>
            <w:tcW w:w="2007" w:type="dxa"/>
            <w:tcBorders>
              <w:bottom w:val="single" w:sz="4" w:space="0" w:color="000000"/>
            </w:tcBorders>
            <w:shd w:val="clear" w:color="auto" w:fill="auto"/>
          </w:tcPr>
          <w:p w14:paraId="56BFA943" w14:textId="67435376"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00B12C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spacing w:val="-1"/>
                <w:lang w:eastAsia="ar-SA"/>
              </w:rPr>
              <w:t>metai</w:t>
            </w:r>
          </w:p>
        </w:tc>
        <w:tc>
          <w:tcPr>
            <w:tcW w:w="1397" w:type="dxa"/>
            <w:tcBorders>
              <w:bottom w:val="single" w:sz="4" w:space="0" w:color="000000"/>
            </w:tcBorders>
            <w:shd w:val="clear" w:color="auto" w:fill="auto"/>
          </w:tcPr>
          <w:p w14:paraId="11CD649B" w14:textId="1CE5B840"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w:t>
            </w:r>
            <w:r w:rsidRPr="001D3C3D">
              <w:rPr>
                <w:rFonts w:ascii="Times New Roman" w:eastAsia="Times New Roman" w:hAnsi="Times New Roman" w:cs="Times New Roman"/>
                <w:color w:val="000000"/>
                <w:spacing w:val="-1"/>
                <w:lang w:eastAsia="ar-SA"/>
              </w:rPr>
              <w:t>4</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1</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c>
          <w:tcPr>
            <w:tcW w:w="1296" w:type="dxa"/>
            <w:tcBorders>
              <w:bottom w:val="single" w:sz="4" w:space="0" w:color="000000"/>
            </w:tcBorders>
            <w:shd w:val="clear" w:color="auto" w:fill="auto"/>
          </w:tcPr>
          <w:p w14:paraId="0F994C0E" w14:textId="33DA35AF"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2</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(6</w:t>
            </w:r>
            <w:r w:rsidRPr="001D3C3D">
              <w:rPr>
                <w:rFonts w:ascii="Times New Roman" w:eastAsia="Times New Roman" w:hAnsi="Times New Roman" w:cs="Times New Roman"/>
                <w:color w:val="000000"/>
                <w:lang w:eastAsia="ar-SA"/>
              </w:rPr>
              <w:t>4</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spacing w:val="1"/>
                <w:lang w:eastAsia="ar-SA"/>
              </w:rPr>
              <w:t>9</w:t>
            </w:r>
            <w:r w:rsidRPr="001D3C3D">
              <w:rPr>
                <w:rFonts w:ascii="Times New Roman" w:eastAsia="Times New Roman" w:hAnsi="Times New Roman" w:cs="Times New Roman"/>
                <w:color w:val="000000"/>
                <w:lang w:eastAsia="ar-SA"/>
              </w:rPr>
              <w:t>)</w:t>
            </w:r>
          </w:p>
        </w:tc>
        <w:tc>
          <w:tcPr>
            <w:tcW w:w="1416" w:type="dxa"/>
            <w:gridSpan w:val="2"/>
            <w:tcBorders>
              <w:bottom w:val="single" w:sz="4" w:space="0" w:color="000000"/>
            </w:tcBorders>
            <w:shd w:val="clear" w:color="auto" w:fill="auto"/>
          </w:tcPr>
          <w:p w14:paraId="07075BFA" w14:textId="554A4A86"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8</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7</w:t>
            </w:r>
            <w:r w:rsidRPr="001D3C3D">
              <w:rPr>
                <w:rFonts w:ascii="Times New Roman" w:eastAsia="Times New Roman" w:hAnsi="Times New Roman" w:cs="Times New Roman"/>
                <w:color w:val="000000"/>
                <w:spacing w:val="-1"/>
                <w:lang w:eastAsia="ar-SA"/>
              </w:rPr>
              <w:t>-5</w:t>
            </w:r>
            <w:r w:rsidRPr="001D3C3D">
              <w:rPr>
                <w:rFonts w:ascii="Times New Roman" w:eastAsia="Times New Roman" w:hAnsi="Times New Roman" w:cs="Times New Roman"/>
                <w:color w:val="000000"/>
                <w:spacing w:val="1"/>
                <w:lang w:eastAsia="ar-SA"/>
              </w:rPr>
              <w:t>0</w:t>
            </w:r>
            <w:r w:rsidRPr="001D3C3D">
              <w:rPr>
                <w:rFonts w:ascii="Times New Roman" w:eastAsia="Times New Roman" w:hAnsi="Times New Roman" w:cs="Times New Roman"/>
                <w:color w:val="000000"/>
                <w:lang w:eastAsia="ar-SA"/>
              </w:rPr>
              <w:t>)</w:t>
            </w:r>
          </w:p>
        </w:tc>
        <w:tc>
          <w:tcPr>
            <w:tcW w:w="1513" w:type="dxa"/>
            <w:tcBorders>
              <w:bottom w:val="single" w:sz="4" w:space="0" w:color="000000"/>
            </w:tcBorders>
            <w:shd w:val="clear" w:color="auto" w:fill="auto"/>
          </w:tcPr>
          <w:p w14:paraId="406043B6" w14:textId="1E19C941"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w:t>
            </w:r>
            <w:r w:rsidRPr="001D3C3D">
              <w:rPr>
                <w:rFonts w:ascii="Times New Roman" w:eastAsia="Times New Roman" w:hAnsi="Times New Roman" w:cs="Times New Roman"/>
                <w:color w:val="000000"/>
                <w:spacing w:val="-1"/>
                <w:lang w:eastAsia="ar-SA"/>
              </w:rPr>
              <w:t>6</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0</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2</w:t>
            </w:r>
            <w:r w:rsidRPr="001D3C3D">
              <w:rPr>
                <w:rFonts w:ascii="Times New Roman" w:eastAsia="Times New Roman" w:hAnsi="Times New Roman" w:cs="Times New Roman"/>
                <w:color w:val="000000"/>
                <w:lang w:eastAsia="ar-SA"/>
              </w:rPr>
              <w:t>)</w:t>
            </w:r>
          </w:p>
        </w:tc>
        <w:tc>
          <w:tcPr>
            <w:tcW w:w="1396" w:type="dxa"/>
            <w:tcBorders>
              <w:bottom w:val="single" w:sz="4" w:space="0" w:color="000000"/>
            </w:tcBorders>
            <w:shd w:val="clear" w:color="auto" w:fill="auto"/>
          </w:tcPr>
          <w:p w14:paraId="4812784E" w14:textId="5E4A7C88" w:rsidR="00ED7DC3" w:rsidRPr="001D3C3D" w:rsidRDefault="00ED7DC3" w:rsidP="00ED7DC3">
            <w:pPr>
              <w:widowControl w:val="0"/>
              <w:suppressAutoHyphens/>
              <w:spacing w:after="0" w:line="240" w:lineRule="auto"/>
              <w:ind w:left="57"/>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w:t>
            </w:r>
            <w:r w:rsidRPr="001D3C3D">
              <w:rPr>
                <w:rFonts w:ascii="Times New Roman" w:eastAsia="Times New Roman" w:hAnsi="Times New Roman" w:cs="Times New Roman"/>
                <w:color w:val="000000"/>
                <w:spacing w:val="-1"/>
                <w:lang w:eastAsia="ar-SA"/>
              </w:rPr>
              <w:t>1</w:t>
            </w:r>
            <w:r w:rsidR="00327992">
              <w:rPr>
                <w:rFonts w:ascii="Times New Roman" w:eastAsia="Times New Roman" w:hAnsi="Times New Roman" w:cs="Times New Roman"/>
                <w:color w:val="000000"/>
                <w:spacing w:val="-1"/>
                <w:lang w:eastAsia="ar-SA"/>
              </w:rPr>
              <w:t> </w:t>
            </w:r>
            <w:r w:rsidRPr="001D3C3D">
              <w:rPr>
                <w:rFonts w:ascii="Times New Roman" w:eastAsia="Times New Roman" w:hAnsi="Times New Roman" w:cs="Times New Roman"/>
                <w:color w:val="000000"/>
                <w:lang w:eastAsia="ar-SA"/>
              </w:rPr>
              <w:t>%</w:t>
            </w:r>
            <w:r w:rsidRPr="001D3C3D">
              <w:rPr>
                <w:rFonts w:ascii="Times New Roman" w:eastAsia="Times New Roman" w:hAnsi="Times New Roman" w:cs="Times New Roman"/>
                <w:color w:val="000000"/>
                <w:spacing w:val="1"/>
                <w:lang w:eastAsia="ar-SA"/>
              </w:rPr>
              <w:t xml:space="preserve"> </w:t>
            </w:r>
            <w:r w:rsidRPr="001D3C3D">
              <w:rPr>
                <w:rFonts w:ascii="Times New Roman" w:eastAsia="Times New Roman" w:hAnsi="Times New Roman" w:cs="Times New Roman"/>
                <w:color w:val="000000"/>
                <w:spacing w:val="-1"/>
                <w:lang w:eastAsia="ar-SA"/>
              </w:rPr>
              <w:t>(1</w:t>
            </w:r>
            <w:r w:rsidRPr="001D3C3D">
              <w:rPr>
                <w:rFonts w:ascii="Times New Roman" w:eastAsia="Times New Roman" w:hAnsi="Times New Roman" w:cs="Times New Roman"/>
                <w:color w:val="000000"/>
                <w:lang w:eastAsia="ar-SA"/>
              </w:rPr>
              <w:t>6</w:t>
            </w:r>
            <w:r w:rsidRPr="001D3C3D">
              <w:rPr>
                <w:rFonts w:ascii="Times New Roman" w:eastAsia="Times New Roman" w:hAnsi="Times New Roman" w:cs="Times New Roman"/>
                <w:color w:val="000000"/>
                <w:spacing w:val="-1"/>
                <w:lang w:eastAsia="ar-SA"/>
              </w:rPr>
              <w:t>-4</w:t>
            </w:r>
            <w:r w:rsidRPr="001D3C3D">
              <w:rPr>
                <w:rFonts w:ascii="Times New Roman" w:eastAsia="Times New Roman" w:hAnsi="Times New Roman" w:cs="Times New Roman"/>
                <w:color w:val="000000"/>
                <w:spacing w:val="1"/>
                <w:lang w:eastAsia="ar-SA"/>
              </w:rPr>
              <w:t>7</w:t>
            </w:r>
            <w:r w:rsidRPr="001D3C3D">
              <w:rPr>
                <w:rFonts w:ascii="Times New Roman" w:eastAsia="Times New Roman" w:hAnsi="Times New Roman" w:cs="Times New Roman"/>
                <w:color w:val="000000"/>
                <w:lang w:eastAsia="ar-SA"/>
              </w:rPr>
              <w:t>)</w:t>
            </w:r>
          </w:p>
        </w:tc>
      </w:tr>
    </w:tbl>
    <w:p w14:paraId="58E54645" w14:textId="5E7B737C" w:rsidR="00ED7DC3" w:rsidRPr="00B92E23" w:rsidRDefault="00ED7DC3" w:rsidP="0081772D">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lang w:eastAsia="ar-SA"/>
        </w:rPr>
        <w:t>Šioje lentelėje pateikti tyrimų, kurių metu buvo vartojama pradinė 70</w:t>
      </w:r>
      <w:r w:rsidR="00327992"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mg 2</w:t>
      </w:r>
      <w:r w:rsidR="00327992"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kartus per parą dozė, duomenys. Žr.</w:t>
      </w:r>
      <w:r w:rsidR="00B97CE7">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4.2 skyrių dėl pradinės rekomenduojamos dozės.</w:t>
      </w:r>
    </w:p>
    <w:p w14:paraId="6EC59A08" w14:textId="77777777" w:rsidR="00ED7DC3" w:rsidRPr="00B92E23" w:rsidRDefault="00ED7DC3" w:rsidP="00B92E23">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a</w:t>
      </w:r>
      <w:r w:rsidRPr="00B92E23">
        <w:rPr>
          <w:rFonts w:ascii="Times New Roman" w:eastAsia="SimSun" w:hAnsi="Times New Roman" w:cs="Times New Roman"/>
          <w:iCs/>
          <w:color w:val="000000"/>
          <w:sz w:val="20"/>
          <w:szCs w:val="20"/>
          <w:lang w:eastAsia="ar-SA"/>
        </w:rPr>
        <w:t xml:space="preserve"> Paryškinti pagrindinių veiksmingumo vertinamųjų baigčių duomenys.</w:t>
      </w:r>
    </w:p>
    <w:p w14:paraId="2DB3245C" w14:textId="440665FE" w:rsidR="00ED7DC3" w:rsidRPr="00B92E23" w:rsidRDefault="00ED7DC3" w:rsidP="00B92E23">
      <w:pPr>
        <w:widowControl w:val="0"/>
        <w:tabs>
          <w:tab w:val="left" w:pos="567"/>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b</w:t>
      </w:r>
      <w:r w:rsidRPr="00B92E23">
        <w:rPr>
          <w:rFonts w:ascii="Times New Roman" w:eastAsia="SimSun" w:hAnsi="Times New Roman" w:cs="Times New Roman"/>
          <w:iCs/>
          <w:color w:val="000000"/>
          <w:sz w:val="20"/>
          <w:szCs w:val="20"/>
          <w:lang w:eastAsia="ar-SA"/>
        </w:rPr>
        <w:t xml:space="preserve"> Hematologinio atsako kriterijai (visi atsakai patvirtinti po 4</w:t>
      </w:r>
      <w:r w:rsidR="00327992"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savaičių): didysis hematologinis atsakas (MaHR) = visiškas hematologinis atsakas (CHR) + nėra leukemijos įrodymų (NEL).</w:t>
      </w:r>
    </w:p>
    <w:p w14:paraId="4C86B636" w14:textId="6756F61B" w:rsidR="00ED7DC3" w:rsidRPr="00B92E23" w:rsidRDefault="00ED7DC3" w:rsidP="00B92E23">
      <w:pPr>
        <w:widowControl w:val="0"/>
        <w:tabs>
          <w:tab w:val="left" w:pos="567"/>
        </w:tabs>
        <w:suppressAutoHyphens/>
        <w:spacing w:after="0" w:line="240" w:lineRule="auto"/>
        <w:ind w:left="567"/>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lang w:eastAsia="ar-SA"/>
        </w:rPr>
        <w:t xml:space="preserve">CHR (lėtinė LML): leukocitų skaičius </w:t>
      </w:r>
      <w:r w:rsidRPr="00B92E23">
        <w:rPr>
          <w:rFonts w:ascii="Times New Roman" w:eastAsia="SimSun" w:hAnsi="Times New Roman" w:cs="Times New Roman" w:hint="eastAsia"/>
          <w:iCs/>
          <w:color w:val="000000"/>
          <w:sz w:val="20"/>
          <w:szCs w:val="20"/>
          <w:lang w:eastAsia="ar-SA"/>
        </w:rPr>
        <w:t>≤</w:t>
      </w:r>
      <w:r w:rsidRPr="00B92E23">
        <w:rPr>
          <w:rFonts w:ascii="Times New Roman" w:eastAsia="SimSun" w:hAnsi="Times New Roman" w:cs="Times New Roman"/>
          <w:iCs/>
          <w:color w:val="000000"/>
          <w:sz w:val="20"/>
          <w:szCs w:val="20"/>
          <w:lang w:eastAsia="ar-SA"/>
        </w:rPr>
        <w:t xml:space="preserve"> nustatyta VNR, trombocitų &lt;</w:t>
      </w:r>
      <w:r w:rsidR="00327992"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450</w:t>
      </w:r>
      <w:r w:rsidR="00327992"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periferiniame kraujyje nėra blastų ir promielocitų, mielocitų ir metamielocitų suma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bazofilų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ir nėra ekstramedulinių židinių.</w:t>
      </w:r>
    </w:p>
    <w:p w14:paraId="670918D2" w14:textId="14011676" w:rsidR="00ED7DC3" w:rsidRPr="00B92E23" w:rsidRDefault="00ED7DC3" w:rsidP="00B92E23">
      <w:pPr>
        <w:widowControl w:val="0"/>
        <w:tabs>
          <w:tab w:val="left" w:pos="567"/>
        </w:tabs>
        <w:suppressAutoHyphens/>
        <w:spacing w:after="0" w:line="240" w:lineRule="auto"/>
        <w:ind w:left="567"/>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lang w:eastAsia="ar-SA"/>
        </w:rPr>
        <w:t xml:space="preserve">CHR (progresavusi LML ir Ph+ ŪLL): leukocitų </w:t>
      </w:r>
      <w:r w:rsidRPr="00B92E23">
        <w:rPr>
          <w:rFonts w:ascii="Times New Roman" w:eastAsia="SimSun" w:hAnsi="Times New Roman" w:cs="Times New Roman" w:hint="eastAsia"/>
          <w:iCs/>
          <w:color w:val="000000"/>
          <w:sz w:val="20"/>
          <w:szCs w:val="20"/>
          <w:lang w:eastAsia="ar-SA"/>
        </w:rPr>
        <w:t>≤</w:t>
      </w:r>
      <w:r w:rsidRPr="00B92E23">
        <w:rPr>
          <w:rFonts w:ascii="Times New Roman" w:eastAsia="SimSun" w:hAnsi="Times New Roman" w:cs="Times New Roman"/>
          <w:iCs/>
          <w:color w:val="000000"/>
          <w:sz w:val="20"/>
          <w:szCs w:val="20"/>
          <w:lang w:eastAsia="ar-SA"/>
        </w:rPr>
        <w:t xml:space="preserve"> nustatyta VNR, absoliutus neutrofilų skaičius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trombocitų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100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periferiniame kraujyje nėra blastų ir promielocitų, blastų kaulų čiulpuose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mielocitų ir metamielocitų suma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bazofilų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ir nėra ekstramedulinių židinių.</w:t>
      </w:r>
    </w:p>
    <w:p w14:paraId="630A1D02" w14:textId="225E92C7" w:rsidR="00ED7DC3" w:rsidRPr="00B92E23" w:rsidRDefault="00ED7DC3" w:rsidP="00B92E23">
      <w:pPr>
        <w:widowControl w:val="0"/>
        <w:tabs>
          <w:tab w:val="left" w:pos="567"/>
        </w:tabs>
        <w:suppressAutoHyphens/>
        <w:spacing w:after="0" w:line="240" w:lineRule="auto"/>
        <w:ind w:left="567"/>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lang w:eastAsia="ar-SA"/>
        </w:rPr>
        <w:t xml:space="preserve">NEL: tie patys kriterijai kaip CHR, tačiau absoliutus neutrofilų skaičius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ir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arba trombocitų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ir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100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w:t>
      </w:r>
    </w:p>
    <w:p w14:paraId="1607C513" w14:textId="4A9B4392" w:rsidR="00ED7DC3" w:rsidRPr="00B92E23" w:rsidRDefault="00ED7DC3" w:rsidP="00B92E23">
      <w:pPr>
        <w:widowControl w:val="0"/>
        <w:tabs>
          <w:tab w:val="left" w:pos="0"/>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c</w:t>
      </w:r>
      <w:r w:rsidRPr="00B92E23">
        <w:rPr>
          <w:rFonts w:ascii="Times New Roman" w:eastAsia="SimSun" w:hAnsi="Times New Roman" w:cs="Times New Roman"/>
          <w:iCs/>
          <w:color w:val="000000"/>
          <w:sz w:val="20"/>
          <w:szCs w:val="20"/>
          <w:lang w:eastAsia="ar-SA"/>
        </w:rPr>
        <w:t xml:space="preserve"> Citogenetinio atsako kriterijai: visiškas (0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Ph+ metafazių) arba dalinis (&gt;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noBreakHyphen/>
      </w:r>
      <w:r w:rsidRPr="00B92E23">
        <w:rPr>
          <w:rFonts w:ascii="Times New Roman" w:eastAsia="SimSun" w:hAnsi="Times New Roman" w:cs="Times New Roman"/>
          <w:iCs/>
          <w:color w:val="000000"/>
          <w:sz w:val="20"/>
          <w:szCs w:val="20"/>
          <w:lang w:eastAsia="ar-SA"/>
        </w:rPr>
        <w:t>35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Didysis citogenetinis atsakas (MCyR) (0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noBreakHyphen/>
      </w:r>
      <w:r w:rsidRPr="00B92E23">
        <w:rPr>
          <w:rFonts w:ascii="Times New Roman" w:eastAsia="SimSun" w:hAnsi="Times New Roman" w:cs="Times New Roman"/>
          <w:iCs/>
          <w:color w:val="000000"/>
          <w:sz w:val="20"/>
          <w:szCs w:val="20"/>
          <w:lang w:eastAsia="ar-SA"/>
        </w:rPr>
        <w:t>35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apima visišką ir dalinį atsaką.</w:t>
      </w:r>
    </w:p>
    <w:p w14:paraId="43201A3B" w14:textId="77777777" w:rsidR="00ED7DC3" w:rsidRPr="00B92E23" w:rsidRDefault="00ED7DC3" w:rsidP="00B92E23">
      <w:pPr>
        <w:widowControl w:val="0"/>
        <w:tabs>
          <w:tab w:val="left" w:pos="0"/>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lang w:eastAsia="ar-SA"/>
        </w:rPr>
        <w:t>n/a = duomenų nėra, PI = pasikliautinasis intervalas, VNR = viršutinė normos riba.</w:t>
      </w:r>
    </w:p>
    <w:p w14:paraId="419B2958"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88DDB9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Pacientų, kuriems po dazatinibo vartojimo transplantuoti kaulų čiulpai, gydymo rezultatai ligi galo neįvertinti.</w:t>
      </w:r>
    </w:p>
    <w:p w14:paraId="752F6DF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79AFC8B"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
          <w:iCs/>
          <w:color w:val="000000"/>
          <w:u w:val="single"/>
          <w:lang w:eastAsia="ar-SA"/>
        </w:rPr>
      </w:pPr>
      <w:r w:rsidRPr="001D3C3D">
        <w:rPr>
          <w:rFonts w:ascii="Times New Roman" w:eastAsia="SimSun" w:hAnsi="Times New Roman" w:cs="Times New Roman"/>
          <w:i/>
          <w:iCs/>
          <w:color w:val="000000"/>
          <w:u w:val="single"/>
          <w:lang w:eastAsia="ar-SA"/>
        </w:rPr>
        <w:t>III fazės klinikiniai tyrimai su LML lėtine, akceleracijos ar mieloidinių blastų faze arba Ph+ ŪLL</w:t>
      </w:r>
    </w:p>
    <w:p w14:paraId="4FD7298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u w:val="single"/>
          <w:lang w:eastAsia="ar-SA"/>
        </w:rPr>
        <w:t>sergančiais pacientais, kurių liga buvo atspari gydymui imatinibu arba kurie šio vaistinio preparato netoleravo</w:t>
      </w:r>
    </w:p>
    <w:p w14:paraId="0C61E3E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27030E4" w14:textId="4953FBD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Atlikti 2 atsitiktinės atrankos atviri tyrimai dazatinibo, vartojamo 1</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saugumui ir veiksmingumui, lyginant su 2</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vartojamu dazatinibu, įvertinti. Žemiau pateikti bent 2</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metų ir 7</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metų stebėjimo duomenys (skaičiuojant nuo gydymo dazatinibu pradžios).</w:t>
      </w:r>
    </w:p>
    <w:p w14:paraId="451061D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0871642"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1-asis tyrimas</w:t>
      </w:r>
    </w:p>
    <w:p w14:paraId="796D9393" w14:textId="36A7F9B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LML lėtinės fazės tyrimo metu pagrindinė vertinamoji baigtis buvo imatinibui atsparių pacientų MCyR, pagrindinė antraeilė vertinamoji baigtis – imatinibui atsparių pacientų MCyR pagal suminę </w:t>
      </w:r>
      <w:r w:rsidRPr="001D3C3D">
        <w:rPr>
          <w:rFonts w:ascii="Times New Roman" w:eastAsia="SimSun" w:hAnsi="Times New Roman" w:cs="Times New Roman"/>
          <w:iCs/>
          <w:color w:val="000000"/>
          <w:lang w:eastAsia="ar-SA"/>
        </w:rPr>
        <w:lastRenderedPageBreak/>
        <w:t>paros dozę. Kitos antraeilės vertinamosios baigtys buvo MCyR trukmė, be ligos progresavimo išgyventas laikas ir bendroji išgyvenimo trukmė. Iš viso 670 pacientų ( iš jų 497 buvo atsparūs imatinibui), buvo atsitiktinės atrankos būdu priskirti į vartojančių 100</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1</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140</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1</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po 50</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2</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ir po 70</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2</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grupes. Toliau gydytų pacientų, stebėtų bent 5</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metus (n</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205), gydymo trukmės mediana buvo 59 mėnesiai (diapazonas </w:t>
      </w:r>
      <w:r w:rsidR="008F45FC">
        <w:rPr>
          <w:rFonts w:ascii="Times New Roman" w:eastAsia="SimSun" w:hAnsi="Times New Roman" w:cs="Times New Roman"/>
          <w:iCs/>
          <w:color w:val="000000"/>
          <w:lang w:eastAsia="ar-SA"/>
        </w:rPr>
        <w:t>–</w:t>
      </w:r>
      <w:r w:rsidRPr="001D3C3D">
        <w:rPr>
          <w:rFonts w:ascii="Times New Roman" w:eastAsia="SimSun" w:hAnsi="Times New Roman" w:cs="Times New Roman"/>
          <w:iCs/>
          <w:color w:val="000000"/>
          <w:lang w:eastAsia="ar-SA"/>
        </w:rPr>
        <w:t xml:space="preserve"> 28</w:t>
      </w:r>
      <w:r w:rsidR="008F45F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66</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Po 7 stebėjimo metų visų pacientų gydymo trukmės mediana buvo 29,8</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mėnesio (diapazonas nuo &lt;</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1</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iki</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92,9</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w:t>
      </w:r>
    </w:p>
    <w:p w14:paraId="7BC3780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4E131C3" w14:textId="442D83D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Nustatyta, kad dazatinibas buvo veiksmingas visose grupėse, o veiksmingumas pagal pagrindinę vertinamąją baigtį šio vaistinio preparato vartojant 1</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buvo panašus (ne mažesnis), kaip jo vartojant 2</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(MCyR skirtumas 1,9</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jo 95</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nuo –6,8</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iki 10,6</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tačiau vartojant 100</w:t>
      </w:r>
      <w:r w:rsidR="008F45F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kartą per parą saugumas ir toleravimas buvo geresni. Veiksmingumo duomenys pateikti</w:t>
      </w:r>
      <w:r w:rsidRPr="001D3C3D">
        <w:rPr>
          <w:rFonts w:ascii="Times New Roman" w:eastAsia="SimSun" w:hAnsi="Times New Roman" w:cs="Times New Roman"/>
          <w:b/>
          <w:i/>
          <w:iCs/>
          <w:color w:val="000000"/>
          <w:lang w:eastAsia="ar-SA"/>
        </w:rPr>
        <w:t xml:space="preserve"> </w:t>
      </w:r>
      <w:r w:rsidRPr="00B92E23">
        <w:rPr>
          <w:rFonts w:ascii="Times New Roman" w:eastAsia="SimSun" w:hAnsi="Times New Roman" w:cs="Times New Roman"/>
          <w:bCs/>
          <w:color w:val="000000"/>
          <w:lang w:eastAsia="ar-SA"/>
        </w:rPr>
        <w:t>12 ir 13</w:t>
      </w:r>
      <w:r w:rsidR="000650E2">
        <w:rPr>
          <w:rFonts w:ascii="Times New Roman" w:eastAsia="SimSun" w:hAnsi="Times New Roman" w:cs="Times New Roman"/>
          <w:bCs/>
          <w:color w:val="000000"/>
          <w:lang w:eastAsia="ar-SA"/>
        </w:rPr>
        <w:t> </w:t>
      </w:r>
      <w:r w:rsidRPr="00B92E23">
        <w:rPr>
          <w:rFonts w:ascii="Times New Roman" w:eastAsia="SimSun" w:hAnsi="Times New Roman" w:cs="Times New Roman"/>
          <w:bCs/>
          <w:color w:val="000000"/>
          <w:lang w:eastAsia="ar-SA"/>
        </w:rPr>
        <w:t>lentelėse</w:t>
      </w:r>
      <w:r w:rsidRPr="00AE0D4F">
        <w:rPr>
          <w:rFonts w:ascii="Times New Roman" w:eastAsia="SimSun" w:hAnsi="Times New Roman" w:cs="Times New Roman"/>
          <w:bCs/>
          <w:color w:val="000000"/>
          <w:lang w:eastAsia="ar-SA"/>
        </w:rPr>
        <w:t>.</w:t>
      </w:r>
    </w:p>
    <w:p w14:paraId="1E3ED1B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B013FEF" w14:textId="2128DFD3" w:rsidR="00ED7DC3" w:rsidRPr="001D3C3D" w:rsidRDefault="00ED7DC3" w:rsidP="00ED7DC3">
      <w:pPr>
        <w:suppressAutoHyphens/>
        <w:spacing w:after="0" w:line="240" w:lineRule="auto"/>
        <w:ind w:left="1165" w:hanging="1188"/>
        <w:rPr>
          <w:rFonts w:ascii="Times New Roman" w:eastAsia="SimSun" w:hAnsi="Times New Roman" w:cs="Times New Roman"/>
          <w:iCs/>
          <w:color w:val="000000"/>
          <w:lang w:eastAsia="ar-SA"/>
        </w:rPr>
      </w:pPr>
      <w:r w:rsidRPr="001D3C3D">
        <w:rPr>
          <w:rFonts w:ascii="Times New Roman" w:eastAsia="Times New Roman" w:hAnsi="Times New Roman" w:cs="Times New Roman"/>
          <w:b/>
          <w:bCs/>
          <w:color w:val="000000"/>
          <w:lang w:eastAsia="ar-SA"/>
        </w:rPr>
        <w:t>12</w:t>
      </w:r>
      <w:r w:rsidR="008F45FC">
        <w:rPr>
          <w:rFonts w:ascii="Times New Roman" w:eastAsia="Times New Roman" w:hAnsi="Times New Roman" w:cs="Times New Roman"/>
          <w:b/>
          <w:bCs/>
          <w:color w:val="000000"/>
          <w:lang w:eastAsia="ar-SA"/>
        </w:rPr>
        <w:t> </w:t>
      </w:r>
      <w:r w:rsidRPr="001D3C3D">
        <w:rPr>
          <w:rFonts w:ascii="Times New Roman" w:eastAsia="Times New Roman" w:hAnsi="Times New Roman" w:cs="Times New Roman"/>
          <w:b/>
          <w:bCs/>
          <w:color w:val="000000"/>
          <w:lang w:eastAsia="ar-SA"/>
        </w:rPr>
        <w:t>lentelė. Dazatinibo veiksmingumas III fazės dozės optimizavimo tyrimo metu imatinibui atsparia lėtinės fazės LML sergantiems arba imatinibo netoleruojantiems pacientams (2 metų duomenys)</w:t>
      </w:r>
      <w:r w:rsidRPr="001D3C3D">
        <w:rPr>
          <w:rFonts w:ascii="Times New Roman" w:eastAsia="Times New Roman" w:hAnsi="Times New Roman" w:cs="Times New Roman"/>
          <w:b/>
          <w:bCs/>
          <w:color w:val="000000"/>
          <w:vertAlign w:val="superscript"/>
          <w:lang w:eastAsia="ar-SA"/>
        </w:rPr>
        <w:t>a</w:t>
      </w:r>
    </w:p>
    <w:p w14:paraId="29FEB2D4" w14:textId="77777777" w:rsidR="00ED7DC3" w:rsidRPr="001D3C3D" w:rsidRDefault="00ED7DC3" w:rsidP="00ED7DC3">
      <w:pPr>
        <w:suppressAutoHyphens/>
        <w:spacing w:after="0" w:line="240" w:lineRule="auto"/>
        <w:rPr>
          <w:rFonts w:ascii="Times New Roman" w:eastAsia="SimSun" w:hAnsi="Times New Roman" w:cs="Times New Roman"/>
          <w:iCs/>
          <w:color w:val="000000"/>
          <w:lang w:eastAsia="ar-SA"/>
        </w:rPr>
      </w:pPr>
    </w:p>
    <w:tbl>
      <w:tblPr>
        <w:tblW w:w="0" w:type="auto"/>
        <w:tblLayout w:type="fixed"/>
        <w:tblLook w:val="0000" w:firstRow="0" w:lastRow="0" w:firstColumn="0" w:lastColumn="0" w:noHBand="0" w:noVBand="0"/>
      </w:tblPr>
      <w:tblGrid>
        <w:gridCol w:w="4495"/>
        <w:gridCol w:w="693"/>
        <w:gridCol w:w="3803"/>
      </w:tblGrid>
      <w:tr w:rsidR="00ED7DC3" w:rsidRPr="001D3C3D" w14:paraId="14129E63" w14:textId="77777777" w:rsidTr="0036275F">
        <w:tc>
          <w:tcPr>
            <w:tcW w:w="5188" w:type="dxa"/>
            <w:gridSpan w:val="2"/>
            <w:tcBorders>
              <w:top w:val="single" w:sz="4" w:space="0" w:color="000000"/>
            </w:tcBorders>
            <w:shd w:val="clear" w:color="auto" w:fill="FFFFFF"/>
          </w:tcPr>
          <w:p w14:paraId="2B1F445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bCs/>
                <w:iCs/>
                <w:color w:val="000000"/>
                <w:lang w:eastAsia="ar-SA"/>
              </w:rPr>
            </w:pPr>
            <w:r w:rsidRPr="001D3C3D">
              <w:rPr>
                <w:rFonts w:ascii="Times New Roman" w:eastAsia="SimSun" w:hAnsi="Times New Roman" w:cs="Times New Roman"/>
                <w:b/>
                <w:bCs/>
                <w:iCs/>
                <w:color w:val="000000"/>
                <w:lang w:eastAsia="ar-SA"/>
              </w:rPr>
              <w:t>Visi pacientai</w:t>
            </w:r>
          </w:p>
        </w:tc>
        <w:tc>
          <w:tcPr>
            <w:tcW w:w="3803" w:type="dxa"/>
            <w:tcBorders>
              <w:top w:val="single" w:sz="4" w:space="0" w:color="000000"/>
              <w:bottom w:val="single" w:sz="4" w:space="0" w:color="000000"/>
            </w:tcBorders>
            <w:shd w:val="clear" w:color="auto" w:fill="FFFFFF"/>
          </w:tcPr>
          <w:p w14:paraId="698E52FD" w14:textId="2BCD2D44"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bCs/>
                <w:iCs/>
                <w:color w:val="000000"/>
                <w:lang w:eastAsia="ar-SA"/>
              </w:rPr>
              <w:t>n</w:t>
            </w:r>
            <w:r w:rsidR="008F45FC">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w:t>
            </w:r>
            <w:r w:rsidR="008F45FC">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167</w:t>
            </w:r>
          </w:p>
        </w:tc>
      </w:tr>
      <w:tr w:rsidR="00ED7DC3" w:rsidRPr="001D3C3D" w14:paraId="6AB58D5D" w14:textId="77777777" w:rsidTr="0036275F">
        <w:tc>
          <w:tcPr>
            <w:tcW w:w="5188" w:type="dxa"/>
            <w:gridSpan w:val="2"/>
            <w:tcBorders>
              <w:bottom w:val="single" w:sz="4" w:space="0" w:color="000000"/>
            </w:tcBorders>
            <w:shd w:val="clear" w:color="auto" w:fill="FFFFFF"/>
          </w:tcPr>
          <w:p w14:paraId="2952F3B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bCs/>
                <w:iCs/>
                <w:color w:val="000000"/>
                <w:lang w:eastAsia="ar-SA"/>
              </w:rPr>
            </w:pPr>
            <w:r w:rsidRPr="001D3C3D">
              <w:rPr>
                <w:rFonts w:ascii="Times New Roman" w:eastAsia="SimSun" w:hAnsi="Times New Roman" w:cs="Times New Roman"/>
                <w:b/>
                <w:bCs/>
                <w:iCs/>
                <w:color w:val="000000"/>
                <w:lang w:eastAsia="ar-SA"/>
              </w:rPr>
              <w:t>Imatinibui atsaprūs pacientai</w:t>
            </w:r>
          </w:p>
        </w:tc>
        <w:tc>
          <w:tcPr>
            <w:tcW w:w="3803" w:type="dxa"/>
            <w:tcBorders>
              <w:top w:val="single" w:sz="4" w:space="0" w:color="000000"/>
              <w:bottom w:val="single" w:sz="4" w:space="0" w:color="000000"/>
            </w:tcBorders>
            <w:shd w:val="clear" w:color="auto" w:fill="FFFFFF"/>
          </w:tcPr>
          <w:p w14:paraId="6E5C6C59" w14:textId="7B2323AF"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bCs/>
                <w:iCs/>
                <w:color w:val="000000"/>
                <w:lang w:eastAsia="ar-SA"/>
              </w:rPr>
              <w:t>n</w:t>
            </w:r>
            <w:r w:rsidR="008F45FC">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w:t>
            </w:r>
            <w:r w:rsidR="008F45FC">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124</w:t>
            </w:r>
          </w:p>
        </w:tc>
      </w:tr>
      <w:tr w:rsidR="00ED7DC3" w:rsidRPr="001D3C3D" w14:paraId="721A5610" w14:textId="77777777" w:rsidTr="0036275F">
        <w:tc>
          <w:tcPr>
            <w:tcW w:w="5188" w:type="dxa"/>
            <w:gridSpan w:val="2"/>
            <w:tcBorders>
              <w:top w:val="single" w:sz="4" w:space="0" w:color="000000"/>
            </w:tcBorders>
            <w:shd w:val="clear" w:color="auto" w:fill="FFFFFF"/>
          </w:tcPr>
          <w:p w14:paraId="51FD0C84" w14:textId="381F6504"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b/>
                <w:iCs/>
                <w:color w:val="000000"/>
                <w:lang w:eastAsia="ar-SA"/>
              </w:rPr>
              <w:t>Hematologinio atsako procentas</w:t>
            </w:r>
            <w:r w:rsidRPr="001D3C3D">
              <w:rPr>
                <w:rFonts w:ascii="Times New Roman" w:eastAsia="SimSun" w:hAnsi="Times New Roman" w:cs="Times New Roman"/>
                <w:b/>
                <w:iCs/>
                <w:color w:val="000000"/>
                <w:vertAlign w:val="superscript"/>
                <w:lang w:eastAsia="ar-SA"/>
              </w:rPr>
              <w:t>b</w:t>
            </w:r>
            <w:r w:rsidRPr="001D3C3D">
              <w:rPr>
                <w:rFonts w:ascii="Times New Roman" w:eastAsia="SimSun" w:hAnsi="Times New Roman" w:cs="Times New Roman"/>
                <w:b/>
                <w:iCs/>
                <w:color w:val="000000"/>
                <w:lang w:eastAsia="ar-SA"/>
              </w:rPr>
              <w:t xml:space="preserve"> (%) (95</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PI)</w:t>
            </w:r>
          </w:p>
        </w:tc>
        <w:tc>
          <w:tcPr>
            <w:tcW w:w="3803" w:type="dxa"/>
            <w:tcBorders>
              <w:top w:val="single" w:sz="4" w:space="0" w:color="000000"/>
            </w:tcBorders>
            <w:shd w:val="clear" w:color="auto" w:fill="FFFFFF"/>
          </w:tcPr>
          <w:p w14:paraId="73D5F4B9"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b/>
                <w:iCs/>
                <w:color w:val="000000"/>
                <w:lang w:eastAsia="ar-SA"/>
              </w:rPr>
            </w:pPr>
          </w:p>
        </w:tc>
      </w:tr>
      <w:tr w:rsidR="00ED7DC3" w:rsidRPr="001D3C3D" w14:paraId="3E48AC9E" w14:textId="77777777" w:rsidTr="0036275F">
        <w:tc>
          <w:tcPr>
            <w:tcW w:w="5188" w:type="dxa"/>
            <w:gridSpan w:val="2"/>
            <w:shd w:val="clear" w:color="auto" w:fill="FFFFFF"/>
          </w:tcPr>
          <w:p w14:paraId="7764A39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CHR</w:t>
            </w:r>
          </w:p>
        </w:tc>
        <w:tc>
          <w:tcPr>
            <w:tcW w:w="3803" w:type="dxa"/>
            <w:shd w:val="clear" w:color="auto" w:fill="FFFFFF"/>
          </w:tcPr>
          <w:p w14:paraId="6AE3BFF9" w14:textId="2773093F"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92</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(86–95)</w:t>
            </w:r>
          </w:p>
        </w:tc>
      </w:tr>
      <w:tr w:rsidR="00ED7DC3" w:rsidRPr="001D3C3D" w14:paraId="1280BCBC" w14:textId="77777777" w:rsidTr="0036275F">
        <w:tc>
          <w:tcPr>
            <w:tcW w:w="5188" w:type="dxa"/>
            <w:gridSpan w:val="2"/>
            <w:shd w:val="clear" w:color="auto" w:fill="FFFFFF"/>
          </w:tcPr>
          <w:p w14:paraId="0512F84D" w14:textId="0336719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b/>
                <w:iCs/>
                <w:color w:val="000000"/>
                <w:lang w:eastAsia="ar-SA"/>
              </w:rPr>
              <w:t>Citogenetinis atsakas</w:t>
            </w:r>
            <w:r w:rsidRPr="001D3C3D">
              <w:rPr>
                <w:rFonts w:ascii="Times New Roman" w:eastAsia="SimSun" w:hAnsi="Times New Roman" w:cs="Times New Roman"/>
                <w:b/>
                <w:iCs/>
                <w:color w:val="000000"/>
                <w:vertAlign w:val="superscript"/>
                <w:lang w:eastAsia="ar-SA"/>
              </w:rPr>
              <w:t>c</w:t>
            </w:r>
            <w:r w:rsidRPr="001D3C3D">
              <w:rPr>
                <w:rFonts w:ascii="Times New Roman" w:eastAsia="SimSun" w:hAnsi="Times New Roman" w:cs="Times New Roman"/>
                <w:b/>
                <w:iCs/>
                <w:color w:val="000000"/>
                <w:lang w:eastAsia="ar-SA"/>
              </w:rPr>
              <w:t xml:space="preserve"> (%) (95</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PI)</w:t>
            </w:r>
          </w:p>
        </w:tc>
        <w:tc>
          <w:tcPr>
            <w:tcW w:w="3803" w:type="dxa"/>
            <w:shd w:val="clear" w:color="auto" w:fill="FFFFFF"/>
          </w:tcPr>
          <w:p w14:paraId="43CC5FB7"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b/>
                <w:iCs/>
                <w:color w:val="000000"/>
                <w:lang w:eastAsia="ar-SA"/>
              </w:rPr>
            </w:pPr>
          </w:p>
        </w:tc>
      </w:tr>
      <w:tr w:rsidR="00ED7DC3" w:rsidRPr="001D3C3D" w14:paraId="6C7A9836" w14:textId="77777777" w:rsidTr="0036275F">
        <w:tc>
          <w:tcPr>
            <w:tcW w:w="5188" w:type="dxa"/>
            <w:gridSpan w:val="2"/>
            <w:shd w:val="clear" w:color="auto" w:fill="FFFFFF"/>
          </w:tcPr>
          <w:p w14:paraId="6FD5362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MCyR</w:t>
            </w:r>
          </w:p>
        </w:tc>
        <w:tc>
          <w:tcPr>
            <w:tcW w:w="3803" w:type="dxa"/>
            <w:shd w:val="clear" w:color="auto" w:fill="FFFFFF"/>
          </w:tcPr>
          <w:p w14:paraId="618CAAA0"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b/>
                <w:iCs/>
                <w:color w:val="000000"/>
                <w:lang w:eastAsia="ar-SA"/>
              </w:rPr>
            </w:pPr>
          </w:p>
        </w:tc>
      </w:tr>
      <w:tr w:rsidR="00ED7DC3" w:rsidRPr="001D3C3D" w14:paraId="4B418782" w14:textId="77777777" w:rsidTr="0036275F">
        <w:tc>
          <w:tcPr>
            <w:tcW w:w="5188" w:type="dxa"/>
            <w:gridSpan w:val="2"/>
            <w:shd w:val="clear" w:color="auto" w:fill="FFFFFF"/>
          </w:tcPr>
          <w:p w14:paraId="362E328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Visi pacientai</w:t>
            </w:r>
          </w:p>
        </w:tc>
        <w:tc>
          <w:tcPr>
            <w:tcW w:w="3803" w:type="dxa"/>
            <w:shd w:val="clear" w:color="auto" w:fill="FFFFFF"/>
          </w:tcPr>
          <w:p w14:paraId="25550F87" w14:textId="5AB1183B"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63</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(56–71)</w:t>
            </w:r>
          </w:p>
        </w:tc>
      </w:tr>
      <w:tr w:rsidR="00ED7DC3" w:rsidRPr="001D3C3D" w14:paraId="0765E201" w14:textId="77777777" w:rsidTr="0036275F">
        <w:tc>
          <w:tcPr>
            <w:tcW w:w="5188" w:type="dxa"/>
            <w:gridSpan w:val="2"/>
            <w:shd w:val="clear" w:color="auto" w:fill="FFFFFF"/>
          </w:tcPr>
          <w:p w14:paraId="2BF85B6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Imatinibui atsparūs pacientai</w:t>
            </w:r>
          </w:p>
        </w:tc>
        <w:tc>
          <w:tcPr>
            <w:tcW w:w="3803" w:type="dxa"/>
            <w:shd w:val="clear" w:color="auto" w:fill="FFFFFF"/>
          </w:tcPr>
          <w:p w14:paraId="71D805DD" w14:textId="56FB6FDE"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59</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(50–68)</w:t>
            </w:r>
          </w:p>
        </w:tc>
      </w:tr>
      <w:tr w:rsidR="00ED7DC3" w:rsidRPr="001D3C3D" w14:paraId="7AE9966E" w14:textId="77777777" w:rsidTr="0036275F">
        <w:tc>
          <w:tcPr>
            <w:tcW w:w="5188" w:type="dxa"/>
            <w:gridSpan w:val="2"/>
            <w:shd w:val="clear" w:color="auto" w:fill="FFFFFF"/>
          </w:tcPr>
          <w:p w14:paraId="6A9BF76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CCyR</w:t>
            </w:r>
          </w:p>
        </w:tc>
        <w:tc>
          <w:tcPr>
            <w:tcW w:w="3803" w:type="dxa"/>
            <w:shd w:val="clear" w:color="auto" w:fill="FFFFFF"/>
          </w:tcPr>
          <w:p w14:paraId="7C704A91"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b/>
                <w:iCs/>
                <w:color w:val="000000"/>
                <w:lang w:eastAsia="ar-SA"/>
              </w:rPr>
            </w:pPr>
          </w:p>
        </w:tc>
      </w:tr>
      <w:tr w:rsidR="00ED7DC3" w:rsidRPr="001D3C3D" w14:paraId="6B666C64" w14:textId="77777777" w:rsidTr="0036275F">
        <w:tc>
          <w:tcPr>
            <w:tcW w:w="5188" w:type="dxa"/>
            <w:gridSpan w:val="2"/>
            <w:shd w:val="clear" w:color="auto" w:fill="FFFFFF"/>
          </w:tcPr>
          <w:p w14:paraId="6E3D009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Visi pacientai</w:t>
            </w:r>
          </w:p>
        </w:tc>
        <w:tc>
          <w:tcPr>
            <w:tcW w:w="3803" w:type="dxa"/>
            <w:shd w:val="clear" w:color="auto" w:fill="FFFFFF"/>
          </w:tcPr>
          <w:p w14:paraId="354D23E2" w14:textId="06FF7FBA"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50</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(42–58)</w:t>
            </w:r>
          </w:p>
        </w:tc>
      </w:tr>
      <w:tr w:rsidR="00ED7DC3" w:rsidRPr="001D3C3D" w14:paraId="425A076A" w14:textId="77777777" w:rsidTr="0036275F">
        <w:tc>
          <w:tcPr>
            <w:tcW w:w="5188" w:type="dxa"/>
            <w:gridSpan w:val="2"/>
            <w:shd w:val="clear" w:color="auto" w:fill="FFFFFF"/>
          </w:tcPr>
          <w:p w14:paraId="5359299E"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Imatinibui atsparūs pacientai</w:t>
            </w:r>
          </w:p>
        </w:tc>
        <w:tc>
          <w:tcPr>
            <w:tcW w:w="3803" w:type="dxa"/>
            <w:shd w:val="clear" w:color="auto" w:fill="FFFFFF"/>
          </w:tcPr>
          <w:p w14:paraId="1E9E84D1" w14:textId="12D3C183"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44</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(35–53)</w:t>
            </w:r>
          </w:p>
        </w:tc>
      </w:tr>
      <w:tr w:rsidR="00ED7DC3" w:rsidRPr="001D3C3D" w14:paraId="396B2888" w14:textId="77777777" w:rsidTr="0036275F">
        <w:tblPrEx>
          <w:tblCellMar>
            <w:left w:w="0" w:type="dxa"/>
            <w:right w:w="0" w:type="dxa"/>
          </w:tblCellMar>
        </w:tblPrEx>
        <w:tc>
          <w:tcPr>
            <w:tcW w:w="4495" w:type="dxa"/>
            <w:shd w:val="clear" w:color="auto" w:fill="FFFFFF"/>
          </w:tcPr>
          <w:p w14:paraId="12DB3DE9" w14:textId="60B3883E"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Didysis molekulinis atsakas pacientams, pasiekusiems CCyR</w:t>
            </w:r>
            <w:r w:rsidRPr="001D3C3D">
              <w:rPr>
                <w:rFonts w:ascii="Times New Roman" w:eastAsia="SimSun" w:hAnsi="Times New Roman" w:cs="Times New Roman"/>
                <w:b/>
                <w:iCs/>
                <w:color w:val="000000"/>
                <w:vertAlign w:val="superscript"/>
                <w:lang w:eastAsia="ar-SA"/>
              </w:rPr>
              <w:t>d</w:t>
            </w:r>
            <w:r w:rsidRPr="001D3C3D">
              <w:rPr>
                <w:rFonts w:ascii="Times New Roman" w:eastAsia="SimSun" w:hAnsi="Times New Roman" w:cs="Times New Roman"/>
                <w:b/>
                <w:iCs/>
                <w:color w:val="000000"/>
                <w:lang w:eastAsia="ar-SA"/>
              </w:rPr>
              <w:t xml:space="preserve"> (%) (95</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CI)</w:t>
            </w:r>
          </w:p>
        </w:tc>
        <w:tc>
          <w:tcPr>
            <w:tcW w:w="4496" w:type="dxa"/>
            <w:gridSpan w:val="2"/>
            <w:shd w:val="clear" w:color="auto" w:fill="auto"/>
          </w:tcPr>
          <w:p w14:paraId="7FE2C34C"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3E31DA14" w14:textId="77777777" w:rsidTr="0036275F">
        <w:tc>
          <w:tcPr>
            <w:tcW w:w="5188" w:type="dxa"/>
            <w:gridSpan w:val="2"/>
            <w:shd w:val="clear" w:color="auto" w:fill="FFFFFF"/>
          </w:tcPr>
          <w:p w14:paraId="5EFEAED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Visi pacientai</w:t>
            </w:r>
          </w:p>
        </w:tc>
        <w:tc>
          <w:tcPr>
            <w:tcW w:w="3803" w:type="dxa"/>
            <w:shd w:val="clear" w:color="auto" w:fill="FFFFFF"/>
          </w:tcPr>
          <w:p w14:paraId="6B873CBC" w14:textId="627EA191"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69</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(58–79)</w:t>
            </w:r>
          </w:p>
        </w:tc>
      </w:tr>
      <w:tr w:rsidR="00ED7DC3" w:rsidRPr="001D3C3D" w14:paraId="1C0A4DAC" w14:textId="77777777" w:rsidTr="0036275F">
        <w:tc>
          <w:tcPr>
            <w:tcW w:w="5188" w:type="dxa"/>
            <w:gridSpan w:val="2"/>
            <w:tcBorders>
              <w:bottom w:val="single" w:sz="4" w:space="0" w:color="000000"/>
            </w:tcBorders>
            <w:shd w:val="clear" w:color="auto" w:fill="FFFFFF"/>
          </w:tcPr>
          <w:p w14:paraId="19880CC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iCs/>
                <w:color w:val="000000"/>
                <w:lang w:eastAsia="ar-SA"/>
              </w:rPr>
            </w:pPr>
            <w:r w:rsidRPr="001D3C3D">
              <w:rPr>
                <w:rFonts w:ascii="Times New Roman" w:eastAsia="SimSun" w:hAnsi="Times New Roman" w:cs="Times New Roman"/>
                <w:iCs/>
                <w:color w:val="000000"/>
                <w:lang w:eastAsia="ar-SA"/>
              </w:rPr>
              <w:t>Imatinibui atsparūs pacientai</w:t>
            </w:r>
          </w:p>
        </w:tc>
        <w:tc>
          <w:tcPr>
            <w:tcW w:w="3803" w:type="dxa"/>
            <w:tcBorders>
              <w:bottom w:val="single" w:sz="4" w:space="0" w:color="000000"/>
            </w:tcBorders>
            <w:shd w:val="clear" w:color="auto" w:fill="FFFFFF"/>
          </w:tcPr>
          <w:p w14:paraId="135E19A3" w14:textId="2F0918DC"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iCs/>
                <w:color w:val="000000"/>
                <w:lang w:eastAsia="ar-SA"/>
              </w:rPr>
              <w:t>72</w:t>
            </w:r>
            <w:r w:rsidR="008F45FC">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 (58–83)</w:t>
            </w:r>
          </w:p>
        </w:tc>
      </w:tr>
    </w:tbl>
    <w:p w14:paraId="52526F96" w14:textId="0B0B79F4" w:rsidR="00ED7DC3" w:rsidRPr="00B92E23" w:rsidRDefault="00ED7DC3" w:rsidP="003619B3">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a</w:t>
      </w:r>
      <w:r w:rsidRPr="00B92E23">
        <w:rPr>
          <w:rFonts w:ascii="Times New Roman" w:eastAsia="SimSun" w:hAnsi="Times New Roman" w:cs="Times New Roman"/>
          <w:iCs/>
          <w:color w:val="000000"/>
          <w:sz w:val="20"/>
          <w:szCs w:val="20"/>
          <w:lang w:eastAsia="ar-SA"/>
        </w:rPr>
        <w:t xml:space="preserve"> Duomenys gauti vartojant rekomenduojam</w:t>
      </w:r>
      <w:r w:rsidRPr="00B92E23">
        <w:rPr>
          <w:rFonts w:ascii="Times New Roman" w:eastAsia="MS Mincho" w:hAnsi="Times New Roman" w:cs="Times New Roman"/>
          <w:iCs/>
          <w:color w:val="000000"/>
          <w:sz w:val="20"/>
          <w:szCs w:val="20"/>
          <w:lang w:eastAsia="ar-SA"/>
        </w:rPr>
        <w:t>ą</w:t>
      </w:r>
      <w:r w:rsidRPr="00B92E23">
        <w:rPr>
          <w:rFonts w:ascii="Times New Roman" w:eastAsia="SimSun" w:hAnsi="Times New Roman" w:cs="Times New Roman"/>
          <w:iCs/>
          <w:color w:val="000000"/>
          <w:sz w:val="20"/>
          <w:szCs w:val="20"/>
          <w:lang w:eastAsia="ar-SA"/>
        </w:rPr>
        <w:t xml:space="preserve"> pradin</w:t>
      </w:r>
      <w:r w:rsidRPr="00B92E23">
        <w:rPr>
          <w:rFonts w:ascii="Times New Roman" w:eastAsia="MS Mincho" w:hAnsi="Times New Roman" w:cs="Times New Roman"/>
          <w:iCs/>
          <w:color w:val="000000"/>
          <w:sz w:val="20"/>
          <w:szCs w:val="20"/>
          <w:lang w:eastAsia="ar-SA"/>
        </w:rPr>
        <w:t>ę</w:t>
      </w:r>
      <w:r w:rsidRPr="00B92E23">
        <w:rPr>
          <w:rFonts w:ascii="Times New Roman" w:eastAsia="SimSun" w:hAnsi="Times New Roman" w:cs="Times New Roman"/>
          <w:iCs/>
          <w:color w:val="000000"/>
          <w:sz w:val="20"/>
          <w:szCs w:val="20"/>
          <w:lang w:eastAsia="ar-SA"/>
        </w:rPr>
        <w:t xml:space="preserve"> 100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mg kart</w:t>
      </w:r>
      <w:r w:rsidRPr="00B92E23">
        <w:rPr>
          <w:rFonts w:ascii="Times New Roman" w:eastAsia="MS Mincho" w:hAnsi="Times New Roman" w:cs="Times New Roman"/>
          <w:iCs/>
          <w:color w:val="000000"/>
          <w:sz w:val="20"/>
          <w:szCs w:val="20"/>
          <w:lang w:eastAsia="ar-SA"/>
        </w:rPr>
        <w:t>ą</w:t>
      </w:r>
      <w:r w:rsidRPr="00B92E23">
        <w:rPr>
          <w:rFonts w:ascii="Times New Roman" w:eastAsia="SimSun" w:hAnsi="Times New Roman" w:cs="Times New Roman"/>
          <w:iCs/>
          <w:color w:val="000000"/>
          <w:sz w:val="20"/>
          <w:szCs w:val="20"/>
          <w:lang w:eastAsia="ar-SA"/>
        </w:rPr>
        <w:t xml:space="preserve"> per par</w:t>
      </w:r>
      <w:r w:rsidRPr="00B92E23">
        <w:rPr>
          <w:rFonts w:ascii="Times New Roman" w:eastAsia="MS Mincho" w:hAnsi="Times New Roman" w:cs="Times New Roman"/>
          <w:iCs/>
          <w:color w:val="000000"/>
          <w:sz w:val="20"/>
          <w:szCs w:val="20"/>
          <w:lang w:eastAsia="ar-SA"/>
        </w:rPr>
        <w:t>ą</w:t>
      </w:r>
      <w:r w:rsidRPr="00B92E23">
        <w:rPr>
          <w:rFonts w:ascii="Times New Roman" w:eastAsia="SimSun" w:hAnsi="Times New Roman" w:cs="Times New Roman"/>
          <w:iCs/>
          <w:color w:val="000000"/>
          <w:sz w:val="20"/>
          <w:szCs w:val="20"/>
          <w:lang w:eastAsia="ar-SA"/>
        </w:rPr>
        <w:t xml:space="preserve"> doz</w:t>
      </w:r>
      <w:r w:rsidRPr="00B92E23">
        <w:rPr>
          <w:rFonts w:ascii="Times New Roman" w:eastAsia="MS Mincho" w:hAnsi="Times New Roman" w:cs="Times New Roman"/>
          <w:iCs/>
          <w:color w:val="000000"/>
          <w:sz w:val="20"/>
          <w:szCs w:val="20"/>
          <w:lang w:eastAsia="ar-SA"/>
        </w:rPr>
        <w:t>ę</w:t>
      </w:r>
      <w:r w:rsidRPr="00B92E23">
        <w:rPr>
          <w:rFonts w:ascii="Times New Roman" w:eastAsia="SimSun" w:hAnsi="Times New Roman" w:cs="Times New Roman"/>
          <w:iCs/>
          <w:color w:val="000000"/>
          <w:sz w:val="20"/>
          <w:szCs w:val="20"/>
          <w:lang w:eastAsia="ar-SA"/>
        </w:rPr>
        <w:t>.</w:t>
      </w:r>
    </w:p>
    <w:p w14:paraId="0899D0F2" w14:textId="0FFA20A1" w:rsidR="00ED7DC3" w:rsidRPr="00B92E23" w:rsidRDefault="00ED7DC3" w:rsidP="00B92E23">
      <w:pPr>
        <w:widowControl w:val="0"/>
        <w:tabs>
          <w:tab w:val="left" w:pos="567"/>
        </w:tabs>
        <w:suppressAutoHyphens/>
        <w:spacing w:after="0" w:line="240" w:lineRule="auto"/>
        <w:ind w:left="142" w:hanging="142"/>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b</w:t>
      </w:r>
      <w:r w:rsidRPr="00B92E23">
        <w:rPr>
          <w:rFonts w:ascii="Times New Roman" w:eastAsia="SimSun" w:hAnsi="Times New Roman" w:cs="Times New Roman"/>
          <w:iCs/>
          <w:color w:val="000000"/>
          <w:sz w:val="20"/>
          <w:szCs w:val="20"/>
          <w:lang w:eastAsia="ar-SA"/>
        </w:rPr>
        <w:t xml:space="preserve"> Hematologinio atsako kriterijai (visi atsakai patvirtinti po 4</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savai</w:t>
      </w:r>
      <w:r w:rsidR="00555FC6" w:rsidRPr="00B92E23">
        <w:rPr>
          <w:rFonts w:ascii="Times New Roman" w:eastAsia="SimSun" w:hAnsi="Times New Roman" w:cs="Times New Roman"/>
          <w:iCs/>
          <w:color w:val="000000"/>
          <w:sz w:val="20"/>
          <w:szCs w:val="20"/>
          <w:lang w:eastAsia="ar-SA"/>
        </w:rPr>
        <w:t>č</w:t>
      </w:r>
      <w:r w:rsidRPr="00B92E23">
        <w:rPr>
          <w:rFonts w:ascii="Times New Roman" w:eastAsia="SimSun" w:hAnsi="Times New Roman" w:cs="Times New Roman"/>
          <w:iCs/>
          <w:color w:val="000000"/>
          <w:sz w:val="20"/>
          <w:szCs w:val="20"/>
          <w:lang w:eastAsia="ar-SA"/>
        </w:rPr>
        <w:t>i</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 visiškas hematologinis atsakas (CHR) sergant LML: leukocit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w:t>
      </w:r>
      <w:r w:rsidRPr="00B92E23">
        <w:rPr>
          <w:rFonts w:ascii="Times New Roman" w:eastAsia="SimSun" w:hAnsi="Times New Roman" w:cs="Times New Roman" w:hint="eastAsia"/>
          <w:iCs/>
          <w:color w:val="000000"/>
          <w:sz w:val="20"/>
          <w:szCs w:val="20"/>
          <w:lang w:eastAsia="ar-SA"/>
        </w:rPr>
        <w:t>≤</w:t>
      </w:r>
      <w:r w:rsidRPr="00B92E23">
        <w:rPr>
          <w:rFonts w:ascii="Times New Roman" w:eastAsia="SimSun" w:hAnsi="Times New Roman" w:cs="Times New Roman"/>
          <w:iCs/>
          <w:color w:val="000000"/>
          <w:sz w:val="20"/>
          <w:szCs w:val="20"/>
          <w:lang w:eastAsia="ar-SA"/>
        </w:rPr>
        <w:t xml:space="preserve"> nustatyta VNR, trombocit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450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periferiniame kraujyje n</w:t>
      </w:r>
      <w:r w:rsidRPr="00B92E23">
        <w:rPr>
          <w:rFonts w:ascii="Times New Roman" w:eastAsia="MS Mincho" w:hAnsi="Times New Roman" w:cs="Times New Roman"/>
          <w:iCs/>
          <w:color w:val="000000"/>
          <w:sz w:val="20"/>
          <w:szCs w:val="20"/>
          <w:lang w:eastAsia="ar-SA"/>
        </w:rPr>
        <w:t>ė</w:t>
      </w:r>
      <w:r w:rsidRPr="00B92E23">
        <w:rPr>
          <w:rFonts w:ascii="Times New Roman" w:eastAsia="SimSun" w:hAnsi="Times New Roman" w:cs="Times New Roman"/>
          <w:iCs/>
          <w:color w:val="000000"/>
          <w:sz w:val="20"/>
          <w:szCs w:val="20"/>
          <w:lang w:eastAsia="ar-SA"/>
        </w:rPr>
        <w:t>ra blast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ir promielocit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mielocit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ir metamielocit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suma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bazofil</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periferiniame kraujyje &lt;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ir n</w:t>
      </w:r>
      <w:r w:rsidRPr="00B92E23">
        <w:rPr>
          <w:rFonts w:ascii="Times New Roman" w:eastAsia="MS Mincho" w:hAnsi="Times New Roman" w:cs="Times New Roman"/>
          <w:iCs/>
          <w:color w:val="000000"/>
          <w:sz w:val="20"/>
          <w:szCs w:val="20"/>
          <w:lang w:eastAsia="ar-SA"/>
        </w:rPr>
        <w:t>ė</w:t>
      </w:r>
      <w:r w:rsidRPr="00B92E23">
        <w:rPr>
          <w:rFonts w:ascii="Times New Roman" w:eastAsia="SimSun" w:hAnsi="Times New Roman" w:cs="Times New Roman"/>
          <w:iCs/>
          <w:color w:val="000000"/>
          <w:sz w:val="20"/>
          <w:szCs w:val="20"/>
          <w:lang w:eastAsia="ar-SA"/>
        </w:rPr>
        <w:t>ra ekstramedulini</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w:t>
      </w:r>
      <w:r w:rsidRPr="00B92E23">
        <w:rPr>
          <w:rFonts w:ascii="Times New Roman" w:eastAsia="MS Mincho" w:hAnsi="Times New Roman" w:cs="Times New Roman"/>
          <w:iCs/>
          <w:color w:val="000000"/>
          <w:sz w:val="20"/>
          <w:szCs w:val="20"/>
          <w:lang w:eastAsia="ar-SA"/>
        </w:rPr>
        <w:t>ž</w:t>
      </w:r>
      <w:r w:rsidRPr="00B92E23">
        <w:rPr>
          <w:rFonts w:ascii="Times New Roman" w:eastAsia="SimSun" w:hAnsi="Times New Roman" w:cs="Times New Roman"/>
          <w:iCs/>
          <w:color w:val="000000"/>
          <w:sz w:val="20"/>
          <w:szCs w:val="20"/>
          <w:lang w:eastAsia="ar-SA"/>
        </w:rPr>
        <w:t>idini</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w:t>
      </w:r>
    </w:p>
    <w:p w14:paraId="0FF19149" w14:textId="131319C2" w:rsidR="00ED7DC3" w:rsidRPr="00B92E23" w:rsidRDefault="00ED7DC3" w:rsidP="00B92E23">
      <w:pPr>
        <w:widowControl w:val="0"/>
        <w:tabs>
          <w:tab w:val="left" w:pos="567"/>
        </w:tabs>
        <w:suppressAutoHyphens/>
        <w:spacing w:after="0" w:line="240" w:lineRule="auto"/>
        <w:ind w:left="142" w:hanging="142"/>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c</w:t>
      </w:r>
      <w:r w:rsidRPr="00B92E23">
        <w:rPr>
          <w:rFonts w:ascii="Times New Roman" w:eastAsia="SimSun" w:hAnsi="Times New Roman" w:cs="Times New Roman"/>
          <w:iCs/>
          <w:color w:val="000000"/>
          <w:sz w:val="20"/>
          <w:szCs w:val="20"/>
          <w:lang w:eastAsia="ar-SA"/>
        </w:rPr>
        <w:t xml:space="preserve"> Citogenetinio atsako kriterijai: visiškas (0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Ph+ metafazi</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arba dalinis (nuo &gt;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iki 35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MCyR (0</w:t>
      </w:r>
      <w:r w:rsidR="008F45FC" w:rsidRPr="00B92E23">
        <w:rPr>
          <w:rFonts w:ascii="Times New Roman" w:eastAsia="SimSun" w:hAnsi="Times New Roman" w:cs="Times New Roman"/>
          <w:iCs/>
          <w:color w:val="000000"/>
          <w:sz w:val="20"/>
          <w:szCs w:val="20"/>
          <w:lang w:eastAsia="ar-SA"/>
        </w:rPr>
        <w:noBreakHyphen/>
      </w:r>
      <w:r w:rsidRPr="00B92E23">
        <w:rPr>
          <w:rFonts w:ascii="Times New Roman" w:eastAsia="SimSun" w:hAnsi="Times New Roman" w:cs="Times New Roman"/>
          <w:iCs/>
          <w:color w:val="000000"/>
          <w:sz w:val="20"/>
          <w:szCs w:val="20"/>
          <w:lang w:eastAsia="ar-SA"/>
        </w:rPr>
        <w:t>35</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apima visišk</w:t>
      </w:r>
      <w:r w:rsidRPr="00B92E23">
        <w:rPr>
          <w:rFonts w:ascii="Times New Roman" w:eastAsia="MS Mincho" w:hAnsi="Times New Roman" w:cs="Times New Roman"/>
          <w:iCs/>
          <w:color w:val="000000"/>
          <w:sz w:val="20"/>
          <w:szCs w:val="20"/>
          <w:lang w:eastAsia="ar-SA"/>
        </w:rPr>
        <w:t>ą</w:t>
      </w:r>
      <w:r w:rsidRPr="00B92E23">
        <w:rPr>
          <w:rFonts w:ascii="Times New Roman" w:eastAsia="SimSun" w:hAnsi="Times New Roman" w:cs="Times New Roman"/>
          <w:iCs/>
          <w:color w:val="000000"/>
          <w:sz w:val="20"/>
          <w:szCs w:val="20"/>
          <w:lang w:eastAsia="ar-SA"/>
        </w:rPr>
        <w:t xml:space="preserve"> ir dalin</w:t>
      </w:r>
      <w:r w:rsidRPr="00B92E23">
        <w:rPr>
          <w:rFonts w:ascii="Times New Roman" w:eastAsia="MS Mincho" w:hAnsi="Times New Roman" w:cs="Times New Roman"/>
          <w:iCs/>
          <w:color w:val="000000"/>
          <w:sz w:val="20"/>
          <w:szCs w:val="20"/>
          <w:lang w:eastAsia="ar-SA"/>
        </w:rPr>
        <w:t>į</w:t>
      </w:r>
      <w:r w:rsidRPr="00B92E23">
        <w:rPr>
          <w:rFonts w:ascii="Times New Roman" w:eastAsia="SimSun" w:hAnsi="Times New Roman" w:cs="Times New Roman"/>
          <w:iCs/>
          <w:color w:val="000000"/>
          <w:sz w:val="20"/>
          <w:szCs w:val="20"/>
          <w:lang w:eastAsia="ar-SA"/>
        </w:rPr>
        <w:t xml:space="preserve"> atsak</w:t>
      </w:r>
      <w:r w:rsidRPr="00B92E23">
        <w:rPr>
          <w:rFonts w:ascii="Times New Roman" w:eastAsia="MS Mincho" w:hAnsi="Times New Roman" w:cs="Times New Roman"/>
          <w:iCs/>
          <w:color w:val="000000"/>
          <w:sz w:val="20"/>
          <w:szCs w:val="20"/>
          <w:lang w:eastAsia="ar-SA"/>
        </w:rPr>
        <w:t>ą</w:t>
      </w:r>
      <w:r w:rsidRPr="00B92E23">
        <w:rPr>
          <w:rFonts w:ascii="Times New Roman" w:eastAsia="SimSun" w:hAnsi="Times New Roman" w:cs="Times New Roman"/>
          <w:iCs/>
          <w:color w:val="000000"/>
          <w:sz w:val="20"/>
          <w:szCs w:val="20"/>
          <w:lang w:eastAsia="ar-SA"/>
        </w:rPr>
        <w:t>.</w:t>
      </w:r>
    </w:p>
    <w:p w14:paraId="415F47EE" w14:textId="6B23055D" w:rsidR="00ED7DC3" w:rsidRPr="00B92E23" w:rsidRDefault="00ED7DC3" w:rsidP="00B92E23">
      <w:pPr>
        <w:widowControl w:val="0"/>
        <w:tabs>
          <w:tab w:val="left" w:pos="567"/>
        </w:tabs>
        <w:suppressAutoHyphens/>
        <w:spacing w:after="0" w:line="240" w:lineRule="auto"/>
        <w:ind w:left="142" w:hanging="142"/>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d</w:t>
      </w:r>
      <w:r w:rsidRPr="00B92E23">
        <w:rPr>
          <w:rFonts w:ascii="Times New Roman" w:eastAsia="SimSun" w:hAnsi="Times New Roman" w:cs="Times New Roman"/>
          <w:iCs/>
          <w:color w:val="000000"/>
          <w:sz w:val="20"/>
          <w:szCs w:val="20"/>
          <w:lang w:eastAsia="ar-SA"/>
        </w:rPr>
        <w:t xml:space="preserve"> Did</w:t>
      </w:r>
      <w:r w:rsidRPr="00B92E23">
        <w:rPr>
          <w:rFonts w:ascii="Times New Roman" w:eastAsia="MS Mincho" w:hAnsi="Times New Roman" w:cs="Times New Roman"/>
          <w:iCs/>
          <w:color w:val="000000"/>
          <w:sz w:val="20"/>
          <w:szCs w:val="20"/>
          <w:lang w:eastAsia="ar-SA"/>
        </w:rPr>
        <w:t>ž</w:t>
      </w:r>
      <w:r w:rsidRPr="00B92E23">
        <w:rPr>
          <w:rFonts w:ascii="Times New Roman" w:eastAsia="SimSun" w:hAnsi="Times New Roman" w:cs="Times New Roman"/>
          <w:iCs/>
          <w:color w:val="000000"/>
          <w:sz w:val="20"/>
          <w:szCs w:val="20"/>
          <w:lang w:eastAsia="ar-SA"/>
        </w:rPr>
        <w:t>iojo molekulinio atsako kriterijai: apibr</w:t>
      </w:r>
      <w:r w:rsidRPr="00B92E23">
        <w:rPr>
          <w:rFonts w:ascii="Times New Roman" w:eastAsia="MS Mincho" w:hAnsi="Times New Roman" w:cs="Times New Roman"/>
          <w:iCs/>
          <w:color w:val="000000"/>
          <w:sz w:val="20"/>
          <w:szCs w:val="20"/>
          <w:lang w:eastAsia="ar-SA"/>
        </w:rPr>
        <w:t>ėž</w:t>
      </w:r>
      <w:r w:rsidRPr="00B92E23">
        <w:rPr>
          <w:rFonts w:ascii="Times New Roman" w:eastAsia="SimSun" w:hAnsi="Times New Roman" w:cs="Times New Roman"/>
          <w:iCs/>
          <w:color w:val="000000"/>
          <w:sz w:val="20"/>
          <w:szCs w:val="20"/>
          <w:lang w:eastAsia="ar-SA"/>
        </w:rPr>
        <w:t>ti kaip BCR-ABL / kontrolini</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transkript</w:t>
      </w:r>
      <w:r w:rsidRPr="00B92E23">
        <w:rPr>
          <w:rFonts w:ascii="Times New Roman" w:eastAsia="MS Mincho" w:hAnsi="Times New Roman" w:cs="Times New Roman"/>
          <w:iCs/>
          <w:color w:val="000000"/>
          <w:sz w:val="20"/>
          <w:szCs w:val="20"/>
          <w:lang w:eastAsia="ar-SA"/>
        </w:rPr>
        <w:t>ų</w:t>
      </w:r>
      <w:r w:rsidRPr="00B92E23">
        <w:rPr>
          <w:rFonts w:ascii="Times New Roman" w:eastAsia="SimSun" w:hAnsi="Times New Roman" w:cs="Times New Roman"/>
          <w:iCs/>
          <w:color w:val="000000"/>
          <w:sz w:val="20"/>
          <w:szCs w:val="20"/>
          <w:lang w:eastAsia="ar-SA"/>
        </w:rPr>
        <w:t xml:space="preserve"> periferinio kraujo m</w:t>
      </w:r>
      <w:r w:rsidRPr="00B92E23">
        <w:rPr>
          <w:rFonts w:ascii="Times New Roman" w:eastAsia="MS Mincho" w:hAnsi="Times New Roman" w:cs="Times New Roman"/>
          <w:iCs/>
          <w:color w:val="000000"/>
          <w:sz w:val="20"/>
          <w:szCs w:val="20"/>
          <w:lang w:eastAsia="ar-SA"/>
        </w:rPr>
        <w:t>ė</w:t>
      </w:r>
      <w:r w:rsidRPr="00B92E23">
        <w:rPr>
          <w:rFonts w:ascii="Times New Roman" w:eastAsia="SimSun" w:hAnsi="Times New Roman" w:cs="Times New Roman"/>
          <w:iCs/>
          <w:color w:val="000000"/>
          <w:sz w:val="20"/>
          <w:szCs w:val="20"/>
          <w:lang w:eastAsia="ar-SA"/>
        </w:rPr>
        <w:t xml:space="preserve">giniuose RQ-PCR metodu </w:t>
      </w:r>
      <w:r w:rsidRPr="00B92E23">
        <w:rPr>
          <w:rFonts w:ascii="Times New Roman" w:eastAsia="SimSun" w:hAnsi="Times New Roman" w:cs="Times New Roman" w:hint="eastAsia"/>
          <w:iCs/>
          <w:color w:val="000000"/>
          <w:sz w:val="20"/>
          <w:szCs w:val="20"/>
          <w:lang w:eastAsia="ar-SA"/>
        </w:rPr>
        <w:t>≤</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0,1</w:t>
      </w:r>
      <w:r w:rsidR="008F45F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w:t>
      </w:r>
    </w:p>
    <w:p w14:paraId="7F5747F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52705B51" w14:textId="3991C0C3" w:rsidR="00ED7DC3" w:rsidRPr="001D3C3D" w:rsidRDefault="00ED7DC3" w:rsidP="00ED7DC3">
      <w:pPr>
        <w:suppressAutoHyphens/>
        <w:spacing w:after="0" w:line="240" w:lineRule="auto"/>
        <w:ind w:left="1134" w:hanging="1134"/>
        <w:rPr>
          <w:rFonts w:ascii="Times New Roman" w:eastAsia="SimSun" w:hAnsi="Times New Roman" w:cs="Times New Roman"/>
          <w:iCs/>
          <w:color w:val="000000"/>
          <w:lang w:eastAsia="ar-SA"/>
        </w:rPr>
      </w:pPr>
      <w:r w:rsidRPr="001D3C3D">
        <w:rPr>
          <w:rFonts w:ascii="Times New Roman" w:eastAsia="Times New Roman" w:hAnsi="Times New Roman" w:cs="Times New Roman"/>
          <w:b/>
          <w:bCs/>
          <w:color w:val="000000"/>
          <w:lang w:eastAsia="ar-SA"/>
        </w:rPr>
        <w:t>13</w:t>
      </w:r>
      <w:r w:rsidR="00CA2905">
        <w:rPr>
          <w:rFonts w:ascii="Times New Roman" w:eastAsia="Times New Roman" w:hAnsi="Times New Roman" w:cs="Times New Roman"/>
          <w:b/>
          <w:bCs/>
          <w:color w:val="000000"/>
          <w:lang w:eastAsia="ar-SA"/>
        </w:rPr>
        <w:t> </w:t>
      </w:r>
      <w:r w:rsidRPr="001D3C3D">
        <w:rPr>
          <w:rFonts w:ascii="Times New Roman" w:eastAsia="Times New Roman" w:hAnsi="Times New Roman" w:cs="Times New Roman"/>
          <w:b/>
          <w:bCs/>
          <w:color w:val="000000"/>
          <w:lang w:eastAsia="ar-SA"/>
        </w:rPr>
        <w:t>lentelė. Ilgalaikis dazatinibo veiksmingumas III fazės dozės optimizavimo tyrimo metu imatinibui atsparia lėtinės fazės LML sergantiems arba imatinibo netoleruojantiems pacientams</w:t>
      </w:r>
      <w:r w:rsidRPr="001D3C3D">
        <w:rPr>
          <w:rFonts w:ascii="Times New Roman" w:eastAsia="Times New Roman" w:hAnsi="Times New Roman" w:cs="Times New Roman"/>
          <w:b/>
          <w:bCs/>
          <w:color w:val="000000"/>
          <w:vertAlign w:val="superscript"/>
          <w:lang w:eastAsia="ar-SA"/>
        </w:rPr>
        <w:t>a</w:t>
      </w:r>
    </w:p>
    <w:p w14:paraId="3B6C200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tbl>
      <w:tblPr>
        <w:tblW w:w="0" w:type="auto"/>
        <w:tblInd w:w="-22" w:type="dxa"/>
        <w:tblLayout w:type="fixed"/>
        <w:tblCellMar>
          <w:left w:w="0" w:type="dxa"/>
          <w:right w:w="0" w:type="dxa"/>
        </w:tblCellMar>
        <w:tblLook w:val="0000" w:firstRow="0" w:lastRow="0" w:firstColumn="0" w:lastColumn="0" w:noHBand="0" w:noVBand="0"/>
      </w:tblPr>
      <w:tblGrid>
        <w:gridCol w:w="3092"/>
        <w:gridCol w:w="1673"/>
        <w:gridCol w:w="1627"/>
        <w:gridCol w:w="693"/>
        <w:gridCol w:w="969"/>
        <w:gridCol w:w="1659"/>
      </w:tblGrid>
      <w:tr w:rsidR="00ED7DC3" w:rsidRPr="001D3C3D" w14:paraId="7CD7C7A0" w14:textId="77777777" w:rsidTr="0036275F">
        <w:trPr>
          <w:trHeight w:hRule="exact" w:val="252"/>
        </w:trPr>
        <w:tc>
          <w:tcPr>
            <w:tcW w:w="3092" w:type="dxa"/>
            <w:shd w:val="clear" w:color="auto" w:fill="auto"/>
          </w:tcPr>
          <w:p w14:paraId="3E163C3C"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3993" w:type="dxa"/>
            <w:gridSpan w:val="3"/>
            <w:tcBorders>
              <w:top w:val="single" w:sz="4" w:space="0" w:color="000000"/>
              <w:bottom w:val="single" w:sz="4" w:space="0" w:color="000000"/>
            </w:tcBorders>
            <w:shd w:val="clear" w:color="auto" w:fill="auto"/>
          </w:tcPr>
          <w:p w14:paraId="76119566"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bCs/>
                <w:iCs/>
                <w:color w:val="000000"/>
                <w:lang w:eastAsia="ar-SA"/>
              </w:rPr>
              <w:t>Minimalus stebėjimo laikotarpis</w:t>
            </w:r>
          </w:p>
        </w:tc>
        <w:tc>
          <w:tcPr>
            <w:tcW w:w="2628" w:type="dxa"/>
            <w:gridSpan w:val="2"/>
            <w:shd w:val="clear" w:color="auto" w:fill="auto"/>
          </w:tcPr>
          <w:p w14:paraId="1B9D4E76" w14:textId="77777777" w:rsidR="00ED7DC3" w:rsidRPr="001D3C3D" w:rsidRDefault="00ED7DC3" w:rsidP="00ED7DC3">
            <w:pPr>
              <w:suppressAutoHyphens/>
              <w:snapToGrid w:val="0"/>
              <w:spacing w:after="0" w:line="240" w:lineRule="auto"/>
              <w:rPr>
                <w:rFonts w:ascii="Times New Roman" w:eastAsia="Times New Roman" w:hAnsi="Times New Roman" w:cs="Times New Roman"/>
                <w:color w:val="000000"/>
                <w:lang w:eastAsia="ar-SA"/>
              </w:rPr>
            </w:pPr>
          </w:p>
        </w:tc>
      </w:tr>
      <w:tr w:rsidR="00ED7DC3" w:rsidRPr="001D3C3D" w14:paraId="2D80671B" w14:textId="77777777" w:rsidTr="0036275F">
        <w:trPr>
          <w:trHeight w:hRule="exact" w:val="283"/>
        </w:trPr>
        <w:tc>
          <w:tcPr>
            <w:tcW w:w="3092" w:type="dxa"/>
            <w:tcBorders>
              <w:bottom w:val="single" w:sz="4" w:space="0" w:color="000000"/>
            </w:tcBorders>
            <w:shd w:val="clear" w:color="auto" w:fill="auto"/>
          </w:tcPr>
          <w:p w14:paraId="7D123F41"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73" w:type="dxa"/>
            <w:tcBorders>
              <w:top w:val="single" w:sz="4" w:space="0" w:color="000000"/>
              <w:bottom w:val="single" w:sz="4" w:space="0" w:color="000000"/>
            </w:tcBorders>
            <w:shd w:val="clear" w:color="auto" w:fill="auto"/>
          </w:tcPr>
          <w:p w14:paraId="4011A3D0" w14:textId="279CDBF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bCs/>
                <w:iCs/>
                <w:color w:val="000000"/>
                <w:lang w:eastAsia="ar-SA"/>
              </w:rPr>
            </w:pPr>
            <w:r w:rsidRPr="001D3C3D">
              <w:rPr>
                <w:rFonts w:ascii="Times New Roman" w:eastAsia="SimSun" w:hAnsi="Times New Roman" w:cs="Times New Roman"/>
                <w:b/>
                <w:bCs/>
                <w:iCs/>
                <w:color w:val="000000"/>
                <w:lang w:eastAsia="ar-SA"/>
              </w:rPr>
              <w:t>1</w:t>
            </w:r>
            <w:r w:rsidR="00CA2905">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metai</w:t>
            </w:r>
          </w:p>
        </w:tc>
        <w:tc>
          <w:tcPr>
            <w:tcW w:w="1627" w:type="dxa"/>
            <w:tcBorders>
              <w:top w:val="single" w:sz="4" w:space="0" w:color="000000"/>
              <w:bottom w:val="single" w:sz="4" w:space="0" w:color="000000"/>
            </w:tcBorders>
            <w:shd w:val="clear" w:color="auto" w:fill="auto"/>
          </w:tcPr>
          <w:p w14:paraId="7FC63E7F" w14:textId="47AF9ED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bCs/>
                <w:iCs/>
                <w:color w:val="000000"/>
                <w:lang w:eastAsia="ar-SA"/>
              </w:rPr>
            </w:pPr>
            <w:r w:rsidRPr="001D3C3D">
              <w:rPr>
                <w:rFonts w:ascii="Times New Roman" w:eastAsia="SimSun" w:hAnsi="Times New Roman" w:cs="Times New Roman"/>
                <w:b/>
                <w:bCs/>
                <w:iCs/>
                <w:color w:val="000000"/>
                <w:lang w:eastAsia="ar-SA"/>
              </w:rPr>
              <w:t>2</w:t>
            </w:r>
            <w:r w:rsidR="00CA2905">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metai</w:t>
            </w:r>
          </w:p>
        </w:tc>
        <w:tc>
          <w:tcPr>
            <w:tcW w:w="1662" w:type="dxa"/>
            <w:gridSpan w:val="2"/>
            <w:tcBorders>
              <w:top w:val="single" w:sz="4" w:space="0" w:color="000000"/>
              <w:bottom w:val="single" w:sz="4" w:space="0" w:color="000000"/>
            </w:tcBorders>
            <w:shd w:val="clear" w:color="auto" w:fill="auto"/>
          </w:tcPr>
          <w:p w14:paraId="73588977" w14:textId="376DB7E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b/>
                <w:bCs/>
                <w:iCs/>
                <w:color w:val="000000"/>
                <w:lang w:eastAsia="ar-SA"/>
              </w:rPr>
            </w:pPr>
            <w:r w:rsidRPr="001D3C3D">
              <w:rPr>
                <w:rFonts w:ascii="Times New Roman" w:eastAsia="SimSun" w:hAnsi="Times New Roman" w:cs="Times New Roman"/>
                <w:b/>
                <w:bCs/>
                <w:iCs/>
                <w:color w:val="000000"/>
                <w:lang w:eastAsia="ar-SA"/>
              </w:rPr>
              <w:t>5</w:t>
            </w:r>
            <w:r w:rsidR="00CA2905">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metai</w:t>
            </w:r>
          </w:p>
        </w:tc>
        <w:tc>
          <w:tcPr>
            <w:tcW w:w="1659" w:type="dxa"/>
            <w:tcBorders>
              <w:top w:val="single" w:sz="4" w:space="0" w:color="000000"/>
              <w:bottom w:val="single" w:sz="4" w:space="0" w:color="000000"/>
            </w:tcBorders>
            <w:shd w:val="clear" w:color="auto" w:fill="auto"/>
          </w:tcPr>
          <w:p w14:paraId="269E99D6" w14:textId="07362225"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bCs/>
                <w:iCs/>
                <w:color w:val="000000"/>
                <w:lang w:eastAsia="ar-SA"/>
              </w:rPr>
              <w:t>7</w:t>
            </w:r>
            <w:r w:rsidR="00CA2905">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metai</w:t>
            </w:r>
          </w:p>
        </w:tc>
      </w:tr>
      <w:tr w:rsidR="00ED7DC3" w:rsidRPr="001D3C3D" w14:paraId="17B27249" w14:textId="77777777" w:rsidTr="0036275F">
        <w:trPr>
          <w:trHeight w:hRule="exact" w:val="233"/>
        </w:trPr>
        <w:tc>
          <w:tcPr>
            <w:tcW w:w="3092" w:type="dxa"/>
            <w:tcBorders>
              <w:top w:val="single" w:sz="4" w:space="0" w:color="000000"/>
            </w:tcBorders>
            <w:shd w:val="clear" w:color="auto" w:fill="auto"/>
          </w:tcPr>
          <w:p w14:paraId="320051C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bCs/>
                <w:iCs/>
                <w:color w:val="000000"/>
                <w:lang w:eastAsia="ar-SA"/>
              </w:rPr>
              <w:t>Didysis molekulinis atsakas</w:t>
            </w:r>
          </w:p>
        </w:tc>
        <w:tc>
          <w:tcPr>
            <w:tcW w:w="1673" w:type="dxa"/>
            <w:tcBorders>
              <w:top w:val="single" w:sz="4" w:space="0" w:color="000000"/>
            </w:tcBorders>
            <w:shd w:val="clear" w:color="auto" w:fill="auto"/>
          </w:tcPr>
          <w:p w14:paraId="514DE009"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27" w:type="dxa"/>
            <w:tcBorders>
              <w:top w:val="single" w:sz="4" w:space="0" w:color="000000"/>
            </w:tcBorders>
            <w:shd w:val="clear" w:color="auto" w:fill="auto"/>
          </w:tcPr>
          <w:p w14:paraId="3398A192"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62" w:type="dxa"/>
            <w:gridSpan w:val="2"/>
            <w:tcBorders>
              <w:top w:val="single" w:sz="4" w:space="0" w:color="000000"/>
            </w:tcBorders>
            <w:shd w:val="clear" w:color="auto" w:fill="auto"/>
          </w:tcPr>
          <w:p w14:paraId="017B31E3"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59" w:type="dxa"/>
            <w:tcBorders>
              <w:top w:val="single" w:sz="4" w:space="0" w:color="000000"/>
            </w:tcBorders>
            <w:shd w:val="clear" w:color="auto" w:fill="auto"/>
          </w:tcPr>
          <w:p w14:paraId="6E358EC1"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r>
      <w:tr w:rsidR="00ED7DC3" w:rsidRPr="001D3C3D" w14:paraId="38CA739A" w14:textId="77777777" w:rsidTr="0036275F">
        <w:trPr>
          <w:trHeight w:hRule="exact" w:val="349"/>
        </w:trPr>
        <w:tc>
          <w:tcPr>
            <w:tcW w:w="3092" w:type="dxa"/>
            <w:shd w:val="clear" w:color="auto" w:fill="auto"/>
          </w:tcPr>
          <w:p w14:paraId="33D7166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Visi pacientai</w:t>
            </w:r>
          </w:p>
        </w:tc>
        <w:tc>
          <w:tcPr>
            <w:tcW w:w="1673" w:type="dxa"/>
            <w:shd w:val="clear" w:color="auto" w:fill="auto"/>
          </w:tcPr>
          <w:p w14:paraId="5D82B2D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NA</w:t>
            </w:r>
          </w:p>
        </w:tc>
        <w:tc>
          <w:tcPr>
            <w:tcW w:w="1627" w:type="dxa"/>
            <w:shd w:val="clear" w:color="auto" w:fill="auto"/>
          </w:tcPr>
          <w:p w14:paraId="7A1320D7" w14:textId="42C8A282"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37</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(57/154)</w:t>
            </w:r>
          </w:p>
        </w:tc>
        <w:tc>
          <w:tcPr>
            <w:tcW w:w="1662" w:type="dxa"/>
            <w:gridSpan w:val="2"/>
            <w:shd w:val="clear" w:color="auto" w:fill="auto"/>
          </w:tcPr>
          <w:p w14:paraId="4ADFD04A" w14:textId="260F307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44</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(71/160)</w:t>
            </w:r>
          </w:p>
        </w:tc>
        <w:tc>
          <w:tcPr>
            <w:tcW w:w="1659" w:type="dxa"/>
            <w:shd w:val="clear" w:color="auto" w:fill="auto"/>
          </w:tcPr>
          <w:p w14:paraId="07468E36" w14:textId="2FC40E64"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46</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(73/160)</w:t>
            </w:r>
          </w:p>
        </w:tc>
      </w:tr>
      <w:tr w:rsidR="00ED7DC3" w:rsidRPr="001D3C3D" w14:paraId="78F769BD" w14:textId="77777777" w:rsidTr="0036275F">
        <w:trPr>
          <w:trHeight w:hRule="exact" w:val="350"/>
        </w:trPr>
        <w:tc>
          <w:tcPr>
            <w:tcW w:w="3092" w:type="dxa"/>
            <w:shd w:val="clear" w:color="auto" w:fill="auto"/>
          </w:tcPr>
          <w:p w14:paraId="49C1A772"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Imatinibui atsparūs pacientai</w:t>
            </w:r>
          </w:p>
        </w:tc>
        <w:tc>
          <w:tcPr>
            <w:tcW w:w="1673" w:type="dxa"/>
            <w:shd w:val="clear" w:color="auto" w:fill="auto"/>
          </w:tcPr>
          <w:p w14:paraId="2541ABB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NA</w:t>
            </w:r>
          </w:p>
        </w:tc>
        <w:tc>
          <w:tcPr>
            <w:tcW w:w="1627" w:type="dxa"/>
            <w:shd w:val="clear" w:color="auto" w:fill="auto"/>
          </w:tcPr>
          <w:p w14:paraId="63654326" w14:textId="0F68EA2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35</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(41/117)</w:t>
            </w:r>
          </w:p>
        </w:tc>
        <w:tc>
          <w:tcPr>
            <w:tcW w:w="1662" w:type="dxa"/>
            <w:gridSpan w:val="2"/>
            <w:shd w:val="clear" w:color="auto" w:fill="auto"/>
          </w:tcPr>
          <w:p w14:paraId="3ECE076F" w14:textId="46EB62C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42</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(50/120)</w:t>
            </w:r>
          </w:p>
        </w:tc>
        <w:tc>
          <w:tcPr>
            <w:tcW w:w="1659" w:type="dxa"/>
            <w:shd w:val="clear" w:color="auto" w:fill="auto"/>
          </w:tcPr>
          <w:p w14:paraId="0100061E" w14:textId="4F398E96"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43</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(51/120)</w:t>
            </w:r>
          </w:p>
        </w:tc>
      </w:tr>
      <w:tr w:rsidR="00ED7DC3" w:rsidRPr="001D3C3D" w14:paraId="28ADAB20" w14:textId="77777777" w:rsidTr="0036275F">
        <w:trPr>
          <w:trHeight w:hRule="exact" w:val="296"/>
        </w:trPr>
        <w:tc>
          <w:tcPr>
            <w:tcW w:w="3092" w:type="dxa"/>
            <w:shd w:val="clear" w:color="auto" w:fill="auto"/>
          </w:tcPr>
          <w:p w14:paraId="46A06462"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Imatinibo netoleravę pacientai</w:t>
            </w:r>
          </w:p>
        </w:tc>
        <w:tc>
          <w:tcPr>
            <w:tcW w:w="1673" w:type="dxa"/>
            <w:shd w:val="clear" w:color="auto" w:fill="auto"/>
          </w:tcPr>
          <w:p w14:paraId="1237D83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NA</w:t>
            </w:r>
          </w:p>
        </w:tc>
        <w:tc>
          <w:tcPr>
            <w:tcW w:w="1627" w:type="dxa"/>
            <w:shd w:val="clear" w:color="auto" w:fill="auto"/>
          </w:tcPr>
          <w:p w14:paraId="036DD2C8" w14:textId="6E1FFAF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43</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(16/37)</w:t>
            </w:r>
          </w:p>
        </w:tc>
        <w:tc>
          <w:tcPr>
            <w:tcW w:w="1662" w:type="dxa"/>
            <w:gridSpan w:val="2"/>
            <w:shd w:val="clear" w:color="auto" w:fill="auto"/>
          </w:tcPr>
          <w:p w14:paraId="273BE340" w14:textId="5BEBB3D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53</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(21/40)</w:t>
            </w:r>
          </w:p>
        </w:tc>
        <w:tc>
          <w:tcPr>
            <w:tcW w:w="1659" w:type="dxa"/>
            <w:shd w:val="clear" w:color="auto" w:fill="auto"/>
          </w:tcPr>
          <w:p w14:paraId="3F89E89D" w14:textId="7C5F1E56"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55</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(22/40)</w:t>
            </w:r>
          </w:p>
        </w:tc>
      </w:tr>
      <w:tr w:rsidR="00ED7DC3" w:rsidRPr="001D3C3D" w14:paraId="66CD0AC1" w14:textId="77777777" w:rsidTr="0036275F">
        <w:trPr>
          <w:trHeight w:hRule="exact" w:val="567"/>
        </w:trPr>
        <w:tc>
          <w:tcPr>
            <w:tcW w:w="3092" w:type="dxa"/>
            <w:shd w:val="clear" w:color="auto" w:fill="auto"/>
          </w:tcPr>
          <w:p w14:paraId="298AA72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bCs/>
                <w:iCs/>
                <w:color w:val="000000"/>
                <w:lang w:eastAsia="ar-SA"/>
              </w:rPr>
              <w:t xml:space="preserve">Išgyvenimas be ligos progresavimo </w:t>
            </w:r>
            <w:r w:rsidRPr="001D3C3D">
              <w:rPr>
                <w:rFonts w:ascii="Times New Roman" w:eastAsia="SimSun" w:hAnsi="Times New Roman" w:cs="Times New Roman"/>
                <w:b/>
                <w:bCs/>
                <w:iCs/>
                <w:color w:val="000000"/>
                <w:vertAlign w:val="superscript"/>
                <w:lang w:eastAsia="ar-SA"/>
              </w:rPr>
              <w:t>b</w:t>
            </w:r>
          </w:p>
        </w:tc>
        <w:tc>
          <w:tcPr>
            <w:tcW w:w="1673" w:type="dxa"/>
            <w:shd w:val="clear" w:color="auto" w:fill="auto"/>
          </w:tcPr>
          <w:p w14:paraId="473BED78"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27" w:type="dxa"/>
            <w:shd w:val="clear" w:color="auto" w:fill="auto"/>
          </w:tcPr>
          <w:p w14:paraId="6111EE0E"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62" w:type="dxa"/>
            <w:gridSpan w:val="2"/>
            <w:shd w:val="clear" w:color="auto" w:fill="auto"/>
          </w:tcPr>
          <w:p w14:paraId="07E68AA5"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59" w:type="dxa"/>
            <w:shd w:val="clear" w:color="auto" w:fill="auto"/>
          </w:tcPr>
          <w:p w14:paraId="3261A393"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r>
      <w:tr w:rsidR="00ED7DC3" w:rsidRPr="001D3C3D" w14:paraId="4F2BAA7F" w14:textId="77777777" w:rsidTr="0036275F">
        <w:trPr>
          <w:trHeight w:hRule="exact" w:val="359"/>
        </w:trPr>
        <w:tc>
          <w:tcPr>
            <w:tcW w:w="3092" w:type="dxa"/>
            <w:shd w:val="clear" w:color="auto" w:fill="auto"/>
          </w:tcPr>
          <w:p w14:paraId="63226B7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lastRenderedPageBreak/>
              <w:t>Visi pacientai</w:t>
            </w:r>
          </w:p>
        </w:tc>
        <w:tc>
          <w:tcPr>
            <w:tcW w:w="1673" w:type="dxa"/>
            <w:shd w:val="clear" w:color="auto" w:fill="auto"/>
          </w:tcPr>
          <w:p w14:paraId="3A81E73C" w14:textId="681BC44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90</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(86, 95)</w:t>
            </w:r>
          </w:p>
        </w:tc>
        <w:tc>
          <w:tcPr>
            <w:tcW w:w="1627" w:type="dxa"/>
            <w:shd w:val="clear" w:color="auto" w:fill="auto"/>
          </w:tcPr>
          <w:p w14:paraId="2490C051" w14:textId="0C45952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80</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(73, 87)</w:t>
            </w:r>
          </w:p>
        </w:tc>
        <w:tc>
          <w:tcPr>
            <w:tcW w:w="1662" w:type="dxa"/>
            <w:gridSpan w:val="2"/>
            <w:shd w:val="clear" w:color="auto" w:fill="auto"/>
          </w:tcPr>
          <w:p w14:paraId="602E9CE5" w14:textId="647816A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51</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(41, 60)</w:t>
            </w:r>
          </w:p>
        </w:tc>
        <w:tc>
          <w:tcPr>
            <w:tcW w:w="1659" w:type="dxa"/>
            <w:shd w:val="clear" w:color="auto" w:fill="auto"/>
          </w:tcPr>
          <w:p w14:paraId="7745E33E" w14:textId="6E0A709D"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42</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(33, 51)</w:t>
            </w:r>
          </w:p>
        </w:tc>
      </w:tr>
      <w:tr w:rsidR="00ED7DC3" w:rsidRPr="001D3C3D" w14:paraId="7DAE1052" w14:textId="77777777" w:rsidTr="0036275F">
        <w:trPr>
          <w:trHeight w:hRule="exact" w:val="350"/>
        </w:trPr>
        <w:tc>
          <w:tcPr>
            <w:tcW w:w="3092" w:type="dxa"/>
            <w:shd w:val="clear" w:color="auto" w:fill="auto"/>
          </w:tcPr>
          <w:p w14:paraId="5938B668"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Imatinibui atsparūs pacientai</w:t>
            </w:r>
          </w:p>
        </w:tc>
        <w:tc>
          <w:tcPr>
            <w:tcW w:w="1673" w:type="dxa"/>
            <w:shd w:val="clear" w:color="auto" w:fill="auto"/>
          </w:tcPr>
          <w:p w14:paraId="6FBA9FAD" w14:textId="218F36B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88</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(82, 94)</w:t>
            </w:r>
          </w:p>
        </w:tc>
        <w:tc>
          <w:tcPr>
            <w:tcW w:w="1627" w:type="dxa"/>
            <w:shd w:val="clear" w:color="auto" w:fill="auto"/>
          </w:tcPr>
          <w:p w14:paraId="658C9F44" w14:textId="0E32D1B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77</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(68, 85)</w:t>
            </w:r>
          </w:p>
        </w:tc>
        <w:tc>
          <w:tcPr>
            <w:tcW w:w="1662" w:type="dxa"/>
            <w:gridSpan w:val="2"/>
            <w:shd w:val="clear" w:color="auto" w:fill="auto"/>
          </w:tcPr>
          <w:p w14:paraId="5EC6D170" w14:textId="4EA50F8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49</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(39, 59)</w:t>
            </w:r>
          </w:p>
        </w:tc>
        <w:tc>
          <w:tcPr>
            <w:tcW w:w="1659" w:type="dxa"/>
            <w:shd w:val="clear" w:color="auto" w:fill="auto"/>
          </w:tcPr>
          <w:p w14:paraId="0C5D9872" w14:textId="2D51C660"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39</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(29, 49)</w:t>
            </w:r>
          </w:p>
        </w:tc>
      </w:tr>
      <w:tr w:rsidR="00ED7DC3" w:rsidRPr="001D3C3D" w14:paraId="03B0FE56" w14:textId="77777777" w:rsidTr="0036275F">
        <w:trPr>
          <w:trHeight w:hRule="exact" w:val="275"/>
        </w:trPr>
        <w:tc>
          <w:tcPr>
            <w:tcW w:w="3092" w:type="dxa"/>
            <w:shd w:val="clear" w:color="auto" w:fill="auto"/>
          </w:tcPr>
          <w:p w14:paraId="19B521D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Imatinibo netoleravę pacientai</w:t>
            </w:r>
          </w:p>
        </w:tc>
        <w:tc>
          <w:tcPr>
            <w:tcW w:w="1673" w:type="dxa"/>
            <w:shd w:val="clear" w:color="auto" w:fill="auto"/>
          </w:tcPr>
          <w:p w14:paraId="54E0C95D" w14:textId="35340EEB"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97</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(92, 100)</w:t>
            </w:r>
          </w:p>
        </w:tc>
        <w:tc>
          <w:tcPr>
            <w:tcW w:w="1627" w:type="dxa"/>
            <w:shd w:val="clear" w:color="auto" w:fill="auto"/>
          </w:tcPr>
          <w:p w14:paraId="4E99E9D3" w14:textId="292D1022"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87</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(76, 99)</w:t>
            </w:r>
          </w:p>
        </w:tc>
        <w:tc>
          <w:tcPr>
            <w:tcW w:w="1662" w:type="dxa"/>
            <w:gridSpan w:val="2"/>
            <w:shd w:val="clear" w:color="auto" w:fill="auto"/>
          </w:tcPr>
          <w:p w14:paraId="01AC12DB" w14:textId="40D0BC1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56</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(37, 76)</w:t>
            </w:r>
          </w:p>
        </w:tc>
        <w:tc>
          <w:tcPr>
            <w:tcW w:w="1659" w:type="dxa"/>
            <w:shd w:val="clear" w:color="auto" w:fill="auto"/>
          </w:tcPr>
          <w:p w14:paraId="415C0ECF" w14:textId="22CDCDF3"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51</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(32, 67)</w:t>
            </w:r>
          </w:p>
        </w:tc>
      </w:tr>
      <w:tr w:rsidR="00ED7DC3" w:rsidRPr="001D3C3D" w14:paraId="061A2566" w14:textId="77777777" w:rsidTr="0036275F">
        <w:trPr>
          <w:trHeight w:hRule="exact" w:val="275"/>
        </w:trPr>
        <w:tc>
          <w:tcPr>
            <w:tcW w:w="3092" w:type="dxa"/>
            <w:shd w:val="clear" w:color="auto" w:fill="auto"/>
          </w:tcPr>
          <w:p w14:paraId="3819D94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bCs/>
                <w:iCs/>
                <w:color w:val="000000"/>
                <w:lang w:eastAsia="ar-SA"/>
              </w:rPr>
              <w:t>Bendras išgyvenimas</w:t>
            </w:r>
          </w:p>
        </w:tc>
        <w:tc>
          <w:tcPr>
            <w:tcW w:w="1673" w:type="dxa"/>
            <w:shd w:val="clear" w:color="auto" w:fill="auto"/>
          </w:tcPr>
          <w:p w14:paraId="52B11677"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27" w:type="dxa"/>
            <w:shd w:val="clear" w:color="auto" w:fill="auto"/>
          </w:tcPr>
          <w:p w14:paraId="6EB7AA5F"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62" w:type="dxa"/>
            <w:gridSpan w:val="2"/>
            <w:shd w:val="clear" w:color="auto" w:fill="auto"/>
          </w:tcPr>
          <w:p w14:paraId="170FE1DF"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c>
          <w:tcPr>
            <w:tcW w:w="1659" w:type="dxa"/>
            <w:shd w:val="clear" w:color="auto" w:fill="auto"/>
          </w:tcPr>
          <w:p w14:paraId="5758D617"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iCs/>
                <w:color w:val="000000"/>
                <w:lang w:eastAsia="ar-SA"/>
              </w:rPr>
            </w:pPr>
          </w:p>
        </w:tc>
      </w:tr>
      <w:tr w:rsidR="00ED7DC3" w:rsidRPr="001D3C3D" w14:paraId="170D1F33" w14:textId="77777777" w:rsidTr="0036275F">
        <w:trPr>
          <w:trHeight w:hRule="exact" w:val="275"/>
        </w:trPr>
        <w:tc>
          <w:tcPr>
            <w:tcW w:w="3092" w:type="dxa"/>
            <w:shd w:val="clear" w:color="auto" w:fill="auto"/>
          </w:tcPr>
          <w:p w14:paraId="341962E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Visi pacientai</w:t>
            </w:r>
          </w:p>
        </w:tc>
        <w:tc>
          <w:tcPr>
            <w:tcW w:w="1673" w:type="dxa"/>
            <w:shd w:val="clear" w:color="auto" w:fill="auto"/>
          </w:tcPr>
          <w:p w14:paraId="4CF39E71" w14:textId="4C62B134"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96</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(93, 99)</w:t>
            </w:r>
          </w:p>
        </w:tc>
        <w:tc>
          <w:tcPr>
            <w:tcW w:w="1627" w:type="dxa"/>
            <w:shd w:val="clear" w:color="auto" w:fill="auto"/>
          </w:tcPr>
          <w:p w14:paraId="3912382F" w14:textId="0134EE2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91</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(86, 96)</w:t>
            </w:r>
          </w:p>
        </w:tc>
        <w:tc>
          <w:tcPr>
            <w:tcW w:w="1662" w:type="dxa"/>
            <w:gridSpan w:val="2"/>
            <w:shd w:val="clear" w:color="auto" w:fill="auto"/>
          </w:tcPr>
          <w:p w14:paraId="0B022278" w14:textId="66A06AD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78</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(72, 85)</w:t>
            </w:r>
          </w:p>
        </w:tc>
        <w:tc>
          <w:tcPr>
            <w:tcW w:w="1659" w:type="dxa"/>
            <w:shd w:val="clear" w:color="auto" w:fill="auto"/>
          </w:tcPr>
          <w:p w14:paraId="6BF0FC54" w14:textId="332E8CF3"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65</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(56, 72)</w:t>
            </w:r>
          </w:p>
        </w:tc>
      </w:tr>
      <w:tr w:rsidR="00ED7DC3" w:rsidRPr="001D3C3D" w14:paraId="2FB24570" w14:textId="77777777" w:rsidTr="0036275F">
        <w:trPr>
          <w:trHeight w:hRule="exact" w:val="275"/>
        </w:trPr>
        <w:tc>
          <w:tcPr>
            <w:tcW w:w="3092" w:type="dxa"/>
            <w:shd w:val="clear" w:color="auto" w:fill="auto"/>
          </w:tcPr>
          <w:p w14:paraId="6D72A49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Imatinibui atsparūs pacientai</w:t>
            </w:r>
          </w:p>
        </w:tc>
        <w:tc>
          <w:tcPr>
            <w:tcW w:w="1673" w:type="dxa"/>
            <w:shd w:val="clear" w:color="auto" w:fill="auto"/>
          </w:tcPr>
          <w:p w14:paraId="6221367B" w14:textId="1BE20DF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94</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(90, 98)</w:t>
            </w:r>
          </w:p>
        </w:tc>
        <w:tc>
          <w:tcPr>
            <w:tcW w:w="1627" w:type="dxa"/>
            <w:shd w:val="clear" w:color="auto" w:fill="auto"/>
          </w:tcPr>
          <w:p w14:paraId="2F33EFD1" w14:textId="4A3F4FD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89</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(84, 95)</w:t>
            </w:r>
          </w:p>
        </w:tc>
        <w:tc>
          <w:tcPr>
            <w:tcW w:w="1662" w:type="dxa"/>
            <w:gridSpan w:val="2"/>
            <w:shd w:val="clear" w:color="auto" w:fill="auto"/>
          </w:tcPr>
          <w:p w14:paraId="7683E450" w14:textId="79E7D0E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77</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(69, 85)</w:t>
            </w:r>
          </w:p>
        </w:tc>
        <w:tc>
          <w:tcPr>
            <w:tcW w:w="1659" w:type="dxa"/>
            <w:shd w:val="clear" w:color="auto" w:fill="auto"/>
          </w:tcPr>
          <w:p w14:paraId="3CDAC487" w14:textId="4D457B1E"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63</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(53, 71)</w:t>
            </w:r>
          </w:p>
        </w:tc>
      </w:tr>
      <w:tr w:rsidR="00ED7DC3" w:rsidRPr="001D3C3D" w14:paraId="07233F37" w14:textId="77777777" w:rsidTr="0036275F">
        <w:trPr>
          <w:trHeight w:hRule="exact" w:val="275"/>
        </w:trPr>
        <w:tc>
          <w:tcPr>
            <w:tcW w:w="3092" w:type="dxa"/>
            <w:tcBorders>
              <w:bottom w:val="single" w:sz="4" w:space="0" w:color="000000"/>
            </w:tcBorders>
            <w:shd w:val="clear" w:color="auto" w:fill="auto"/>
          </w:tcPr>
          <w:p w14:paraId="651E9DB8"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Imatinibo netoleravę pacientai</w:t>
            </w:r>
          </w:p>
        </w:tc>
        <w:tc>
          <w:tcPr>
            <w:tcW w:w="1673" w:type="dxa"/>
            <w:tcBorders>
              <w:bottom w:val="single" w:sz="4" w:space="0" w:color="000000"/>
            </w:tcBorders>
            <w:shd w:val="clear" w:color="auto" w:fill="auto"/>
          </w:tcPr>
          <w:p w14:paraId="62959959" w14:textId="7D91020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100</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(100, 100)</w:t>
            </w:r>
          </w:p>
        </w:tc>
        <w:tc>
          <w:tcPr>
            <w:tcW w:w="1627" w:type="dxa"/>
            <w:tcBorders>
              <w:bottom w:val="single" w:sz="4" w:space="0" w:color="000000"/>
            </w:tcBorders>
            <w:shd w:val="clear" w:color="auto" w:fill="auto"/>
          </w:tcPr>
          <w:p w14:paraId="2028CEB0" w14:textId="3F08392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(88, 100)</w:t>
            </w:r>
          </w:p>
        </w:tc>
        <w:tc>
          <w:tcPr>
            <w:tcW w:w="1662" w:type="dxa"/>
            <w:gridSpan w:val="2"/>
            <w:tcBorders>
              <w:bottom w:val="single" w:sz="4" w:space="0" w:color="000000"/>
            </w:tcBorders>
            <w:shd w:val="clear" w:color="auto" w:fill="auto"/>
          </w:tcPr>
          <w:p w14:paraId="588E0A3B" w14:textId="3985B9BB"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82</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(70, 94)</w:t>
            </w:r>
          </w:p>
        </w:tc>
        <w:tc>
          <w:tcPr>
            <w:tcW w:w="1659" w:type="dxa"/>
            <w:tcBorders>
              <w:bottom w:val="single" w:sz="4" w:space="0" w:color="000000"/>
            </w:tcBorders>
            <w:shd w:val="clear" w:color="auto" w:fill="auto"/>
          </w:tcPr>
          <w:p w14:paraId="5C2B6089" w14:textId="5A32FA9F"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70</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(52, 82)</w:t>
            </w:r>
          </w:p>
        </w:tc>
      </w:tr>
    </w:tbl>
    <w:p w14:paraId="6E3CD37B" w14:textId="70C58EBC" w:rsidR="00ED7DC3" w:rsidRPr="00B92E23" w:rsidRDefault="00ED7DC3" w:rsidP="001C49DB">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a</w:t>
      </w:r>
      <w:r w:rsidRPr="00B92E23">
        <w:rPr>
          <w:rFonts w:ascii="Times New Roman" w:eastAsia="SimSun" w:hAnsi="Times New Roman" w:cs="Times New Roman"/>
          <w:iCs/>
          <w:color w:val="000000"/>
          <w:sz w:val="20"/>
          <w:szCs w:val="20"/>
          <w:lang w:eastAsia="ar-SA"/>
        </w:rPr>
        <w:t xml:space="preserve"> Duomenys gauti vartojant rekomenduojamą pradinę 100</w:t>
      </w:r>
      <w:r w:rsidR="00CA2905"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mg kartą per parą dozę.</w:t>
      </w:r>
    </w:p>
    <w:p w14:paraId="2E89FFDC" w14:textId="6601AE7E" w:rsidR="00ED7DC3" w:rsidRPr="00B92E23" w:rsidRDefault="00ED7DC3" w:rsidP="00B92E23">
      <w:pPr>
        <w:widowControl w:val="0"/>
        <w:tabs>
          <w:tab w:val="left" w:pos="567"/>
        </w:tabs>
        <w:suppressAutoHyphens/>
        <w:spacing w:after="0" w:line="240" w:lineRule="auto"/>
        <w:ind w:left="142" w:hanging="142"/>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b</w:t>
      </w:r>
      <w:r w:rsidRPr="00B92E23">
        <w:rPr>
          <w:rFonts w:ascii="Times New Roman" w:eastAsia="SimSun" w:hAnsi="Times New Roman" w:cs="Times New Roman"/>
          <w:iCs/>
          <w:color w:val="000000"/>
          <w:sz w:val="20"/>
          <w:szCs w:val="20"/>
          <w:lang w:eastAsia="ar-SA"/>
        </w:rPr>
        <w:t xml:space="preserve"> Progresavimas buvo konstatuojamas didėjant leukocitų skaičiui, išnykus CHR arba MCyR, </w:t>
      </w:r>
      <w:r w:rsidRPr="00B92E23">
        <w:rPr>
          <w:rFonts w:ascii="Times New Roman" w:eastAsia="SimSun" w:hAnsi="Times New Roman" w:cs="Times New Roman" w:hint="eastAsia"/>
          <w:iCs/>
          <w:color w:val="000000"/>
          <w:sz w:val="20"/>
          <w:szCs w:val="20"/>
          <w:lang w:eastAsia="ar-SA"/>
        </w:rPr>
        <w:t>≥</w:t>
      </w:r>
      <w:r w:rsidR="00CA2905"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30</w:t>
      </w:r>
      <w:r w:rsidR="00CA2905"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padaugėjus Ph+ metafazių, patvirtinus transformaciją į akceleracijos ar blastų fazę arba pacientui mirus. Apskaičiuojant išgyvenimą be ligos progresavimo buvo analizuojami numatytų gydyti pacientų duomenys, o pacientai buvo stebimi iki atitinkamų įvykių, įskaitant vėlesnį gydymą.</w:t>
      </w:r>
    </w:p>
    <w:p w14:paraId="7F295D3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0EA971E" w14:textId="46DE6AE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Įvertinus </w:t>
      </w:r>
      <w:r w:rsidRPr="001D3C3D">
        <w:rPr>
          <w:rFonts w:ascii="Times New Roman" w:eastAsia="SimSun" w:hAnsi="Times New Roman" w:cs="Times New Roman"/>
          <w:i/>
          <w:iCs/>
          <w:color w:val="000000"/>
          <w:lang w:eastAsia="ar-SA"/>
        </w:rPr>
        <w:t>Kaplan-Meier</w:t>
      </w:r>
      <w:r w:rsidRPr="001D3C3D">
        <w:rPr>
          <w:rFonts w:ascii="Times New Roman" w:eastAsia="SimSun" w:hAnsi="Times New Roman" w:cs="Times New Roman"/>
          <w:iCs/>
          <w:color w:val="000000"/>
          <w:lang w:eastAsia="ar-SA"/>
        </w:rPr>
        <w:t xml:space="preserve"> metodu, 100</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1</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vartojusių pacientų, kuriems MCyR išliko 18</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buvo 93</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88</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r w:rsidR="00CA2905">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98</w:t>
      </w:r>
      <w:r w:rsidR="00CA2905">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72B44F4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A537BD2" w14:textId="2E5F991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Taip pat buvo įvertintas veiksmingumas imatinibo netoleravusiems pacientams. Šios populiacijos pacientams, vartojusiems 100</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MCyR buvo pasiektas 77</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CCyR – 67</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atvejų.</w:t>
      </w:r>
    </w:p>
    <w:p w14:paraId="3FC1CCF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8E17AA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2-asis tyrimas</w:t>
      </w:r>
    </w:p>
    <w:p w14:paraId="4D2BE8E2" w14:textId="380FD105"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Progresavusios fazės LML ir Ph+ŪLL tyrimo metu pagrindinė vertinamoji baigtis buvo MaHR. Iš viso 611 pacientai atsitiktinės atrankos būdu buvo priskirti vartoti 140</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dazatinibo 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ir po 70</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2</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grupes. Gydymo trukmės mediana buvo maždaug 6</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(diapazonas - nuo 0,03 iki 31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w:t>
      </w:r>
    </w:p>
    <w:p w14:paraId="2891FC1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0381F8D2" w14:textId="6B4267D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Nustatyta, kad veiksmingumas pagal pagrindinę vertinamąją baigtį šio vaistinio preparato vartojant 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ir jo vartojant 2</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kartus per parą yra panašus (ne mažesnis) (MaHR skirtumas 0,8</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pasikliautinasis intervalas - nuo 7,1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iki 8,7</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tačiau 140</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1</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kartą per parą dozės saugumas ir toleravimas buvo geresni. Atsako dažnis pateiktas </w:t>
      </w:r>
      <w:r w:rsidRPr="00B92E23">
        <w:rPr>
          <w:rFonts w:ascii="Times New Roman" w:eastAsia="SimSun" w:hAnsi="Times New Roman" w:cs="Times New Roman"/>
          <w:bCs/>
          <w:color w:val="000000"/>
          <w:lang w:eastAsia="ar-SA"/>
        </w:rPr>
        <w:t>14</w:t>
      </w:r>
      <w:r w:rsidR="00520240">
        <w:rPr>
          <w:rFonts w:ascii="Times New Roman" w:eastAsia="SimSun" w:hAnsi="Times New Roman" w:cs="Times New Roman"/>
          <w:bCs/>
          <w:color w:val="000000"/>
          <w:lang w:eastAsia="ar-SA"/>
        </w:rPr>
        <w:t> </w:t>
      </w:r>
      <w:r w:rsidRPr="00B92E23">
        <w:rPr>
          <w:rFonts w:ascii="Times New Roman" w:eastAsia="SimSun" w:hAnsi="Times New Roman" w:cs="Times New Roman"/>
          <w:bCs/>
          <w:color w:val="000000"/>
          <w:lang w:eastAsia="ar-SA"/>
        </w:rPr>
        <w:t>lentelėje</w:t>
      </w:r>
      <w:r w:rsidRPr="004372D4">
        <w:rPr>
          <w:rFonts w:ascii="Times New Roman" w:eastAsia="SimSun" w:hAnsi="Times New Roman" w:cs="Times New Roman"/>
          <w:bCs/>
          <w:color w:val="000000"/>
          <w:lang w:eastAsia="ar-SA"/>
        </w:rPr>
        <w:t>.</w:t>
      </w:r>
    </w:p>
    <w:p w14:paraId="2C3355A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86A88F7" w14:textId="6D978B6F" w:rsidR="00ED7DC3" w:rsidRPr="001D3C3D" w:rsidRDefault="00ED7DC3" w:rsidP="00ED7DC3">
      <w:pPr>
        <w:widowControl w:val="0"/>
        <w:tabs>
          <w:tab w:val="left" w:pos="567"/>
        </w:tabs>
        <w:suppressAutoHyphens/>
        <w:spacing w:after="0" w:line="240" w:lineRule="auto"/>
        <w:ind w:left="1108" w:hanging="1096"/>
        <w:rPr>
          <w:rFonts w:ascii="Times New Roman" w:eastAsia="SimSun" w:hAnsi="Times New Roman" w:cs="Times New Roman"/>
          <w:b/>
          <w:iCs/>
          <w:color w:val="000000"/>
          <w:lang w:eastAsia="ar-SA"/>
        </w:rPr>
      </w:pPr>
      <w:r w:rsidRPr="001D3C3D">
        <w:rPr>
          <w:rFonts w:ascii="Times New Roman" w:eastAsia="SimSun" w:hAnsi="Times New Roman" w:cs="Times New Roman"/>
          <w:b/>
          <w:iCs/>
          <w:color w:val="000000"/>
          <w:lang w:eastAsia="ar-SA"/>
        </w:rPr>
        <w:t>14</w:t>
      </w:r>
      <w:r w:rsidR="00520240">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lentelė. Dazatinibo veiksmingumas III fazės dozės optimizavimo tyrime progresavusios</w:t>
      </w:r>
    </w:p>
    <w:p w14:paraId="3A1551A2" w14:textId="69CD0ECB" w:rsidR="00ED7DC3" w:rsidRPr="001D3C3D" w:rsidRDefault="00ED7DC3" w:rsidP="00ED7DC3">
      <w:pPr>
        <w:widowControl w:val="0"/>
        <w:tabs>
          <w:tab w:val="left" w:pos="567"/>
        </w:tabs>
        <w:suppressAutoHyphens/>
        <w:spacing w:after="0" w:line="240" w:lineRule="auto"/>
        <w:ind w:left="1134"/>
        <w:rPr>
          <w:rFonts w:ascii="Times New Roman" w:eastAsia="SimSun" w:hAnsi="Times New Roman" w:cs="Times New Roman"/>
          <w:iCs/>
          <w:color w:val="000000"/>
          <w:lang w:eastAsia="ar-SA"/>
        </w:rPr>
      </w:pPr>
      <w:r w:rsidRPr="001D3C3D">
        <w:rPr>
          <w:rFonts w:ascii="Times New Roman" w:eastAsia="SimSun" w:hAnsi="Times New Roman" w:cs="Times New Roman"/>
          <w:b/>
          <w:iCs/>
          <w:color w:val="000000"/>
          <w:lang w:eastAsia="ar-SA"/>
        </w:rPr>
        <w:t>fazės LML ir Ph+ ŪLL sergantiems pacientams (2</w:t>
      </w:r>
      <w:r w:rsidR="00520240">
        <w:rPr>
          <w:rFonts w:ascii="Times New Roman" w:eastAsia="SimSun" w:hAnsi="Times New Roman" w:cs="Times New Roman"/>
          <w:b/>
          <w:iCs/>
          <w:color w:val="000000"/>
          <w:lang w:eastAsia="ar-SA"/>
        </w:rPr>
        <w:t> </w:t>
      </w:r>
      <w:r w:rsidRPr="001D3C3D">
        <w:rPr>
          <w:rFonts w:ascii="Times New Roman" w:eastAsia="SimSun" w:hAnsi="Times New Roman" w:cs="Times New Roman"/>
          <w:b/>
          <w:iCs/>
          <w:color w:val="000000"/>
          <w:lang w:eastAsia="ar-SA"/>
        </w:rPr>
        <w:t>metų duomenys)</w:t>
      </w:r>
      <w:r w:rsidRPr="001D3C3D">
        <w:rPr>
          <w:rFonts w:ascii="Times New Roman" w:eastAsia="SimSun" w:hAnsi="Times New Roman" w:cs="Times New Roman"/>
          <w:b/>
          <w:iCs/>
          <w:color w:val="000000"/>
          <w:vertAlign w:val="superscript"/>
          <w:lang w:eastAsia="ar-SA"/>
        </w:rPr>
        <w:t>a</w:t>
      </w:r>
    </w:p>
    <w:p w14:paraId="5EE98EE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tbl>
      <w:tblPr>
        <w:tblW w:w="0" w:type="auto"/>
        <w:tblInd w:w="105" w:type="dxa"/>
        <w:tblLayout w:type="fixed"/>
        <w:tblCellMar>
          <w:left w:w="0" w:type="dxa"/>
          <w:right w:w="0" w:type="dxa"/>
        </w:tblCellMar>
        <w:tblLook w:val="0000" w:firstRow="0" w:lastRow="0" w:firstColumn="0" w:lastColumn="0" w:noHBand="0" w:noVBand="0"/>
      </w:tblPr>
      <w:tblGrid>
        <w:gridCol w:w="1731"/>
        <w:gridCol w:w="1707"/>
        <w:gridCol w:w="1985"/>
        <w:gridCol w:w="1927"/>
        <w:gridCol w:w="1731"/>
      </w:tblGrid>
      <w:tr w:rsidR="00ED7DC3" w:rsidRPr="001D3C3D" w14:paraId="5FA13E70" w14:textId="77777777" w:rsidTr="0036275F">
        <w:tc>
          <w:tcPr>
            <w:tcW w:w="1731" w:type="dxa"/>
            <w:tcBorders>
              <w:top w:val="single" w:sz="4" w:space="0" w:color="000000"/>
              <w:bottom w:val="single" w:sz="4" w:space="0" w:color="000000"/>
            </w:tcBorders>
            <w:shd w:val="clear" w:color="auto" w:fill="auto"/>
          </w:tcPr>
          <w:p w14:paraId="411B8EE7" w14:textId="77777777" w:rsidR="00ED7DC3" w:rsidRPr="001D3C3D" w:rsidRDefault="00ED7DC3" w:rsidP="00ED7DC3">
            <w:pPr>
              <w:widowControl w:val="0"/>
              <w:tabs>
                <w:tab w:val="left" w:pos="567"/>
              </w:tabs>
              <w:suppressAutoHyphens/>
              <w:snapToGrid w:val="0"/>
              <w:spacing w:after="0" w:line="240" w:lineRule="auto"/>
              <w:rPr>
                <w:rFonts w:ascii="Times New Roman" w:eastAsia="SimSun" w:hAnsi="Times New Roman" w:cs="Times New Roman"/>
                <w:color w:val="000000"/>
                <w:lang w:eastAsia="ar-SA"/>
              </w:rPr>
            </w:pPr>
          </w:p>
        </w:tc>
        <w:tc>
          <w:tcPr>
            <w:tcW w:w="1707" w:type="dxa"/>
            <w:tcBorders>
              <w:top w:val="single" w:sz="4" w:space="0" w:color="000000"/>
              <w:bottom w:val="single" w:sz="4" w:space="0" w:color="000000"/>
            </w:tcBorders>
            <w:shd w:val="clear" w:color="auto" w:fill="auto"/>
          </w:tcPr>
          <w:p w14:paraId="59461819"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Akceleracijos</w:t>
            </w:r>
          </w:p>
          <w:p w14:paraId="71174B4C" w14:textId="7ABD6A1E"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794B0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794B06">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158)</w:t>
            </w:r>
          </w:p>
        </w:tc>
        <w:tc>
          <w:tcPr>
            <w:tcW w:w="1985" w:type="dxa"/>
            <w:tcBorders>
              <w:top w:val="single" w:sz="4" w:space="0" w:color="000000"/>
              <w:bottom w:val="single" w:sz="4" w:space="0" w:color="000000"/>
            </w:tcBorders>
            <w:shd w:val="clear" w:color="auto" w:fill="auto"/>
          </w:tcPr>
          <w:p w14:paraId="25B0A91C"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Mieloidinių blastų</w:t>
            </w:r>
          </w:p>
          <w:p w14:paraId="05544C73" w14:textId="4F9D0213"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75)</w:t>
            </w:r>
          </w:p>
        </w:tc>
        <w:tc>
          <w:tcPr>
            <w:tcW w:w="1927" w:type="dxa"/>
            <w:tcBorders>
              <w:top w:val="single" w:sz="4" w:space="0" w:color="000000"/>
              <w:bottom w:val="single" w:sz="4" w:space="0" w:color="000000"/>
            </w:tcBorders>
            <w:shd w:val="clear" w:color="auto" w:fill="auto"/>
          </w:tcPr>
          <w:p w14:paraId="0E0590E0"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Limfoidinių blastų</w:t>
            </w:r>
          </w:p>
          <w:p w14:paraId="0693A497" w14:textId="5565726F"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(n</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33)</w:t>
            </w:r>
          </w:p>
        </w:tc>
        <w:tc>
          <w:tcPr>
            <w:tcW w:w="1731" w:type="dxa"/>
            <w:tcBorders>
              <w:top w:val="single" w:sz="4" w:space="0" w:color="000000"/>
              <w:bottom w:val="single" w:sz="4" w:space="0" w:color="000000"/>
            </w:tcBorders>
            <w:shd w:val="clear" w:color="auto" w:fill="auto"/>
          </w:tcPr>
          <w:p w14:paraId="691DE5B5" w14:textId="77777777"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Ph+ ŪLL</w:t>
            </w:r>
          </w:p>
          <w:p w14:paraId="3B023B14" w14:textId="2FE3FCDE" w:rsidR="00ED7DC3" w:rsidRPr="001D3C3D" w:rsidRDefault="00ED7DC3" w:rsidP="00ED7DC3">
            <w:pPr>
              <w:widowControl w:val="0"/>
              <w:suppressAutoHyphens/>
              <w:spacing w:after="0" w:line="240" w:lineRule="auto"/>
              <w:ind w:left="57"/>
              <w:jc w:val="center"/>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(n</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w:t>
            </w:r>
            <w:r w:rsidR="008C53DD">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40)</w:t>
            </w:r>
          </w:p>
        </w:tc>
      </w:tr>
      <w:tr w:rsidR="00ED7DC3" w:rsidRPr="001D3C3D" w14:paraId="7F697191" w14:textId="77777777" w:rsidTr="0036275F">
        <w:trPr>
          <w:trHeight w:hRule="exact" w:val="542"/>
        </w:trPr>
        <w:tc>
          <w:tcPr>
            <w:tcW w:w="1731" w:type="dxa"/>
            <w:tcBorders>
              <w:top w:val="single" w:sz="4" w:space="0" w:color="000000"/>
            </w:tcBorders>
            <w:shd w:val="clear" w:color="auto" w:fill="auto"/>
          </w:tcPr>
          <w:p w14:paraId="47E5362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bCs/>
                <w:iCs/>
                <w:color w:val="000000"/>
                <w:lang w:eastAsia="ar-SA"/>
              </w:rPr>
              <w:t>MaHR</w:t>
            </w:r>
            <w:r w:rsidRPr="001D3C3D">
              <w:rPr>
                <w:rFonts w:ascii="Times New Roman" w:eastAsia="SimSun" w:hAnsi="Times New Roman" w:cs="Times New Roman"/>
                <w:b/>
                <w:bCs/>
                <w:iCs/>
                <w:color w:val="000000"/>
                <w:vertAlign w:val="superscript"/>
                <w:lang w:eastAsia="ar-SA"/>
              </w:rPr>
              <w:t>b</w:t>
            </w:r>
          </w:p>
          <w:p w14:paraId="3F5BBD2E" w14:textId="5868A3B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w:t>
            </w:r>
          </w:p>
        </w:tc>
        <w:tc>
          <w:tcPr>
            <w:tcW w:w="1707" w:type="dxa"/>
            <w:tcBorders>
              <w:top w:val="single" w:sz="4" w:space="0" w:color="000000"/>
            </w:tcBorders>
            <w:shd w:val="clear" w:color="auto" w:fill="auto"/>
          </w:tcPr>
          <w:p w14:paraId="3D7551F9" w14:textId="415E9AB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66</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58D6832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(59-74)</w:t>
            </w:r>
          </w:p>
        </w:tc>
        <w:tc>
          <w:tcPr>
            <w:tcW w:w="1985" w:type="dxa"/>
            <w:tcBorders>
              <w:top w:val="single" w:sz="4" w:space="0" w:color="000000"/>
            </w:tcBorders>
            <w:shd w:val="clear" w:color="auto" w:fill="auto"/>
          </w:tcPr>
          <w:p w14:paraId="3871D312" w14:textId="656277DB"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28</w:t>
            </w:r>
            <w:r w:rsidR="00FB7C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01BB2EF6"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(18-40)</w:t>
            </w:r>
          </w:p>
        </w:tc>
        <w:tc>
          <w:tcPr>
            <w:tcW w:w="1927" w:type="dxa"/>
            <w:tcBorders>
              <w:top w:val="single" w:sz="4" w:space="0" w:color="000000"/>
            </w:tcBorders>
            <w:shd w:val="clear" w:color="auto" w:fill="auto"/>
          </w:tcPr>
          <w:p w14:paraId="0505498B" w14:textId="0D9D05C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42</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36E3197D"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(26-61)</w:t>
            </w:r>
          </w:p>
        </w:tc>
        <w:tc>
          <w:tcPr>
            <w:tcW w:w="1731" w:type="dxa"/>
            <w:tcBorders>
              <w:top w:val="single" w:sz="4" w:space="0" w:color="000000"/>
            </w:tcBorders>
            <w:shd w:val="clear" w:color="auto" w:fill="auto"/>
          </w:tcPr>
          <w:p w14:paraId="41559F86" w14:textId="5BF4128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38</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0CD5C168"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(23-54)</w:t>
            </w:r>
          </w:p>
        </w:tc>
      </w:tr>
      <w:tr w:rsidR="00ED7DC3" w:rsidRPr="001D3C3D" w14:paraId="39D4E756" w14:textId="77777777" w:rsidTr="0036275F">
        <w:trPr>
          <w:trHeight w:hRule="exact" w:val="586"/>
        </w:trPr>
        <w:tc>
          <w:tcPr>
            <w:tcW w:w="1731" w:type="dxa"/>
            <w:shd w:val="clear" w:color="auto" w:fill="auto"/>
          </w:tcPr>
          <w:p w14:paraId="0B36D02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CHR</w:t>
            </w:r>
            <w:r w:rsidRPr="001D3C3D">
              <w:rPr>
                <w:rFonts w:ascii="Times New Roman" w:eastAsia="SimSun" w:hAnsi="Times New Roman" w:cs="Times New Roman"/>
                <w:b/>
                <w:bCs/>
                <w:iCs/>
                <w:color w:val="000000"/>
                <w:vertAlign w:val="superscript"/>
                <w:lang w:eastAsia="ar-SA"/>
              </w:rPr>
              <w:t>b</w:t>
            </w:r>
          </w:p>
          <w:p w14:paraId="50DB0642" w14:textId="3D78112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w:t>
            </w:r>
          </w:p>
        </w:tc>
        <w:tc>
          <w:tcPr>
            <w:tcW w:w="1707" w:type="dxa"/>
            <w:shd w:val="clear" w:color="auto" w:fill="auto"/>
          </w:tcPr>
          <w:p w14:paraId="7D8BF960" w14:textId="4236B08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47</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7DEACB3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(40-56)</w:t>
            </w:r>
          </w:p>
        </w:tc>
        <w:tc>
          <w:tcPr>
            <w:tcW w:w="1985" w:type="dxa"/>
            <w:shd w:val="clear" w:color="auto" w:fill="auto"/>
          </w:tcPr>
          <w:p w14:paraId="3381DF42" w14:textId="471FF195"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17</w:t>
            </w:r>
            <w:r w:rsidR="00FB7C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185EB355"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(10-28)</w:t>
            </w:r>
          </w:p>
        </w:tc>
        <w:tc>
          <w:tcPr>
            <w:tcW w:w="1927" w:type="dxa"/>
            <w:shd w:val="clear" w:color="auto" w:fill="auto"/>
          </w:tcPr>
          <w:p w14:paraId="04127AE1" w14:textId="2F83AB3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21</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5400C9A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(9-39)</w:t>
            </w:r>
          </w:p>
        </w:tc>
        <w:tc>
          <w:tcPr>
            <w:tcW w:w="1731" w:type="dxa"/>
            <w:shd w:val="clear" w:color="auto" w:fill="auto"/>
          </w:tcPr>
          <w:p w14:paraId="3D44E32F" w14:textId="694CE8EC"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33</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16CC61E9"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(19-49)</w:t>
            </w:r>
          </w:p>
        </w:tc>
      </w:tr>
      <w:tr w:rsidR="00ED7DC3" w:rsidRPr="001D3C3D" w14:paraId="3071628C" w14:textId="77777777" w:rsidTr="0036275F">
        <w:trPr>
          <w:trHeight w:hRule="exact" w:val="560"/>
        </w:trPr>
        <w:tc>
          <w:tcPr>
            <w:tcW w:w="1731" w:type="dxa"/>
            <w:tcBorders>
              <w:bottom w:val="single" w:sz="4" w:space="0" w:color="000000"/>
            </w:tcBorders>
            <w:shd w:val="clear" w:color="auto" w:fill="auto"/>
          </w:tcPr>
          <w:p w14:paraId="37BB90DB"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NEL</w:t>
            </w:r>
            <w:r w:rsidRPr="001D3C3D">
              <w:rPr>
                <w:rFonts w:ascii="Times New Roman" w:eastAsia="SimSun" w:hAnsi="Times New Roman" w:cs="Times New Roman"/>
                <w:b/>
                <w:bCs/>
                <w:iCs/>
                <w:color w:val="000000"/>
                <w:vertAlign w:val="superscript"/>
                <w:lang w:eastAsia="ar-SA"/>
              </w:rPr>
              <w:t>b</w:t>
            </w:r>
          </w:p>
          <w:p w14:paraId="31B0E765" w14:textId="4690948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w:t>
            </w:r>
          </w:p>
        </w:tc>
        <w:tc>
          <w:tcPr>
            <w:tcW w:w="1707" w:type="dxa"/>
            <w:tcBorders>
              <w:bottom w:val="single" w:sz="4" w:space="0" w:color="000000"/>
            </w:tcBorders>
            <w:shd w:val="clear" w:color="auto" w:fill="auto"/>
          </w:tcPr>
          <w:p w14:paraId="6AA9CC41" w14:textId="339FD7D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19</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0F0DCD28"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(13-26)</w:t>
            </w:r>
          </w:p>
        </w:tc>
        <w:tc>
          <w:tcPr>
            <w:tcW w:w="1985" w:type="dxa"/>
            <w:tcBorders>
              <w:bottom w:val="single" w:sz="4" w:space="0" w:color="000000"/>
            </w:tcBorders>
            <w:shd w:val="clear" w:color="auto" w:fill="auto"/>
          </w:tcPr>
          <w:p w14:paraId="1F842E75" w14:textId="16290FAE"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11</w:t>
            </w:r>
            <w:r w:rsidR="00FB7C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2CF6F77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(5-20)</w:t>
            </w:r>
          </w:p>
        </w:tc>
        <w:tc>
          <w:tcPr>
            <w:tcW w:w="1927" w:type="dxa"/>
            <w:tcBorders>
              <w:bottom w:val="single" w:sz="4" w:space="0" w:color="000000"/>
            </w:tcBorders>
            <w:shd w:val="clear" w:color="auto" w:fill="auto"/>
          </w:tcPr>
          <w:p w14:paraId="197FD26B" w14:textId="404B4A3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21</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57B80BF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(9-39)</w:t>
            </w:r>
          </w:p>
        </w:tc>
        <w:tc>
          <w:tcPr>
            <w:tcW w:w="1731" w:type="dxa"/>
            <w:tcBorders>
              <w:bottom w:val="single" w:sz="4" w:space="0" w:color="000000"/>
            </w:tcBorders>
            <w:shd w:val="clear" w:color="auto" w:fill="auto"/>
          </w:tcPr>
          <w:p w14:paraId="4AAFEC4E" w14:textId="236C2A0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5A09438D"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(1-17)</w:t>
            </w:r>
          </w:p>
        </w:tc>
      </w:tr>
      <w:tr w:rsidR="00ED7DC3" w:rsidRPr="001D3C3D" w14:paraId="17FB98D6" w14:textId="77777777" w:rsidTr="0036275F">
        <w:trPr>
          <w:trHeight w:hRule="exact" w:val="597"/>
        </w:trPr>
        <w:tc>
          <w:tcPr>
            <w:tcW w:w="1731" w:type="dxa"/>
            <w:tcBorders>
              <w:top w:val="single" w:sz="4" w:space="0" w:color="000000"/>
            </w:tcBorders>
            <w:shd w:val="clear" w:color="auto" w:fill="auto"/>
          </w:tcPr>
          <w:p w14:paraId="08DE6509"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b/>
                <w:bCs/>
                <w:iCs/>
                <w:color w:val="000000"/>
                <w:lang w:eastAsia="ar-SA"/>
              </w:rPr>
              <w:t>MCyR</w:t>
            </w:r>
            <w:r w:rsidRPr="001D3C3D">
              <w:rPr>
                <w:rFonts w:ascii="Times New Roman" w:eastAsia="SimSun" w:hAnsi="Times New Roman" w:cs="Times New Roman"/>
                <w:b/>
                <w:bCs/>
                <w:iCs/>
                <w:color w:val="000000"/>
                <w:vertAlign w:val="superscript"/>
                <w:lang w:eastAsia="ar-SA"/>
              </w:rPr>
              <w:t>c</w:t>
            </w:r>
          </w:p>
          <w:p w14:paraId="56D6CB62" w14:textId="079531E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w:t>
            </w:r>
          </w:p>
        </w:tc>
        <w:tc>
          <w:tcPr>
            <w:tcW w:w="1707" w:type="dxa"/>
            <w:tcBorders>
              <w:top w:val="single" w:sz="4" w:space="0" w:color="000000"/>
            </w:tcBorders>
            <w:shd w:val="clear" w:color="auto" w:fill="auto"/>
          </w:tcPr>
          <w:p w14:paraId="09454286" w14:textId="01A818D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39</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4115D2F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(31-47)</w:t>
            </w:r>
          </w:p>
        </w:tc>
        <w:tc>
          <w:tcPr>
            <w:tcW w:w="1985" w:type="dxa"/>
            <w:tcBorders>
              <w:top w:val="single" w:sz="4" w:space="0" w:color="000000"/>
            </w:tcBorders>
            <w:shd w:val="clear" w:color="auto" w:fill="auto"/>
          </w:tcPr>
          <w:p w14:paraId="7D4A2D3B" w14:textId="28CE23E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28</w:t>
            </w:r>
            <w:r w:rsidR="00FB7C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21B62DCA"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(18-40)</w:t>
            </w:r>
          </w:p>
        </w:tc>
        <w:tc>
          <w:tcPr>
            <w:tcW w:w="1927" w:type="dxa"/>
            <w:tcBorders>
              <w:top w:val="single" w:sz="4" w:space="0" w:color="000000"/>
            </w:tcBorders>
            <w:shd w:val="clear" w:color="auto" w:fill="auto"/>
          </w:tcPr>
          <w:p w14:paraId="650773E0" w14:textId="07455F45"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52</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69F53BE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(34-69)</w:t>
            </w:r>
          </w:p>
        </w:tc>
        <w:tc>
          <w:tcPr>
            <w:tcW w:w="1731" w:type="dxa"/>
            <w:tcBorders>
              <w:top w:val="single" w:sz="4" w:space="0" w:color="000000"/>
            </w:tcBorders>
            <w:shd w:val="clear" w:color="auto" w:fill="auto"/>
          </w:tcPr>
          <w:p w14:paraId="000708F9" w14:textId="0B64981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70</w:t>
            </w:r>
            <w:r w:rsidR="00794B0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28EFF0F4"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(54-83)</w:t>
            </w:r>
          </w:p>
        </w:tc>
      </w:tr>
      <w:tr w:rsidR="00ED7DC3" w:rsidRPr="001D3C3D" w14:paraId="26EACC29" w14:textId="77777777" w:rsidTr="0036275F">
        <w:trPr>
          <w:trHeight w:hRule="exact" w:val="561"/>
        </w:trPr>
        <w:tc>
          <w:tcPr>
            <w:tcW w:w="1731" w:type="dxa"/>
            <w:tcBorders>
              <w:bottom w:val="single" w:sz="4" w:space="0" w:color="000000"/>
            </w:tcBorders>
            <w:shd w:val="clear" w:color="auto" w:fill="auto"/>
          </w:tcPr>
          <w:p w14:paraId="2A2302D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CCyR </w:t>
            </w:r>
          </w:p>
          <w:p w14:paraId="1C30B552" w14:textId="2D2ABD0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(95</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w:t>
            </w:r>
          </w:p>
        </w:tc>
        <w:tc>
          <w:tcPr>
            <w:tcW w:w="1707" w:type="dxa"/>
            <w:tcBorders>
              <w:bottom w:val="single" w:sz="4" w:space="0" w:color="000000"/>
            </w:tcBorders>
            <w:shd w:val="clear" w:color="auto" w:fill="auto"/>
          </w:tcPr>
          <w:p w14:paraId="13A8BBA5" w14:textId="5BA16BA6"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32</w:t>
            </w:r>
            <w:r w:rsidR="00520240">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4B336CE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(25-40)</w:t>
            </w:r>
          </w:p>
        </w:tc>
        <w:tc>
          <w:tcPr>
            <w:tcW w:w="1985" w:type="dxa"/>
            <w:tcBorders>
              <w:bottom w:val="single" w:sz="4" w:space="0" w:color="000000"/>
            </w:tcBorders>
            <w:shd w:val="clear" w:color="auto" w:fill="auto"/>
          </w:tcPr>
          <w:p w14:paraId="0EE5AA18" w14:textId="5AAB9BC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17</w:t>
            </w:r>
            <w:r w:rsidR="008C53DD">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1BBB1BD5"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(10-28)</w:t>
            </w:r>
          </w:p>
        </w:tc>
        <w:tc>
          <w:tcPr>
            <w:tcW w:w="1927" w:type="dxa"/>
            <w:tcBorders>
              <w:bottom w:val="single" w:sz="4" w:space="0" w:color="000000"/>
            </w:tcBorders>
            <w:shd w:val="clear" w:color="auto" w:fill="auto"/>
          </w:tcPr>
          <w:p w14:paraId="74278E4C" w14:textId="0484FD9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39</w:t>
            </w:r>
            <w:r w:rsidR="008C53DD">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2C8AE43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(23-58)</w:t>
            </w:r>
          </w:p>
        </w:tc>
        <w:tc>
          <w:tcPr>
            <w:tcW w:w="1731" w:type="dxa"/>
            <w:tcBorders>
              <w:bottom w:val="single" w:sz="4" w:space="0" w:color="000000"/>
            </w:tcBorders>
            <w:shd w:val="clear" w:color="auto" w:fill="auto"/>
          </w:tcPr>
          <w:p w14:paraId="6762978E" w14:textId="7D003AFA"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50</w:t>
            </w:r>
            <w:r w:rsidR="008C53DD">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w:t>
            </w:r>
          </w:p>
          <w:p w14:paraId="4C5D008C" w14:textId="77777777" w:rsidR="00ED7DC3" w:rsidRPr="001D3C3D" w:rsidRDefault="00ED7DC3" w:rsidP="00ED7DC3">
            <w:pPr>
              <w:widowControl w:val="0"/>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iCs/>
                <w:color w:val="000000"/>
                <w:lang w:eastAsia="ar-SA"/>
              </w:rPr>
              <w:t>(34-66)</w:t>
            </w:r>
          </w:p>
        </w:tc>
      </w:tr>
    </w:tbl>
    <w:p w14:paraId="18A6F772" w14:textId="115CA794" w:rsidR="00ED7DC3" w:rsidRPr="00B92E23" w:rsidRDefault="00ED7DC3" w:rsidP="008B061C">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a</w:t>
      </w:r>
      <w:r w:rsidRPr="00B92E23">
        <w:rPr>
          <w:rFonts w:ascii="Times New Roman" w:eastAsia="SimSun" w:hAnsi="Times New Roman" w:cs="Times New Roman"/>
          <w:iCs/>
          <w:color w:val="000000"/>
          <w:sz w:val="20"/>
          <w:szCs w:val="20"/>
          <w:lang w:eastAsia="ar-SA"/>
        </w:rPr>
        <w:t xml:space="preserve"> Duomenys gauti vartojant rekomenduojamą pradinę 140</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mg 1</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kartą per parą dozę (žr.</w:t>
      </w:r>
      <w:r w:rsidR="00F55DE7"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4.2</w:t>
      </w:r>
      <w:r w:rsidR="00760F9C"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skyrių).</w:t>
      </w:r>
    </w:p>
    <w:p w14:paraId="586F8CE1" w14:textId="2A95A3B2" w:rsidR="00ED7DC3" w:rsidRPr="00B92E23" w:rsidRDefault="00ED7DC3" w:rsidP="00B92E23">
      <w:pPr>
        <w:widowControl w:val="0"/>
        <w:tabs>
          <w:tab w:val="left" w:pos="567"/>
        </w:tabs>
        <w:suppressAutoHyphens/>
        <w:spacing w:after="0" w:line="240" w:lineRule="auto"/>
        <w:ind w:left="142" w:hanging="142"/>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b</w:t>
      </w:r>
      <w:r w:rsidRPr="00B92E23">
        <w:rPr>
          <w:rFonts w:ascii="Times New Roman" w:eastAsia="SimSun" w:hAnsi="Times New Roman" w:cs="Times New Roman"/>
          <w:iCs/>
          <w:color w:val="000000"/>
          <w:sz w:val="20"/>
          <w:szCs w:val="20"/>
          <w:lang w:eastAsia="ar-SA"/>
        </w:rPr>
        <w:t xml:space="preserve"> Hematologinio atsako kriterijai (visais atvejais atsakas patvirtintas po 4</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savaičių): didysis hematologinis atsakas (MaHR) = visiškas hematologinis atsakas (CHR) + nėra leukemiją rodančių duomenų (NEL)</w:t>
      </w:r>
    </w:p>
    <w:p w14:paraId="4A7C83FB" w14:textId="718F3E22" w:rsidR="00ED7DC3" w:rsidRPr="00B92E23" w:rsidRDefault="00ED7DC3" w:rsidP="00B92E23">
      <w:pPr>
        <w:widowControl w:val="0"/>
        <w:tabs>
          <w:tab w:val="left" w:pos="567"/>
        </w:tabs>
        <w:suppressAutoHyphens/>
        <w:spacing w:after="0" w:line="240" w:lineRule="auto"/>
        <w:ind w:left="142"/>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lang w:eastAsia="ar-SA"/>
        </w:rPr>
        <w:t xml:space="preserve">CHR: leukocitų </w:t>
      </w:r>
      <w:r w:rsidRPr="00B92E23">
        <w:rPr>
          <w:rFonts w:ascii="Times New Roman" w:eastAsia="SimSun" w:hAnsi="Times New Roman" w:cs="Times New Roman" w:hint="eastAsia"/>
          <w:iCs/>
          <w:color w:val="000000"/>
          <w:sz w:val="20"/>
          <w:szCs w:val="20"/>
          <w:lang w:eastAsia="ar-SA"/>
        </w:rPr>
        <w:t>≤</w:t>
      </w:r>
      <w:r w:rsidRPr="00B92E23">
        <w:rPr>
          <w:rFonts w:ascii="Times New Roman" w:eastAsia="SimSun" w:hAnsi="Times New Roman" w:cs="Times New Roman"/>
          <w:iCs/>
          <w:color w:val="000000"/>
          <w:sz w:val="20"/>
          <w:szCs w:val="20"/>
          <w:lang w:eastAsia="ar-SA"/>
        </w:rPr>
        <w:t xml:space="preserve"> nustatyta VNR, absoliutus neutrofilų skaičius </w:t>
      </w:r>
      <w:r w:rsidRPr="00B92E23">
        <w:rPr>
          <w:rFonts w:ascii="Times New Roman" w:eastAsia="SimSun" w:hAnsi="Times New Roman" w:cs="Times New Roman" w:hint="eastAsia"/>
          <w:iCs/>
          <w:color w:val="000000"/>
          <w:sz w:val="20"/>
          <w:szCs w:val="20"/>
          <w:lang w:eastAsia="ar-SA"/>
        </w:rPr>
        <w:t>≥</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trombocitų </w:t>
      </w:r>
      <w:r w:rsidRPr="00B92E23">
        <w:rPr>
          <w:rFonts w:ascii="Times New Roman" w:eastAsia="SimSun" w:hAnsi="Times New Roman" w:cs="Times New Roman" w:hint="eastAsia"/>
          <w:iCs/>
          <w:color w:val="000000"/>
          <w:sz w:val="20"/>
          <w:szCs w:val="20"/>
          <w:lang w:eastAsia="ar-SA"/>
        </w:rPr>
        <w:t>≥</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100</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periferiniame kraujyje nėra blastų ir promielocitų, kaulų čiulpuose blastų </w:t>
      </w:r>
      <w:r w:rsidRPr="00B92E23">
        <w:rPr>
          <w:rFonts w:ascii="Times New Roman" w:eastAsia="SimSun" w:hAnsi="Times New Roman" w:cs="Times New Roman" w:hint="eastAsia"/>
          <w:iCs/>
          <w:color w:val="000000"/>
          <w:sz w:val="20"/>
          <w:szCs w:val="20"/>
          <w:lang w:eastAsia="ar-SA"/>
        </w:rPr>
        <w:t>≤</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periferiniame kraujyje mielocitų + metamielocitų &lt;</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bazofilų &lt;</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8C53DD"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nėra ekstramedulinių židinių</w:t>
      </w:r>
    </w:p>
    <w:p w14:paraId="25E011C5" w14:textId="0F39A8BD" w:rsidR="00ED7DC3" w:rsidRPr="00B92E23" w:rsidRDefault="00ED7DC3" w:rsidP="00B92E23">
      <w:pPr>
        <w:widowControl w:val="0"/>
        <w:tabs>
          <w:tab w:val="left" w:pos="567"/>
        </w:tabs>
        <w:suppressAutoHyphens/>
        <w:spacing w:after="0" w:line="240" w:lineRule="auto"/>
        <w:ind w:left="142"/>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lang w:eastAsia="ar-SA"/>
        </w:rPr>
        <w:t xml:space="preserve">NEL: tie patys kriterijai kaip CHR, tačiau absoliutus neutrofilų skaičius </w:t>
      </w:r>
      <w:r w:rsidRPr="00B92E23">
        <w:rPr>
          <w:rFonts w:ascii="Times New Roman" w:eastAsia="SimSun" w:hAnsi="Times New Roman" w:cs="Times New Roman" w:hint="eastAsia"/>
          <w:iCs/>
          <w:color w:val="000000"/>
          <w:sz w:val="20"/>
          <w:szCs w:val="20"/>
          <w:lang w:eastAsia="ar-SA"/>
        </w:rPr>
        <w:t>≥</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500/mm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ir &lt;</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arba trombocitų </w:t>
      </w:r>
      <w:r w:rsidRPr="00B92E23">
        <w:rPr>
          <w:rFonts w:ascii="Times New Roman" w:eastAsia="SimSun" w:hAnsi="Times New Roman" w:cs="Times New Roman" w:hint="eastAsia"/>
          <w:iCs/>
          <w:color w:val="000000"/>
          <w:sz w:val="20"/>
          <w:szCs w:val="20"/>
          <w:lang w:eastAsia="ar-SA"/>
        </w:rPr>
        <w:t>≥</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20</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 xml:space="preserve"> ir </w:t>
      </w:r>
      <w:r w:rsidRPr="00B92E23">
        <w:rPr>
          <w:rFonts w:ascii="Times New Roman" w:eastAsia="SimSun" w:hAnsi="Times New Roman" w:cs="Times New Roman" w:hint="eastAsia"/>
          <w:iCs/>
          <w:color w:val="000000"/>
          <w:sz w:val="20"/>
          <w:szCs w:val="20"/>
          <w:lang w:eastAsia="ar-SA"/>
        </w:rPr>
        <w:t>≤</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100</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000/mm</w:t>
      </w:r>
      <w:r w:rsidRPr="00B92E23">
        <w:rPr>
          <w:rFonts w:ascii="Times New Roman" w:eastAsia="SimSun" w:hAnsi="Times New Roman" w:cs="Times New Roman"/>
          <w:iCs/>
          <w:color w:val="000000"/>
          <w:sz w:val="20"/>
          <w:szCs w:val="20"/>
          <w:vertAlign w:val="superscript"/>
          <w:lang w:eastAsia="ar-SA"/>
        </w:rPr>
        <w:t>3</w:t>
      </w:r>
      <w:r w:rsidRPr="00B92E23">
        <w:rPr>
          <w:rFonts w:ascii="Times New Roman" w:eastAsia="SimSun" w:hAnsi="Times New Roman" w:cs="Times New Roman"/>
          <w:iCs/>
          <w:color w:val="000000"/>
          <w:sz w:val="20"/>
          <w:szCs w:val="20"/>
          <w:lang w:eastAsia="ar-SA"/>
        </w:rPr>
        <w:t>.</w:t>
      </w:r>
    </w:p>
    <w:p w14:paraId="20168763" w14:textId="6CD99D49" w:rsidR="00ED7DC3" w:rsidRPr="00B92E23" w:rsidRDefault="00ED7DC3" w:rsidP="00B92E23">
      <w:pPr>
        <w:widowControl w:val="0"/>
        <w:tabs>
          <w:tab w:val="left" w:pos="567"/>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c</w:t>
      </w:r>
      <w:r w:rsidRPr="00B92E23">
        <w:rPr>
          <w:rFonts w:ascii="Times New Roman" w:eastAsia="SimSun" w:hAnsi="Times New Roman" w:cs="Times New Roman"/>
          <w:iCs/>
          <w:color w:val="000000"/>
          <w:sz w:val="20"/>
          <w:szCs w:val="20"/>
          <w:lang w:eastAsia="ar-SA"/>
        </w:rPr>
        <w:t xml:space="preserve"> Didysis citogenetinis atsakas apima visišką (MCyR) (0</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Ph+ metafazių) ir dalinį (&gt;</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0</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w:t>
      </w:r>
      <w:r w:rsidR="000369E6" w:rsidRPr="00B92E23">
        <w:rPr>
          <w:rFonts w:ascii="Times New Roman" w:eastAsia="SimSun" w:hAnsi="Times New Roman" w:cs="Times New Roman"/>
          <w:iCs/>
          <w:color w:val="000000"/>
          <w:sz w:val="20"/>
          <w:szCs w:val="20"/>
          <w:lang w:eastAsia="ar-SA"/>
        </w:rPr>
        <w:noBreakHyphen/>
      </w:r>
      <w:r w:rsidRPr="00B92E23">
        <w:rPr>
          <w:rFonts w:ascii="Times New Roman" w:eastAsia="SimSun" w:hAnsi="Times New Roman" w:cs="Times New Roman"/>
          <w:iCs/>
          <w:color w:val="000000"/>
          <w:sz w:val="20"/>
          <w:szCs w:val="20"/>
          <w:lang w:eastAsia="ar-SA"/>
        </w:rPr>
        <w:t>35</w:t>
      </w:r>
      <w:r w:rsidR="000369E6" w:rsidRPr="00B92E23">
        <w:rPr>
          <w:rFonts w:ascii="Times New Roman" w:eastAsia="SimSun" w:hAnsi="Times New Roman" w:cs="Times New Roman"/>
          <w:iCs/>
          <w:color w:val="000000"/>
          <w:sz w:val="20"/>
          <w:szCs w:val="20"/>
          <w:lang w:eastAsia="ar-SA"/>
        </w:rPr>
        <w:t> </w:t>
      </w:r>
      <w:r w:rsidRPr="00B92E23">
        <w:rPr>
          <w:rFonts w:ascii="Times New Roman" w:eastAsia="SimSun" w:hAnsi="Times New Roman" w:cs="Times New Roman"/>
          <w:iCs/>
          <w:color w:val="000000"/>
          <w:sz w:val="20"/>
          <w:szCs w:val="20"/>
          <w:lang w:eastAsia="ar-SA"/>
        </w:rPr>
        <w:t>% Ph+ metafazių) atsaką.</w:t>
      </w:r>
    </w:p>
    <w:p w14:paraId="1B54AC1F" w14:textId="77777777" w:rsidR="00ED7DC3" w:rsidRPr="00B92E23" w:rsidRDefault="00ED7DC3" w:rsidP="00B92E23">
      <w:pPr>
        <w:widowControl w:val="0"/>
        <w:tabs>
          <w:tab w:val="left" w:pos="567"/>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lang w:eastAsia="ar-SA"/>
        </w:rPr>
        <w:lastRenderedPageBreak/>
        <w:t>PI = pasikliautinasis intervalas, VNR = viršutinė normos riba.</w:t>
      </w:r>
    </w:p>
    <w:p w14:paraId="1A5BDBDC" w14:textId="07E0A47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Pacientams, kuriems buvo LML akceleracijos fazė ir kurie vartojo</w:t>
      </w:r>
      <w:r w:rsidR="000369E6">
        <w:rPr>
          <w:rFonts w:ascii="Times New Roman" w:eastAsia="SimSun" w:hAnsi="Times New Roman" w:cs="Times New Roman"/>
          <w:iCs/>
          <w:color w:val="000000"/>
          <w:lang w:eastAsia="ar-SA"/>
        </w:rPr>
        <w:t xml:space="preserve"> </w:t>
      </w:r>
      <w:r w:rsidRPr="001D3C3D">
        <w:rPr>
          <w:rFonts w:ascii="Times New Roman" w:eastAsia="SimSun" w:hAnsi="Times New Roman" w:cs="Times New Roman"/>
          <w:iCs/>
          <w:color w:val="000000"/>
          <w:lang w:eastAsia="ar-SA"/>
        </w:rPr>
        <w:t>140</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dozę kartą per parą, MaHR trukmės mediana ir bendro išgyvenimo mediana nebuvo pasiekta, o jų PFS mediana buvo 25</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w:t>
      </w:r>
    </w:p>
    <w:p w14:paraId="510E3C0C"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A2269E2" w14:textId="3E3D6B60"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LML mieloidinių blastų faze sirgusių pacientų, kurie buvo gydomi 140</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doze kartą per parą, MaHR trukmės mediana buvo 8</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Be ligos progresavimo išgyvento laiko mediana buvo 4</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bendro išgyvento laikotarpio mediana – 8</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LML limfoidinių blastų faze sirgusių pacientų, kurie buvo gydomi 140</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doze kartą per parą, MaHR trukmės mediana buvo 5</w:t>
      </w:r>
      <w:r w:rsidR="000369E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Be ligos progresavimo išgyvento laiko mediana buvo 5</w:t>
      </w:r>
      <w:r w:rsidR="0033629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bendro išgyvento laiko mediana – 11</w:t>
      </w:r>
      <w:r w:rsidR="00336297">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w:t>
      </w:r>
    </w:p>
    <w:p w14:paraId="0544CE8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BB4F40E" w14:textId="23BD566F"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Ph+ ŪLL sirgusių pacientų, gydytų 140</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doze kartą per parą, MaHR trukmės mediana buvo 5</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ligai neprogresuojant išgyvento laiko mediana – 4</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 o bendro išgyvento laiko mediana – 7</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mėnesiai.</w:t>
      </w:r>
    </w:p>
    <w:p w14:paraId="2803881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2A88AD61"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
          <w:iCs/>
          <w:color w:val="000000"/>
          <w:lang w:eastAsia="ar-SA"/>
        </w:rPr>
      </w:pPr>
      <w:r w:rsidRPr="001D3C3D">
        <w:rPr>
          <w:rFonts w:ascii="Times New Roman" w:eastAsia="SimSun" w:hAnsi="Times New Roman" w:cs="Times New Roman"/>
          <w:iCs/>
          <w:color w:val="000000"/>
          <w:u w:val="single"/>
          <w:lang w:eastAsia="ar-SA"/>
        </w:rPr>
        <w:t>Vaikų populiacija</w:t>
      </w:r>
    </w:p>
    <w:p w14:paraId="58701F9A"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LML sergantys vaikų populiacijos pacientai</w:t>
      </w:r>
    </w:p>
    <w:p w14:paraId="60794E14" w14:textId="476AAA24"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Iš 130</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pacientų, dalyvavusių 2 pediatriniuose tyrimuose (I fazės atvirame nerandomizuotame dozės diapazono nustatymo ir II fazės atvirame nerandomizuotame), 84 (visi dalyvavo II fazės tyrime) sirgo naujai diagnozuota LML LF, o 46 (17 dalyvavusių I fazės tyrime ir 29 dalyvavusiems II fazės tyrime) anksčiau buvo pasireiškęs atsparumas imatinibui arba jo netoleravimas. 97 iš 130 LML LF sirgusių vaikų populiacijos pacientų buvo gydomi dazatinibo tabletėmis (60</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mg/m</w:t>
      </w:r>
      <w:r w:rsidRPr="001D3C3D">
        <w:rPr>
          <w:rFonts w:ascii="Times New Roman" w:eastAsia="SimSun" w:hAnsi="Times New Roman" w:cs="Times New Roman"/>
          <w:iCs/>
          <w:color w:val="000000"/>
          <w:vertAlign w:val="superscript"/>
          <w:lang w:eastAsia="ar-SA"/>
        </w:rPr>
        <w:t xml:space="preserve">2 </w:t>
      </w:r>
      <w:r w:rsidRPr="001D3C3D">
        <w:rPr>
          <w:rFonts w:ascii="Times New Roman" w:eastAsia="SimSun" w:hAnsi="Times New Roman" w:cs="Times New Roman"/>
          <w:iCs/>
          <w:color w:val="000000"/>
          <w:lang w:eastAsia="ar-SA"/>
        </w:rPr>
        <w:t>1</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kartą per parą; tiems, kurių kūno paviršaus plotas didelis, didžiausia dozė buvo 100</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 1</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kartą per parą). Gydymas tęstas tol, kol liga pradės progresuoti arba pasireikš nepriimtinas toksinis poveikis. </w:t>
      </w:r>
    </w:p>
    <w:p w14:paraId="28B54E2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4E82FAF0" w14:textId="620DF7D9"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Pagrindinės veiksmingumo vertinamosios baigtys buvo visiškas citogenetinis atsakas (CCyR), didysis citogenetinis atsakas (MCyR) ir didysis molekulinis atsakas (MMR). Rezultatai yra pateikti 15</w:t>
      </w:r>
      <w:r w:rsidR="008675F2">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lentelėje. </w:t>
      </w:r>
    </w:p>
    <w:p w14:paraId="11E1B6D0"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B2EF313" w14:textId="4CEA38B1" w:rsidR="00ED7DC3" w:rsidRPr="001D3C3D" w:rsidRDefault="00ED7DC3" w:rsidP="00ED7DC3">
      <w:pPr>
        <w:widowControl w:val="0"/>
        <w:tabs>
          <w:tab w:val="left" w:pos="567"/>
        </w:tabs>
        <w:suppressAutoHyphens/>
        <w:spacing w:after="0" w:line="240" w:lineRule="auto"/>
        <w:ind w:left="1085" w:hanging="1085"/>
        <w:rPr>
          <w:rFonts w:ascii="Times New Roman" w:eastAsia="SimSun" w:hAnsi="Times New Roman" w:cs="Times New Roman"/>
          <w:iCs/>
          <w:color w:val="000000"/>
          <w:lang w:eastAsia="ar-SA"/>
        </w:rPr>
      </w:pPr>
      <w:r w:rsidRPr="001D3C3D">
        <w:rPr>
          <w:rFonts w:ascii="Times New Roman" w:eastAsia="SimSun" w:hAnsi="Times New Roman" w:cs="Times New Roman"/>
          <w:b/>
          <w:iCs/>
          <w:color w:val="000000"/>
          <w:lang w:eastAsia="ar-SA"/>
        </w:rPr>
        <w:t>1</w:t>
      </w:r>
      <w:r w:rsidRPr="001D3C3D">
        <w:rPr>
          <w:rFonts w:ascii="Times New Roman" w:eastAsia="SimSun" w:hAnsi="Times New Roman" w:cs="Times New Roman"/>
          <w:b/>
          <w:bCs/>
          <w:iCs/>
          <w:color w:val="000000"/>
          <w:lang w:eastAsia="ar-SA"/>
        </w:rPr>
        <w:t>5</w:t>
      </w:r>
      <w:r w:rsidR="008675F2">
        <w:rPr>
          <w:rFonts w:ascii="Times New Roman" w:eastAsia="SimSun" w:hAnsi="Times New Roman" w:cs="Times New Roman"/>
          <w:b/>
          <w:bCs/>
          <w:iCs/>
          <w:color w:val="000000"/>
          <w:lang w:eastAsia="ar-SA"/>
        </w:rPr>
        <w:t> </w:t>
      </w:r>
      <w:r w:rsidRPr="001D3C3D">
        <w:rPr>
          <w:rFonts w:ascii="Times New Roman" w:eastAsia="SimSun" w:hAnsi="Times New Roman" w:cs="Times New Roman"/>
          <w:b/>
          <w:bCs/>
          <w:iCs/>
          <w:color w:val="000000"/>
          <w:lang w:eastAsia="ar-SA"/>
        </w:rPr>
        <w:t xml:space="preserve">lentelė. Dazatinibo veiksmingumas LML LF sergantiems vaikų populiacijos pacientams. Bendrasis atsakas per laiką minimaliu stebėjimo laikotarpiu. </w:t>
      </w:r>
    </w:p>
    <w:p w14:paraId="732FEB8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tbl>
      <w:tblPr>
        <w:tblW w:w="0" w:type="auto"/>
        <w:tblInd w:w="20" w:type="dxa"/>
        <w:tblLayout w:type="fixed"/>
        <w:tblCellMar>
          <w:left w:w="0" w:type="dxa"/>
          <w:right w:w="240" w:type="dxa"/>
        </w:tblCellMar>
        <w:tblLook w:val="0000" w:firstRow="0" w:lastRow="0" w:firstColumn="0" w:lastColumn="0" w:noHBand="0" w:noVBand="0"/>
      </w:tblPr>
      <w:tblGrid>
        <w:gridCol w:w="2233"/>
        <w:gridCol w:w="1801"/>
        <w:gridCol w:w="1802"/>
        <w:gridCol w:w="1595"/>
        <w:gridCol w:w="1592"/>
      </w:tblGrid>
      <w:tr w:rsidR="00ED7DC3" w:rsidRPr="001D3C3D" w14:paraId="34BC2E74" w14:textId="77777777" w:rsidTr="0036275F">
        <w:trPr>
          <w:trHeight w:val="250"/>
        </w:trPr>
        <w:tc>
          <w:tcPr>
            <w:tcW w:w="2233" w:type="dxa"/>
            <w:tcBorders>
              <w:top w:val="single" w:sz="4" w:space="0" w:color="000000"/>
              <w:bottom w:val="single" w:sz="4" w:space="0" w:color="000000"/>
            </w:tcBorders>
            <w:shd w:val="clear" w:color="auto" w:fill="auto"/>
          </w:tcPr>
          <w:p w14:paraId="106A9845" w14:textId="77777777" w:rsidR="00ED7DC3" w:rsidRPr="001D3C3D" w:rsidRDefault="00ED7DC3" w:rsidP="00ED7DC3">
            <w:pPr>
              <w:suppressAutoHyphens/>
              <w:snapToGrid w:val="0"/>
              <w:spacing w:after="0" w:line="252" w:lineRule="auto"/>
              <w:ind w:left="914"/>
              <w:rPr>
                <w:rFonts w:ascii="Times New Roman" w:eastAsia="Times New Roman" w:hAnsi="Times New Roman" w:cs="Times New Roman"/>
                <w:color w:val="000000"/>
                <w:lang w:eastAsia="ar-SA"/>
              </w:rPr>
            </w:pPr>
          </w:p>
        </w:tc>
        <w:tc>
          <w:tcPr>
            <w:tcW w:w="1801" w:type="dxa"/>
            <w:tcBorders>
              <w:top w:val="single" w:sz="4" w:space="0" w:color="000000"/>
              <w:bottom w:val="single" w:sz="4" w:space="0" w:color="000000"/>
            </w:tcBorders>
            <w:shd w:val="clear" w:color="auto" w:fill="auto"/>
          </w:tcPr>
          <w:p w14:paraId="646051D3" w14:textId="508DB79D" w:rsidR="00ED7DC3" w:rsidRPr="001D3C3D" w:rsidRDefault="00ED7DC3" w:rsidP="00ED7DC3">
            <w:pPr>
              <w:suppressAutoHyphens/>
              <w:spacing w:after="0" w:line="252" w:lineRule="auto"/>
              <w:ind w:left="78"/>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3</w:t>
            </w:r>
            <w:r w:rsidR="008675F2">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 xml:space="preserve">mėnesiai </w:t>
            </w:r>
          </w:p>
        </w:tc>
        <w:tc>
          <w:tcPr>
            <w:tcW w:w="1802" w:type="dxa"/>
            <w:tcBorders>
              <w:top w:val="single" w:sz="4" w:space="0" w:color="000000"/>
              <w:bottom w:val="single" w:sz="4" w:space="0" w:color="000000"/>
            </w:tcBorders>
            <w:shd w:val="clear" w:color="auto" w:fill="auto"/>
          </w:tcPr>
          <w:p w14:paraId="5E3005C9" w14:textId="67C9EFA7" w:rsidR="00ED7DC3" w:rsidRPr="001D3C3D" w:rsidRDefault="00ED7DC3" w:rsidP="00ED7DC3">
            <w:pPr>
              <w:suppressAutoHyphens/>
              <w:spacing w:after="0" w:line="252" w:lineRule="auto"/>
              <w:ind w:left="78"/>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6</w:t>
            </w:r>
            <w:r w:rsidR="008675F2">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mėnesiai</w:t>
            </w:r>
          </w:p>
        </w:tc>
        <w:tc>
          <w:tcPr>
            <w:tcW w:w="1595" w:type="dxa"/>
            <w:tcBorders>
              <w:top w:val="single" w:sz="4" w:space="0" w:color="000000"/>
              <w:bottom w:val="single" w:sz="4" w:space="0" w:color="000000"/>
            </w:tcBorders>
            <w:shd w:val="clear" w:color="auto" w:fill="auto"/>
          </w:tcPr>
          <w:p w14:paraId="735ACCB4" w14:textId="7F63C2E1" w:rsidR="00ED7DC3" w:rsidRPr="001D3C3D" w:rsidRDefault="00ED7DC3" w:rsidP="00ED7DC3">
            <w:pPr>
              <w:suppressAutoHyphens/>
              <w:spacing w:after="0" w:line="252" w:lineRule="auto"/>
              <w:ind w:left="27"/>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12</w:t>
            </w:r>
            <w:r w:rsidR="008675F2">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mėnesių</w:t>
            </w:r>
          </w:p>
        </w:tc>
        <w:tc>
          <w:tcPr>
            <w:tcW w:w="1592" w:type="dxa"/>
            <w:tcBorders>
              <w:top w:val="single" w:sz="4" w:space="0" w:color="000000"/>
              <w:bottom w:val="single" w:sz="4" w:space="0" w:color="000000"/>
            </w:tcBorders>
            <w:shd w:val="clear" w:color="auto" w:fill="auto"/>
          </w:tcPr>
          <w:p w14:paraId="7D6C09AD" w14:textId="31383C82" w:rsidR="00ED7DC3" w:rsidRPr="001D3C3D" w:rsidRDefault="00ED7DC3" w:rsidP="00ED7DC3">
            <w:pPr>
              <w:suppressAutoHyphens/>
              <w:spacing w:after="0" w:line="252" w:lineRule="auto"/>
              <w:ind w:left="50"/>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24</w:t>
            </w:r>
            <w:r w:rsidR="008675F2">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mėnesiai</w:t>
            </w:r>
          </w:p>
        </w:tc>
      </w:tr>
      <w:tr w:rsidR="00ED7DC3" w:rsidRPr="001D3C3D" w14:paraId="5222071B" w14:textId="77777777" w:rsidTr="0036275F">
        <w:trPr>
          <w:trHeight w:val="1103"/>
        </w:trPr>
        <w:tc>
          <w:tcPr>
            <w:tcW w:w="2233" w:type="dxa"/>
            <w:tcBorders>
              <w:top w:val="single" w:sz="4" w:space="0" w:color="000000"/>
            </w:tcBorders>
            <w:shd w:val="clear" w:color="auto" w:fill="auto"/>
          </w:tcPr>
          <w:p w14:paraId="324EF4AE" w14:textId="77777777" w:rsidR="00ED7DC3" w:rsidRPr="001D3C3D" w:rsidRDefault="00ED7DC3" w:rsidP="00ED7DC3">
            <w:pPr>
              <w:suppressAutoHyphens/>
              <w:spacing w:after="0" w:line="252"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 xml:space="preserve">CCyR  </w:t>
            </w:r>
          </w:p>
          <w:p w14:paraId="1A0D7734" w14:textId="77777777" w:rsidR="00ED7DC3" w:rsidRPr="001D3C3D" w:rsidRDefault="00ED7DC3" w:rsidP="00ED7DC3">
            <w:pPr>
              <w:suppressAutoHyphens/>
              <w:spacing w:after="0" w:line="252" w:lineRule="auto"/>
              <w:ind w:right="25"/>
              <w:jc w:val="right"/>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 xml:space="preserve"> </w:t>
            </w:r>
          </w:p>
          <w:p w14:paraId="11A2BE04" w14:textId="557609FD"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(95</w:t>
            </w:r>
            <w:r w:rsidR="00445CD7">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 xml:space="preserve">% PI) </w:t>
            </w:r>
          </w:p>
          <w:p w14:paraId="2B6054CE"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Nauja diagnozė </w:t>
            </w:r>
          </w:p>
          <w:p w14:paraId="29A222E7" w14:textId="79F5A9E5" w:rsidR="00ED7DC3" w:rsidRPr="001D3C3D" w:rsidRDefault="00ED7DC3" w:rsidP="00ED7DC3">
            <w:pPr>
              <w:suppressAutoHyphens/>
              <w:spacing w:after="0" w:line="252"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51)</w:t>
            </w:r>
            <w:r w:rsidRPr="001D3C3D">
              <w:rPr>
                <w:rFonts w:ascii="Times New Roman" w:eastAsia="Times New Roman" w:hAnsi="Times New Roman" w:cs="Times New Roman"/>
                <w:color w:val="000000"/>
                <w:vertAlign w:val="superscript"/>
                <w:lang w:eastAsia="ar-SA"/>
              </w:rPr>
              <w:t>a</w:t>
            </w:r>
            <w:r w:rsidRPr="001D3C3D">
              <w:rPr>
                <w:rFonts w:ascii="Times New Roman" w:eastAsia="Times New Roman" w:hAnsi="Times New Roman" w:cs="Times New Roman"/>
                <w:color w:val="000000"/>
                <w:lang w:eastAsia="ar-SA"/>
              </w:rPr>
              <w:t xml:space="preserve"> </w:t>
            </w:r>
          </w:p>
        </w:tc>
        <w:tc>
          <w:tcPr>
            <w:tcW w:w="1801" w:type="dxa"/>
            <w:tcBorders>
              <w:top w:val="single" w:sz="4" w:space="0" w:color="000000"/>
            </w:tcBorders>
            <w:shd w:val="clear" w:color="auto" w:fill="auto"/>
            <w:vAlign w:val="center"/>
          </w:tcPr>
          <w:p w14:paraId="4C21B702" w14:textId="77777777" w:rsidR="00ED7DC3" w:rsidRPr="001D3C3D" w:rsidRDefault="00ED7DC3" w:rsidP="00ED7DC3">
            <w:pPr>
              <w:suppressAutoHyphens/>
              <w:spacing w:after="98" w:line="252" w:lineRule="auto"/>
              <w:ind w:right="24"/>
              <w:jc w:val="right"/>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 xml:space="preserve"> </w:t>
            </w:r>
          </w:p>
          <w:p w14:paraId="44769F51" w14:textId="6083AA7A"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43,1</w:t>
            </w:r>
            <w:r w:rsidR="008054A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15CACD3B" w14:textId="77777777" w:rsidR="00ED7DC3" w:rsidRPr="001D3C3D" w:rsidRDefault="00ED7DC3" w:rsidP="00ED7DC3">
            <w:pPr>
              <w:suppressAutoHyphens/>
              <w:spacing w:after="0" w:line="252" w:lineRule="auto"/>
              <w:rPr>
                <w:rFonts w:ascii="Times New Roman" w:eastAsia="Times New Roman" w:hAnsi="Times New Roman" w:cs="Times New Roman"/>
                <w:b/>
                <w:color w:val="000000"/>
                <w:lang w:eastAsia="ar-SA"/>
              </w:rPr>
            </w:pPr>
            <w:r w:rsidRPr="001D3C3D">
              <w:rPr>
                <w:rFonts w:ascii="Times New Roman" w:eastAsia="Times New Roman" w:hAnsi="Times New Roman" w:cs="Times New Roman"/>
                <w:color w:val="000000"/>
                <w:lang w:eastAsia="ar-SA"/>
              </w:rPr>
              <w:t xml:space="preserve">(29,3; 57,8) </w:t>
            </w:r>
          </w:p>
        </w:tc>
        <w:tc>
          <w:tcPr>
            <w:tcW w:w="1802" w:type="dxa"/>
            <w:tcBorders>
              <w:top w:val="single" w:sz="4" w:space="0" w:color="000000"/>
            </w:tcBorders>
            <w:shd w:val="clear" w:color="auto" w:fill="auto"/>
            <w:vAlign w:val="center"/>
          </w:tcPr>
          <w:p w14:paraId="20300C01" w14:textId="77777777" w:rsidR="00ED7DC3" w:rsidRPr="001D3C3D" w:rsidRDefault="00ED7DC3" w:rsidP="00ED7DC3">
            <w:pPr>
              <w:suppressAutoHyphens/>
              <w:spacing w:after="98" w:line="252" w:lineRule="auto"/>
              <w:ind w:right="24"/>
              <w:jc w:val="right"/>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 xml:space="preserve"> </w:t>
            </w:r>
          </w:p>
          <w:p w14:paraId="6E494559" w14:textId="363006ED"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66,7</w:t>
            </w:r>
            <w:r w:rsidR="00C1690C">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0BF65003" w14:textId="77777777" w:rsidR="00ED7DC3" w:rsidRPr="001D3C3D" w:rsidRDefault="00ED7DC3" w:rsidP="00ED7DC3">
            <w:pPr>
              <w:suppressAutoHyphens/>
              <w:spacing w:after="0" w:line="252" w:lineRule="auto"/>
              <w:rPr>
                <w:rFonts w:ascii="Times New Roman" w:eastAsia="Times New Roman" w:hAnsi="Times New Roman" w:cs="Times New Roman"/>
                <w:b/>
                <w:color w:val="000000"/>
                <w:lang w:eastAsia="ar-SA"/>
              </w:rPr>
            </w:pPr>
            <w:r w:rsidRPr="001D3C3D">
              <w:rPr>
                <w:rFonts w:ascii="Times New Roman" w:eastAsia="Times New Roman" w:hAnsi="Times New Roman" w:cs="Times New Roman"/>
                <w:color w:val="000000"/>
                <w:lang w:eastAsia="ar-SA"/>
              </w:rPr>
              <w:t xml:space="preserve">(52,1; 79,2) </w:t>
            </w:r>
          </w:p>
        </w:tc>
        <w:tc>
          <w:tcPr>
            <w:tcW w:w="1595" w:type="dxa"/>
            <w:tcBorders>
              <w:top w:val="single" w:sz="4" w:space="0" w:color="000000"/>
            </w:tcBorders>
            <w:shd w:val="clear" w:color="auto" w:fill="auto"/>
            <w:vAlign w:val="center"/>
          </w:tcPr>
          <w:p w14:paraId="03682D21" w14:textId="77777777" w:rsidR="00ED7DC3" w:rsidRPr="001D3C3D" w:rsidRDefault="00ED7DC3" w:rsidP="00ED7DC3">
            <w:pPr>
              <w:suppressAutoHyphens/>
              <w:snapToGrid w:val="0"/>
              <w:spacing w:after="98" w:line="252" w:lineRule="auto"/>
              <w:jc w:val="right"/>
              <w:rPr>
                <w:rFonts w:ascii="Times New Roman" w:eastAsia="Times New Roman" w:hAnsi="Times New Roman" w:cs="Times New Roman"/>
                <w:b/>
                <w:color w:val="000000"/>
                <w:lang w:eastAsia="ar-SA"/>
              </w:rPr>
            </w:pPr>
          </w:p>
          <w:p w14:paraId="4E97FAA4" w14:textId="6B868E8F"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96,1</w:t>
            </w:r>
            <w:r w:rsidR="00C1690C">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37775380"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(86,5; 99,5) </w:t>
            </w:r>
          </w:p>
        </w:tc>
        <w:tc>
          <w:tcPr>
            <w:tcW w:w="1592" w:type="dxa"/>
            <w:tcBorders>
              <w:top w:val="single" w:sz="4" w:space="0" w:color="000000"/>
            </w:tcBorders>
            <w:shd w:val="clear" w:color="auto" w:fill="auto"/>
            <w:vAlign w:val="center"/>
          </w:tcPr>
          <w:p w14:paraId="77CB1AE1" w14:textId="77777777" w:rsidR="00ED7DC3" w:rsidRPr="001D3C3D" w:rsidRDefault="00ED7DC3" w:rsidP="00ED7DC3">
            <w:pPr>
              <w:suppressAutoHyphens/>
              <w:snapToGrid w:val="0"/>
              <w:spacing w:after="0" w:line="252" w:lineRule="auto"/>
              <w:ind w:left="215"/>
              <w:rPr>
                <w:rFonts w:ascii="Times New Roman" w:eastAsia="Times New Roman" w:hAnsi="Times New Roman" w:cs="Times New Roman"/>
                <w:color w:val="000000"/>
                <w:lang w:eastAsia="ar-SA"/>
              </w:rPr>
            </w:pPr>
          </w:p>
          <w:p w14:paraId="45D33195" w14:textId="2417E356" w:rsidR="00ED7DC3" w:rsidRPr="001D3C3D" w:rsidRDefault="00ED7DC3" w:rsidP="00ED7DC3">
            <w:pPr>
              <w:suppressAutoHyphens/>
              <w:spacing w:after="0" w:line="252" w:lineRule="auto"/>
              <w:ind w:left="2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96,1</w:t>
            </w:r>
            <w:r w:rsidR="00C1690C">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(86,5; 99,5) </w:t>
            </w:r>
          </w:p>
        </w:tc>
      </w:tr>
      <w:tr w:rsidR="00ED7DC3" w:rsidRPr="001D3C3D" w14:paraId="140B6C94" w14:textId="77777777" w:rsidTr="0036275F">
        <w:trPr>
          <w:trHeight w:val="717"/>
        </w:trPr>
        <w:tc>
          <w:tcPr>
            <w:tcW w:w="2233" w:type="dxa"/>
            <w:shd w:val="clear" w:color="auto" w:fill="auto"/>
          </w:tcPr>
          <w:p w14:paraId="7E7778D0" w14:textId="77777777" w:rsidR="00ED7DC3" w:rsidRPr="001D3C3D" w:rsidRDefault="00ED7DC3" w:rsidP="00ED7DC3">
            <w:pPr>
              <w:suppressAutoHyphens/>
              <w:snapToGrid w:val="0"/>
              <w:spacing w:after="0" w:line="252" w:lineRule="auto"/>
              <w:ind w:left="115"/>
              <w:rPr>
                <w:rFonts w:ascii="Times New Roman" w:eastAsia="Times New Roman" w:hAnsi="Times New Roman" w:cs="Times New Roman"/>
                <w:color w:val="000000"/>
                <w:lang w:eastAsia="ar-SA"/>
              </w:rPr>
            </w:pPr>
          </w:p>
          <w:p w14:paraId="4862B3E1"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Anksčiau vartoję imatinibo </w:t>
            </w:r>
          </w:p>
          <w:p w14:paraId="0D9BA35F" w14:textId="17634E42" w:rsidR="00ED7DC3" w:rsidRPr="001D3C3D" w:rsidRDefault="00ED7DC3" w:rsidP="00ED7DC3">
            <w:pPr>
              <w:suppressAutoHyphens/>
              <w:spacing w:after="4"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46)</w:t>
            </w:r>
            <w:r w:rsidRPr="001D3C3D">
              <w:rPr>
                <w:rFonts w:ascii="Times New Roman" w:eastAsia="Times New Roman" w:hAnsi="Times New Roman" w:cs="Times New Roman"/>
                <w:color w:val="000000"/>
                <w:vertAlign w:val="superscript"/>
                <w:lang w:eastAsia="ar-SA"/>
              </w:rPr>
              <w:t>b</w:t>
            </w:r>
            <w:r w:rsidRPr="001D3C3D">
              <w:rPr>
                <w:rFonts w:ascii="Times New Roman" w:eastAsia="Times New Roman" w:hAnsi="Times New Roman" w:cs="Times New Roman"/>
                <w:color w:val="000000"/>
                <w:lang w:eastAsia="ar-SA"/>
              </w:rPr>
              <w:t xml:space="preserve"> </w:t>
            </w:r>
          </w:p>
          <w:p w14:paraId="26D724D1"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tc>
        <w:tc>
          <w:tcPr>
            <w:tcW w:w="1801" w:type="dxa"/>
            <w:shd w:val="clear" w:color="auto" w:fill="auto"/>
            <w:vAlign w:val="center"/>
          </w:tcPr>
          <w:p w14:paraId="26AC2D56" w14:textId="57BDF971"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45,7</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3653F3B1"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(30,9; 61,0) </w:t>
            </w:r>
          </w:p>
        </w:tc>
        <w:tc>
          <w:tcPr>
            <w:tcW w:w="1802" w:type="dxa"/>
            <w:shd w:val="clear" w:color="auto" w:fill="auto"/>
            <w:vAlign w:val="center"/>
          </w:tcPr>
          <w:p w14:paraId="4DB890A9" w14:textId="2E17381F"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71,7</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3C92888C"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(56,5; 84,0) </w:t>
            </w:r>
          </w:p>
        </w:tc>
        <w:tc>
          <w:tcPr>
            <w:tcW w:w="1595" w:type="dxa"/>
            <w:shd w:val="clear" w:color="auto" w:fill="auto"/>
            <w:vAlign w:val="center"/>
          </w:tcPr>
          <w:p w14:paraId="5C8D44F0" w14:textId="4BD0CF75"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78,3</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329AA279"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(63,6; 89,1) </w:t>
            </w:r>
          </w:p>
        </w:tc>
        <w:tc>
          <w:tcPr>
            <w:tcW w:w="1592" w:type="dxa"/>
            <w:shd w:val="clear" w:color="auto" w:fill="auto"/>
            <w:vAlign w:val="center"/>
          </w:tcPr>
          <w:p w14:paraId="7157DC63" w14:textId="24B39F4F" w:rsidR="00ED7DC3" w:rsidRPr="001D3C3D" w:rsidRDefault="00ED7DC3" w:rsidP="00ED7DC3">
            <w:pPr>
              <w:suppressAutoHyphens/>
              <w:spacing w:after="0" w:line="252" w:lineRule="auto"/>
              <w:ind w:left="24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82,6</w:t>
            </w:r>
            <w:r w:rsidR="00F2506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52AEB966" w14:textId="77777777" w:rsidR="00ED7DC3" w:rsidRPr="001D3C3D" w:rsidRDefault="00ED7DC3" w:rsidP="00ED7DC3">
            <w:pPr>
              <w:suppressAutoHyphens/>
              <w:spacing w:after="0" w:line="252" w:lineRule="auto"/>
              <w:ind w:left="2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(68,6; 92,2) </w:t>
            </w:r>
          </w:p>
        </w:tc>
      </w:tr>
      <w:tr w:rsidR="00ED7DC3" w:rsidRPr="001D3C3D" w14:paraId="7F59C038" w14:textId="77777777" w:rsidTr="0036275F">
        <w:trPr>
          <w:trHeight w:val="1187"/>
        </w:trPr>
        <w:tc>
          <w:tcPr>
            <w:tcW w:w="2233" w:type="dxa"/>
            <w:shd w:val="clear" w:color="auto" w:fill="auto"/>
            <w:vAlign w:val="center"/>
          </w:tcPr>
          <w:p w14:paraId="15511A2C" w14:textId="77777777" w:rsidR="00ED7DC3" w:rsidRPr="001D3C3D" w:rsidRDefault="00ED7DC3" w:rsidP="00ED7DC3">
            <w:pPr>
              <w:suppressAutoHyphens/>
              <w:spacing w:after="0" w:line="252"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 xml:space="preserve">MCyR  </w:t>
            </w:r>
          </w:p>
          <w:p w14:paraId="6365CA7F" w14:textId="19F37171"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(95</w:t>
            </w:r>
            <w:r w:rsidR="00445CD7">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 PI)</w:t>
            </w:r>
            <w:r w:rsidRPr="001D3C3D">
              <w:rPr>
                <w:rFonts w:ascii="Times New Roman" w:eastAsia="Times New Roman" w:hAnsi="Times New Roman" w:cs="Times New Roman"/>
                <w:color w:val="000000"/>
                <w:lang w:eastAsia="ar-SA"/>
              </w:rPr>
              <w:t xml:space="preserve"> </w:t>
            </w:r>
          </w:p>
          <w:p w14:paraId="53165309"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Nauja diagnozė </w:t>
            </w:r>
          </w:p>
          <w:p w14:paraId="1A7C6580" w14:textId="48899149"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51)</w:t>
            </w:r>
            <w:r w:rsidRPr="001D3C3D">
              <w:rPr>
                <w:rFonts w:ascii="Times New Roman" w:eastAsia="Times New Roman" w:hAnsi="Times New Roman" w:cs="Times New Roman"/>
                <w:color w:val="000000"/>
                <w:vertAlign w:val="superscript"/>
                <w:lang w:eastAsia="ar-SA"/>
              </w:rPr>
              <w:t>a</w:t>
            </w:r>
            <w:r w:rsidRPr="001D3C3D">
              <w:rPr>
                <w:rFonts w:ascii="Times New Roman" w:eastAsia="Times New Roman" w:hAnsi="Times New Roman" w:cs="Times New Roman"/>
                <w:color w:val="000000"/>
                <w:lang w:eastAsia="ar-SA"/>
              </w:rPr>
              <w:t xml:space="preserve"> </w:t>
            </w:r>
          </w:p>
        </w:tc>
        <w:tc>
          <w:tcPr>
            <w:tcW w:w="1801" w:type="dxa"/>
            <w:shd w:val="clear" w:color="auto" w:fill="auto"/>
            <w:vAlign w:val="bottom"/>
          </w:tcPr>
          <w:p w14:paraId="314EA230" w14:textId="77777777" w:rsidR="00ED7DC3" w:rsidRPr="001D3C3D" w:rsidRDefault="00ED7DC3" w:rsidP="00ED7DC3">
            <w:pPr>
              <w:suppressAutoHyphens/>
              <w:spacing w:after="100"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30B0D83E" w14:textId="6097879E"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60,8</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0B647CF9"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(46,1; 74.2) </w:t>
            </w:r>
          </w:p>
        </w:tc>
        <w:tc>
          <w:tcPr>
            <w:tcW w:w="1802" w:type="dxa"/>
            <w:shd w:val="clear" w:color="auto" w:fill="auto"/>
            <w:vAlign w:val="bottom"/>
          </w:tcPr>
          <w:p w14:paraId="291B03A5" w14:textId="77777777" w:rsidR="00ED7DC3" w:rsidRPr="001D3C3D" w:rsidRDefault="00ED7DC3" w:rsidP="00ED7DC3">
            <w:pPr>
              <w:suppressAutoHyphens/>
              <w:spacing w:after="100"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0C67AAB5" w14:textId="303A9A08"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90,2</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000CAC76"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(78,6; 96.7) </w:t>
            </w:r>
          </w:p>
        </w:tc>
        <w:tc>
          <w:tcPr>
            <w:tcW w:w="1595" w:type="dxa"/>
            <w:shd w:val="clear" w:color="auto" w:fill="auto"/>
            <w:vAlign w:val="bottom"/>
          </w:tcPr>
          <w:p w14:paraId="0140E205" w14:textId="77777777" w:rsidR="00ED7DC3" w:rsidRPr="001D3C3D" w:rsidRDefault="00ED7DC3" w:rsidP="00ED7DC3">
            <w:pPr>
              <w:suppressAutoHyphens/>
              <w:spacing w:after="100"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312B814E" w14:textId="5333F262"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98,0</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6D0C6A43" w14:textId="77777777" w:rsidR="00ED7DC3" w:rsidRPr="001D3C3D" w:rsidRDefault="00ED7DC3" w:rsidP="00ED7DC3">
            <w:pPr>
              <w:suppressAutoHyphens/>
              <w:spacing w:after="0" w:line="252" w:lineRule="auto"/>
              <w:ind w:left="2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(89,6; 100) </w:t>
            </w:r>
          </w:p>
        </w:tc>
        <w:tc>
          <w:tcPr>
            <w:tcW w:w="1592" w:type="dxa"/>
            <w:shd w:val="clear" w:color="auto" w:fill="auto"/>
            <w:vAlign w:val="bottom"/>
          </w:tcPr>
          <w:p w14:paraId="10558235" w14:textId="77777777" w:rsidR="00ED7DC3" w:rsidRPr="001D3C3D" w:rsidRDefault="00ED7DC3" w:rsidP="00ED7DC3">
            <w:pPr>
              <w:suppressAutoHyphens/>
              <w:spacing w:after="100" w:line="252" w:lineRule="auto"/>
              <w:ind w:left="508"/>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3B70D417" w14:textId="0AE66C67" w:rsidR="00ED7DC3" w:rsidRPr="001D3C3D" w:rsidRDefault="00ED7DC3" w:rsidP="00ED7DC3">
            <w:pPr>
              <w:suppressAutoHyphens/>
              <w:spacing w:after="0" w:line="252" w:lineRule="auto"/>
              <w:ind w:left="241"/>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98,0</w:t>
            </w:r>
            <w:r w:rsidR="00F2506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72854FF8" w14:textId="77777777" w:rsidR="00ED7DC3" w:rsidRPr="001D3C3D" w:rsidRDefault="00ED7DC3" w:rsidP="00ED7DC3">
            <w:pPr>
              <w:suppressAutoHyphens/>
              <w:spacing w:after="0" w:line="252" w:lineRule="auto"/>
              <w:ind w:left="5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(89,6; 100) </w:t>
            </w:r>
          </w:p>
        </w:tc>
      </w:tr>
      <w:tr w:rsidR="00ED7DC3" w:rsidRPr="001D3C3D" w14:paraId="398BF77D" w14:textId="77777777" w:rsidTr="0036275F">
        <w:trPr>
          <w:trHeight w:val="717"/>
        </w:trPr>
        <w:tc>
          <w:tcPr>
            <w:tcW w:w="2233" w:type="dxa"/>
            <w:shd w:val="clear" w:color="auto" w:fill="auto"/>
          </w:tcPr>
          <w:p w14:paraId="31303089"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20C2CBEB"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Anksčiau vartoję imatinibo </w:t>
            </w:r>
          </w:p>
          <w:p w14:paraId="6C15A92C" w14:textId="6073BBDF" w:rsidR="00ED7DC3" w:rsidRPr="001D3C3D" w:rsidRDefault="00ED7DC3" w:rsidP="00ED7DC3">
            <w:pPr>
              <w:suppressAutoHyphens/>
              <w:spacing w:after="4"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46)</w:t>
            </w:r>
            <w:r w:rsidRPr="001D3C3D">
              <w:rPr>
                <w:rFonts w:ascii="Times New Roman" w:eastAsia="Times New Roman" w:hAnsi="Times New Roman" w:cs="Times New Roman"/>
                <w:color w:val="000000"/>
                <w:vertAlign w:val="superscript"/>
                <w:lang w:eastAsia="ar-SA"/>
              </w:rPr>
              <w:t>b</w:t>
            </w:r>
            <w:r w:rsidRPr="001D3C3D">
              <w:rPr>
                <w:rFonts w:ascii="Times New Roman" w:eastAsia="Times New Roman" w:hAnsi="Times New Roman" w:cs="Times New Roman"/>
                <w:color w:val="000000"/>
                <w:lang w:eastAsia="ar-SA"/>
              </w:rPr>
              <w:t xml:space="preserve"> </w:t>
            </w:r>
          </w:p>
          <w:p w14:paraId="1607DCAC"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tc>
        <w:tc>
          <w:tcPr>
            <w:tcW w:w="1801" w:type="dxa"/>
            <w:shd w:val="clear" w:color="auto" w:fill="auto"/>
            <w:vAlign w:val="center"/>
          </w:tcPr>
          <w:p w14:paraId="46A96450" w14:textId="52FB51BF"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60,9</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6B7A22E2"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(45,4; 74.9) </w:t>
            </w:r>
          </w:p>
        </w:tc>
        <w:tc>
          <w:tcPr>
            <w:tcW w:w="1802" w:type="dxa"/>
            <w:shd w:val="clear" w:color="auto" w:fill="auto"/>
            <w:vAlign w:val="center"/>
          </w:tcPr>
          <w:p w14:paraId="47991F6D" w14:textId="77AC5E30"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82,6</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58578505"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(68,6; 92,2) </w:t>
            </w:r>
          </w:p>
        </w:tc>
        <w:tc>
          <w:tcPr>
            <w:tcW w:w="1595" w:type="dxa"/>
            <w:shd w:val="clear" w:color="auto" w:fill="auto"/>
            <w:vAlign w:val="center"/>
          </w:tcPr>
          <w:p w14:paraId="3096E44A" w14:textId="0E7BF045"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89,1</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27C0ABB3"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(76,4; 96.4) </w:t>
            </w:r>
          </w:p>
        </w:tc>
        <w:tc>
          <w:tcPr>
            <w:tcW w:w="1592" w:type="dxa"/>
            <w:shd w:val="clear" w:color="auto" w:fill="auto"/>
            <w:vAlign w:val="center"/>
          </w:tcPr>
          <w:p w14:paraId="2587AA13" w14:textId="43BD3F6A" w:rsidR="00ED7DC3" w:rsidRPr="001D3C3D" w:rsidRDefault="00ED7DC3" w:rsidP="00ED7DC3">
            <w:pPr>
              <w:suppressAutoHyphens/>
              <w:spacing w:after="0" w:line="252" w:lineRule="auto"/>
              <w:ind w:left="24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89,1</w:t>
            </w:r>
            <w:r w:rsidR="00F2506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60946FA5"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(76,4; 96.4) </w:t>
            </w:r>
          </w:p>
        </w:tc>
      </w:tr>
      <w:tr w:rsidR="00ED7DC3" w:rsidRPr="001D3C3D" w14:paraId="2CF149B2" w14:textId="77777777" w:rsidTr="0036275F">
        <w:trPr>
          <w:trHeight w:val="1188"/>
        </w:trPr>
        <w:tc>
          <w:tcPr>
            <w:tcW w:w="2233" w:type="dxa"/>
            <w:shd w:val="clear" w:color="auto" w:fill="auto"/>
            <w:vAlign w:val="center"/>
          </w:tcPr>
          <w:p w14:paraId="49A25B7D" w14:textId="77777777" w:rsidR="00ED7DC3" w:rsidRPr="001D3C3D" w:rsidRDefault="00ED7DC3" w:rsidP="00ED7DC3">
            <w:pPr>
              <w:suppressAutoHyphens/>
              <w:spacing w:after="0" w:line="252"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lastRenderedPageBreak/>
              <w:t xml:space="preserve">MMR  </w:t>
            </w:r>
          </w:p>
          <w:p w14:paraId="749CA585" w14:textId="4E368FC3"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(95</w:t>
            </w:r>
            <w:r w:rsidR="00445CD7">
              <w:rPr>
                <w:rFonts w:ascii="Times New Roman" w:eastAsia="Times New Roman" w:hAnsi="Times New Roman" w:cs="Times New Roman"/>
                <w:b/>
                <w:color w:val="000000"/>
                <w:lang w:eastAsia="ar-SA"/>
              </w:rPr>
              <w:t> </w:t>
            </w:r>
            <w:r w:rsidRPr="001D3C3D">
              <w:rPr>
                <w:rFonts w:ascii="Times New Roman" w:eastAsia="Times New Roman" w:hAnsi="Times New Roman" w:cs="Times New Roman"/>
                <w:b/>
                <w:color w:val="000000"/>
                <w:lang w:eastAsia="ar-SA"/>
              </w:rPr>
              <w:t>% PI)</w:t>
            </w:r>
            <w:r w:rsidRPr="001D3C3D">
              <w:rPr>
                <w:rFonts w:ascii="Times New Roman" w:eastAsia="Times New Roman" w:hAnsi="Times New Roman" w:cs="Times New Roman"/>
                <w:color w:val="000000"/>
                <w:lang w:eastAsia="ar-SA"/>
              </w:rPr>
              <w:t xml:space="preserve"> </w:t>
            </w:r>
          </w:p>
          <w:p w14:paraId="3886DAB9"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Nauja diagnozė</w:t>
            </w:r>
          </w:p>
          <w:p w14:paraId="2881CB57" w14:textId="198D557F"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51)</w:t>
            </w:r>
            <w:r w:rsidRPr="001D3C3D">
              <w:rPr>
                <w:rFonts w:ascii="Times New Roman" w:eastAsia="Times New Roman" w:hAnsi="Times New Roman" w:cs="Times New Roman"/>
                <w:color w:val="000000"/>
                <w:vertAlign w:val="superscript"/>
                <w:lang w:eastAsia="ar-SA"/>
              </w:rPr>
              <w:t>a</w:t>
            </w:r>
            <w:r w:rsidRPr="001D3C3D">
              <w:rPr>
                <w:rFonts w:ascii="Times New Roman" w:eastAsia="Times New Roman" w:hAnsi="Times New Roman" w:cs="Times New Roman"/>
                <w:color w:val="000000"/>
                <w:lang w:eastAsia="ar-SA"/>
              </w:rPr>
              <w:t xml:space="preserve"> </w:t>
            </w:r>
          </w:p>
        </w:tc>
        <w:tc>
          <w:tcPr>
            <w:tcW w:w="1801" w:type="dxa"/>
            <w:shd w:val="clear" w:color="auto" w:fill="auto"/>
            <w:vAlign w:val="center"/>
          </w:tcPr>
          <w:p w14:paraId="1662A42C" w14:textId="77777777" w:rsidR="00ED7DC3" w:rsidRPr="001D3C3D" w:rsidRDefault="00ED7DC3" w:rsidP="00ED7DC3">
            <w:pPr>
              <w:suppressAutoHyphens/>
              <w:spacing w:after="218"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6140DE1C" w14:textId="5E15B629" w:rsidR="00ED7DC3" w:rsidRPr="001D3C3D" w:rsidRDefault="00ED7DC3" w:rsidP="00ED7DC3">
            <w:pPr>
              <w:suppressAutoHyphens/>
              <w:spacing w:after="0" w:line="252" w:lineRule="auto"/>
              <w:ind w:left="268"/>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7,8</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1095C5DF" w14:textId="77777777" w:rsidR="00ED7DC3" w:rsidRPr="001D3C3D" w:rsidRDefault="00ED7DC3" w:rsidP="00ED7DC3">
            <w:pPr>
              <w:suppressAutoHyphens/>
              <w:spacing w:after="0" w:line="252" w:lineRule="auto"/>
              <w:ind w:left="52"/>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(2,2; 18,9) </w:t>
            </w:r>
          </w:p>
        </w:tc>
        <w:tc>
          <w:tcPr>
            <w:tcW w:w="1802" w:type="dxa"/>
            <w:shd w:val="clear" w:color="auto" w:fill="auto"/>
            <w:vAlign w:val="bottom"/>
          </w:tcPr>
          <w:p w14:paraId="5CD4AC7D" w14:textId="77777777" w:rsidR="00ED7DC3" w:rsidRPr="001D3C3D" w:rsidRDefault="00ED7DC3" w:rsidP="00ED7DC3">
            <w:pPr>
              <w:suppressAutoHyphens/>
              <w:spacing w:after="98"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65EA2541" w14:textId="01FA389C" w:rsidR="00ED7DC3" w:rsidRPr="001D3C3D" w:rsidRDefault="00ED7DC3" w:rsidP="00ED7DC3">
            <w:pPr>
              <w:suppressAutoHyphens/>
              <w:spacing w:after="0" w:line="252" w:lineRule="auto"/>
              <w:ind w:left="19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31,4</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62A41364"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(19,1; 45,9) </w:t>
            </w:r>
          </w:p>
        </w:tc>
        <w:tc>
          <w:tcPr>
            <w:tcW w:w="1595" w:type="dxa"/>
            <w:shd w:val="clear" w:color="auto" w:fill="auto"/>
            <w:vAlign w:val="bottom"/>
          </w:tcPr>
          <w:p w14:paraId="4B88C8EE" w14:textId="77777777" w:rsidR="00ED7DC3" w:rsidRPr="001D3C3D" w:rsidRDefault="00ED7DC3" w:rsidP="00ED7DC3">
            <w:pPr>
              <w:suppressAutoHyphens/>
              <w:spacing w:after="98" w:line="252" w:lineRule="auto"/>
              <w:ind w:left="48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599137FD" w14:textId="775A79DB" w:rsidR="00ED7DC3" w:rsidRPr="001D3C3D" w:rsidRDefault="00ED7DC3" w:rsidP="00ED7DC3">
            <w:pPr>
              <w:suppressAutoHyphens/>
              <w:spacing w:after="0" w:line="252" w:lineRule="auto"/>
              <w:ind w:left="190"/>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56,9</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331DC379" w14:textId="77777777" w:rsidR="00ED7DC3" w:rsidRPr="001D3C3D" w:rsidRDefault="00ED7DC3" w:rsidP="00ED7DC3">
            <w:pPr>
              <w:suppressAutoHyphens/>
              <w:spacing w:after="0" w:line="252"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(42,2; 70,7) </w:t>
            </w:r>
          </w:p>
        </w:tc>
        <w:tc>
          <w:tcPr>
            <w:tcW w:w="1592" w:type="dxa"/>
            <w:shd w:val="clear" w:color="auto" w:fill="auto"/>
            <w:vAlign w:val="bottom"/>
          </w:tcPr>
          <w:p w14:paraId="17E0B547" w14:textId="77777777" w:rsidR="00ED7DC3" w:rsidRPr="001D3C3D" w:rsidRDefault="00ED7DC3" w:rsidP="00ED7DC3">
            <w:pPr>
              <w:suppressAutoHyphens/>
              <w:spacing w:after="98" w:line="252" w:lineRule="auto"/>
              <w:ind w:left="508"/>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229720BD" w14:textId="6501C7CF" w:rsidR="00ED7DC3" w:rsidRPr="001D3C3D" w:rsidRDefault="00ED7DC3" w:rsidP="00ED7DC3">
            <w:pPr>
              <w:suppressAutoHyphens/>
              <w:spacing w:after="0" w:line="252" w:lineRule="auto"/>
              <w:ind w:left="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74,5</w:t>
            </w:r>
            <w:r w:rsidR="00F2506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w:t>
            </w:r>
          </w:p>
          <w:p w14:paraId="1ACFB221" w14:textId="77777777" w:rsidR="00ED7DC3" w:rsidRPr="001D3C3D" w:rsidRDefault="00ED7DC3" w:rsidP="00ED7DC3">
            <w:pPr>
              <w:suppressAutoHyphens/>
              <w:spacing w:after="0" w:line="252" w:lineRule="auto"/>
              <w:ind w:left="2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(60,4; 85,7) </w:t>
            </w:r>
          </w:p>
        </w:tc>
      </w:tr>
      <w:tr w:rsidR="00ED7DC3" w:rsidRPr="001D3C3D" w14:paraId="2061492D" w14:textId="77777777" w:rsidTr="0036275F">
        <w:trPr>
          <w:trHeight w:val="813"/>
        </w:trPr>
        <w:tc>
          <w:tcPr>
            <w:tcW w:w="2233" w:type="dxa"/>
            <w:tcBorders>
              <w:bottom w:val="single" w:sz="4" w:space="0" w:color="000000"/>
            </w:tcBorders>
            <w:shd w:val="clear" w:color="auto" w:fill="auto"/>
          </w:tcPr>
          <w:p w14:paraId="3FA503DC"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 </w:t>
            </w:r>
          </w:p>
          <w:p w14:paraId="3891F2BA"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Anksčiau vartoję imatinibo </w:t>
            </w:r>
          </w:p>
          <w:p w14:paraId="5219A150" w14:textId="19C0D5C0"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46)</w:t>
            </w:r>
            <w:r w:rsidRPr="001D3C3D">
              <w:rPr>
                <w:rFonts w:ascii="Times New Roman" w:eastAsia="Times New Roman" w:hAnsi="Times New Roman" w:cs="Times New Roman"/>
                <w:color w:val="000000"/>
                <w:vertAlign w:val="superscript"/>
                <w:lang w:eastAsia="ar-SA"/>
              </w:rPr>
              <w:t>b</w:t>
            </w:r>
            <w:r w:rsidRPr="001D3C3D">
              <w:rPr>
                <w:rFonts w:ascii="Times New Roman" w:eastAsia="Times New Roman" w:hAnsi="Times New Roman" w:cs="Times New Roman"/>
                <w:color w:val="000000"/>
                <w:lang w:eastAsia="ar-SA"/>
              </w:rPr>
              <w:t xml:space="preserve"> </w:t>
            </w:r>
          </w:p>
          <w:p w14:paraId="3C4E4870" w14:textId="77777777" w:rsidR="00ED7DC3" w:rsidRPr="001D3C3D" w:rsidRDefault="00ED7DC3" w:rsidP="00ED7DC3">
            <w:pPr>
              <w:suppressAutoHyphens/>
              <w:spacing w:after="0" w:line="252" w:lineRule="auto"/>
              <w:ind w:left="115"/>
              <w:rPr>
                <w:rFonts w:ascii="Times New Roman" w:eastAsia="Times New Roman" w:hAnsi="Times New Roman" w:cs="Times New Roman"/>
                <w:color w:val="000000"/>
                <w:lang w:eastAsia="ar-SA"/>
              </w:rPr>
            </w:pPr>
          </w:p>
        </w:tc>
        <w:tc>
          <w:tcPr>
            <w:tcW w:w="1801" w:type="dxa"/>
            <w:tcBorders>
              <w:bottom w:val="single" w:sz="4" w:space="0" w:color="000000"/>
            </w:tcBorders>
            <w:shd w:val="clear" w:color="auto" w:fill="auto"/>
            <w:vAlign w:val="center"/>
          </w:tcPr>
          <w:p w14:paraId="223DCA61" w14:textId="15D4D4AF" w:rsidR="00ED7DC3" w:rsidRPr="001D3C3D" w:rsidRDefault="00ED7DC3" w:rsidP="00ED7DC3">
            <w:pPr>
              <w:suppressAutoHyphens/>
              <w:spacing w:after="0" w:line="252" w:lineRule="auto"/>
              <w:ind w:left="52" w:right="329" w:firstLine="164"/>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15,2</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(6,3; 28.9) </w:t>
            </w:r>
          </w:p>
        </w:tc>
        <w:tc>
          <w:tcPr>
            <w:tcW w:w="1802" w:type="dxa"/>
            <w:tcBorders>
              <w:bottom w:val="single" w:sz="4" w:space="0" w:color="000000"/>
            </w:tcBorders>
            <w:shd w:val="clear" w:color="auto" w:fill="auto"/>
            <w:vAlign w:val="center"/>
          </w:tcPr>
          <w:p w14:paraId="3789AEF9" w14:textId="20EFFE51" w:rsidR="00ED7DC3" w:rsidRPr="001D3C3D" w:rsidRDefault="00ED7DC3" w:rsidP="00ED7DC3">
            <w:pPr>
              <w:suppressAutoHyphens/>
              <w:spacing w:after="0" w:line="252" w:lineRule="auto"/>
              <w:ind w:right="227" w:firstLine="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26,1</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(14,3; 41,1) </w:t>
            </w:r>
          </w:p>
        </w:tc>
        <w:tc>
          <w:tcPr>
            <w:tcW w:w="1595" w:type="dxa"/>
            <w:tcBorders>
              <w:bottom w:val="single" w:sz="4" w:space="0" w:color="000000"/>
            </w:tcBorders>
            <w:shd w:val="clear" w:color="auto" w:fill="auto"/>
            <w:vAlign w:val="center"/>
          </w:tcPr>
          <w:p w14:paraId="380A6817" w14:textId="31FC1A81" w:rsidR="00ED7DC3" w:rsidRPr="001D3C3D" w:rsidRDefault="00ED7DC3" w:rsidP="00ED7DC3">
            <w:pPr>
              <w:suppressAutoHyphens/>
              <w:spacing w:after="0" w:line="252" w:lineRule="auto"/>
              <w:ind w:right="202" w:firstLine="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39,1</w:t>
            </w:r>
            <w:r w:rsidR="00445CD7">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(25,1; 54,6) </w:t>
            </w:r>
          </w:p>
        </w:tc>
        <w:tc>
          <w:tcPr>
            <w:tcW w:w="1592" w:type="dxa"/>
            <w:tcBorders>
              <w:bottom w:val="single" w:sz="4" w:space="0" w:color="000000"/>
            </w:tcBorders>
            <w:shd w:val="clear" w:color="auto" w:fill="auto"/>
            <w:vAlign w:val="center"/>
          </w:tcPr>
          <w:p w14:paraId="024807D6" w14:textId="2F919FBB" w:rsidR="00ED7DC3" w:rsidRPr="001D3C3D" w:rsidRDefault="00ED7DC3" w:rsidP="00ED7DC3">
            <w:pPr>
              <w:suppressAutoHyphens/>
              <w:spacing w:after="0" w:line="252" w:lineRule="auto"/>
              <w:ind w:left="25" w:firstLine="216"/>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52,2</w:t>
            </w:r>
            <w:r w:rsidR="00F2506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  (36,9; 67,1) </w:t>
            </w:r>
          </w:p>
        </w:tc>
      </w:tr>
    </w:tbl>
    <w:p w14:paraId="4F41122D" w14:textId="77777777" w:rsidR="00ED7DC3" w:rsidRPr="00B92E23" w:rsidRDefault="00ED7DC3" w:rsidP="00ED7DC3">
      <w:pPr>
        <w:widowControl w:val="0"/>
        <w:tabs>
          <w:tab w:val="left" w:pos="567"/>
        </w:tabs>
        <w:suppressAutoHyphens/>
        <w:spacing w:after="0" w:line="240" w:lineRule="auto"/>
        <w:rPr>
          <w:rFonts w:ascii="Times New Roman" w:eastAsia="SimSun" w:hAnsi="Times New Roman" w:cs="Times New Roman"/>
          <w:iCs/>
          <w:color w:val="000000"/>
          <w:sz w:val="20"/>
          <w:szCs w:val="20"/>
          <w:vertAlign w:val="superscript"/>
          <w:lang w:eastAsia="ar-SA"/>
        </w:rPr>
      </w:pPr>
      <w:r w:rsidRPr="00B92E23">
        <w:rPr>
          <w:rFonts w:ascii="Times New Roman" w:eastAsia="SimSun" w:hAnsi="Times New Roman" w:cs="Times New Roman"/>
          <w:iCs/>
          <w:color w:val="000000"/>
          <w:sz w:val="20"/>
          <w:szCs w:val="20"/>
          <w:vertAlign w:val="superscript"/>
          <w:lang w:eastAsia="ar-SA"/>
        </w:rPr>
        <w:t xml:space="preserve">a </w:t>
      </w:r>
      <w:r w:rsidRPr="00B92E23">
        <w:rPr>
          <w:rFonts w:ascii="Times New Roman" w:eastAsia="SimSun" w:hAnsi="Times New Roman" w:cs="Times New Roman"/>
          <w:iCs/>
          <w:color w:val="000000"/>
          <w:sz w:val="20"/>
          <w:szCs w:val="20"/>
          <w:lang w:eastAsia="ar-SA"/>
        </w:rPr>
        <w:t xml:space="preserve">Naujai diagnozuota LML LF sirgę pacientai, kurie vartojo tablečių per burną II fazės pediatrinio tyrimo metu. </w:t>
      </w:r>
    </w:p>
    <w:p w14:paraId="0E631620" w14:textId="77777777" w:rsidR="00ED7DC3" w:rsidRPr="00B92E23" w:rsidRDefault="00ED7DC3" w:rsidP="00ED7DC3">
      <w:pPr>
        <w:widowControl w:val="0"/>
        <w:tabs>
          <w:tab w:val="left" w:pos="567"/>
        </w:tabs>
        <w:suppressAutoHyphens/>
        <w:spacing w:after="0" w:line="240" w:lineRule="auto"/>
        <w:rPr>
          <w:rFonts w:ascii="Times New Roman" w:eastAsia="SimSun" w:hAnsi="Times New Roman" w:cs="Times New Roman"/>
          <w:iCs/>
          <w:color w:val="000000"/>
          <w:sz w:val="20"/>
          <w:szCs w:val="20"/>
          <w:lang w:eastAsia="ar-SA"/>
        </w:rPr>
      </w:pPr>
      <w:r w:rsidRPr="00B92E23">
        <w:rPr>
          <w:rFonts w:ascii="Times New Roman" w:eastAsia="SimSun" w:hAnsi="Times New Roman" w:cs="Times New Roman"/>
          <w:iCs/>
          <w:color w:val="000000"/>
          <w:sz w:val="20"/>
          <w:szCs w:val="20"/>
          <w:vertAlign w:val="superscript"/>
          <w:lang w:eastAsia="ar-SA"/>
        </w:rPr>
        <w:t xml:space="preserve">b </w:t>
      </w:r>
      <w:r w:rsidRPr="00B92E23">
        <w:rPr>
          <w:rFonts w:ascii="Times New Roman" w:eastAsia="SimSun" w:hAnsi="Times New Roman" w:cs="Times New Roman"/>
          <w:iCs/>
          <w:color w:val="000000"/>
          <w:sz w:val="20"/>
          <w:szCs w:val="20"/>
          <w:lang w:eastAsia="ar-SA"/>
        </w:rPr>
        <w:t xml:space="preserve">Atsparumą imatinibui arba jo netoleravimą anksčiau patyrę LML LF sirgę pacientai, kurie vartojo tablečių per burną I fazės ir II fazės vaikų populiacijos tyrimų metu. </w:t>
      </w:r>
    </w:p>
    <w:p w14:paraId="0A5491E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96F3C2A" w14:textId="03893DA1"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 fazės tyrimo vaikų popliacijoje metu 17 LML LF sirgusių pacientų, anksčiau patyrusių atsparumą imatinibui arba jo netoleravimą, PFS mediana per bent 7 stebėjimo metus buvo 53,6</w:t>
      </w:r>
      <w:r w:rsidR="00F250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o OS dažnis – 82,4</w:t>
      </w:r>
      <w:r w:rsidR="00F250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w:t>
      </w:r>
    </w:p>
    <w:p w14:paraId="6B63F5E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4DD1579" w14:textId="1DFF590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II fazės tyrimo vaikų populiacijoje duomenimis, apskaičiuotas 24</w:t>
      </w:r>
      <w:r w:rsidR="00F250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PFS dažnis 51</w:t>
      </w:r>
      <w:r w:rsidR="00F250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pacientui, sirgusiam naujai diagnozuota LML LF ir vartojusiam tablečių per burną, buvo 94</w:t>
      </w:r>
      <w:r w:rsidR="00F25066">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(82,6</w:t>
      </w:r>
      <w:r w:rsidR="00F25066">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98,0), o 29 LML LF sirgusiems pacientams, anksčiau patyrusiems atsparumą imatinibui arba jo netoleravimą – 81,7</w:t>
      </w:r>
      <w:r w:rsidR="000F351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(61,4</w:t>
      </w:r>
      <w:r w:rsidR="000F351C">
        <w:rPr>
          <w:rFonts w:ascii="Times New Roman" w:eastAsia="SimSun" w:hAnsi="Times New Roman" w:cs="Times New Roman"/>
          <w:iCs/>
          <w:color w:val="000000"/>
          <w:lang w:eastAsia="ar-SA"/>
        </w:rPr>
        <w:noBreakHyphen/>
      </w:r>
      <w:r w:rsidRPr="001D3C3D">
        <w:rPr>
          <w:rFonts w:ascii="Times New Roman" w:eastAsia="SimSun" w:hAnsi="Times New Roman" w:cs="Times New Roman"/>
          <w:iCs/>
          <w:color w:val="000000"/>
          <w:lang w:eastAsia="ar-SA"/>
        </w:rPr>
        <w:t>92,0). Po 24</w:t>
      </w:r>
      <w:r w:rsidR="000F351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stebėjimo mėnesių naujai diagnozuota liga sirgusių pacientų OS buvo 100</w:t>
      </w:r>
      <w:r w:rsidR="000F351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o anksčiau patyrusių atsparumą imatinibui arba jo netoleravimą – 96,6</w:t>
      </w:r>
      <w:r w:rsidR="000F351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II fazės tyrimo vaikų populiacijoje metu vieno paciento, sirgusio naujai diagnozuota liga, ir dviejų pacientų, anksčiau patyrusių atsparumą imatinibui arba jo netoleravimą, liga progresavo į LML blastų fazę. </w:t>
      </w:r>
    </w:p>
    <w:p w14:paraId="608DC7A7"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3A3145E2" w14:textId="0CD0BE05"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33 naujai diagnozuota LML LF sirgę vaikų populiacijos pacientai vartojo 72</w:t>
      </w:r>
      <w:r w:rsidR="000F351C">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mg/m</w:t>
      </w:r>
      <w:r w:rsidRPr="001D3C3D">
        <w:rPr>
          <w:rFonts w:ascii="Times New Roman" w:eastAsia="SimSun" w:hAnsi="Times New Roman" w:cs="Times New Roman"/>
          <w:iCs/>
          <w:color w:val="000000"/>
          <w:vertAlign w:val="superscript"/>
          <w:lang w:eastAsia="ar-SA"/>
        </w:rPr>
        <w:t>2</w:t>
      </w:r>
      <w:r w:rsidRPr="001D3C3D">
        <w:rPr>
          <w:rFonts w:ascii="Times New Roman" w:eastAsia="SimSun" w:hAnsi="Times New Roman" w:cs="Times New Roman"/>
          <w:iCs/>
          <w:color w:val="000000"/>
          <w:lang w:eastAsia="ar-SA"/>
        </w:rPr>
        <w:t xml:space="preserve"> dazanitibo miltelių geriamajai suspensijai dozę. Jų ekspozicija buvo 30</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mažesnė negu vartojant rekomenduojamą dozę. Šiems pacientams po 12</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mėnesių CCyR buvo 87,9</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PI – nuo 71,8 iki 96,6), o MMR – 45,5</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(95</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PI – nuo 28,1 iki 63,6). </w:t>
      </w:r>
    </w:p>
    <w:p w14:paraId="0F52BE6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45E4974"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 xml:space="preserve">LML LF sirgusiems vaikų populiacijos pacientams, kurie vartojo dazatinibą po imatinibo, gydymo pabaigoje aptikta T315A, E255K ir F317L mutacijų, bet E255K ir F317L mutacijų buvo ir prieš pradedant gydyti. Naujai diagnozuota LML LF sirgusiems pacientams gydymo pabaigoje mutacijų neaptikta. </w:t>
      </w:r>
    </w:p>
    <w:p w14:paraId="6034EC8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696243B7"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
          <w:iCs/>
          <w:color w:val="000000"/>
          <w:lang w:eastAsia="ar-SA"/>
        </w:rPr>
        <w:t xml:space="preserve">ŪLL sergantys vaikų populiacijos pacientai </w:t>
      </w:r>
    </w:p>
    <w:p w14:paraId="79CCB36C" w14:textId="5E6B6A92"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Dazanitibo derinio su chemoterapija veiksmingumas vyresniems kaip 1</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metų vaikų populiacijos pacientams, sergantiems naujai diagnozuota Ph+ ŪLL, tirtas pagrindinio pediatrinio tyrimo metu. </w:t>
      </w:r>
    </w:p>
    <w:p w14:paraId="3D0C1E4F"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14F3A215" w14:textId="16B6AA7D"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r w:rsidRPr="001D3C3D">
        <w:rPr>
          <w:rFonts w:ascii="Times New Roman" w:eastAsia="SimSun" w:hAnsi="Times New Roman" w:cs="Times New Roman"/>
          <w:iCs/>
          <w:color w:val="000000"/>
          <w:lang w:eastAsia="ar-SA"/>
        </w:rPr>
        <w:t>Daugelio centrų, ankstesniais duomenimis kontroliuoto, II fazės tyrimo metu 106 vaikų populiacijos pacientai, sirgę naujai diagnozuota Ph+ ŪLL (iš jų 104 Ph+ ŪLL buvo patvirtinta), iki 24</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mėn. nepertraukiamai kasdien vartojo 60</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mg/m</w:t>
      </w:r>
      <w:r w:rsidRPr="001D3C3D">
        <w:rPr>
          <w:rFonts w:ascii="Times New Roman" w:eastAsia="SimSun" w:hAnsi="Times New Roman" w:cs="Times New Roman"/>
          <w:iCs/>
          <w:color w:val="000000"/>
          <w:vertAlign w:val="superscript"/>
          <w:lang w:eastAsia="ar-SA"/>
        </w:rPr>
        <w:t>2</w:t>
      </w:r>
      <w:r w:rsidRPr="001D3C3D">
        <w:rPr>
          <w:rFonts w:ascii="Times New Roman" w:eastAsia="SimSun" w:hAnsi="Times New Roman" w:cs="Times New Roman"/>
          <w:iCs/>
          <w:color w:val="000000"/>
          <w:lang w:eastAsia="ar-SA"/>
        </w:rPr>
        <w:t xml:space="preserve"> dazatinibo dozę derinyje su taikoma chemoterapija. 82</w:t>
      </w:r>
      <w:r w:rsidR="009F04E8">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pacientai gėrė vien dazatinibo tablečių, o 24 pavartojo bent vieną dazatinibo miltelių geriamajai suspensijai dozę (8 iš jų vartojo tik miltelius geriamajai suspensijai). Bazinės chemoterapijos schema buvo tokia kaip AIEOP-BFM ALL 2000 tyrimo metu (taikytas standartinis sudėtinės chemoterapijos protokolas). Pirminė veiksmingumo vertinamoji baigtis buvo 3</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metų išgyvenimas be nustatytų įvykių (angl. 3-year event-free survival, EFS), kuris buvo 65,5</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(55,5, 73,7). </w:t>
      </w:r>
    </w:p>
    <w:p w14:paraId="619DA9E3"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iCs/>
          <w:color w:val="000000"/>
          <w:lang w:eastAsia="ar-SA"/>
        </w:rPr>
      </w:pPr>
    </w:p>
    <w:p w14:paraId="788B5462" w14:textId="055CD7B3"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Cs/>
          <w:color w:val="000000"/>
          <w:lang w:eastAsia="ar-SA"/>
        </w:rPr>
        <w:t>Ištyrus Ig/TCR persitvarkymą, minimalios liekamosios ligos (angl. minimal residual disease, MRD) konsoliduojamosios chemoterapijos pabaigoje nerasta 71,7</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visų pacientų. Paėmus 85</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pacientus, kurių Ig/TCR duomenis buvo galima įvertinti, jos nerasta 89,4</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Tėkmės citometrijos būdu indukcijos ir konsoliduojamosios chemoterapijos pabaigoje MRD nerasta atitinkamai 66,0</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ir 84,0</w:t>
      </w:r>
      <w:r w:rsidR="004B5D89">
        <w:rPr>
          <w:rFonts w:ascii="Times New Roman" w:eastAsia="SimSun" w:hAnsi="Times New Roman" w:cs="Times New Roman"/>
          <w:iCs/>
          <w:color w:val="000000"/>
          <w:lang w:eastAsia="ar-SA"/>
        </w:rPr>
        <w:t> </w:t>
      </w:r>
      <w:r w:rsidRPr="001D3C3D">
        <w:rPr>
          <w:rFonts w:ascii="Times New Roman" w:eastAsia="SimSun" w:hAnsi="Times New Roman" w:cs="Times New Roman"/>
          <w:iCs/>
          <w:color w:val="000000"/>
          <w:lang w:eastAsia="ar-SA"/>
        </w:rPr>
        <w:t xml:space="preserve">% pacientų. </w:t>
      </w:r>
    </w:p>
    <w:p w14:paraId="14313B8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FC54A56"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5.2</w:t>
      </w:r>
      <w:r w:rsidRPr="001D3C3D">
        <w:rPr>
          <w:rFonts w:ascii="Times New Roman" w:eastAsia="SimSun" w:hAnsi="Times New Roman" w:cs="Times New Roman"/>
          <w:b/>
          <w:color w:val="000000"/>
          <w:lang w:eastAsia="ar-SA"/>
        </w:rPr>
        <w:tab/>
        <w:t>Farmakokinetinės savybės</w:t>
      </w:r>
    </w:p>
    <w:p w14:paraId="0EC1AA1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6A7474A" w14:textId="437877F2"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lang w:eastAsia="ar-SA"/>
        </w:rPr>
        <w:lastRenderedPageBreak/>
        <w:t xml:space="preserve">Dazatinibo farmakokinetika buvo įvertinta 229 suaugusiems </w:t>
      </w:r>
      <w:r w:rsidR="00461D69">
        <w:rPr>
          <w:rFonts w:ascii="Times New Roman" w:eastAsia="SimSun" w:hAnsi="Times New Roman" w:cs="Times New Roman"/>
          <w:color w:val="000000"/>
          <w:lang w:eastAsia="ar-SA"/>
        </w:rPr>
        <w:t xml:space="preserve">sveikiems </w:t>
      </w:r>
      <w:r w:rsidRPr="001D3C3D">
        <w:rPr>
          <w:rFonts w:ascii="Times New Roman" w:eastAsia="SimSun" w:hAnsi="Times New Roman" w:cs="Times New Roman"/>
          <w:color w:val="000000"/>
          <w:lang w:eastAsia="ar-SA"/>
        </w:rPr>
        <w:t>asmenims ir 84 pacientams.</w:t>
      </w:r>
    </w:p>
    <w:p w14:paraId="4A66C34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u w:val="single"/>
          <w:lang w:eastAsia="ar-SA"/>
        </w:rPr>
      </w:pPr>
    </w:p>
    <w:p w14:paraId="635ECCD1"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Absorbcija</w:t>
      </w:r>
    </w:p>
    <w:p w14:paraId="46E44D16" w14:textId="0DA1E78C"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Paciento išgertas dazatinibas greitas absorbuojamas, didžiausia koncentracija atsiranda po 0,5</w:t>
      </w:r>
      <w:r w:rsidR="004B5D89">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3</w:t>
      </w:r>
      <w:r w:rsidR="004B5D8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25</w:t>
      </w:r>
      <w:r w:rsidR="004B5D89">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120</w:t>
      </w:r>
      <w:r w:rsidR="004B5D8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dozių, vartojamų 2</w:t>
      </w:r>
      <w:r w:rsidR="004B5D89">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kartus per parą, diapazone vidutinės ekspozicijos (AUC) padidėjimas būna maždaug proporcingas dozės padidinimui. Dazatinibo bendras vidutinis galutinis pusinio gyvavimo laikas pacientų organizme yra maždaug 5</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6</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w:t>
      </w:r>
    </w:p>
    <w:p w14:paraId="3F6E12B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16A00D3" w14:textId="06B139B2" w:rsidR="0036275F" w:rsidRPr="001D3C3D" w:rsidRDefault="00ED7DC3" w:rsidP="0036275F">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Tiriant sveikus asmenis, išgėrusius vieną 100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dozę 30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min. po riebaus valgio, nustatytas dazatinibo vidutinio AUC padidėjimas 14</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Išgėrus dazatinibo 30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min. po lieso valgio, vidutinis dazatinibo AUC buvo didesnis 21</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Šis maisto poveikis kliniškai reikšmingos įtakos vaistinio preparato ekspozicijai nedaro.</w:t>
      </w:r>
      <w:r w:rsidR="00F300DA">
        <w:rPr>
          <w:rFonts w:ascii="Times New Roman" w:eastAsia="SimSun" w:hAnsi="Times New Roman" w:cs="Times New Roman"/>
          <w:color w:val="000000"/>
          <w:lang w:eastAsia="ar-SA"/>
        </w:rPr>
        <w:t xml:space="preserve"> </w:t>
      </w:r>
      <w:r w:rsidR="0036275F" w:rsidRPr="001D3C3D">
        <w:rPr>
          <w:rFonts w:ascii="Times New Roman" w:eastAsia="SimSun" w:hAnsi="Times New Roman" w:cs="Times New Roman"/>
          <w:color w:val="000000"/>
          <w:lang w:eastAsia="ar-SA"/>
        </w:rPr>
        <w:t>Dazatinibo ekspozicijos kintamumas yra didesnis nevalgius (variacijos ko</w:t>
      </w:r>
      <w:r w:rsidR="00082FB9" w:rsidRPr="001D3C3D">
        <w:rPr>
          <w:rFonts w:ascii="Times New Roman" w:eastAsia="SimSun" w:hAnsi="Times New Roman" w:cs="Times New Roman"/>
          <w:color w:val="000000"/>
          <w:lang w:eastAsia="ar-SA"/>
        </w:rPr>
        <w:t>e</w:t>
      </w:r>
      <w:r w:rsidR="0036275F" w:rsidRPr="001D3C3D">
        <w:rPr>
          <w:rFonts w:ascii="Times New Roman" w:eastAsia="SimSun" w:hAnsi="Times New Roman" w:cs="Times New Roman"/>
          <w:color w:val="000000"/>
          <w:lang w:eastAsia="ar-SA"/>
        </w:rPr>
        <w:t>ficientas – 47</w:t>
      </w:r>
      <w:r w:rsidR="007246D6">
        <w:rPr>
          <w:rFonts w:ascii="Times New Roman" w:eastAsia="SimSun" w:hAnsi="Times New Roman" w:cs="Times New Roman"/>
          <w:color w:val="000000"/>
          <w:lang w:eastAsia="ar-SA"/>
        </w:rPr>
        <w:t> </w:t>
      </w:r>
      <w:r w:rsidR="0036275F" w:rsidRPr="001D3C3D">
        <w:rPr>
          <w:rFonts w:ascii="Times New Roman" w:eastAsia="SimSun" w:hAnsi="Times New Roman" w:cs="Times New Roman"/>
          <w:color w:val="000000"/>
          <w:lang w:eastAsia="ar-SA"/>
        </w:rPr>
        <w:t>%) nei pavalgius maisto, kuriame mažai riebalų (variacijos ko</w:t>
      </w:r>
      <w:r w:rsidR="00082FB9" w:rsidRPr="001D3C3D">
        <w:rPr>
          <w:rFonts w:ascii="Times New Roman" w:eastAsia="SimSun" w:hAnsi="Times New Roman" w:cs="Times New Roman"/>
          <w:color w:val="000000"/>
          <w:lang w:eastAsia="ar-SA"/>
        </w:rPr>
        <w:t>e</w:t>
      </w:r>
      <w:r w:rsidR="0036275F" w:rsidRPr="001D3C3D">
        <w:rPr>
          <w:rFonts w:ascii="Times New Roman" w:eastAsia="SimSun" w:hAnsi="Times New Roman" w:cs="Times New Roman"/>
          <w:color w:val="000000"/>
          <w:lang w:eastAsia="ar-SA"/>
        </w:rPr>
        <w:t>ficientas – 39</w:t>
      </w:r>
      <w:r w:rsidR="007246D6">
        <w:rPr>
          <w:rFonts w:ascii="Times New Roman" w:eastAsia="SimSun" w:hAnsi="Times New Roman" w:cs="Times New Roman"/>
          <w:color w:val="000000"/>
          <w:lang w:eastAsia="ar-SA"/>
        </w:rPr>
        <w:t> </w:t>
      </w:r>
      <w:r w:rsidR="0036275F" w:rsidRPr="001D3C3D">
        <w:rPr>
          <w:rFonts w:ascii="Times New Roman" w:eastAsia="SimSun" w:hAnsi="Times New Roman" w:cs="Times New Roman"/>
          <w:color w:val="000000"/>
          <w:lang w:eastAsia="ar-SA"/>
        </w:rPr>
        <w:t>%) ir riebaus maisto (variacijos koficientas – 32</w:t>
      </w:r>
      <w:r w:rsidR="007246D6">
        <w:rPr>
          <w:rFonts w:ascii="Times New Roman" w:eastAsia="SimSun" w:hAnsi="Times New Roman" w:cs="Times New Roman"/>
          <w:color w:val="000000"/>
          <w:lang w:eastAsia="ar-SA"/>
        </w:rPr>
        <w:t> </w:t>
      </w:r>
      <w:r w:rsidR="0036275F" w:rsidRPr="001D3C3D">
        <w:rPr>
          <w:rFonts w:ascii="Times New Roman" w:eastAsia="SimSun" w:hAnsi="Times New Roman" w:cs="Times New Roman"/>
          <w:color w:val="000000"/>
          <w:lang w:eastAsia="ar-SA"/>
        </w:rPr>
        <w:t>%).</w:t>
      </w:r>
    </w:p>
    <w:p w14:paraId="6AAE7CFC" w14:textId="4CDECB70" w:rsidR="0036275F" w:rsidRPr="001D3C3D" w:rsidRDefault="0036275F" w:rsidP="0036275F">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Remiantis pacientų populiacijos farmakokinetikos analize, buvo įvertinta, kad dazatinibo ekspozicijos kintamumas daugiausia yra dėl bioįsisavinamumo tarp atvejų kintamumo (variacijos ko</w:t>
      </w:r>
      <w:r w:rsidR="00082FB9" w:rsidRPr="001D3C3D">
        <w:rPr>
          <w:rFonts w:ascii="Times New Roman" w:eastAsia="SimSun" w:hAnsi="Times New Roman" w:cs="Times New Roman"/>
          <w:color w:val="000000"/>
          <w:lang w:eastAsia="ar-SA"/>
        </w:rPr>
        <w:t>e</w:t>
      </w:r>
      <w:r w:rsidRPr="001D3C3D">
        <w:rPr>
          <w:rFonts w:ascii="Times New Roman" w:eastAsia="SimSun" w:hAnsi="Times New Roman" w:cs="Times New Roman"/>
          <w:color w:val="000000"/>
          <w:lang w:eastAsia="ar-SA"/>
        </w:rPr>
        <w:t>ficientas 44</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mažiau, dėl bioįsisavinamumo kintamumo tarp atskirų individų, bei klirenso kintamumo tarp atskirų individų (variacijos ko</w:t>
      </w:r>
      <w:r w:rsidR="00082FB9" w:rsidRPr="001D3C3D">
        <w:rPr>
          <w:rFonts w:ascii="Times New Roman" w:eastAsia="SimSun" w:hAnsi="Times New Roman" w:cs="Times New Roman"/>
          <w:color w:val="000000"/>
          <w:lang w:eastAsia="ar-SA"/>
        </w:rPr>
        <w:t>e</w:t>
      </w:r>
      <w:r w:rsidRPr="001D3C3D">
        <w:rPr>
          <w:rFonts w:ascii="Times New Roman" w:eastAsia="SimSun" w:hAnsi="Times New Roman" w:cs="Times New Roman"/>
          <w:color w:val="000000"/>
          <w:lang w:eastAsia="ar-SA"/>
        </w:rPr>
        <w:t>ficientai – atitinkamai yra 30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32</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Nėra tikėtina, kad atsitiktinis ekspozicijos kintamumas atvejo metu daro poveikį kylančiai ekspozicijai, bei veiksmingumui ar saugumui.</w:t>
      </w:r>
    </w:p>
    <w:p w14:paraId="42FDC3B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C48FF3F"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Pasiskirstymas</w:t>
      </w:r>
    </w:p>
    <w:p w14:paraId="3774D23A" w14:textId="2EE1A1B1"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Pacientų organizme didelis dazatinibo tariamasis pasiskirstymo tūris (2</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505</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litrai, variacijos koeficientas – 93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rodo, kad šis vaistinis preparatas ekstensyviai pasiskirsto už kraujagyslių ribų.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tyrimų duomenimis, esant kliniškai reikšmingoms dazatinibo koncentracijoms, maždaug 96</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minėtos veikliosios medžiagos būna prisijungusios prie kraujo plazmos baltymų.</w:t>
      </w:r>
    </w:p>
    <w:p w14:paraId="17B1D9B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CF9B80B"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Biotransformacija</w:t>
      </w:r>
    </w:p>
    <w:p w14:paraId="331635D2" w14:textId="527961B0"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Žmogaus organizme dazatinibas ekstensyviai metabolizuojamas. Formuojant metabolitus dalyvauja daug fermentų. Sveikam žmogui išgėrus 100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w:t>
      </w:r>
      <w:r w:rsidRPr="001D3C3D">
        <w:rPr>
          <w:rFonts w:ascii="Times New Roman" w:eastAsia="SimSun" w:hAnsi="Times New Roman" w:cs="Times New Roman"/>
          <w:color w:val="000000"/>
          <w:vertAlign w:val="superscript"/>
          <w:lang w:eastAsia="ar-SA"/>
        </w:rPr>
        <w:t>14</w:t>
      </w:r>
      <w:r w:rsidRPr="001D3C3D">
        <w:rPr>
          <w:rFonts w:ascii="Times New Roman" w:eastAsia="SimSun" w:hAnsi="Times New Roman" w:cs="Times New Roman"/>
          <w:color w:val="000000"/>
          <w:lang w:eastAsia="ar-SA"/>
        </w:rPr>
        <w:t>C] žymėtojo dazatinibo, nepakitusį dazatinibą atitinka 29</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kraujo plazmoje cirkuliuojančio radioaktyvumo. Sprendžiant pagal koncentraciją kraujo plazmoje ir aktyvumą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dazatinibo metabolitai vargu ar yra svarbūs šio vaistinio preparato farmakologiniam poveikiui. Pagrindinis dazatinibo metabolizmo fermentas yra CYP3A4.</w:t>
      </w:r>
    </w:p>
    <w:p w14:paraId="761B792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702B78A"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Eliminacija</w:t>
      </w:r>
    </w:p>
    <w:p w14:paraId="5E47E6CC" w14:textId="35BD33BD"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Vidutinis terminalinis dazatinibo pusinės eliminacijos laikas yra 3</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5</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vidutinis tariamasis per burną pavartoto dazatinibo klirensas – 363,8</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l/val. (variacijos koeficientas – 81,3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 </w:t>
      </w:r>
    </w:p>
    <w:p w14:paraId="076E0CC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70D0639" w14:textId="17016416"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Daugiausia vaistinio preparato pašalinama su išmatomis, didžioji dalis – metabolitų pavidalu. Išgėrus vieną [</w:t>
      </w:r>
      <w:r w:rsidRPr="001D3C3D">
        <w:rPr>
          <w:rFonts w:ascii="Times New Roman" w:eastAsia="SimSun" w:hAnsi="Times New Roman" w:cs="Times New Roman"/>
          <w:color w:val="000000"/>
          <w:vertAlign w:val="superscript"/>
          <w:lang w:eastAsia="ar-SA"/>
        </w:rPr>
        <w:t>14</w:t>
      </w:r>
      <w:r w:rsidRPr="001D3C3D">
        <w:rPr>
          <w:rFonts w:ascii="Times New Roman" w:eastAsia="SimSun" w:hAnsi="Times New Roman" w:cs="Times New Roman"/>
          <w:color w:val="000000"/>
          <w:lang w:eastAsia="ar-SA"/>
        </w:rPr>
        <w:t>C] žymėto dazatinibo dozę, maždaug 89</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radioaktyvumo buvo pašalinta per 10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parų</w:t>
      </w:r>
      <w:r w:rsidR="007246D6">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lang w:eastAsia="ar-SA"/>
        </w:rPr>
        <w:t>(šlapime aptikta 4</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išmatose –- 85</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radioaktyvumo). Nepakitusia forma dazatinibo šlapime nustatyta 0,1</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išmatose – 19</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dozės. Likusi vaistinio preparato dozės dalis buvo pašalinta metabolitų pavidalu.</w:t>
      </w:r>
    </w:p>
    <w:p w14:paraId="09B4983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0414CB3"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t>Sutrikusi kepenų ir inkstų funkcija</w:t>
      </w:r>
    </w:p>
    <w:p w14:paraId="1428687D" w14:textId="7C80B104"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Kepenų funkcijos sutrikimo įtaka vienkartinės dazatinibo dozės farmakokinetikai įvertinta 8 vidutinio laipsnio kepenų funkcijos sutrikimu sergantiems asmenims skiriant 50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dozę ir 5 sunkaus laipsnio kepenų funkcijos sutrikimu sergantiems asmenims skiriant 20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dozę (lyginant su atitinkama sveikų asmenų, vartojusių 70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dazatinibo dozę, grupe). Vidutinio laipsnio kepenų funkcijos sutrikimu sergančių asmenų dazatinibo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ir AUC vidurkiai, koreguoti pagal 70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dozę, buvo atitinkamai 47</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8</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mažesni negu asmenų, kurių kepenų funkcija normali. Sunkiu kepenų funkcijos sutrikimu sergančių asmenų dazatinibo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ir AUC vidurkiai, koreguoti pagal 70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dozę, buvo atitinkamai 43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ir 28</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mažesni negu asmenų, kurių kepenų funkcija normali (žr.</w:t>
      </w:r>
      <w:r w:rsidR="003101F0">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 ir 4.4</w:t>
      </w:r>
      <w:r w:rsidR="003101F0">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skyrius).</w:t>
      </w:r>
    </w:p>
    <w:p w14:paraId="6D3D47D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2F916E8"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Per inkstus šalinamas minimalus dazatinibo ir jo metabolitų kiekis.</w:t>
      </w:r>
    </w:p>
    <w:p w14:paraId="08F0B76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5B873DD"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u w:val="single"/>
          <w:lang w:eastAsia="ar-SA"/>
        </w:rPr>
        <w:lastRenderedPageBreak/>
        <w:t>Vaikų populiacija</w:t>
      </w:r>
    </w:p>
    <w:p w14:paraId="6041946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Dazatinibo farmakokinetika vertinta 104 vaikų populiacijos pacientams, sergantiems leukemija arba solidiniais navikais, organizme (72 vartojo tablečių ir 32 – miltelių geriamajai suspensijai). </w:t>
      </w:r>
    </w:p>
    <w:p w14:paraId="4EE78A0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3A6775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Farmakokinetikos vaikų populiacijos pacientų organizme tyrimo metu 21 LF LML ir 16 Ph+ ŪLL sirgusių pacientų nustatyta panaši pagal dozę normalizuota dazatinibo ekspozicija (C</w:t>
      </w:r>
      <w:r w:rsidRPr="001D3C3D">
        <w:rPr>
          <w:rFonts w:ascii="Times New Roman" w:eastAsia="SimSun" w:hAnsi="Times New Roman" w:cs="Times New Roman"/>
          <w:color w:val="000000"/>
          <w:vertAlign w:val="subscript"/>
          <w:lang w:eastAsia="ar-SA"/>
        </w:rPr>
        <w:t>vid.</w:t>
      </w:r>
      <w:r w:rsidRPr="001D3C3D">
        <w:rPr>
          <w:rFonts w:ascii="Times New Roman" w:eastAsia="SimSun" w:hAnsi="Times New Roman" w:cs="Times New Roman"/>
          <w:color w:val="000000"/>
          <w:lang w:eastAsia="ar-SA"/>
        </w:rPr>
        <w:t>, C</w:t>
      </w:r>
      <w:r w:rsidRPr="001D3C3D">
        <w:rPr>
          <w:rFonts w:ascii="Times New Roman" w:eastAsia="SimSun" w:hAnsi="Times New Roman" w:cs="Times New Roman"/>
          <w:color w:val="000000"/>
          <w:vertAlign w:val="subscript"/>
          <w:lang w:eastAsia="ar-SA"/>
        </w:rPr>
        <w:t>min</w:t>
      </w:r>
      <w:r w:rsidRPr="001D3C3D">
        <w:rPr>
          <w:rFonts w:ascii="Times New Roman" w:eastAsia="SimSun" w:hAnsi="Times New Roman" w:cs="Times New Roman"/>
          <w:color w:val="000000"/>
          <w:lang w:eastAsia="ar-SA"/>
        </w:rPr>
        <w:t xml:space="preserve"> ir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w:t>
      </w:r>
    </w:p>
    <w:p w14:paraId="443C63A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BC7AF7E" w14:textId="08C3F7D9"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Dazatinibo tablečių farmakokinetika vertinta 72 vaikų, sergančių atsinaujinusia arba atsparia leukemija arba solidiniais navikais, organizme. Jie vartojo 60</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120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mg/m</w:t>
      </w:r>
      <w:r w:rsidRPr="001D3C3D">
        <w:rPr>
          <w:rFonts w:ascii="Times New Roman" w:eastAsia="SimSun" w:hAnsi="Times New Roman" w:cs="Times New Roman"/>
          <w:color w:val="000000"/>
          <w:vertAlign w:val="superscript"/>
          <w:lang w:eastAsia="ar-SA"/>
        </w:rPr>
        <w:t>2</w:t>
      </w:r>
      <w:r w:rsidRPr="001D3C3D">
        <w:rPr>
          <w:rFonts w:ascii="Times New Roman" w:eastAsia="SimSun" w:hAnsi="Times New Roman" w:cs="Times New Roman"/>
          <w:color w:val="000000"/>
          <w:lang w:eastAsia="ar-SA"/>
        </w:rPr>
        <w:t xml:space="preserve"> 1 kartą per parą arba po 50</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110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mg/m</w:t>
      </w:r>
      <w:r w:rsidRPr="001D3C3D">
        <w:rPr>
          <w:rFonts w:ascii="Times New Roman" w:eastAsia="SimSun" w:hAnsi="Times New Roman" w:cs="Times New Roman"/>
          <w:color w:val="000000"/>
          <w:vertAlign w:val="superscript"/>
          <w:lang w:eastAsia="ar-SA"/>
        </w:rPr>
        <w:t xml:space="preserve">2 </w:t>
      </w:r>
      <w:r w:rsidRPr="001D3C3D">
        <w:rPr>
          <w:rFonts w:ascii="Times New Roman" w:eastAsia="SimSun" w:hAnsi="Times New Roman" w:cs="Times New Roman"/>
          <w:color w:val="000000"/>
          <w:lang w:eastAsia="ar-SA"/>
        </w:rPr>
        <w:t>2</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kartus per parą per burną. Bendrais abiejų tyrimų duomenimis, dazatinibo absorbcija yra greita. Vartojant visas dozes visoms amžiaus grupėms, vidutinis T</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xml:space="preserve"> buvo 0,5</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6</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o vidutinis pusinės eliminacijos laikas – 2</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5</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val. Dazatinibo farmakokinetikos rodmenys buvo proporcingi dozei, vaikų populiacijos pacientams ekspozicija didėjo priklausomai nuo dozės. Dazatinibo farmakokinetika vaikų ir paauglių organizme reikšmingai nesiskyrė. Pagal dozę normalizuoti dazatinibo C</w:t>
      </w:r>
      <w:r w:rsidRPr="001D3C3D">
        <w:rPr>
          <w:rFonts w:ascii="Times New Roman" w:eastAsia="SimSun" w:hAnsi="Times New Roman" w:cs="Times New Roman"/>
          <w:color w:val="000000"/>
          <w:vertAlign w:val="subscript"/>
          <w:lang w:eastAsia="ar-SA"/>
        </w:rPr>
        <w:t>max</w:t>
      </w:r>
      <w:r w:rsidRPr="001D3C3D">
        <w:rPr>
          <w:rFonts w:ascii="Times New Roman" w:eastAsia="SimSun" w:hAnsi="Times New Roman" w:cs="Times New Roman"/>
          <w:color w:val="000000"/>
          <w:lang w:eastAsia="ar-SA"/>
        </w:rPr>
        <w:t>, AUC</w:t>
      </w:r>
      <w:r w:rsidRPr="001D3C3D">
        <w:rPr>
          <w:rFonts w:ascii="Times New Roman" w:eastAsia="SimSun" w:hAnsi="Times New Roman" w:cs="Times New Roman"/>
          <w:color w:val="000000"/>
          <w:vertAlign w:val="subscript"/>
          <w:lang w:eastAsia="ar-SA"/>
        </w:rPr>
        <w:t>0-T</w:t>
      </w:r>
      <w:r w:rsidRPr="001D3C3D">
        <w:rPr>
          <w:rFonts w:ascii="Times New Roman" w:eastAsia="SimSun" w:hAnsi="Times New Roman" w:cs="Times New Roman"/>
          <w:color w:val="000000"/>
          <w:lang w:eastAsia="ar-SA"/>
        </w:rPr>
        <w:t xml:space="preserve"> ir AUC</w:t>
      </w:r>
      <w:r w:rsidRPr="001D3C3D">
        <w:rPr>
          <w:rFonts w:ascii="Times New Roman" w:eastAsia="SimSun" w:hAnsi="Times New Roman" w:cs="Times New Roman"/>
          <w:color w:val="000000"/>
          <w:vertAlign w:val="subscript"/>
          <w:lang w:eastAsia="ar-SA"/>
        </w:rPr>
        <w:t>INF</w:t>
      </w:r>
      <w:r w:rsidRPr="001D3C3D">
        <w:rPr>
          <w:rFonts w:ascii="Times New Roman" w:eastAsia="SimSun" w:hAnsi="Times New Roman" w:cs="Times New Roman"/>
          <w:color w:val="000000"/>
          <w:lang w:eastAsia="ar-SA"/>
        </w:rPr>
        <w:t xml:space="preserve"> geometriniai vidurkiai skirtingas dozes vartojusiems vaikams ir paaugliams buvo panašūs. Naudojant populiacinės farmakokinetikos modelį atliktas modeliavimas leidžia numatyti panašią ekspoziciją dozuojant tabletes pagal kūno svorį (žr.</w:t>
      </w:r>
      <w:r w:rsidR="00943A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4.2</w:t>
      </w:r>
      <w:r w:rsidR="00943AB8">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 ir vartojant jų 60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mg/m</w:t>
      </w:r>
      <w:r w:rsidRPr="001D3C3D">
        <w:rPr>
          <w:rFonts w:ascii="Times New Roman" w:eastAsia="SimSun" w:hAnsi="Times New Roman" w:cs="Times New Roman"/>
          <w:color w:val="000000"/>
          <w:vertAlign w:val="superscript"/>
          <w:lang w:eastAsia="ar-SA"/>
        </w:rPr>
        <w:t>2</w:t>
      </w:r>
      <w:r w:rsidRPr="001D3C3D">
        <w:rPr>
          <w:rFonts w:ascii="Times New Roman" w:eastAsia="SimSun" w:hAnsi="Times New Roman" w:cs="Times New Roman"/>
          <w:color w:val="000000"/>
          <w:lang w:eastAsia="ar-SA"/>
        </w:rPr>
        <w:t xml:space="preserve"> dozę. Į šiuos duomenis būtina atsižvelgti keičiant tabletes milteliais geriamajai suspensijai arba atvirkščiai. </w:t>
      </w:r>
    </w:p>
    <w:p w14:paraId="16A46CF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CF4DA55"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5.3</w:t>
      </w:r>
      <w:r w:rsidRPr="001D3C3D">
        <w:rPr>
          <w:rFonts w:ascii="Times New Roman" w:eastAsia="SimSun" w:hAnsi="Times New Roman" w:cs="Times New Roman"/>
          <w:b/>
          <w:color w:val="000000"/>
          <w:lang w:eastAsia="ar-SA"/>
        </w:rPr>
        <w:tab/>
        <w:t>Ikiklinikinių saugumo tyrimų duomenys</w:t>
      </w:r>
    </w:p>
    <w:p w14:paraId="1868B4D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3EF4EC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Dazatinibo ikiklinikinis saugumas įvertintas remiantis daugelio tyrimų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ir </w:t>
      </w:r>
      <w:r w:rsidRPr="001D3C3D">
        <w:rPr>
          <w:rFonts w:ascii="Times New Roman" w:eastAsia="SimSun" w:hAnsi="Times New Roman" w:cs="Times New Roman"/>
          <w:i/>
          <w:color w:val="000000"/>
          <w:lang w:eastAsia="ar-SA"/>
        </w:rPr>
        <w:t>in vivo</w:t>
      </w:r>
      <w:r w:rsidRPr="001D3C3D">
        <w:rPr>
          <w:rFonts w:ascii="Times New Roman" w:eastAsia="SimSun" w:hAnsi="Times New Roman" w:cs="Times New Roman"/>
          <w:color w:val="000000"/>
          <w:lang w:eastAsia="ar-SA"/>
        </w:rPr>
        <w:t xml:space="preserve"> su pelėmis, žiurkėmis, beždžionėmis ir triušiais duomenimis.</w:t>
      </w:r>
    </w:p>
    <w:p w14:paraId="2BE82D06" w14:textId="77777777" w:rsidR="00E30853" w:rsidRDefault="00E30853" w:rsidP="00ED7DC3">
      <w:pPr>
        <w:tabs>
          <w:tab w:val="left" w:pos="567"/>
        </w:tabs>
        <w:suppressAutoHyphens/>
        <w:spacing w:after="0" w:line="240" w:lineRule="auto"/>
        <w:rPr>
          <w:rFonts w:ascii="Times New Roman" w:eastAsia="SimSun" w:hAnsi="Times New Roman" w:cs="Times New Roman"/>
          <w:color w:val="000000"/>
          <w:lang w:eastAsia="ar-SA"/>
        </w:rPr>
      </w:pPr>
    </w:p>
    <w:p w14:paraId="0EAE6052" w14:textId="6107E405"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Pirmiausiai toksinis poveikis pasireiškė virškinimo trakte, kraujodaros ir limfoidinėje sistemose. Dėl toksinio poveikio virškinimo traktui teko riboti dozes žiurkėms ir beždžionėms, kurių žarnynas pastoviai būdavo organas taikinys. Žiurkėms nustatytą eritrocitų parametrų sumažėjimą (nuo minimalaus iki lengvo) visada lydėdavo kaulų čiulpų pokyčiai. Panašių pokyčių nustatyta ir beždžionėms, bet rečiau. Toksinis poveikis žiurkių limfoidiniam audiniui pasireiškė jo kiekio limfmazgiuose, blužnyje ir užkrūčio liaukoje bei limfoidinių organų svorio sumažėjimu. Virškinimo, trakto, kraujodaros ir limfoidinės sistemos pokyčiai praeidavo nutraukus vaistinio preparato davimą.</w:t>
      </w:r>
    </w:p>
    <w:p w14:paraId="52B1E17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D234423" w14:textId="06C389C2"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Beždžionių, kurioms šio vaistinio preparato duota iki 9</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mėn., inkstų pokyčiai apsiribojo padidėjusia fonine mineralizacija. Su beždžionėmis atlikto ūminio vienos dozės </w:t>
      </w:r>
      <w:r w:rsidRPr="00B92E23">
        <w:rPr>
          <w:rFonts w:ascii="Times New Roman" w:eastAsia="SimSun" w:hAnsi="Times New Roman" w:cs="Times New Roman"/>
          <w:i/>
          <w:iCs/>
          <w:color w:val="000000"/>
          <w:lang w:eastAsia="ar-SA"/>
        </w:rPr>
        <w:t>per os</w:t>
      </w:r>
      <w:r w:rsidRPr="001D3C3D">
        <w:rPr>
          <w:rFonts w:ascii="Times New Roman" w:eastAsia="SimSun" w:hAnsi="Times New Roman" w:cs="Times New Roman"/>
          <w:color w:val="000000"/>
          <w:lang w:eastAsia="ar-SA"/>
        </w:rPr>
        <w:t xml:space="preserve"> toksiškumo tyrimo metu nustatyta odos kraujosruvų, tačiau su beždžionėmis ir žiurkėmis atliktų kartotinų dozių toksiškumo tyrimų metu jų neaptikta. Žiurkėms dazatinibas slopino trombocitų agregaciją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ir pailgino epidermio kraujavimo trukmę </w:t>
      </w:r>
      <w:r w:rsidRPr="00B92E23">
        <w:rPr>
          <w:rFonts w:ascii="Times New Roman" w:eastAsia="SimSun" w:hAnsi="Times New Roman" w:cs="Times New Roman"/>
          <w:i/>
          <w:iCs/>
          <w:color w:val="000000"/>
          <w:lang w:eastAsia="ar-SA"/>
        </w:rPr>
        <w:t>in vivo</w:t>
      </w:r>
      <w:r w:rsidRPr="001D3C3D">
        <w:rPr>
          <w:rFonts w:ascii="Times New Roman" w:eastAsia="SimSun" w:hAnsi="Times New Roman" w:cs="Times New Roman"/>
          <w:color w:val="000000"/>
          <w:lang w:eastAsia="ar-SA"/>
        </w:rPr>
        <w:t>, tačiau savaiminio kraujavimo nesukėlė.</w:t>
      </w:r>
    </w:p>
    <w:p w14:paraId="1CF9A52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041394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Dazatinibo aktyvumas, nustatytas tyrimų su hERG ir </w:t>
      </w:r>
      <w:r w:rsidRPr="001D3C3D">
        <w:rPr>
          <w:rFonts w:ascii="Times New Roman" w:eastAsia="SimSun" w:hAnsi="Times New Roman" w:cs="Times New Roman"/>
          <w:i/>
          <w:color w:val="000000"/>
          <w:lang w:eastAsia="ar-SA"/>
        </w:rPr>
        <w:t>Purkinje</w:t>
      </w:r>
      <w:r w:rsidRPr="001D3C3D">
        <w:rPr>
          <w:rFonts w:ascii="Times New Roman" w:eastAsia="SimSun" w:hAnsi="Times New Roman" w:cs="Times New Roman"/>
          <w:color w:val="000000"/>
          <w:lang w:eastAsia="ar-SA"/>
        </w:rPr>
        <w:t xml:space="preserve"> skaidulomis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rodo širdies skilvelių repoliarizacijos (QT intervalo) pailgėjimo galimybę. Vis dėlto vienos dozės tyrimas </w:t>
      </w:r>
      <w:r w:rsidRPr="001D3C3D">
        <w:rPr>
          <w:rFonts w:ascii="Times New Roman" w:eastAsia="SimSun" w:hAnsi="Times New Roman" w:cs="Times New Roman"/>
          <w:i/>
          <w:color w:val="000000"/>
          <w:lang w:eastAsia="ar-SA"/>
        </w:rPr>
        <w:t>in vivo</w:t>
      </w:r>
      <w:r w:rsidRPr="001D3C3D">
        <w:rPr>
          <w:rFonts w:ascii="Times New Roman" w:eastAsia="SimSun" w:hAnsi="Times New Roman" w:cs="Times New Roman"/>
          <w:color w:val="000000"/>
          <w:lang w:eastAsia="ar-SA"/>
        </w:rPr>
        <w:t>, atliktas telemetrijos metodu su sąmoningomis beždžionėmis, QT intervalo ar EKG bangų formos pokyčių neparodė.</w:t>
      </w:r>
    </w:p>
    <w:p w14:paraId="513F6BE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91A5FB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Atliekant mėginius su bakterijų ląstelėmis (</w:t>
      </w:r>
      <w:r w:rsidRPr="001D3C3D">
        <w:rPr>
          <w:rFonts w:ascii="Times New Roman" w:eastAsia="SimSun" w:hAnsi="Times New Roman" w:cs="Times New Roman"/>
          <w:i/>
          <w:color w:val="000000"/>
          <w:lang w:eastAsia="ar-SA"/>
        </w:rPr>
        <w:t>Ames</w:t>
      </w:r>
      <w:r w:rsidRPr="001D3C3D">
        <w:rPr>
          <w:rFonts w:ascii="Times New Roman" w:eastAsia="SimSun" w:hAnsi="Times New Roman" w:cs="Times New Roman"/>
          <w:color w:val="000000"/>
          <w:lang w:eastAsia="ar-SA"/>
        </w:rPr>
        <w:t xml:space="preserve"> testą)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xml:space="preserve">, dazatinibo mutageninio poveikio nenustatyta. Atliekant žiurkių mikrobranduolių tyrimą </w:t>
      </w:r>
      <w:r w:rsidRPr="001D3C3D">
        <w:rPr>
          <w:rFonts w:ascii="Times New Roman" w:eastAsia="SimSun" w:hAnsi="Times New Roman" w:cs="Times New Roman"/>
          <w:i/>
          <w:color w:val="000000"/>
          <w:lang w:eastAsia="ar-SA"/>
        </w:rPr>
        <w:t>in vivo</w:t>
      </w:r>
      <w:r w:rsidRPr="001D3C3D">
        <w:rPr>
          <w:rFonts w:ascii="Times New Roman" w:eastAsia="SimSun" w:hAnsi="Times New Roman" w:cs="Times New Roman"/>
          <w:color w:val="000000"/>
          <w:lang w:eastAsia="ar-SA"/>
        </w:rPr>
        <w:t>, genotoksinio poveikio nenustatyta.</w:t>
      </w:r>
    </w:p>
    <w:p w14:paraId="53D6EC8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Dazatinibas sukėlė klastogeninį poveikį besidalijančioms kininio žiurkėno kiaušidžių ląstelėms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w:t>
      </w:r>
    </w:p>
    <w:p w14:paraId="773D23A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F8E90D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Tyrimo metu dazatinibas neveikė įprasto žiurkių patinų ar patelių vaisingumo ir ankstyvo embriono vystymosi, tačiau sukėlė embrionų žuvimą vartojant dozes, artimas žmogaus klinikinei ekspozicijai. Tiriant poveikį embriono ir vaisiaus vystymuisi nustatyta, kad dazatinibas taip pat sukelia embrionų žuvimą, žiurkių palikuonių svorio sumažėjimą ir žiurkių bei triušių vaisiaus skeleto pokyčius. Šis poveikis, kuris pasireiškė nuo dozių, nesukeliančių toksinio poveikio vaikingai patelei, rodo, kad dazatinibas yra selektyvus reprodukcinis toksinas nuo implantacijos iki organogenezės pabaigos.</w:t>
      </w:r>
    </w:p>
    <w:p w14:paraId="1B58799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8D0ADB5" w14:textId="0EB7CAC8"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lastRenderedPageBreak/>
        <w:t xml:space="preserve">Pelėms dazatinibas sukėlė imuninės sistemos funkcijos susilpnėjimą, kuris buvo susijęs su doze ir buvo veiksmingai koreguojamas ją sumažinant ir (arba) keičiant dozavimo režimą. Atliekant sugertų neutralių raudonų spindulių fototoksiškumo mėginį su pelių fibroblastais </w:t>
      </w:r>
      <w:r w:rsidRPr="001D3C3D">
        <w:rPr>
          <w:rFonts w:ascii="Times New Roman" w:eastAsia="SimSun" w:hAnsi="Times New Roman" w:cs="Times New Roman"/>
          <w:i/>
          <w:color w:val="000000"/>
          <w:lang w:eastAsia="ar-SA"/>
        </w:rPr>
        <w:t>in vitro</w:t>
      </w:r>
      <w:r w:rsidRPr="001D3C3D">
        <w:rPr>
          <w:rFonts w:ascii="Times New Roman" w:eastAsia="SimSun" w:hAnsi="Times New Roman" w:cs="Times New Roman"/>
          <w:color w:val="000000"/>
          <w:lang w:eastAsia="ar-SA"/>
        </w:rPr>
        <w:t>, nustatyta dazatinibo</w:t>
      </w:r>
      <w:r w:rsidR="007246D6">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lang w:eastAsia="ar-SA"/>
        </w:rPr>
        <w:t xml:space="preserve">fototoksinio poveikio galimybė. Nustatyta, kad sugirdyta vienkartinė dazatinibo dozė nesukelia fototoksinio poveikio plikoms pelių patelėms </w:t>
      </w:r>
      <w:r w:rsidRPr="001D3C3D">
        <w:rPr>
          <w:rFonts w:ascii="Times New Roman" w:eastAsia="SimSun" w:hAnsi="Times New Roman" w:cs="Times New Roman"/>
          <w:i/>
          <w:color w:val="000000"/>
          <w:lang w:eastAsia="ar-SA"/>
        </w:rPr>
        <w:t>in vivo</w:t>
      </w:r>
      <w:r w:rsidRPr="001D3C3D">
        <w:rPr>
          <w:rFonts w:ascii="Times New Roman" w:eastAsia="SimSun" w:hAnsi="Times New Roman" w:cs="Times New Roman"/>
          <w:color w:val="000000"/>
          <w:lang w:eastAsia="ar-SA"/>
        </w:rPr>
        <w:t>, kai pagal AUC apskaičiuota ekspozicija iki 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kartų viršija ekspoziciją, kuri būna rekomenduojamą terapinę dozę vartojančiam žmogui.</w:t>
      </w:r>
    </w:p>
    <w:p w14:paraId="38A4D3F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663A091" w14:textId="67D725FC"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2</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trukmės kancerogeninio poveikio tyrimo metu žiurkėms buvo duodama dazatinibo 0,3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mg/kg kūno svorio, 1</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mg/kg</w:t>
      </w:r>
      <w:r w:rsidRPr="001D3C3D">
        <w:rPr>
          <w:rFonts w:ascii="Times New Roman" w:eastAsia="Times New Roman" w:hAnsi="Times New Roman" w:cs="Times New Roman"/>
          <w:color w:val="000000"/>
          <w:lang w:eastAsia="ar-SA"/>
        </w:rPr>
        <w:t xml:space="preserve"> </w:t>
      </w:r>
      <w:r w:rsidRPr="001D3C3D">
        <w:rPr>
          <w:rFonts w:ascii="Times New Roman" w:eastAsia="SimSun" w:hAnsi="Times New Roman" w:cs="Times New Roman"/>
          <w:color w:val="000000"/>
          <w:lang w:eastAsia="ar-SA"/>
        </w:rPr>
        <w:t>kūno svorio arba 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mg/kg kūno svorio paros dozėmis per burną. Didžiausios dozės sukelta ekspozicija kraujo plazmoje (AUC) iš esmės atitiko ekspoziciją, kuri būna žmogui vartojant rekomenduojamo diapazono (100</w:t>
      </w:r>
      <w:r w:rsidR="007246D6">
        <w:rPr>
          <w:rFonts w:ascii="Times New Roman" w:eastAsia="SimSun" w:hAnsi="Times New Roman" w:cs="Times New Roman"/>
          <w:color w:val="000000"/>
          <w:lang w:eastAsia="ar-SA"/>
        </w:rPr>
        <w:noBreakHyphen/>
      </w:r>
      <w:r w:rsidRPr="001D3C3D">
        <w:rPr>
          <w:rFonts w:ascii="Times New Roman" w:eastAsia="SimSun" w:hAnsi="Times New Roman" w:cs="Times New Roman"/>
          <w:color w:val="000000"/>
          <w:lang w:eastAsia="ar-SA"/>
        </w:rPr>
        <w:t>140</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mg) pradinę paros dozę. Nustatytas statistiškai reikšmingas bendras žvyninių ląstelių karcinomų, gimdos ir kaklelio papilomų padažnėjimas didelės dozės grupės patelėms bei prostatos adenomų – mažos dozės grupės patinams. Šių kancerogeninio poveikio žiurkėms tyrimo duomenų reikšmė žmonėms nežinoma.</w:t>
      </w:r>
    </w:p>
    <w:p w14:paraId="5713904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491BC3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5EE8970"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t>6.</w:t>
      </w:r>
      <w:r w:rsidRPr="001D3C3D">
        <w:rPr>
          <w:rFonts w:ascii="Times New Roman" w:eastAsia="SimSun" w:hAnsi="Times New Roman" w:cs="Times New Roman"/>
          <w:b/>
          <w:color w:val="000000"/>
          <w:lang w:eastAsia="ar-SA"/>
        </w:rPr>
        <w:tab/>
        <w:t>FARMACINĖ INFORMACIJA</w:t>
      </w:r>
    </w:p>
    <w:p w14:paraId="2B1B400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color w:val="000000"/>
          <w:lang w:eastAsia="ar-SA"/>
        </w:rPr>
      </w:pPr>
    </w:p>
    <w:p w14:paraId="4F749BDE"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t>6.1</w:t>
      </w:r>
      <w:r w:rsidRPr="001D3C3D">
        <w:rPr>
          <w:rFonts w:ascii="Times New Roman" w:eastAsia="SimSun" w:hAnsi="Times New Roman" w:cs="Times New Roman"/>
          <w:b/>
          <w:color w:val="000000"/>
          <w:lang w:eastAsia="ar-SA"/>
        </w:rPr>
        <w:tab/>
        <w:t>Pagalbinių medžiagų sąrašas</w:t>
      </w:r>
    </w:p>
    <w:p w14:paraId="478C847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color w:val="000000"/>
          <w:lang w:eastAsia="ar-SA"/>
        </w:rPr>
      </w:pPr>
    </w:p>
    <w:p w14:paraId="74C39E60"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Tabletės šerdis</w:t>
      </w:r>
    </w:p>
    <w:p w14:paraId="0F9FC975" w14:textId="4E9EC8B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Mikrokristalinė celiuliozė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460)</w:t>
      </w:r>
    </w:p>
    <w:p w14:paraId="000035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Laktozė monohidratas</w:t>
      </w:r>
    </w:p>
    <w:p w14:paraId="2309430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Kroskarmeliozės natrio druska</w:t>
      </w:r>
    </w:p>
    <w:p w14:paraId="355D5A02" w14:textId="3D158128"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Hidroksipropilceliuliozė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463)</w:t>
      </w:r>
    </w:p>
    <w:p w14:paraId="5952C6A8" w14:textId="3E07DAA3"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Magnio stearatas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470b)</w:t>
      </w:r>
    </w:p>
    <w:p w14:paraId="579C0341" w14:textId="77777777"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p>
    <w:p w14:paraId="1735C7DB" w14:textId="77777777" w:rsidR="00ED7DC3" w:rsidRPr="001D3C3D" w:rsidRDefault="00ED7DC3" w:rsidP="0086689D">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i/>
          <w:color w:val="000000"/>
          <w:lang w:eastAsia="ar-SA"/>
        </w:rPr>
        <w:t>Tabletės plėvelė</w:t>
      </w:r>
    </w:p>
    <w:p w14:paraId="0540DDFA" w14:textId="10F798AA" w:rsidR="00ED7DC3" w:rsidRPr="001D3C3D" w:rsidRDefault="00ED7DC3" w:rsidP="00ED7DC3">
      <w:pPr>
        <w:widowControl w:val="0"/>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Polivinilo alkoholis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1203)</w:t>
      </w:r>
    </w:p>
    <w:p w14:paraId="249062E4" w14:textId="4CA84D01" w:rsidR="00ED7DC3" w:rsidRPr="001D3C3D" w:rsidRDefault="00ED7DC3" w:rsidP="00ED7DC3">
      <w:pPr>
        <w:widowControl w:val="0"/>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Titano dioksidas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171)</w:t>
      </w:r>
    </w:p>
    <w:p w14:paraId="522E789A" w14:textId="218CAAF8" w:rsidR="00ED7DC3" w:rsidRPr="001D3C3D" w:rsidRDefault="00ED7DC3" w:rsidP="00ED7DC3">
      <w:pPr>
        <w:widowControl w:val="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Talkas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553b)</w:t>
      </w:r>
    </w:p>
    <w:p w14:paraId="5BD5997D" w14:textId="4C106B76" w:rsidR="00ED7DC3" w:rsidRPr="001D3C3D" w:rsidRDefault="00ED7DC3" w:rsidP="00ED7DC3">
      <w:pPr>
        <w:widowControl w:val="0"/>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Glicerolio monostearatas (E</w:t>
      </w:r>
      <w:r w:rsidR="002504F5">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471)</w:t>
      </w:r>
    </w:p>
    <w:p w14:paraId="2C6E3FAE" w14:textId="77777777" w:rsidR="00ED7DC3" w:rsidRPr="001D3C3D" w:rsidRDefault="00ED7DC3" w:rsidP="00ED7DC3">
      <w:pPr>
        <w:widowControl w:val="0"/>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Natrio laurilsulfatas</w:t>
      </w:r>
    </w:p>
    <w:p w14:paraId="1C8DC5F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5EF45DB" w14:textId="77777777" w:rsidR="00ED7DC3" w:rsidRPr="001D3C3D" w:rsidRDefault="00ED7DC3" w:rsidP="00CC4471">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6.2</w:t>
      </w:r>
      <w:r w:rsidRPr="001D3C3D">
        <w:rPr>
          <w:rFonts w:ascii="Times New Roman" w:eastAsia="SimSun" w:hAnsi="Times New Roman" w:cs="Times New Roman"/>
          <w:b/>
          <w:color w:val="000000"/>
          <w:lang w:eastAsia="ar-SA"/>
        </w:rPr>
        <w:tab/>
        <w:t>Nesuderinamumas</w:t>
      </w:r>
    </w:p>
    <w:p w14:paraId="4757A8D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8F5287C"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Duomenys nebūtini. </w:t>
      </w:r>
    </w:p>
    <w:p w14:paraId="401ED17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957D4AB" w14:textId="77777777" w:rsidR="00ED7DC3" w:rsidRPr="001D3C3D" w:rsidRDefault="00ED7DC3" w:rsidP="0086689D">
      <w:pPr>
        <w:keepNext/>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6.3</w:t>
      </w:r>
      <w:r w:rsidRPr="001D3C3D">
        <w:rPr>
          <w:rFonts w:ascii="Times New Roman" w:eastAsia="SimSun" w:hAnsi="Times New Roman" w:cs="Times New Roman"/>
          <w:b/>
          <w:color w:val="000000"/>
          <w:lang w:eastAsia="ar-SA"/>
        </w:rPr>
        <w:tab/>
        <w:t>Tinkamumo laikas</w:t>
      </w:r>
    </w:p>
    <w:p w14:paraId="398694A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B021100" w14:textId="43D91E0C"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3</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metai </w:t>
      </w:r>
    </w:p>
    <w:p w14:paraId="195325A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5D7A2C7" w14:textId="77777777" w:rsidR="00ED7DC3" w:rsidRPr="001D3C3D" w:rsidRDefault="00ED7DC3" w:rsidP="0086689D">
      <w:pPr>
        <w:numPr>
          <w:ilvl w:val="1"/>
          <w:numId w:val="2"/>
        </w:numPr>
        <w:suppressAutoHyphens/>
        <w:spacing w:after="0" w:line="260" w:lineRule="exact"/>
        <w:rPr>
          <w:rFonts w:ascii="Times New Roman" w:eastAsia="Times New Roman" w:hAnsi="Times New Roman" w:cs="Times New Roman"/>
          <w:color w:val="000000"/>
          <w:lang w:eastAsia="ar-SA"/>
        </w:rPr>
      </w:pPr>
      <w:r w:rsidRPr="001D3C3D">
        <w:rPr>
          <w:rFonts w:ascii="Times New Roman" w:eastAsia="Times New Roman" w:hAnsi="Times New Roman" w:cs="Times New Roman"/>
          <w:b/>
          <w:bCs/>
          <w:color w:val="000000"/>
          <w:lang w:eastAsia="ar-SA"/>
        </w:rPr>
        <w:t xml:space="preserve">Specialios laikymo sąlygos </w:t>
      </w:r>
    </w:p>
    <w:p w14:paraId="5C8C677C"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p>
    <w:p w14:paraId="116AECEC"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 xml:space="preserve">Šiam vaistiniam preparatui specialių laikymo sąlygų nereikia. </w:t>
      </w:r>
    </w:p>
    <w:p w14:paraId="4E0FCA4A" w14:textId="77777777" w:rsidR="00ED7DC3" w:rsidRPr="001D3C3D" w:rsidRDefault="00ED7DC3" w:rsidP="00ED7DC3">
      <w:pPr>
        <w:suppressAutoHyphens/>
        <w:spacing w:after="0" w:line="240" w:lineRule="auto"/>
        <w:jc w:val="both"/>
        <w:rPr>
          <w:rFonts w:ascii="Times New Roman" w:eastAsia="Calibri" w:hAnsi="Times New Roman" w:cs="Times New Roman"/>
          <w:color w:val="000000"/>
          <w:lang w:eastAsia="ar-SA"/>
        </w:rPr>
      </w:pPr>
    </w:p>
    <w:p w14:paraId="4ED04755" w14:textId="77777777" w:rsidR="00ED7DC3" w:rsidRPr="001D3C3D" w:rsidRDefault="00ED7DC3" w:rsidP="00205CE6">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Times New Roman" w:hAnsi="Times New Roman" w:cs="Times New Roman"/>
          <w:b/>
          <w:bCs/>
          <w:color w:val="000000"/>
          <w:lang w:eastAsia="ar-SA"/>
        </w:rPr>
        <w:t>6.5</w:t>
      </w:r>
      <w:r w:rsidRPr="001D3C3D">
        <w:rPr>
          <w:rFonts w:ascii="Times New Roman" w:eastAsia="Times New Roman" w:hAnsi="Times New Roman" w:cs="Times New Roman"/>
          <w:b/>
          <w:bCs/>
          <w:color w:val="000000"/>
          <w:lang w:eastAsia="ar-SA"/>
        </w:rPr>
        <w:tab/>
        <w:t>Talpyklės pobūdis ir jos turinys</w:t>
      </w:r>
    </w:p>
    <w:p w14:paraId="274D688A" w14:textId="77777777" w:rsidR="00ED7DC3" w:rsidRPr="001D3C3D" w:rsidRDefault="00ED7DC3" w:rsidP="00ED7DC3">
      <w:pPr>
        <w:suppressAutoHyphens/>
        <w:spacing w:after="0" w:line="240" w:lineRule="auto"/>
        <w:jc w:val="both"/>
        <w:rPr>
          <w:rFonts w:ascii="Times New Roman" w:eastAsia="Calibri" w:hAnsi="Times New Roman" w:cs="Times New Roman"/>
          <w:color w:val="000000"/>
          <w:lang w:eastAsia="ar-SA"/>
        </w:rPr>
      </w:pPr>
    </w:p>
    <w:p w14:paraId="65D066A5" w14:textId="7B62829B" w:rsidR="00ED7DC3" w:rsidRPr="001D3C3D" w:rsidRDefault="0036275F" w:rsidP="00B92E23">
      <w:pPr>
        <w:spacing w:after="0" w:line="240" w:lineRule="auto"/>
        <w:contextualSpacing/>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Plėvele dengtos tabletės yra supakuotos į a</w:t>
      </w:r>
      <w:r w:rsidR="00ED7DC3" w:rsidRPr="001D3C3D">
        <w:rPr>
          <w:rFonts w:ascii="Times New Roman" w:eastAsia="Calibri" w:hAnsi="Times New Roman" w:cs="Times New Roman"/>
          <w:color w:val="000000"/>
          <w:lang w:eastAsia="ar-SA"/>
        </w:rPr>
        <w:t>liuminio-OPA/Al/PVC lizdinės plokštelės (kalendorinės lizdinės plokštelės ar perforuotos dalomosios lizdinės plokštelės)</w:t>
      </w:r>
      <w:r w:rsidRPr="001D3C3D">
        <w:rPr>
          <w:rFonts w:ascii="Times New Roman" w:eastAsia="Calibri" w:hAnsi="Times New Roman" w:cs="Times New Roman"/>
          <w:color w:val="000000"/>
          <w:lang w:eastAsia="ar-SA"/>
        </w:rPr>
        <w:t xml:space="preserve"> arba į d</w:t>
      </w:r>
      <w:r w:rsidR="00ED7DC3" w:rsidRPr="001D3C3D">
        <w:rPr>
          <w:rFonts w:ascii="Times New Roman" w:eastAsia="Calibri" w:hAnsi="Times New Roman" w:cs="Times New Roman"/>
          <w:color w:val="000000"/>
          <w:lang w:eastAsia="ar-SA"/>
        </w:rPr>
        <w:t>idelio tankio polietileno (DTPE) buteliukas su polipropileniniu vaikų sunkiai atidaromu uždoriu ir plastikine (DTPE) talpa, kurioje yra silikagelio</w:t>
      </w:r>
      <w:r w:rsidR="0099461D" w:rsidRPr="001D3C3D">
        <w:t xml:space="preserve"> </w:t>
      </w:r>
      <w:r w:rsidR="0099461D" w:rsidRPr="001D3C3D">
        <w:rPr>
          <w:rFonts w:ascii="Times New Roman" w:eastAsia="Calibri" w:hAnsi="Times New Roman" w:cs="Times New Roman"/>
          <w:color w:val="000000"/>
          <w:lang w:eastAsia="ar-SA"/>
        </w:rPr>
        <w:t>ir įdėtos į kartono dėžutę.</w:t>
      </w:r>
    </w:p>
    <w:p w14:paraId="06FEAC80" w14:textId="77777777" w:rsidR="00ED7DC3" w:rsidRPr="001D3C3D" w:rsidRDefault="00AA1F25"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Pakuotės dyžiai:</w:t>
      </w:r>
    </w:p>
    <w:p w14:paraId="732C54D5" w14:textId="77777777" w:rsidR="00AA1F25" w:rsidRPr="001D3C3D" w:rsidRDefault="00AA1F25" w:rsidP="00ED7DC3">
      <w:pPr>
        <w:suppressAutoHyphens/>
        <w:spacing w:after="0" w:line="240" w:lineRule="auto"/>
        <w:rPr>
          <w:rFonts w:ascii="Times New Roman" w:eastAsia="Calibri" w:hAnsi="Times New Roman" w:cs="Times New Roman"/>
          <w:color w:val="000000"/>
          <w:lang w:eastAsia="ar-SA"/>
        </w:rPr>
      </w:pPr>
    </w:p>
    <w:p w14:paraId="06BF6146" w14:textId="76326E08" w:rsidR="00AA1F25" w:rsidRPr="001D3C3D" w:rsidRDefault="00AA1F25" w:rsidP="0086689D">
      <w:pPr>
        <w:suppressAutoHyphens/>
        <w:spacing w:after="0" w:line="240" w:lineRule="auto"/>
        <w:rPr>
          <w:rFonts w:ascii="Times New Roman" w:eastAsia="Calibri" w:hAnsi="Times New Roman" w:cs="Times New Roman"/>
          <w:color w:val="000000"/>
          <w:u w:val="single"/>
          <w:lang w:eastAsia="ar-SA"/>
        </w:rPr>
      </w:pPr>
      <w:r w:rsidRPr="00B92E23">
        <w:rPr>
          <w:rFonts w:ascii="Times New Roman" w:eastAsia="Calibri" w:hAnsi="Times New Roman" w:cs="Times New Roman"/>
          <w:color w:val="000000"/>
          <w:highlight w:val="lightGray"/>
          <w:u w:val="single"/>
          <w:lang w:eastAsia="ar-SA"/>
        </w:rPr>
        <w:t>20</w:t>
      </w:r>
      <w:r w:rsidR="007246D6">
        <w:rPr>
          <w:rFonts w:ascii="Times New Roman" w:eastAsia="Calibri" w:hAnsi="Times New Roman" w:cs="Times New Roman"/>
          <w:color w:val="000000"/>
          <w:highlight w:val="lightGray"/>
          <w:u w:val="single"/>
          <w:lang w:eastAsia="ar-SA"/>
        </w:rPr>
        <w:t> </w:t>
      </w:r>
      <w:r w:rsidRPr="00B92E23">
        <w:rPr>
          <w:rFonts w:ascii="Times New Roman" w:eastAsia="Calibri" w:hAnsi="Times New Roman" w:cs="Times New Roman"/>
          <w:color w:val="000000"/>
          <w:highlight w:val="lightGray"/>
          <w:u w:val="single"/>
          <w:lang w:eastAsia="ar-SA"/>
        </w:rPr>
        <w:t>mg, 50</w:t>
      </w:r>
      <w:r w:rsidR="007246D6">
        <w:rPr>
          <w:rFonts w:ascii="Times New Roman" w:eastAsia="Calibri" w:hAnsi="Times New Roman" w:cs="Times New Roman"/>
          <w:color w:val="000000"/>
          <w:highlight w:val="lightGray"/>
          <w:u w:val="single"/>
          <w:lang w:eastAsia="ar-SA"/>
        </w:rPr>
        <w:t> </w:t>
      </w:r>
      <w:r w:rsidRPr="00B92E23">
        <w:rPr>
          <w:rFonts w:ascii="Times New Roman" w:eastAsia="Calibri" w:hAnsi="Times New Roman" w:cs="Times New Roman"/>
          <w:color w:val="000000"/>
          <w:highlight w:val="lightGray"/>
          <w:u w:val="single"/>
          <w:lang w:eastAsia="ar-SA"/>
        </w:rPr>
        <w:t>mg, 70</w:t>
      </w:r>
      <w:r w:rsidR="007246D6">
        <w:rPr>
          <w:rFonts w:ascii="Times New Roman" w:eastAsia="Calibri" w:hAnsi="Times New Roman" w:cs="Times New Roman"/>
          <w:color w:val="000000"/>
          <w:highlight w:val="lightGray"/>
          <w:u w:val="single"/>
          <w:lang w:eastAsia="ar-SA"/>
        </w:rPr>
        <w:t> </w:t>
      </w:r>
      <w:r w:rsidRPr="00B92E23">
        <w:rPr>
          <w:rFonts w:ascii="Times New Roman" w:eastAsia="Calibri" w:hAnsi="Times New Roman" w:cs="Times New Roman"/>
          <w:color w:val="000000"/>
          <w:highlight w:val="lightGray"/>
          <w:u w:val="single"/>
          <w:lang w:eastAsia="ar-SA"/>
        </w:rPr>
        <w:t>mg plėvele dengtos tabletės</w:t>
      </w:r>
    </w:p>
    <w:p w14:paraId="77037180" w14:textId="77777777" w:rsidR="00AA1F25" w:rsidRPr="001D3C3D" w:rsidRDefault="00AA1F25" w:rsidP="00ED7DC3">
      <w:pPr>
        <w:suppressAutoHyphens/>
        <w:spacing w:after="0" w:line="240" w:lineRule="auto"/>
        <w:rPr>
          <w:rFonts w:ascii="Times New Roman" w:eastAsia="Calibri" w:hAnsi="Times New Roman" w:cs="Times New Roman"/>
          <w:color w:val="000000"/>
          <w:lang w:eastAsia="ar-SA"/>
        </w:rPr>
      </w:pPr>
    </w:p>
    <w:p w14:paraId="5A2628BF" w14:textId="24499820" w:rsidR="005F40C3" w:rsidRPr="001D3C3D" w:rsidRDefault="005F40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lastRenderedPageBreak/>
        <w:t>Kartono dėžutė, kurioje yra 12 plėvele dengt</w:t>
      </w:r>
      <w:r w:rsidR="003C0F57">
        <w:rPr>
          <w:rFonts w:ascii="Times New Roman" w:eastAsia="Calibri" w:hAnsi="Times New Roman" w:cs="Times New Roman"/>
          <w:color w:val="000000"/>
          <w:lang w:eastAsia="ar-SA"/>
        </w:rPr>
        <w:t>ų</w:t>
      </w:r>
      <w:r w:rsidRPr="001D3C3D">
        <w:rPr>
          <w:rFonts w:ascii="Times New Roman" w:eastAsia="Calibri" w:hAnsi="Times New Roman" w:cs="Times New Roman"/>
          <w:color w:val="000000"/>
          <w:lang w:eastAsia="ar-SA"/>
        </w:rPr>
        <w:t xml:space="preserve"> table</w:t>
      </w:r>
      <w:r w:rsidR="003C0F57">
        <w:rPr>
          <w:rFonts w:ascii="Times New Roman" w:eastAsia="Calibri" w:hAnsi="Times New Roman" w:cs="Times New Roman"/>
          <w:color w:val="000000"/>
          <w:lang w:eastAsia="ar-SA"/>
        </w:rPr>
        <w:t>čių</w:t>
      </w:r>
      <w:r w:rsidRPr="001D3C3D">
        <w:rPr>
          <w:rFonts w:ascii="Times New Roman" w:eastAsia="Calibri" w:hAnsi="Times New Roman" w:cs="Times New Roman"/>
          <w:color w:val="000000"/>
          <w:lang w:eastAsia="ar-SA"/>
        </w:rPr>
        <w:t xml:space="preserve"> 1 kalendorinėje lizdinėje plokštelėje</w:t>
      </w:r>
      <w:r w:rsidR="00F91549">
        <w:rPr>
          <w:rFonts w:ascii="Times New Roman" w:eastAsia="Calibri" w:hAnsi="Times New Roman" w:cs="Times New Roman"/>
          <w:color w:val="000000"/>
          <w:lang w:eastAsia="ar-SA"/>
        </w:rPr>
        <w:t>.</w:t>
      </w:r>
    </w:p>
    <w:p w14:paraId="04F5FAF0"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Kartono dėžutė, kurioje yra 56 plėvele dengtos tabletės 4 kalendorinėse lizdinėse plokštelėse (kiekvienoje yra 14 plėvele dengtų tablečių).</w:t>
      </w:r>
    </w:p>
    <w:p w14:paraId="6BA86A9A" w14:textId="49901534"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Kartono dėžutė, kurioje yra </w:t>
      </w:r>
      <w:r w:rsidR="005F40C3" w:rsidRPr="001D3C3D">
        <w:rPr>
          <w:rFonts w:ascii="Times New Roman" w:eastAsia="Calibri" w:hAnsi="Times New Roman" w:cs="Times New Roman"/>
          <w:color w:val="000000"/>
          <w:lang w:eastAsia="ar-SA"/>
        </w:rPr>
        <w:t>12</w:t>
      </w:r>
      <w:r w:rsidR="00802C6E">
        <w:rPr>
          <w:rFonts w:ascii="Times New Roman" w:eastAsia="Calibri" w:hAnsi="Times New Roman" w:cs="Times New Roman"/>
          <w:color w:val="000000"/>
          <w:lang w:eastAsia="ar-SA"/>
        </w:rPr>
        <w:t> </w:t>
      </w:r>
      <w:r w:rsidR="005F40C3" w:rsidRPr="001D3C3D">
        <w:rPr>
          <w:rFonts w:ascii="Times New Roman" w:eastAsia="Calibri" w:hAnsi="Times New Roman" w:cs="Times New Roman"/>
          <w:color w:val="000000"/>
          <w:lang w:eastAsia="ar-SA"/>
        </w:rPr>
        <w:t>x</w:t>
      </w:r>
      <w:r w:rsidR="00802C6E">
        <w:rPr>
          <w:rFonts w:ascii="Times New Roman" w:eastAsia="Calibri" w:hAnsi="Times New Roman" w:cs="Times New Roman"/>
          <w:color w:val="000000"/>
          <w:lang w:eastAsia="ar-SA"/>
        </w:rPr>
        <w:t> </w:t>
      </w:r>
      <w:r w:rsidR="005F40C3" w:rsidRPr="001D3C3D">
        <w:rPr>
          <w:rFonts w:ascii="Times New Roman" w:eastAsia="Calibri" w:hAnsi="Times New Roman" w:cs="Times New Roman"/>
          <w:color w:val="000000"/>
          <w:lang w:eastAsia="ar-SA"/>
        </w:rPr>
        <w:t xml:space="preserve">1 ir </w:t>
      </w:r>
      <w:r w:rsidRPr="001D3C3D">
        <w:rPr>
          <w:rFonts w:ascii="Times New Roman" w:eastAsia="Calibri" w:hAnsi="Times New Roman" w:cs="Times New Roman"/>
          <w:color w:val="000000"/>
          <w:lang w:eastAsia="ar-SA"/>
        </w:rPr>
        <w:t>60 x 1 plėvele dengtų tablečių perforuotose dalomosiose lizdinėse plokštelėse.</w:t>
      </w:r>
    </w:p>
    <w:p w14:paraId="370E9699"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Kartono dėžutė, kurioje yra vienas buteliukas. Jame yra 60 plėvele dengtų tablečių.</w:t>
      </w:r>
    </w:p>
    <w:p w14:paraId="45B440C7"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2F25D9ED" w14:textId="378A54CB" w:rsidR="00ED7DC3" w:rsidRPr="00B92E23" w:rsidRDefault="00ED7DC3" w:rsidP="0086689D">
      <w:pPr>
        <w:suppressAutoHyphens/>
        <w:spacing w:after="0" w:line="240" w:lineRule="auto"/>
        <w:rPr>
          <w:rFonts w:ascii="Times New Roman" w:eastAsia="Calibri" w:hAnsi="Times New Roman" w:cs="Times New Roman"/>
          <w:color w:val="000000"/>
          <w:highlight w:val="lightGray"/>
          <w:u w:val="single"/>
          <w:lang w:eastAsia="ar-SA"/>
        </w:rPr>
      </w:pPr>
      <w:r w:rsidRPr="00B92E23">
        <w:rPr>
          <w:rFonts w:ascii="Times New Roman" w:eastAsia="Calibri" w:hAnsi="Times New Roman" w:cs="Times New Roman"/>
          <w:color w:val="000000"/>
          <w:highlight w:val="lightGray"/>
          <w:u w:val="single"/>
          <w:lang w:eastAsia="ar-SA"/>
        </w:rPr>
        <w:t xml:space="preserve">80 mg, 100 mg, 140 mg plėvele dengtos tabletės </w:t>
      </w:r>
    </w:p>
    <w:p w14:paraId="5ADF55CA" w14:textId="49AE7FB9" w:rsidR="00ED7DC3" w:rsidRPr="00B92E23" w:rsidRDefault="005F40C3" w:rsidP="00ED7DC3">
      <w:pPr>
        <w:suppressAutoHyphens/>
        <w:spacing w:after="0" w:line="240" w:lineRule="auto"/>
        <w:rPr>
          <w:rFonts w:ascii="Times New Roman" w:eastAsia="Calibri" w:hAnsi="Times New Roman" w:cs="Times New Roman"/>
          <w:color w:val="000000"/>
          <w:highlight w:val="lightGray"/>
          <w:lang w:eastAsia="ar-SA"/>
        </w:rPr>
      </w:pPr>
      <w:r w:rsidRPr="00B92E23">
        <w:rPr>
          <w:rFonts w:ascii="Times New Roman" w:hAnsi="Times New Roman"/>
          <w:color w:val="000000"/>
          <w:highlight w:val="lightGray"/>
        </w:rPr>
        <w:t>Kartono dėžutė, kurioje yra</w:t>
      </w:r>
      <w:r w:rsidRPr="00B92E23">
        <w:rPr>
          <w:rFonts w:ascii="Times New Roman" w:eastAsia="Calibri" w:hAnsi="Times New Roman" w:cs="Times New Roman"/>
          <w:color w:val="000000"/>
          <w:highlight w:val="lightGray"/>
          <w:lang w:eastAsia="ar-SA"/>
        </w:rPr>
        <w:t xml:space="preserve"> 10 plėvele dengt</w:t>
      </w:r>
      <w:r w:rsidR="00205CE6" w:rsidRPr="00B92E23">
        <w:rPr>
          <w:rFonts w:ascii="Times New Roman" w:eastAsia="Calibri" w:hAnsi="Times New Roman" w:cs="Times New Roman"/>
          <w:color w:val="000000"/>
          <w:highlight w:val="lightGray"/>
          <w:lang w:eastAsia="ar-SA"/>
        </w:rPr>
        <w:t>ų</w:t>
      </w:r>
      <w:r w:rsidRPr="00B92E23">
        <w:rPr>
          <w:rFonts w:ascii="Times New Roman" w:eastAsia="Calibri" w:hAnsi="Times New Roman" w:cs="Times New Roman"/>
          <w:color w:val="000000"/>
          <w:highlight w:val="lightGray"/>
          <w:lang w:eastAsia="ar-SA"/>
        </w:rPr>
        <w:t xml:space="preserve"> table</w:t>
      </w:r>
      <w:r w:rsidR="00205CE6" w:rsidRPr="00B92E23">
        <w:rPr>
          <w:rFonts w:ascii="Times New Roman" w:eastAsia="Calibri" w:hAnsi="Times New Roman" w:cs="Times New Roman"/>
          <w:color w:val="000000"/>
          <w:highlight w:val="lightGray"/>
          <w:lang w:eastAsia="ar-SA"/>
        </w:rPr>
        <w:t>čių</w:t>
      </w:r>
      <w:r w:rsidRPr="00B92E23">
        <w:rPr>
          <w:rFonts w:ascii="Times New Roman" w:eastAsia="Calibri" w:hAnsi="Times New Roman" w:cs="Times New Roman"/>
          <w:color w:val="000000"/>
          <w:highlight w:val="lightGray"/>
          <w:lang w:eastAsia="ar-SA"/>
        </w:rPr>
        <w:t xml:space="preserve"> 1 kalendorinėje lizdinėje plokštelėje</w:t>
      </w:r>
      <w:r w:rsidR="00205CE6" w:rsidRPr="00B92E23">
        <w:rPr>
          <w:rFonts w:ascii="Times New Roman" w:eastAsia="Calibri" w:hAnsi="Times New Roman" w:cs="Times New Roman"/>
          <w:color w:val="000000"/>
          <w:highlight w:val="lightGray"/>
          <w:lang w:eastAsia="ar-SA"/>
        </w:rPr>
        <w:t>.</w:t>
      </w:r>
    </w:p>
    <w:p w14:paraId="44EB0637"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highlight w:val="lightGray"/>
          <w:lang w:eastAsia="ar-SA"/>
        </w:rPr>
        <w:t xml:space="preserve">Kartono dėžutė, kurioje yra </w:t>
      </w:r>
      <w:r w:rsidR="005F40C3" w:rsidRPr="00B92E23">
        <w:rPr>
          <w:rFonts w:ascii="Times New Roman" w:eastAsia="Calibri" w:hAnsi="Times New Roman" w:cs="Times New Roman"/>
          <w:color w:val="000000"/>
          <w:highlight w:val="lightGray"/>
          <w:lang w:eastAsia="ar-SA"/>
        </w:rPr>
        <w:t xml:space="preserve">10 x 1 ir </w:t>
      </w:r>
      <w:r w:rsidRPr="00B92E23">
        <w:rPr>
          <w:rFonts w:ascii="Times New Roman" w:eastAsia="Calibri" w:hAnsi="Times New Roman" w:cs="Times New Roman"/>
          <w:color w:val="000000"/>
          <w:highlight w:val="lightGray"/>
          <w:lang w:eastAsia="ar-SA"/>
        </w:rPr>
        <w:t>30 x 1 plėvele dengtų tablečių perforuotose dalomosiose lizdinėse plokštelėse.</w:t>
      </w:r>
    </w:p>
    <w:p w14:paraId="075A5209"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highlight w:val="lightGray"/>
          <w:lang w:eastAsia="ar-SA"/>
        </w:rPr>
        <w:t>Kartono dėžutė, kurioje yra vienas buteliukas. Jame yra 30 plėvele dengtų tablečių.</w:t>
      </w:r>
    </w:p>
    <w:p w14:paraId="2F09E5E2" w14:textId="77777777" w:rsidR="00ED7DC3" w:rsidRPr="001D3C3D" w:rsidRDefault="00ED7DC3" w:rsidP="00ED7DC3">
      <w:pPr>
        <w:suppressAutoHyphens/>
        <w:spacing w:after="0" w:line="240" w:lineRule="auto"/>
        <w:rPr>
          <w:rFonts w:ascii="Times New Roman" w:eastAsia="Calibri" w:hAnsi="Times New Roman" w:cs="Times New Roman"/>
          <w:color w:val="000000"/>
          <w:sz w:val="16"/>
          <w:szCs w:val="16"/>
          <w:lang w:eastAsia="ar-SA"/>
        </w:rPr>
      </w:pPr>
    </w:p>
    <w:p w14:paraId="29C4D4F0"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Calibri" w:hAnsi="Times New Roman" w:cs="Times New Roman"/>
          <w:color w:val="000000"/>
          <w:lang w:eastAsia="ar-SA"/>
        </w:rPr>
        <w:t>Gali būti tiekiamos ne visų dydžių pakuotės.</w:t>
      </w:r>
    </w:p>
    <w:p w14:paraId="7F29B9C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EC7EE49"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6.6</w:t>
      </w:r>
      <w:r w:rsidRPr="001D3C3D">
        <w:rPr>
          <w:rFonts w:ascii="Times New Roman" w:eastAsia="SimSun" w:hAnsi="Times New Roman" w:cs="Times New Roman"/>
          <w:b/>
          <w:color w:val="000000"/>
          <w:lang w:eastAsia="ar-SA"/>
        </w:rPr>
        <w:tab/>
        <w:t>Specialūs reikalavimai atliekoms tvarkyti ir vaistiniam preparatui ruošti</w:t>
      </w:r>
    </w:p>
    <w:p w14:paraId="570D6A5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38B492B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Plėvele dengtos tabletės sudarytos iš šerdies ir ją apsupančio plėvelinio dangalo, kad sveikatos priežiūros specialistai būtų apsaugoti nuo kontakto su veikliąja medžiaga. Jeigu plėvele dengtos tabletės netyčia sutraiškomos ar sulaužomos, sveikatos priežiūros specialistas turi mūvėti vienkartines chemoterapines pirštines, kad tinkamai tvarkant vaistinio preparato atliekas poveikis odai būtų sumažintas iki minimumo.</w:t>
      </w:r>
    </w:p>
    <w:p w14:paraId="026E83C1"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64C138D6"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Nesuvartotą vaistinį preparatą ar atliekas reikia tvarkyti laikantis vietinių reikalavimų</w:t>
      </w:r>
      <w:r w:rsidRPr="001D3C3D">
        <w:rPr>
          <w:rFonts w:ascii="Times New Roman" w:eastAsia="SimSun" w:hAnsi="Times New Roman" w:cs="Times New Roman"/>
          <w:color w:val="000000"/>
          <w:lang w:eastAsia="ar-SA"/>
        </w:rPr>
        <w:t>.</w:t>
      </w:r>
    </w:p>
    <w:p w14:paraId="63AE4CA6" w14:textId="77777777" w:rsidR="00ED7DC3" w:rsidRPr="001D3C3D" w:rsidRDefault="00ED7DC3" w:rsidP="00ED7DC3">
      <w:pPr>
        <w:suppressAutoHyphens/>
        <w:spacing w:after="0" w:line="240" w:lineRule="auto"/>
        <w:rPr>
          <w:rFonts w:ascii="Times New Roman" w:eastAsia="SimSun" w:hAnsi="Times New Roman" w:cs="Times New Roman"/>
          <w:color w:val="000000"/>
          <w:sz w:val="16"/>
          <w:szCs w:val="16"/>
          <w:lang w:eastAsia="ar-SA"/>
        </w:rPr>
      </w:pPr>
    </w:p>
    <w:p w14:paraId="30BF642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97222EE" w14:textId="77777777" w:rsidR="00ED7DC3" w:rsidRPr="001D3C3D" w:rsidRDefault="00ED7DC3" w:rsidP="00205CE6">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7.</w:t>
      </w:r>
      <w:r w:rsidRPr="001D3C3D">
        <w:rPr>
          <w:rFonts w:ascii="Times New Roman" w:eastAsia="SimSun" w:hAnsi="Times New Roman" w:cs="Times New Roman"/>
          <w:b/>
          <w:color w:val="000000"/>
          <w:lang w:eastAsia="ar-SA"/>
        </w:rPr>
        <w:tab/>
        <w:t>REGISTRUOTOJAS</w:t>
      </w:r>
    </w:p>
    <w:p w14:paraId="6AB2DA7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A74683D"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Sandoz d.d.</w:t>
      </w:r>
    </w:p>
    <w:p w14:paraId="0ECFD7E9"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Verovškova 57</w:t>
      </w:r>
    </w:p>
    <w:p w14:paraId="569AC0C3"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SI-1000 Ljubljana</w:t>
      </w:r>
    </w:p>
    <w:p w14:paraId="09E1DEBF" w14:textId="77777777" w:rsidR="00ED7DC3" w:rsidRPr="001D3C3D" w:rsidRDefault="00ED7DC3" w:rsidP="00ED7DC3">
      <w:pPr>
        <w:tabs>
          <w:tab w:val="left" w:pos="425"/>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Slovėnija</w:t>
      </w:r>
    </w:p>
    <w:p w14:paraId="392AFA1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sz w:val="16"/>
          <w:szCs w:val="16"/>
          <w:lang w:eastAsia="ar-SA"/>
        </w:rPr>
      </w:pPr>
    </w:p>
    <w:p w14:paraId="40C805E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496B9A5"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8.</w:t>
      </w:r>
      <w:r w:rsidRPr="001D3C3D">
        <w:rPr>
          <w:rFonts w:ascii="Times New Roman" w:eastAsia="SimSun" w:hAnsi="Times New Roman" w:cs="Times New Roman"/>
          <w:b/>
          <w:color w:val="000000"/>
          <w:lang w:eastAsia="ar-SA"/>
        </w:rPr>
        <w:tab/>
        <w:t xml:space="preserve">REGISTRACIJOS PAŽYMĖJIMO NUMERIS (-IAI) </w:t>
      </w:r>
    </w:p>
    <w:p w14:paraId="355CC32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tbl>
      <w:tblPr>
        <w:tblStyle w:val="Lentelstinklelis"/>
        <w:tblW w:w="0" w:type="auto"/>
        <w:tblLook w:val="04A0" w:firstRow="1" w:lastRow="0" w:firstColumn="1" w:lastColumn="0" w:noHBand="0" w:noVBand="1"/>
      </w:tblPr>
      <w:tblGrid>
        <w:gridCol w:w="3020"/>
        <w:gridCol w:w="3020"/>
        <w:gridCol w:w="3020"/>
      </w:tblGrid>
      <w:tr w:rsidR="00652883" w:rsidRPr="001D3C3D" w14:paraId="33DAED22" w14:textId="77777777" w:rsidTr="00C80156">
        <w:tc>
          <w:tcPr>
            <w:tcW w:w="3020" w:type="dxa"/>
            <w:tcBorders>
              <w:top w:val="nil"/>
              <w:left w:val="nil"/>
              <w:bottom w:val="nil"/>
              <w:right w:val="nil"/>
            </w:tcBorders>
          </w:tcPr>
          <w:p w14:paraId="3CF0F3BA" w14:textId="4666A902" w:rsidR="00652883" w:rsidRPr="001D3C3D" w:rsidRDefault="00652883" w:rsidP="00652883">
            <w:pPr>
              <w:tabs>
                <w:tab w:val="left" w:pos="567"/>
              </w:tabs>
              <w:suppressAutoHyphens/>
              <w:ind w:left="-113" w:right="-113"/>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20</w:t>
            </w:r>
            <w:r w:rsidR="007246D6">
              <w:rPr>
                <w:rFonts w:ascii="Times New Roman" w:eastAsia="SimSun" w:hAnsi="Times New Roman" w:cs="Times New Roman"/>
                <w:color w:val="000000"/>
                <w:u w:val="single"/>
                <w:lang w:eastAsia="ar-SA"/>
              </w:rPr>
              <w:t> </w:t>
            </w:r>
            <w:r w:rsidRPr="001D3C3D">
              <w:rPr>
                <w:rFonts w:ascii="Times New Roman" w:eastAsia="SimSun" w:hAnsi="Times New Roman" w:cs="Times New Roman"/>
                <w:color w:val="000000"/>
                <w:u w:val="single"/>
                <w:lang w:eastAsia="ar-SA"/>
              </w:rPr>
              <w:t>mg</w:t>
            </w:r>
          </w:p>
          <w:p w14:paraId="02C302F6"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Lizdinė plokštelė (kalendorinė):</w:t>
            </w:r>
          </w:p>
          <w:p w14:paraId="0E55496C"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LT/1/18/4281/001 – N56</w:t>
            </w:r>
          </w:p>
          <w:p w14:paraId="78EE7499" w14:textId="44F28D5F"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LT/1/18/4281/004 – N12</w:t>
            </w:r>
          </w:p>
          <w:p w14:paraId="28264204"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p>
          <w:p w14:paraId="6C973168"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Dalomoji lizdinė plokštelė</w:t>
            </w:r>
          </w:p>
          <w:p w14:paraId="3B6C3289"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LT/1/18/4281/002 – N60x1</w:t>
            </w:r>
          </w:p>
          <w:p w14:paraId="40DB9161"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LT/1/18/4281/005 – N12x1</w:t>
            </w:r>
          </w:p>
          <w:p w14:paraId="42651E64"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Buteliukas:</w:t>
            </w:r>
          </w:p>
          <w:p w14:paraId="35732470" w14:textId="3C4BA83D"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LT/1/18/4281/003 – N60</w:t>
            </w:r>
          </w:p>
        </w:tc>
        <w:tc>
          <w:tcPr>
            <w:tcW w:w="3020" w:type="dxa"/>
            <w:tcBorders>
              <w:top w:val="nil"/>
              <w:left w:val="nil"/>
              <w:bottom w:val="nil"/>
              <w:right w:val="nil"/>
            </w:tcBorders>
          </w:tcPr>
          <w:p w14:paraId="390C665E" w14:textId="6B6E9288" w:rsidR="00652883" w:rsidRPr="001D3C3D" w:rsidRDefault="00652883" w:rsidP="00652883">
            <w:pPr>
              <w:tabs>
                <w:tab w:val="left" w:pos="567"/>
              </w:tabs>
              <w:suppressAutoHyphens/>
              <w:ind w:left="-113" w:right="-113"/>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50</w:t>
            </w:r>
            <w:r w:rsidR="007246D6">
              <w:rPr>
                <w:rFonts w:ascii="Times New Roman" w:eastAsia="SimSun" w:hAnsi="Times New Roman" w:cs="Times New Roman"/>
                <w:color w:val="000000"/>
                <w:u w:val="single"/>
                <w:lang w:eastAsia="ar-SA"/>
              </w:rPr>
              <w:t> </w:t>
            </w:r>
            <w:r w:rsidRPr="001D3C3D">
              <w:rPr>
                <w:rFonts w:ascii="Times New Roman" w:eastAsia="SimSun" w:hAnsi="Times New Roman" w:cs="Times New Roman"/>
                <w:color w:val="000000"/>
                <w:u w:val="single"/>
                <w:lang w:eastAsia="ar-SA"/>
              </w:rPr>
              <w:t>mg</w:t>
            </w:r>
          </w:p>
          <w:p w14:paraId="2BC0051B"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Lizdinė plokštelė (kalendorinė):</w:t>
            </w:r>
          </w:p>
          <w:p w14:paraId="0090B84D"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LT/1/18/4282/001 – N56</w:t>
            </w:r>
          </w:p>
          <w:p w14:paraId="4AFB0D22" w14:textId="61095444"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LT/1/18/4282/004 – N12</w:t>
            </w:r>
          </w:p>
          <w:p w14:paraId="3DF28DA5" w14:textId="77777777"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p>
          <w:p w14:paraId="6DAEABFF" w14:textId="61D1D9C0"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Dalomoji lizdinė plokštelė:</w:t>
            </w:r>
          </w:p>
          <w:p w14:paraId="47273BAB"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LT/1/18/4282/002 – N60x1</w:t>
            </w:r>
          </w:p>
          <w:p w14:paraId="4728E7E9"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LT/1/18/4282/005 – N12x1</w:t>
            </w:r>
          </w:p>
          <w:p w14:paraId="0755B8DA"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Buteliukas:</w:t>
            </w:r>
          </w:p>
          <w:p w14:paraId="1D49AED0" w14:textId="7EA1498D" w:rsidR="00652883" w:rsidRPr="001D3C3D" w:rsidRDefault="00652883" w:rsidP="00652883">
            <w:pPr>
              <w:tabs>
                <w:tab w:val="left" w:pos="567"/>
              </w:tabs>
              <w:suppressAutoHyphens/>
              <w:spacing w:after="120"/>
              <w:ind w:left="-113" w:right="-113"/>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LT/1/18/4282/003 – N60</w:t>
            </w:r>
          </w:p>
        </w:tc>
        <w:tc>
          <w:tcPr>
            <w:tcW w:w="3020" w:type="dxa"/>
            <w:tcBorders>
              <w:top w:val="nil"/>
              <w:left w:val="nil"/>
              <w:bottom w:val="nil"/>
              <w:right w:val="nil"/>
            </w:tcBorders>
          </w:tcPr>
          <w:p w14:paraId="409635AD"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70 mg</w:t>
            </w:r>
          </w:p>
          <w:p w14:paraId="5D960D74"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Lizdinė plokštelė (kalendorinė):</w:t>
            </w:r>
          </w:p>
          <w:p w14:paraId="608F12A6"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LT/1/18/4283/001 – N56</w:t>
            </w:r>
          </w:p>
          <w:p w14:paraId="6BCB5FA4" w14:textId="1D30BDB9"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LT/1/18/4283/004 – N12</w:t>
            </w:r>
          </w:p>
          <w:p w14:paraId="71EB2052"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p>
          <w:p w14:paraId="742101A6"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Dalomoji lizdinė plokštelė:</w:t>
            </w:r>
          </w:p>
          <w:p w14:paraId="31492CE0"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LT/1/18/4283/002 – N60x1</w:t>
            </w:r>
          </w:p>
          <w:p w14:paraId="5F4B52AF"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LT/1/18/4283/005 – N12x1</w:t>
            </w:r>
          </w:p>
          <w:p w14:paraId="67AFDE16"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Buteliukas:</w:t>
            </w:r>
          </w:p>
          <w:p w14:paraId="2EC41809" w14:textId="60E7DC04"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LT/1/18/4283/003 – N60</w:t>
            </w:r>
          </w:p>
        </w:tc>
      </w:tr>
      <w:tr w:rsidR="00652883" w:rsidRPr="001D3C3D" w14:paraId="4F1D3B85" w14:textId="77777777" w:rsidTr="00C80156">
        <w:tc>
          <w:tcPr>
            <w:tcW w:w="3020" w:type="dxa"/>
            <w:tcBorders>
              <w:top w:val="nil"/>
              <w:left w:val="nil"/>
              <w:bottom w:val="nil"/>
              <w:right w:val="nil"/>
            </w:tcBorders>
          </w:tcPr>
          <w:p w14:paraId="574F8A9E"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80 mg</w:t>
            </w:r>
          </w:p>
          <w:p w14:paraId="2185AA37"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lang w:eastAsia="ar-SA"/>
              </w:rPr>
              <w:t>Dalomoji lizdinė plokštelė</w:t>
            </w:r>
            <w:r w:rsidRPr="001D3C3D">
              <w:rPr>
                <w:rFonts w:ascii="Times New Roman" w:eastAsia="Times New Roman" w:hAnsi="Times New Roman" w:cs="Times New Roman"/>
                <w:color w:val="000000"/>
                <w:lang w:eastAsia="ar-SA"/>
              </w:rPr>
              <w:t>:</w:t>
            </w:r>
          </w:p>
          <w:p w14:paraId="1FDFB927"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LT/1/18/4284/001 – N30x1</w:t>
            </w:r>
          </w:p>
          <w:p w14:paraId="64CED758"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LT/1/18/4284/004 – N10x1</w:t>
            </w:r>
          </w:p>
          <w:p w14:paraId="6E28446D"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lang w:eastAsia="ar-SA"/>
              </w:rPr>
              <w:t>Buteliukas</w:t>
            </w:r>
            <w:r w:rsidRPr="001D3C3D">
              <w:rPr>
                <w:rFonts w:ascii="Times New Roman" w:eastAsia="Times New Roman" w:hAnsi="Times New Roman" w:cs="Times New Roman"/>
                <w:color w:val="000000"/>
                <w:lang w:eastAsia="ar-SA"/>
              </w:rPr>
              <w:t>:</w:t>
            </w:r>
          </w:p>
          <w:p w14:paraId="19D5F44C"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LT/1/18/4284/002 – N30</w:t>
            </w:r>
          </w:p>
          <w:p w14:paraId="4009D443"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Lizdinė plokštelė (kalendorinė):</w:t>
            </w:r>
          </w:p>
          <w:p w14:paraId="70C7FF59" w14:textId="5420E136" w:rsidR="00652883" w:rsidRPr="001D3C3D" w:rsidRDefault="00652883" w:rsidP="00652883">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LT/1/18/4284/003 – N10</w:t>
            </w:r>
          </w:p>
        </w:tc>
        <w:tc>
          <w:tcPr>
            <w:tcW w:w="3020" w:type="dxa"/>
            <w:tcBorders>
              <w:top w:val="nil"/>
              <w:left w:val="nil"/>
              <w:bottom w:val="nil"/>
              <w:right w:val="nil"/>
            </w:tcBorders>
          </w:tcPr>
          <w:p w14:paraId="5F839938" w14:textId="77777777" w:rsidR="00652883" w:rsidRPr="001D3C3D" w:rsidRDefault="00652883" w:rsidP="00652883">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100 mg</w:t>
            </w:r>
          </w:p>
          <w:p w14:paraId="1326E2D8" w14:textId="77777777" w:rsidR="00C80156" w:rsidRPr="001D3C3D" w:rsidRDefault="00C80156" w:rsidP="00C80156">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Dalomoji lizdinė plokštelė:</w:t>
            </w:r>
          </w:p>
          <w:p w14:paraId="55D92D84" w14:textId="77777777" w:rsidR="00C80156" w:rsidRPr="001D3C3D" w:rsidRDefault="00C80156" w:rsidP="00C80156">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LT/1/18/4285/001 – N30x1</w:t>
            </w:r>
          </w:p>
          <w:p w14:paraId="07B411E0" w14:textId="621A655D" w:rsidR="00C80156" w:rsidRPr="001D3C3D" w:rsidRDefault="00C80156" w:rsidP="00C80156">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LT/1/18/4285/004 – N1</w:t>
            </w:r>
            <w:r w:rsidR="0073372D" w:rsidRPr="001D3C3D">
              <w:rPr>
                <w:rFonts w:ascii="Times New Roman" w:eastAsia="Times New Roman" w:hAnsi="Times New Roman" w:cs="Times New Roman"/>
                <w:color w:val="000000"/>
                <w:lang w:eastAsia="ar-SA"/>
              </w:rPr>
              <w:t>0</w:t>
            </w:r>
            <w:r w:rsidRPr="001D3C3D">
              <w:rPr>
                <w:rFonts w:ascii="Times New Roman" w:eastAsia="Times New Roman" w:hAnsi="Times New Roman" w:cs="Times New Roman"/>
                <w:color w:val="000000"/>
                <w:lang w:eastAsia="ar-SA"/>
              </w:rPr>
              <w:t>x1</w:t>
            </w:r>
          </w:p>
          <w:p w14:paraId="221E6796" w14:textId="77777777" w:rsidR="00C80156" w:rsidRPr="001D3C3D" w:rsidRDefault="00C80156" w:rsidP="00C80156">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Buteliukas:</w:t>
            </w:r>
          </w:p>
          <w:p w14:paraId="0BD2EEFE" w14:textId="77777777" w:rsidR="00652883" w:rsidRPr="001D3C3D" w:rsidRDefault="00C80156" w:rsidP="00C80156">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LT/1/18/4285/002 – N30</w:t>
            </w:r>
          </w:p>
          <w:p w14:paraId="3E682E0D" w14:textId="02AC37EC" w:rsidR="0073372D" w:rsidRPr="001D3C3D" w:rsidRDefault="0073372D" w:rsidP="0073372D">
            <w:pPr>
              <w:tabs>
                <w:tab w:val="left" w:pos="567"/>
              </w:tabs>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Lizdinė plokštelė (kalendorinė):</w:t>
            </w:r>
          </w:p>
          <w:p w14:paraId="439BFCE8" w14:textId="4D506EAA" w:rsidR="0073372D" w:rsidRPr="001D3C3D" w:rsidRDefault="0073372D" w:rsidP="0073372D">
            <w:pPr>
              <w:tabs>
                <w:tab w:val="left" w:pos="567"/>
              </w:tabs>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lang w:eastAsia="ar-SA"/>
              </w:rPr>
              <w:t>LT/1/18/4285/003 – N10</w:t>
            </w:r>
          </w:p>
        </w:tc>
        <w:tc>
          <w:tcPr>
            <w:tcW w:w="3020" w:type="dxa"/>
            <w:tcBorders>
              <w:top w:val="nil"/>
              <w:left w:val="nil"/>
              <w:bottom w:val="nil"/>
              <w:right w:val="nil"/>
            </w:tcBorders>
          </w:tcPr>
          <w:p w14:paraId="525594B7" w14:textId="77777777" w:rsidR="00652883" w:rsidRPr="001D3C3D" w:rsidRDefault="00652883" w:rsidP="00652883">
            <w:pPr>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140 mg</w:t>
            </w:r>
          </w:p>
          <w:p w14:paraId="383707C6" w14:textId="77777777" w:rsidR="00652883" w:rsidRPr="001D3C3D" w:rsidRDefault="00652883" w:rsidP="00652883">
            <w:pPr>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Dalomoji lizdinė plokštelė:</w:t>
            </w:r>
          </w:p>
          <w:p w14:paraId="323201DC" w14:textId="77777777" w:rsidR="00652883" w:rsidRPr="001D3C3D" w:rsidRDefault="00652883" w:rsidP="00652883">
            <w:pPr>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LT/1/18/4286/001 – N30x1</w:t>
            </w:r>
          </w:p>
          <w:p w14:paraId="437E20F9" w14:textId="77777777" w:rsidR="00652883" w:rsidRPr="001D3C3D" w:rsidRDefault="00652883" w:rsidP="00652883">
            <w:pPr>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LT/1/18/4286/004 – N10x1</w:t>
            </w:r>
          </w:p>
          <w:p w14:paraId="58C3D84E" w14:textId="77777777" w:rsidR="00652883" w:rsidRPr="001D3C3D" w:rsidRDefault="00652883" w:rsidP="00652883">
            <w:pPr>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Buteliukas:</w:t>
            </w:r>
          </w:p>
          <w:p w14:paraId="6C4E1F18" w14:textId="77777777" w:rsidR="00652883" w:rsidRPr="001D3C3D" w:rsidRDefault="00652883" w:rsidP="00652883">
            <w:pPr>
              <w:suppressAutoHyphens/>
              <w:ind w:left="-113" w:right="-113"/>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LT/1/18/4286/002 – N30</w:t>
            </w:r>
          </w:p>
          <w:p w14:paraId="0C0BD81A" w14:textId="77777777" w:rsidR="00652883" w:rsidRPr="001D3C3D" w:rsidRDefault="00652883" w:rsidP="00652883">
            <w:pPr>
              <w:suppressAutoHyphens/>
              <w:ind w:left="-113" w:right="-113"/>
              <w:rPr>
                <w:rFonts w:ascii="Times New Roman" w:eastAsia="Times New Roman" w:hAnsi="Times New Roman" w:cs="Times New Roman"/>
                <w:color w:val="000000"/>
                <w:u w:val="single"/>
                <w:lang w:eastAsia="ar-SA"/>
              </w:rPr>
            </w:pPr>
            <w:r w:rsidRPr="001D3C3D">
              <w:rPr>
                <w:rFonts w:ascii="Times New Roman" w:eastAsia="Times New Roman" w:hAnsi="Times New Roman" w:cs="Times New Roman"/>
                <w:color w:val="000000"/>
                <w:u w:val="single"/>
                <w:lang w:eastAsia="ar-SA"/>
              </w:rPr>
              <w:t>Lizdinė plokštelė (kalendorinė):</w:t>
            </w:r>
          </w:p>
          <w:p w14:paraId="5242289F" w14:textId="3D6E2501" w:rsidR="00652883" w:rsidRPr="001D3C3D" w:rsidRDefault="00652883" w:rsidP="00652883">
            <w:pPr>
              <w:tabs>
                <w:tab w:val="left" w:pos="567"/>
              </w:tabs>
              <w:suppressAutoHyphens/>
              <w:ind w:left="-113" w:right="-113"/>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LT/1/18/4286/003 – N10</w:t>
            </w:r>
          </w:p>
        </w:tc>
      </w:tr>
    </w:tbl>
    <w:p w14:paraId="574C0A38" w14:textId="1B30FDA2" w:rsidR="00652883" w:rsidRPr="001D3C3D" w:rsidRDefault="00652883" w:rsidP="00ED7DC3">
      <w:pPr>
        <w:tabs>
          <w:tab w:val="left" w:pos="567"/>
        </w:tabs>
        <w:suppressAutoHyphens/>
        <w:spacing w:after="0" w:line="240" w:lineRule="auto"/>
        <w:rPr>
          <w:rFonts w:ascii="Times New Roman" w:eastAsia="SimSun" w:hAnsi="Times New Roman" w:cs="Times New Roman"/>
          <w:color w:val="000000"/>
          <w:lang w:eastAsia="ar-SA"/>
        </w:rPr>
      </w:pPr>
    </w:p>
    <w:p w14:paraId="417EE9EC" w14:textId="77777777" w:rsidR="00652883" w:rsidRPr="001D3C3D" w:rsidRDefault="00652883" w:rsidP="00ED7DC3">
      <w:pPr>
        <w:tabs>
          <w:tab w:val="left" w:pos="567"/>
        </w:tabs>
        <w:suppressAutoHyphens/>
        <w:spacing w:after="0" w:line="240" w:lineRule="auto"/>
        <w:rPr>
          <w:rFonts w:ascii="Times New Roman" w:eastAsia="SimSun" w:hAnsi="Times New Roman" w:cs="Times New Roman"/>
          <w:color w:val="000000"/>
          <w:lang w:eastAsia="ar-SA"/>
        </w:rPr>
      </w:pPr>
    </w:p>
    <w:p w14:paraId="53498011" w14:textId="77777777" w:rsidR="00ED7DC3" w:rsidRPr="001D3C3D" w:rsidRDefault="00ED7DC3" w:rsidP="00205CE6">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color w:val="000000"/>
          <w:lang w:eastAsia="ar-SA"/>
        </w:rPr>
        <w:t>9.</w:t>
      </w:r>
      <w:r w:rsidRPr="001D3C3D">
        <w:rPr>
          <w:rFonts w:ascii="Times New Roman" w:eastAsia="SimSun" w:hAnsi="Times New Roman" w:cs="Times New Roman"/>
          <w:b/>
          <w:color w:val="000000"/>
          <w:lang w:eastAsia="ar-SA"/>
        </w:rPr>
        <w:tab/>
      </w:r>
      <w:r w:rsidRPr="001D3C3D">
        <w:rPr>
          <w:rFonts w:ascii="Times New Roman" w:eastAsia="Times New Roman" w:hAnsi="Times New Roman" w:cs="Times New Roman"/>
          <w:b/>
          <w:color w:val="000000"/>
          <w:lang w:eastAsia="ar-SA"/>
        </w:rPr>
        <w:t>REGISTRAVIMO / PERREGISTRAVIMO DATA</w:t>
      </w:r>
    </w:p>
    <w:p w14:paraId="45C2E976"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p>
    <w:p w14:paraId="6183332D" w14:textId="526DA6A1"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Registravimo data 2018</w:t>
      </w:r>
      <w:r w:rsidR="007246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m. spalio 26</w:t>
      </w:r>
      <w:r w:rsidR="007246D6">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d.</w:t>
      </w:r>
    </w:p>
    <w:p w14:paraId="75505090" w14:textId="79103E48" w:rsidR="00D70528" w:rsidRPr="001D3C3D" w:rsidRDefault="00DA40B7" w:rsidP="00D70528">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color w:val="000000"/>
          <w:lang w:eastAsia="ar-SA"/>
        </w:rPr>
        <w:t>Paskutinio p</w:t>
      </w:r>
      <w:r w:rsidR="00B44CBE" w:rsidRPr="001D3C3D">
        <w:rPr>
          <w:rFonts w:ascii="Times New Roman" w:eastAsia="SimSun" w:hAnsi="Times New Roman" w:cs="Times New Roman"/>
          <w:color w:val="000000"/>
          <w:lang w:eastAsia="ar-SA"/>
        </w:rPr>
        <w:t xml:space="preserve">erregistravimo data </w:t>
      </w:r>
      <w:r w:rsidR="00D70528" w:rsidRPr="001D3C3D">
        <w:rPr>
          <w:rFonts w:ascii="Times New Roman" w:eastAsia="SimSun" w:hAnsi="Times New Roman" w:cs="Times New Roman"/>
          <w:color w:val="000000"/>
          <w:lang w:eastAsia="ar-SA"/>
        </w:rPr>
        <w:t>2023</w:t>
      </w:r>
      <w:r w:rsidR="007246D6">
        <w:rPr>
          <w:rFonts w:ascii="Times New Roman" w:eastAsia="SimSun" w:hAnsi="Times New Roman" w:cs="Times New Roman"/>
          <w:color w:val="000000"/>
          <w:lang w:eastAsia="ar-SA"/>
        </w:rPr>
        <w:t> </w:t>
      </w:r>
      <w:r w:rsidR="00D70528" w:rsidRPr="001D3C3D">
        <w:rPr>
          <w:rFonts w:ascii="Times New Roman" w:eastAsia="SimSun" w:hAnsi="Times New Roman" w:cs="Times New Roman"/>
          <w:color w:val="000000"/>
          <w:lang w:eastAsia="ar-SA"/>
        </w:rPr>
        <w:t>m. vasario 13</w:t>
      </w:r>
      <w:r w:rsidR="007246D6">
        <w:rPr>
          <w:rFonts w:ascii="Times New Roman" w:eastAsia="SimSun" w:hAnsi="Times New Roman" w:cs="Times New Roman"/>
          <w:color w:val="000000"/>
          <w:lang w:eastAsia="ar-SA"/>
        </w:rPr>
        <w:t> </w:t>
      </w:r>
      <w:r w:rsidR="00D70528" w:rsidRPr="001D3C3D">
        <w:rPr>
          <w:rFonts w:ascii="Times New Roman" w:eastAsia="SimSun" w:hAnsi="Times New Roman" w:cs="Times New Roman"/>
          <w:color w:val="000000"/>
          <w:lang w:eastAsia="ar-SA"/>
        </w:rPr>
        <w:t>d.</w:t>
      </w:r>
    </w:p>
    <w:p w14:paraId="014F20FD" w14:textId="252FA138"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AAB8D8E" w14:textId="77777777" w:rsidR="00DA40B7" w:rsidRPr="001D3C3D" w:rsidRDefault="00DA40B7" w:rsidP="00ED7DC3">
      <w:pPr>
        <w:tabs>
          <w:tab w:val="left" w:pos="567"/>
        </w:tabs>
        <w:suppressAutoHyphens/>
        <w:spacing w:after="0" w:line="240" w:lineRule="auto"/>
        <w:rPr>
          <w:rFonts w:ascii="Times New Roman" w:eastAsia="SimSun" w:hAnsi="Times New Roman" w:cs="Times New Roman"/>
          <w:color w:val="000000"/>
          <w:lang w:eastAsia="ar-SA"/>
        </w:rPr>
      </w:pPr>
    </w:p>
    <w:p w14:paraId="526466F0"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10.</w:t>
      </w:r>
      <w:r w:rsidRPr="001D3C3D">
        <w:rPr>
          <w:rFonts w:ascii="Times New Roman" w:eastAsia="SimSun" w:hAnsi="Times New Roman" w:cs="Times New Roman"/>
          <w:b/>
          <w:color w:val="000000"/>
          <w:lang w:eastAsia="ar-SA"/>
        </w:rPr>
        <w:tab/>
        <w:t>TEKSTO PERŽIŪROS DATA</w:t>
      </w:r>
    </w:p>
    <w:p w14:paraId="70CDE7DE" w14:textId="4562F3B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C6206AB" w14:textId="0FC5B8C8" w:rsidR="00ED7DC3" w:rsidRPr="001D3C3D" w:rsidRDefault="00B92E23" w:rsidP="00ED7DC3">
      <w:pPr>
        <w:tabs>
          <w:tab w:val="left" w:pos="567"/>
        </w:tabs>
        <w:suppressAutoHyphens/>
        <w:spacing w:after="0" w:line="240" w:lineRule="auto"/>
        <w:rPr>
          <w:rFonts w:ascii="Times New Roman" w:eastAsia="SimSun" w:hAnsi="Times New Roman" w:cs="Times New Roman"/>
          <w:color w:val="000000"/>
          <w:lang w:eastAsia="ar-SA"/>
        </w:rPr>
      </w:pPr>
      <w:r>
        <w:rPr>
          <w:rFonts w:ascii="Times New Roman" w:eastAsia="SimSun" w:hAnsi="Times New Roman" w:cs="Times New Roman"/>
          <w:color w:val="000000"/>
          <w:lang w:eastAsia="ar-SA"/>
        </w:rPr>
        <w:t>2023 m. birželio 15 d.</w:t>
      </w:r>
    </w:p>
    <w:p w14:paraId="38CA3C60" w14:textId="77777777" w:rsidR="00344520" w:rsidRDefault="00344520" w:rsidP="00ED7DC3">
      <w:pPr>
        <w:tabs>
          <w:tab w:val="left" w:pos="567"/>
        </w:tabs>
        <w:suppressAutoHyphens/>
        <w:spacing w:after="0" w:line="240" w:lineRule="auto"/>
        <w:rPr>
          <w:rFonts w:ascii="Times New Roman" w:eastAsia="SimSun" w:hAnsi="Times New Roman" w:cs="Times New Roman"/>
          <w:color w:val="000000"/>
          <w:lang w:eastAsia="ar-SA"/>
        </w:rPr>
      </w:pPr>
    </w:p>
    <w:p w14:paraId="27A679F5" w14:textId="212237FA"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SimSun" w:hAnsi="Times New Roman" w:cs="Times New Roman"/>
          <w:color w:val="000000"/>
          <w:lang w:eastAsia="ar-SA"/>
        </w:rPr>
        <w:t xml:space="preserve">Išsami informacija apie šį vaistinį preparatą pateikiama Valstybinės vaistų kontrolės tarnybos prie Lietuvos Respublikos sveikatos apsaugos ministerijos tinklalapyje </w:t>
      </w:r>
      <w:hyperlink r:id="rId15" w:history="1">
        <w:r w:rsidRPr="001D3C3D">
          <w:rPr>
            <w:rFonts w:ascii="Times New Roman" w:eastAsia="Times New Roman" w:hAnsi="Times New Roman" w:cs="Times New Roman"/>
            <w:color w:val="0000FF"/>
            <w:u w:val="single"/>
            <w:lang w:eastAsia="ar-SA"/>
          </w:rPr>
          <w:t>http://www.vvkt.lt</w:t>
        </w:r>
      </w:hyperlink>
    </w:p>
    <w:p w14:paraId="38A16972"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23571228" w14:textId="77777777" w:rsidR="00ED7DC3" w:rsidRPr="001D3C3D" w:rsidRDefault="00ED7DC3" w:rsidP="00ED7DC3">
      <w:pPr>
        <w:pageBreakBefore/>
        <w:tabs>
          <w:tab w:val="left" w:pos="567"/>
        </w:tabs>
        <w:suppressAutoHyphens/>
        <w:spacing w:after="0" w:line="240" w:lineRule="auto"/>
        <w:rPr>
          <w:rFonts w:ascii="Times New Roman" w:eastAsia="SimSun" w:hAnsi="Times New Roman" w:cs="Times New Roman"/>
          <w:color w:val="000000"/>
          <w:lang w:eastAsia="ar-SA"/>
        </w:rPr>
      </w:pPr>
    </w:p>
    <w:p w14:paraId="5E6056E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0F2DBF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FEDA33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A9A70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1D81FE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B4BAE2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16465C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3A1872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6CB4A7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FF4D33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E585F0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F41FB8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15BA3F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3AD20F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3D6FB2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96DC2F6" w14:textId="77777777" w:rsidR="00ED7DC3" w:rsidRPr="001D3C3D" w:rsidRDefault="00ED7DC3" w:rsidP="00ED7DC3">
      <w:pPr>
        <w:keepNext/>
        <w:tabs>
          <w:tab w:val="left" w:pos="567"/>
        </w:tabs>
        <w:suppressAutoHyphens/>
        <w:spacing w:after="0" w:line="240" w:lineRule="auto"/>
        <w:jc w:val="center"/>
        <w:rPr>
          <w:rFonts w:ascii="Times New Roman" w:eastAsia="Calibri" w:hAnsi="Times New Roman" w:cs="Times New Roman"/>
          <w:b/>
          <w:color w:val="000000"/>
          <w:lang w:eastAsia="ar-SA"/>
        </w:rPr>
      </w:pPr>
    </w:p>
    <w:p w14:paraId="72DD2F41"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2A6AD34A"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5F388F54"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17DF745E"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727FEE5F"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30E8A381" w14:textId="77777777" w:rsidR="00ED7DC3" w:rsidRPr="001D3C3D" w:rsidRDefault="00ED7DC3" w:rsidP="0086689D">
      <w:pPr>
        <w:keepNext/>
        <w:tabs>
          <w:tab w:val="left" w:pos="567"/>
        </w:tabs>
        <w:suppressAutoHyphens/>
        <w:spacing w:after="0" w:line="240" w:lineRule="auto"/>
        <w:jc w:val="center"/>
        <w:rPr>
          <w:rFonts w:ascii="Times New Roman" w:eastAsia="SimSun" w:hAnsi="Times New Roman" w:cs="Times New Roman"/>
          <w:b/>
          <w:i/>
          <w:color w:val="000000"/>
          <w:lang w:eastAsia="ar-SA"/>
        </w:rPr>
      </w:pPr>
      <w:r w:rsidRPr="001D3C3D">
        <w:rPr>
          <w:rFonts w:ascii="Times New Roman" w:eastAsia="SimSun" w:hAnsi="Times New Roman" w:cs="Times New Roman"/>
          <w:b/>
          <w:iCs/>
          <w:color w:val="000000"/>
          <w:lang w:eastAsia="ar-SA"/>
        </w:rPr>
        <w:t>II PRIEDAS</w:t>
      </w:r>
    </w:p>
    <w:p w14:paraId="67D5626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i/>
          <w:color w:val="000000"/>
          <w:lang w:eastAsia="ar-SA"/>
        </w:rPr>
      </w:pPr>
    </w:p>
    <w:p w14:paraId="002D01C2" w14:textId="77777777" w:rsidR="00ED7DC3" w:rsidRPr="001D3C3D" w:rsidRDefault="00ED7DC3" w:rsidP="0086689D">
      <w:pPr>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REGISTRACIJOS SĄLYGOS</w:t>
      </w:r>
    </w:p>
    <w:p w14:paraId="59A9180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70B0F32" w14:textId="77777777" w:rsidR="00ED7DC3" w:rsidRPr="001D3C3D" w:rsidRDefault="00ED7DC3" w:rsidP="00ED7DC3">
      <w:pPr>
        <w:suppressLineNumbers/>
        <w:tabs>
          <w:tab w:val="left" w:pos="567"/>
        </w:tabs>
        <w:suppressAutoHyphens/>
        <w:spacing w:after="0" w:line="240" w:lineRule="auto"/>
        <w:ind w:left="1980" w:hanging="562"/>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t>A.</w:t>
      </w:r>
      <w:r w:rsidRPr="001D3C3D">
        <w:rPr>
          <w:rFonts w:ascii="Times New Roman" w:eastAsia="SimSun" w:hAnsi="Times New Roman" w:cs="Times New Roman"/>
          <w:b/>
          <w:color w:val="000000"/>
          <w:lang w:eastAsia="ar-SA"/>
        </w:rPr>
        <w:tab/>
        <w:t>GAMINTOJAS (-AI), ATSAKINGAS (-I) UŽ SERIJŲ IŠLEIDIMĄ</w:t>
      </w:r>
    </w:p>
    <w:p w14:paraId="0E52CCCE" w14:textId="77777777" w:rsidR="00ED7DC3" w:rsidRPr="001D3C3D" w:rsidRDefault="00ED7DC3" w:rsidP="00ED7DC3">
      <w:pPr>
        <w:suppressLineNumbers/>
        <w:tabs>
          <w:tab w:val="left" w:pos="567"/>
        </w:tabs>
        <w:suppressAutoHyphens/>
        <w:spacing w:after="0" w:line="240" w:lineRule="auto"/>
        <w:ind w:left="1418"/>
        <w:rPr>
          <w:rFonts w:ascii="Times New Roman" w:eastAsia="SimSun" w:hAnsi="Times New Roman" w:cs="Times New Roman"/>
          <w:b/>
          <w:color w:val="000000"/>
          <w:lang w:eastAsia="ar-SA"/>
        </w:rPr>
      </w:pPr>
    </w:p>
    <w:p w14:paraId="1987B3EF" w14:textId="77777777" w:rsidR="00ED7DC3" w:rsidRPr="001D3C3D" w:rsidRDefault="00ED7DC3" w:rsidP="00ED7DC3">
      <w:pPr>
        <w:suppressLineNumbers/>
        <w:tabs>
          <w:tab w:val="left" w:pos="567"/>
        </w:tabs>
        <w:suppressAutoHyphens/>
        <w:spacing w:after="0" w:line="240" w:lineRule="auto"/>
        <w:ind w:left="1980" w:hanging="562"/>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t>B.</w:t>
      </w:r>
      <w:r w:rsidRPr="001D3C3D">
        <w:rPr>
          <w:rFonts w:ascii="Times New Roman" w:eastAsia="SimSun" w:hAnsi="Times New Roman" w:cs="Times New Roman"/>
          <w:b/>
          <w:color w:val="000000"/>
          <w:lang w:eastAsia="ar-SA"/>
        </w:rPr>
        <w:tab/>
        <w:t>TIEKIMO IR VARTOJIMO SĄLYGOS AR APRIBOJIMAI</w:t>
      </w:r>
    </w:p>
    <w:p w14:paraId="060E9B0A" w14:textId="77777777" w:rsidR="00ED7DC3" w:rsidRPr="001D3C3D" w:rsidRDefault="00ED7DC3" w:rsidP="00ED7DC3">
      <w:pPr>
        <w:suppressLineNumbers/>
        <w:tabs>
          <w:tab w:val="left" w:pos="567"/>
        </w:tabs>
        <w:suppressAutoHyphens/>
        <w:spacing w:after="0" w:line="240" w:lineRule="auto"/>
        <w:ind w:left="1418"/>
        <w:rPr>
          <w:rFonts w:ascii="Times New Roman" w:eastAsia="SimSun" w:hAnsi="Times New Roman" w:cs="Times New Roman"/>
          <w:b/>
          <w:color w:val="000000"/>
          <w:lang w:eastAsia="ar-SA"/>
        </w:rPr>
      </w:pPr>
    </w:p>
    <w:p w14:paraId="795E7F7C" w14:textId="77777777" w:rsidR="00ED7DC3" w:rsidRPr="001D3C3D" w:rsidRDefault="00ED7DC3" w:rsidP="0086689D">
      <w:pPr>
        <w:pageBreakBefore/>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lastRenderedPageBreak/>
        <w:t>A.</w:t>
      </w:r>
      <w:r w:rsidRPr="001D3C3D">
        <w:rPr>
          <w:rFonts w:ascii="Times New Roman" w:eastAsia="SimSun" w:hAnsi="Times New Roman" w:cs="Times New Roman"/>
          <w:b/>
          <w:color w:val="000000"/>
          <w:lang w:eastAsia="ar-SA"/>
        </w:rPr>
        <w:tab/>
        <w:t>GAMINTOJAS (-AI), ATSAKINGAS (-I) UŽ SERIJŲ IŠLEIDIMĄ</w:t>
      </w:r>
    </w:p>
    <w:p w14:paraId="394DA25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25AE6C2"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u w:val="single"/>
          <w:lang w:eastAsia="ar-SA"/>
        </w:rPr>
      </w:pPr>
      <w:r w:rsidRPr="001D3C3D">
        <w:rPr>
          <w:rFonts w:ascii="Times New Roman" w:eastAsia="SimSun" w:hAnsi="Times New Roman" w:cs="Times New Roman"/>
          <w:color w:val="000000"/>
          <w:u w:val="single"/>
          <w:lang w:eastAsia="ar-SA"/>
        </w:rPr>
        <w:t>Gamintojo (-ų), atsakingo (-ų) už serijų išleidimą, pavadinimas (-ai) ir adresas (-ai)</w:t>
      </w:r>
    </w:p>
    <w:p w14:paraId="24538EEC" w14:textId="77777777" w:rsidR="00ED7DC3" w:rsidRPr="001D3C3D" w:rsidRDefault="00ED7DC3" w:rsidP="00ED7DC3">
      <w:pPr>
        <w:suppressAutoHyphens/>
        <w:spacing w:after="0" w:line="240" w:lineRule="auto"/>
        <w:rPr>
          <w:rFonts w:ascii="Times New Roman" w:eastAsia="SimSun" w:hAnsi="Times New Roman" w:cs="Times New Roman"/>
          <w:color w:val="000000"/>
          <w:u w:val="single"/>
          <w:lang w:eastAsia="ar-SA"/>
        </w:rPr>
      </w:pPr>
    </w:p>
    <w:p w14:paraId="349EC3AF"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Remedica Ltd.</w:t>
      </w:r>
    </w:p>
    <w:p w14:paraId="49C5E325"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Aharnon Street, Limassol Industrial Estate</w:t>
      </w:r>
    </w:p>
    <w:p w14:paraId="47A7E2B9"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3056 Limassol</w:t>
      </w:r>
    </w:p>
    <w:p w14:paraId="0EB1BCB6" w14:textId="77777777" w:rsidR="00ED7DC3" w:rsidRPr="001D3C3D" w:rsidRDefault="00ED7DC3" w:rsidP="00ED7DC3">
      <w:pPr>
        <w:suppressAutoHyphens/>
        <w:spacing w:after="0" w:line="240" w:lineRule="auto"/>
        <w:rPr>
          <w:rFonts w:ascii="Times New Roman" w:eastAsia="Calibri" w:hAnsi="Times New Roman" w:cs="Times New Roman"/>
          <w:i/>
          <w:color w:val="000000"/>
          <w:lang w:eastAsia="ar-SA"/>
        </w:rPr>
      </w:pPr>
      <w:r w:rsidRPr="001D3C3D">
        <w:rPr>
          <w:rFonts w:ascii="Times New Roman" w:eastAsia="Times New Roman" w:hAnsi="Times New Roman" w:cs="Times New Roman"/>
          <w:color w:val="000000"/>
          <w:lang w:eastAsia="ar-SA"/>
        </w:rPr>
        <w:t>Kipras</w:t>
      </w:r>
    </w:p>
    <w:p w14:paraId="53A13C00" w14:textId="77777777" w:rsidR="00ED7DC3" w:rsidRPr="001D3C3D" w:rsidRDefault="00ED7DC3" w:rsidP="00ED7DC3">
      <w:pPr>
        <w:suppressAutoHyphens/>
        <w:spacing w:after="0" w:line="240" w:lineRule="auto"/>
        <w:rPr>
          <w:rFonts w:ascii="Times New Roman" w:eastAsia="Calibri" w:hAnsi="Times New Roman" w:cs="Times New Roman"/>
          <w:i/>
          <w:color w:val="000000"/>
          <w:lang w:eastAsia="ar-SA"/>
        </w:rPr>
      </w:pPr>
    </w:p>
    <w:p w14:paraId="6B87BA71"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arba</w:t>
      </w:r>
    </w:p>
    <w:p w14:paraId="51087736"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4CD23DB0" w14:textId="77777777" w:rsidR="00ED7DC3" w:rsidRPr="001D3C3D" w:rsidRDefault="00ED7DC3" w:rsidP="0086689D">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Lek Pharmaceuticals d.d </w:t>
      </w:r>
    </w:p>
    <w:p w14:paraId="3895786E"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Verovškova 57</w:t>
      </w:r>
    </w:p>
    <w:p w14:paraId="5939F897"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1526 Ljubljana</w:t>
      </w:r>
    </w:p>
    <w:p w14:paraId="20029086" w14:textId="77777777" w:rsidR="00ED7DC3" w:rsidRPr="001D3C3D" w:rsidRDefault="00ED7DC3" w:rsidP="00ED7DC3">
      <w:pPr>
        <w:suppressAutoHyphens/>
        <w:spacing w:after="0" w:line="240" w:lineRule="auto"/>
        <w:rPr>
          <w:rFonts w:ascii="Times New Roman" w:eastAsia="Calibri" w:hAnsi="Times New Roman" w:cs="Times New Roman"/>
          <w:color w:val="000000"/>
          <w:shd w:val="clear" w:color="auto" w:fill="FFFF00"/>
          <w:lang w:eastAsia="ar-SA"/>
        </w:rPr>
      </w:pPr>
      <w:r w:rsidRPr="001D3C3D">
        <w:rPr>
          <w:rFonts w:ascii="Times New Roman" w:eastAsia="Times New Roman" w:hAnsi="Times New Roman" w:cs="Times New Roman"/>
          <w:color w:val="000000"/>
          <w:lang w:eastAsia="ar-SA"/>
        </w:rPr>
        <w:t>Slovėnija</w:t>
      </w:r>
    </w:p>
    <w:p w14:paraId="1D6F2C17" w14:textId="77777777" w:rsidR="00ED7DC3" w:rsidRPr="001D3C3D" w:rsidRDefault="00ED7DC3" w:rsidP="00ED7DC3">
      <w:pPr>
        <w:suppressAutoHyphens/>
        <w:spacing w:after="0" w:line="240" w:lineRule="auto"/>
        <w:rPr>
          <w:rFonts w:ascii="Times New Roman" w:eastAsia="Calibri" w:hAnsi="Times New Roman" w:cs="Times New Roman"/>
          <w:color w:val="000000"/>
          <w:shd w:val="clear" w:color="auto" w:fill="FFFF00"/>
          <w:lang w:eastAsia="ar-SA"/>
        </w:rPr>
      </w:pPr>
    </w:p>
    <w:p w14:paraId="4CFB25CD"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Su pakuote pateikiamame lapelyje nurodomas gamintojo, atsakingo už konkrečios serijos išleidimą, pavadinimas ir adresas.</w:t>
      </w:r>
    </w:p>
    <w:p w14:paraId="59E61332"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p>
    <w:p w14:paraId="6A7B4A5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color w:val="000000"/>
          <w:lang w:eastAsia="ar-SA"/>
        </w:rPr>
      </w:pPr>
    </w:p>
    <w:p w14:paraId="16DEE782" w14:textId="77777777" w:rsidR="00ED7DC3" w:rsidRPr="001D3C3D" w:rsidRDefault="00ED7DC3" w:rsidP="0086689D">
      <w:pPr>
        <w:suppressLineNumbers/>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B.</w:t>
      </w:r>
      <w:r w:rsidRPr="001D3C3D">
        <w:rPr>
          <w:rFonts w:ascii="Times New Roman" w:eastAsia="SimSun" w:hAnsi="Times New Roman" w:cs="Times New Roman"/>
          <w:b/>
          <w:color w:val="000000"/>
          <w:lang w:eastAsia="ar-SA"/>
        </w:rPr>
        <w:tab/>
        <w:t>TIEKIMO IR VARTOJIMO SĄLYGOS AR APRIBOJIMAI</w:t>
      </w:r>
    </w:p>
    <w:p w14:paraId="0064372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FA48D3D" w14:textId="77777777" w:rsidR="00ED7DC3" w:rsidRPr="001D3C3D" w:rsidRDefault="00ED7DC3" w:rsidP="0086689D">
      <w:pPr>
        <w:tabs>
          <w:tab w:val="left" w:pos="567"/>
        </w:tabs>
        <w:suppressAutoHyphens/>
        <w:spacing w:after="0" w:line="260" w:lineRule="exact"/>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Receptinis vaistinis preparatas.</w:t>
      </w:r>
    </w:p>
    <w:p w14:paraId="06CB2E3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BB98A3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7F73DD6"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30C11E2" w14:textId="77777777" w:rsidR="00ED7DC3" w:rsidRPr="001D3C3D" w:rsidRDefault="00ED7DC3" w:rsidP="00ED7DC3">
      <w:pPr>
        <w:pageBreakBefore/>
        <w:tabs>
          <w:tab w:val="left" w:pos="567"/>
        </w:tabs>
        <w:suppressAutoHyphens/>
        <w:spacing w:after="0" w:line="240" w:lineRule="auto"/>
        <w:rPr>
          <w:rFonts w:ascii="Times New Roman" w:eastAsia="SimSun" w:hAnsi="Times New Roman" w:cs="Times New Roman"/>
          <w:color w:val="000000"/>
          <w:lang w:eastAsia="ar-SA"/>
        </w:rPr>
      </w:pPr>
    </w:p>
    <w:p w14:paraId="4116EE7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7C6D2C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191C33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FFAC61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28D065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738153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D93877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FC0FD4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9C1823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FACF6E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989F3F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C61D72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086B2A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A817EB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4E6696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667509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48C84F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DD5706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045677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19E665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4C80C76" w14:textId="77777777" w:rsidR="00ED7DC3" w:rsidRPr="001D3C3D" w:rsidRDefault="00ED7DC3" w:rsidP="00ED7DC3">
      <w:pPr>
        <w:keepNext/>
        <w:tabs>
          <w:tab w:val="left" w:pos="567"/>
        </w:tabs>
        <w:suppressAutoHyphens/>
        <w:spacing w:after="0" w:line="240" w:lineRule="auto"/>
        <w:jc w:val="center"/>
        <w:rPr>
          <w:rFonts w:ascii="Times New Roman" w:eastAsia="SimSun" w:hAnsi="Times New Roman" w:cs="Times New Roman"/>
          <w:b/>
          <w:iCs/>
          <w:color w:val="000000"/>
          <w:lang w:eastAsia="ar-SA"/>
        </w:rPr>
      </w:pPr>
    </w:p>
    <w:p w14:paraId="1992FF4F" w14:textId="77777777" w:rsidR="00ED7DC3" w:rsidRPr="001D3C3D" w:rsidRDefault="00ED7DC3" w:rsidP="0086689D">
      <w:pPr>
        <w:keepNext/>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b/>
          <w:iCs/>
          <w:color w:val="000000"/>
          <w:lang w:eastAsia="ar-SA"/>
        </w:rPr>
        <w:t>III PRIEDAS</w:t>
      </w:r>
    </w:p>
    <w:p w14:paraId="3759378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4B3972B" w14:textId="77777777" w:rsidR="00ED7DC3" w:rsidRPr="001D3C3D" w:rsidRDefault="00ED7DC3" w:rsidP="0086689D">
      <w:pPr>
        <w:keepNext/>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b/>
          <w:iCs/>
          <w:color w:val="000000"/>
          <w:lang w:eastAsia="ar-SA"/>
        </w:rPr>
        <w:t>ŽENKLINIMAS IR PAKUOTĖS LAPELIS</w:t>
      </w:r>
    </w:p>
    <w:p w14:paraId="28BB531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5708189" w14:textId="77777777" w:rsidR="00ED7DC3" w:rsidRPr="001D3C3D" w:rsidRDefault="00ED7DC3" w:rsidP="00ED7DC3">
      <w:pPr>
        <w:pageBreakBefore/>
        <w:tabs>
          <w:tab w:val="left" w:pos="567"/>
        </w:tabs>
        <w:suppressAutoHyphens/>
        <w:spacing w:after="0" w:line="240" w:lineRule="auto"/>
        <w:rPr>
          <w:rFonts w:ascii="Times New Roman" w:eastAsia="SimSun" w:hAnsi="Times New Roman" w:cs="Times New Roman"/>
          <w:color w:val="000000"/>
          <w:lang w:eastAsia="ar-SA"/>
        </w:rPr>
      </w:pPr>
    </w:p>
    <w:p w14:paraId="3826443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F144EA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919E72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1C5D3D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D5D48B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EBC156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08E311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9FD1D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E5F175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1106E8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E6C204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51F46B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BE7DAA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8BC174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2D6CEA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5C187F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C89351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6C7A7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46F65C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0A15BD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94C1B7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7C5B8F0" w14:textId="77777777" w:rsidR="00ED7DC3" w:rsidRPr="001D3C3D" w:rsidRDefault="00ED7DC3" w:rsidP="0086689D">
      <w:pPr>
        <w:keepNext/>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b/>
          <w:iCs/>
          <w:color w:val="000000"/>
          <w:lang w:eastAsia="ar-SA"/>
        </w:rPr>
        <w:t>A. ŽENKLINIMAS</w:t>
      </w:r>
    </w:p>
    <w:p w14:paraId="17547E7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F848CAD" w14:textId="77777777" w:rsidR="00ED7DC3" w:rsidRPr="001D3C3D" w:rsidRDefault="00ED7DC3" w:rsidP="0086689D">
      <w:pPr>
        <w:pageBreakBefore/>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lastRenderedPageBreak/>
        <w:t>INFORMACIJA ANT IŠORINĖS IR VIDINĖS PAKUOTĖS</w:t>
      </w:r>
    </w:p>
    <w:p w14:paraId="3B157C79" w14:textId="77777777" w:rsidR="00ED7DC3" w:rsidRPr="001D3C3D" w:rsidRDefault="00ED7DC3" w:rsidP="00ED7DC3">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b/>
          <w:color w:val="000000"/>
          <w:lang w:eastAsia="ar-SA"/>
        </w:rPr>
      </w:pPr>
    </w:p>
    <w:p w14:paraId="42550D91" w14:textId="3DD91837" w:rsidR="00ED7DC3" w:rsidRPr="001D3C3D" w:rsidRDefault="00ED7DC3" w:rsidP="00ED7DC3">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t xml:space="preserve">KARTONO DĖŽUTĖ </w:t>
      </w:r>
      <w:r w:rsidR="00AA667A" w:rsidRPr="001D3C3D">
        <w:rPr>
          <w:rFonts w:ascii="Times New Roman" w:eastAsia="SimSun" w:hAnsi="Times New Roman" w:cs="Times New Roman"/>
          <w:b/>
          <w:color w:val="000000"/>
          <w:lang w:eastAsia="ar-SA"/>
        </w:rPr>
        <w:t xml:space="preserve">ALIUMINIO-OPA/AL/PVC LIZDINEI PLOKŠTELEI </w:t>
      </w:r>
      <w:r w:rsidRPr="001D3C3D">
        <w:rPr>
          <w:rFonts w:ascii="Times New Roman" w:eastAsia="SimSun" w:hAnsi="Times New Roman" w:cs="Times New Roman"/>
          <w:b/>
          <w:color w:val="000000"/>
          <w:lang w:eastAsia="ar-SA"/>
        </w:rPr>
        <w:t xml:space="preserve">IR </w:t>
      </w:r>
      <w:r w:rsidR="00AA667A" w:rsidRPr="001D3C3D">
        <w:rPr>
          <w:rFonts w:ascii="Times New Roman" w:eastAsia="SimSun" w:hAnsi="Times New Roman" w:cs="Times New Roman"/>
          <w:b/>
          <w:color w:val="000000"/>
          <w:lang w:eastAsia="ar-SA"/>
        </w:rPr>
        <w:t xml:space="preserve">DTPE </w:t>
      </w:r>
      <w:r w:rsidRPr="001D3C3D">
        <w:rPr>
          <w:rFonts w:ascii="Times New Roman" w:eastAsia="SimSun" w:hAnsi="Times New Roman" w:cs="Times New Roman"/>
          <w:b/>
          <w:color w:val="000000"/>
          <w:lang w:eastAsia="ar-SA"/>
        </w:rPr>
        <w:t>BUTELIUKO PAKUOTEI</w:t>
      </w:r>
    </w:p>
    <w:p w14:paraId="29BB21A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B05E23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BC387A7"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w:t>
      </w:r>
      <w:r w:rsidRPr="001D3C3D">
        <w:rPr>
          <w:rFonts w:ascii="Times New Roman" w:eastAsia="SimSun" w:hAnsi="Times New Roman" w:cs="Times New Roman"/>
          <w:b/>
          <w:color w:val="000000"/>
          <w:lang w:eastAsia="ar-SA"/>
        </w:rPr>
        <w:tab/>
      </w:r>
      <w:r w:rsidRPr="001D3C3D">
        <w:rPr>
          <w:rFonts w:ascii="Times New Roman" w:eastAsia="SimSun" w:hAnsi="Times New Roman" w:cs="Times New Roman"/>
          <w:b/>
          <w:caps/>
          <w:color w:val="000000"/>
          <w:lang w:eastAsia="ar-SA"/>
        </w:rPr>
        <w:t>VAISTINIO</w:t>
      </w:r>
      <w:r w:rsidRPr="001D3C3D">
        <w:rPr>
          <w:rFonts w:ascii="Times New Roman" w:eastAsia="SimSun" w:hAnsi="Times New Roman" w:cs="Times New Roman"/>
          <w:b/>
          <w:color w:val="000000"/>
          <w:lang w:eastAsia="ar-SA"/>
        </w:rPr>
        <w:t xml:space="preserve"> PREPARATO PAVADINIMAS</w:t>
      </w:r>
    </w:p>
    <w:p w14:paraId="17381CA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EB05722"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Dasatinib Sandoz 20 mg plėvele dengtos tabletės </w:t>
      </w:r>
    </w:p>
    <w:p w14:paraId="2E0BA817"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color w:val="000000"/>
          <w:lang w:eastAsia="ar-SA"/>
        </w:rPr>
        <w:t xml:space="preserve">Dasatinib Sandoz 50 mg plėvele dengtos tabletės </w:t>
      </w:r>
    </w:p>
    <w:p w14:paraId="103C540C"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Dasatinib Sandoz 70 mg plėvele dengtos tabletės</w:t>
      </w:r>
      <w:r w:rsidRPr="001D3C3D">
        <w:rPr>
          <w:rFonts w:ascii="Times New Roman" w:eastAsia="Calibri" w:hAnsi="Times New Roman" w:cs="Times New Roman"/>
          <w:color w:val="000000"/>
          <w:lang w:eastAsia="ar-SA"/>
        </w:rPr>
        <w:t xml:space="preserve"> </w:t>
      </w:r>
    </w:p>
    <w:p w14:paraId="75711417"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bCs/>
          <w:color w:val="000000"/>
          <w:lang w:eastAsia="ar-SA"/>
        </w:rPr>
        <w:t>Dasatinib Sandoz 80 mg plėvele dengtos tabletės</w:t>
      </w:r>
    </w:p>
    <w:p w14:paraId="0E1CBE5B"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Dasatinib Sandoz 100 mg plėvele dengtos tabletės</w:t>
      </w:r>
      <w:r w:rsidRPr="001D3C3D">
        <w:rPr>
          <w:rFonts w:ascii="Times New Roman" w:eastAsia="Calibri" w:hAnsi="Times New Roman" w:cs="Times New Roman"/>
          <w:color w:val="000000"/>
          <w:lang w:eastAsia="ar-SA"/>
        </w:rPr>
        <w:t xml:space="preserve"> </w:t>
      </w:r>
    </w:p>
    <w:p w14:paraId="7FBF503E" w14:textId="77777777" w:rsidR="00ED7DC3" w:rsidRPr="001D3C3D" w:rsidRDefault="00ED7DC3" w:rsidP="00ED7DC3">
      <w:pPr>
        <w:shd w:val="clear" w:color="auto" w:fill="80808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Calibri" w:hAnsi="Times New Roman" w:cs="Times New Roman"/>
          <w:bCs/>
          <w:color w:val="000000"/>
          <w:lang w:eastAsia="ar-SA"/>
        </w:rPr>
        <w:t>Dasatinib Sandoz 140 mg plėvele dengtos tabletės</w:t>
      </w:r>
    </w:p>
    <w:p w14:paraId="69765AA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C80838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dasatinibum</w:t>
      </w:r>
    </w:p>
    <w:p w14:paraId="694270C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4ECD4F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CB2BF53"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2.</w:t>
      </w:r>
      <w:r w:rsidRPr="001D3C3D">
        <w:rPr>
          <w:rFonts w:ascii="Times New Roman" w:eastAsia="SimSun" w:hAnsi="Times New Roman" w:cs="Times New Roman"/>
          <w:b/>
          <w:color w:val="000000"/>
          <w:lang w:eastAsia="ar-SA"/>
        </w:rPr>
        <w:tab/>
        <w:t>VEIKLIOJI (-IOS) MEDŽIAGA (-OS) IR JOS (-Ų) KIEKIS (-IAI)</w:t>
      </w:r>
    </w:p>
    <w:p w14:paraId="7062CAC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90B6A8D"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20 mg dazatinibo. </w:t>
      </w:r>
    </w:p>
    <w:p w14:paraId="660366BB"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Kiekvienoje plėvele dengtoje tabletėje yra 50 mg dazatinibo. </w:t>
      </w:r>
    </w:p>
    <w:p w14:paraId="2B890706"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70 mg dazatinibo.</w:t>
      </w:r>
    </w:p>
    <w:p w14:paraId="42DF4B05"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80 mg dazatinibo.</w:t>
      </w:r>
    </w:p>
    <w:p w14:paraId="0B4DD07E"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100 mg dazatinibo.</w:t>
      </w:r>
    </w:p>
    <w:p w14:paraId="434424CD" w14:textId="77777777" w:rsidR="00ED7DC3" w:rsidRPr="001D3C3D" w:rsidRDefault="00ED7DC3" w:rsidP="00ED7DC3">
      <w:pPr>
        <w:shd w:val="clear" w:color="auto" w:fill="80808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Calibri" w:hAnsi="Times New Roman" w:cs="Times New Roman"/>
          <w:color w:val="000000"/>
          <w:lang w:eastAsia="ar-SA"/>
        </w:rPr>
        <w:t>Kiekvienoje plėvele dengtoje tabletėje yra 140 mg dazatinibo.</w:t>
      </w:r>
    </w:p>
    <w:p w14:paraId="28449AB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AEF90C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39214A3"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3.</w:t>
      </w:r>
      <w:r w:rsidRPr="001D3C3D">
        <w:rPr>
          <w:rFonts w:ascii="Times New Roman" w:eastAsia="SimSun" w:hAnsi="Times New Roman" w:cs="Times New Roman"/>
          <w:b/>
          <w:color w:val="000000"/>
          <w:lang w:eastAsia="ar-SA"/>
        </w:rPr>
        <w:tab/>
        <w:t>PAGALBINIŲ MEDŽIAGŲ SĄRAŠAS</w:t>
      </w:r>
    </w:p>
    <w:p w14:paraId="162E6BE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00EFE59" w14:textId="5ECDC95C"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Sudėtyje yra laktozės</w:t>
      </w:r>
      <w:r w:rsidR="00AA667A" w:rsidRPr="001D3C3D">
        <w:rPr>
          <w:rFonts w:ascii="Times New Roman" w:eastAsia="SimSun" w:hAnsi="Times New Roman" w:cs="Times New Roman"/>
          <w:color w:val="000000"/>
          <w:lang w:eastAsia="ar-SA"/>
        </w:rPr>
        <w:t>.</w:t>
      </w:r>
      <w:r w:rsidR="00FB0073">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shd w:val="clear" w:color="auto" w:fill="C0C0C0"/>
          <w:lang w:eastAsia="ar-SA"/>
        </w:rPr>
        <w:t>Daugiau informacijos žr. pakuotės lapelyje.</w:t>
      </w:r>
    </w:p>
    <w:p w14:paraId="0A408E8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9A87DA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FE83FE2"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w:t>
      </w:r>
      <w:r w:rsidRPr="001D3C3D">
        <w:rPr>
          <w:rFonts w:ascii="Times New Roman" w:eastAsia="SimSun" w:hAnsi="Times New Roman" w:cs="Times New Roman"/>
          <w:b/>
          <w:color w:val="000000"/>
          <w:lang w:eastAsia="ar-SA"/>
        </w:rPr>
        <w:tab/>
        <w:t>FARMACINĖ FORMA IR KIEKIS PAKUOTĖJE</w:t>
      </w:r>
    </w:p>
    <w:p w14:paraId="0BE7BC5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431E79E"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Plėvele dengta tabletė.</w:t>
      </w:r>
    </w:p>
    <w:p w14:paraId="198F7C3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09CAEA2" w14:textId="77777777" w:rsidR="00ED7DC3" w:rsidRPr="001D3C3D" w:rsidRDefault="00ED7DC3" w:rsidP="0086689D">
      <w:pPr>
        <w:suppressAutoHyphens/>
        <w:spacing w:after="0" w:line="240" w:lineRule="auto"/>
        <w:jc w:val="both"/>
        <w:rPr>
          <w:rFonts w:ascii="Times New Roman" w:eastAsia="SimSun" w:hAnsi="Times New Roman" w:cs="Times New Roman"/>
          <w:i/>
          <w:color w:val="000000"/>
          <w:shd w:val="clear" w:color="auto" w:fill="C0C0C0"/>
          <w:lang w:eastAsia="ar-SA"/>
        </w:rPr>
      </w:pPr>
      <w:r w:rsidRPr="001D3C3D">
        <w:rPr>
          <w:rFonts w:ascii="Times New Roman" w:eastAsia="Calibri" w:hAnsi="Times New Roman" w:cs="Times New Roman"/>
          <w:color w:val="000000"/>
          <w:shd w:val="clear" w:color="auto" w:fill="C0C0C0"/>
          <w:lang w:eastAsia="ar-SA"/>
        </w:rPr>
        <w:t>Dasatinib Sandoz 20 mg, 50 mg, 70 mg plėvele dengtos tabletės</w:t>
      </w:r>
      <w:r w:rsidRPr="001D3C3D">
        <w:rPr>
          <w:rFonts w:ascii="Times New Roman" w:eastAsia="Calibri" w:hAnsi="Times New Roman" w:cs="Times New Roman"/>
          <w:color w:val="000000"/>
          <w:lang w:eastAsia="ar-SA"/>
        </w:rPr>
        <w:t xml:space="preserve"> </w:t>
      </w:r>
    </w:p>
    <w:p w14:paraId="05E44B3B" w14:textId="77777777" w:rsidR="00ED7DC3" w:rsidRPr="001D3C3D" w:rsidRDefault="00ED7DC3" w:rsidP="00ED7DC3">
      <w:pPr>
        <w:tabs>
          <w:tab w:val="left" w:pos="567"/>
        </w:tabs>
        <w:suppressAutoHyphens/>
        <w:spacing w:after="0" w:line="240" w:lineRule="auto"/>
        <w:rPr>
          <w:rFonts w:ascii="Times New Roman" w:hAnsi="Times New Roman"/>
          <w:i/>
          <w:color w:val="000000"/>
          <w:shd w:val="clear" w:color="auto" w:fill="C0C0C0"/>
        </w:rPr>
      </w:pPr>
      <w:r w:rsidRPr="001D3C3D">
        <w:rPr>
          <w:rFonts w:ascii="Times New Roman" w:eastAsia="SimSun" w:hAnsi="Times New Roman" w:cs="Times New Roman"/>
          <w:i/>
          <w:color w:val="000000"/>
          <w:shd w:val="clear" w:color="auto" w:fill="C0C0C0"/>
          <w:lang w:eastAsia="ar-SA"/>
        </w:rPr>
        <w:t>Lizdinės plokštelės</w:t>
      </w:r>
    </w:p>
    <w:p w14:paraId="2226C9C3" w14:textId="7342FCD0" w:rsidR="00C51EA1" w:rsidRPr="001D3C3D" w:rsidRDefault="00C51EA1"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12 </w:t>
      </w:r>
      <w:r w:rsidR="00153C31" w:rsidRPr="001D3C3D">
        <w:rPr>
          <w:rFonts w:ascii="Times New Roman" w:eastAsia="SimSun" w:hAnsi="Times New Roman" w:cs="Times New Roman"/>
          <w:color w:val="000000"/>
          <w:highlight w:val="lightGray"/>
          <w:lang w:eastAsia="ar-SA"/>
        </w:rPr>
        <w:t>plėvele dengtų</w:t>
      </w:r>
      <w:r w:rsidR="00153C31" w:rsidRPr="001D3C3D">
        <w:rPr>
          <w:rFonts w:ascii="Times New Roman" w:eastAsia="SimSun" w:hAnsi="Times New Roman" w:cs="Times New Roman"/>
          <w:color w:val="000000"/>
          <w:lang w:eastAsia="ar-SA"/>
        </w:rPr>
        <w:t xml:space="preserve"> tablečių</w:t>
      </w:r>
    </w:p>
    <w:p w14:paraId="45170193" w14:textId="77777777" w:rsidR="00ED7DC3" w:rsidRPr="001D3C3D" w:rsidRDefault="00ED7DC3" w:rsidP="00ED7DC3">
      <w:pPr>
        <w:tabs>
          <w:tab w:val="left" w:pos="567"/>
        </w:tabs>
        <w:suppressAutoHyphens/>
        <w:spacing w:after="0" w:line="240" w:lineRule="auto"/>
        <w:rPr>
          <w:rFonts w:ascii="Times New Roman" w:hAnsi="Times New Roman"/>
          <w:color w:val="000000"/>
        </w:rPr>
      </w:pPr>
      <w:r w:rsidRPr="001D3C3D">
        <w:rPr>
          <w:rFonts w:ascii="Times New Roman" w:hAnsi="Times New Roman"/>
          <w:color w:val="000000"/>
          <w:highlight w:val="lightGray"/>
        </w:rPr>
        <w:t xml:space="preserve">56 </w:t>
      </w:r>
      <w:r w:rsidRPr="001D3C3D">
        <w:rPr>
          <w:rFonts w:ascii="Times New Roman" w:hAnsi="Times New Roman"/>
          <w:color w:val="000000"/>
          <w:highlight w:val="lightGray"/>
          <w:shd w:val="clear" w:color="auto" w:fill="C0C0C0"/>
        </w:rPr>
        <w:t>plėvele dengtos</w:t>
      </w:r>
      <w:r w:rsidRPr="001D3C3D">
        <w:rPr>
          <w:rFonts w:ascii="Times New Roman" w:hAnsi="Times New Roman"/>
          <w:color w:val="000000"/>
          <w:highlight w:val="lightGray"/>
        </w:rPr>
        <w:t xml:space="preserve"> tabletės</w:t>
      </w:r>
    </w:p>
    <w:p w14:paraId="1EA44609" w14:textId="7EE40DBB" w:rsidR="00C51EA1" w:rsidRPr="001D3C3D" w:rsidRDefault="00C51EA1" w:rsidP="00ED7DC3">
      <w:pPr>
        <w:tabs>
          <w:tab w:val="left" w:pos="567"/>
        </w:tabs>
        <w:suppressAutoHyphens/>
        <w:spacing w:after="0" w:line="240" w:lineRule="auto"/>
        <w:rPr>
          <w:rFonts w:ascii="Times New Roman" w:eastAsia="SimSun" w:hAnsi="Times New Roman" w:cs="Times New Roman"/>
          <w:color w:val="000000"/>
          <w:shd w:val="clear" w:color="auto" w:fill="C0C0C0"/>
          <w:lang w:eastAsia="ar-SA"/>
        </w:rPr>
      </w:pPr>
      <w:r w:rsidRPr="001D3C3D">
        <w:rPr>
          <w:rFonts w:ascii="Times New Roman" w:eastAsia="SimSun" w:hAnsi="Times New Roman" w:cs="Times New Roman"/>
          <w:color w:val="000000"/>
          <w:shd w:val="clear" w:color="auto" w:fill="C0C0C0"/>
          <w:lang w:eastAsia="ar-SA"/>
        </w:rPr>
        <w:t>12x1</w:t>
      </w:r>
      <w:r w:rsidR="00153C31" w:rsidRPr="001D3C3D">
        <w:rPr>
          <w:rFonts w:ascii="Times New Roman" w:eastAsia="SimSun" w:hAnsi="Times New Roman" w:cs="Times New Roman"/>
          <w:color w:val="000000"/>
          <w:shd w:val="clear" w:color="auto" w:fill="C0C0C0"/>
          <w:lang w:eastAsia="ar-SA"/>
        </w:rPr>
        <w:t xml:space="preserve"> plėvele dengtų tablečių</w:t>
      </w:r>
    </w:p>
    <w:p w14:paraId="1F1F94B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60x1 plėvele dengtų tablečių</w:t>
      </w:r>
    </w:p>
    <w:p w14:paraId="199A362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C1D77E6"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shd w:val="clear" w:color="auto" w:fill="C0C0C0"/>
          <w:lang w:eastAsia="ar-SA"/>
        </w:rPr>
      </w:pPr>
      <w:r w:rsidRPr="001D3C3D">
        <w:rPr>
          <w:rFonts w:ascii="Times New Roman" w:eastAsia="SimSun" w:hAnsi="Times New Roman" w:cs="Times New Roman"/>
          <w:i/>
          <w:color w:val="000000"/>
          <w:shd w:val="clear" w:color="auto" w:fill="C0C0C0"/>
          <w:lang w:eastAsia="ar-SA"/>
        </w:rPr>
        <w:t>Buteliukas</w:t>
      </w:r>
    </w:p>
    <w:p w14:paraId="218D8FB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60 plėvele dengtų tablečių</w:t>
      </w:r>
    </w:p>
    <w:p w14:paraId="4ECE4AA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B138C5D" w14:textId="77777777" w:rsidR="00ED7DC3" w:rsidRPr="001D3C3D" w:rsidRDefault="00ED7DC3" w:rsidP="0086689D">
      <w:pPr>
        <w:suppressAutoHyphens/>
        <w:spacing w:after="0" w:line="240" w:lineRule="auto"/>
        <w:jc w:val="both"/>
        <w:rPr>
          <w:rFonts w:ascii="Times New Roman" w:eastAsia="SimSun" w:hAnsi="Times New Roman" w:cs="Times New Roman"/>
          <w:i/>
          <w:color w:val="000000"/>
          <w:shd w:val="clear" w:color="auto" w:fill="C0C0C0"/>
          <w:lang w:eastAsia="ar-SA"/>
        </w:rPr>
      </w:pPr>
      <w:r w:rsidRPr="001D3C3D">
        <w:rPr>
          <w:rFonts w:ascii="Times New Roman" w:eastAsia="Calibri" w:hAnsi="Times New Roman" w:cs="Times New Roman"/>
          <w:color w:val="000000"/>
          <w:shd w:val="clear" w:color="auto" w:fill="C0C0C0"/>
          <w:lang w:eastAsia="ar-SA"/>
        </w:rPr>
        <w:t xml:space="preserve">Dasatinib Sandoz 80 mg, 100 mg, 140 mg plėvele dengtos tabletės </w:t>
      </w:r>
    </w:p>
    <w:p w14:paraId="17FCAA7F" w14:textId="77777777" w:rsidR="00ED7DC3" w:rsidRPr="001D3C3D" w:rsidRDefault="00ED7DC3" w:rsidP="00ED7DC3">
      <w:pPr>
        <w:tabs>
          <w:tab w:val="left" w:pos="567"/>
        </w:tabs>
        <w:suppressAutoHyphens/>
        <w:spacing w:after="0" w:line="240" w:lineRule="auto"/>
        <w:rPr>
          <w:rFonts w:ascii="Times New Roman" w:hAnsi="Times New Roman"/>
          <w:i/>
          <w:color w:val="000000"/>
          <w:shd w:val="clear" w:color="auto" w:fill="C0C0C0"/>
        </w:rPr>
      </w:pPr>
      <w:r w:rsidRPr="001D3C3D">
        <w:rPr>
          <w:rFonts w:ascii="Times New Roman" w:eastAsia="SimSun" w:hAnsi="Times New Roman" w:cs="Times New Roman"/>
          <w:i/>
          <w:color w:val="000000"/>
          <w:shd w:val="clear" w:color="auto" w:fill="C0C0C0"/>
          <w:lang w:eastAsia="ar-SA"/>
        </w:rPr>
        <w:t>Lizdinės plokštelės</w:t>
      </w:r>
    </w:p>
    <w:p w14:paraId="53259464" w14:textId="77777777" w:rsidR="00C51EA1" w:rsidRPr="001D3C3D" w:rsidRDefault="00C51EA1" w:rsidP="00ED7DC3">
      <w:pPr>
        <w:tabs>
          <w:tab w:val="left" w:pos="567"/>
        </w:tabs>
        <w:suppressAutoHyphens/>
        <w:spacing w:after="0" w:line="240" w:lineRule="auto"/>
        <w:rPr>
          <w:rFonts w:ascii="Times New Roman" w:eastAsia="SimSun" w:hAnsi="Times New Roman" w:cs="Times New Roman"/>
          <w:color w:val="000000"/>
          <w:shd w:val="clear" w:color="auto" w:fill="C0C0C0"/>
          <w:lang w:eastAsia="ar-SA"/>
        </w:rPr>
      </w:pPr>
      <w:r w:rsidRPr="001D3C3D">
        <w:rPr>
          <w:rFonts w:ascii="Times New Roman" w:eastAsia="SimSun" w:hAnsi="Times New Roman" w:cs="Times New Roman"/>
          <w:color w:val="000000"/>
          <w:shd w:val="clear" w:color="auto" w:fill="C0C0C0"/>
          <w:lang w:eastAsia="ar-SA"/>
        </w:rPr>
        <w:t>10 plėvele dengtų tablečių</w:t>
      </w:r>
    </w:p>
    <w:p w14:paraId="63BA9A64" w14:textId="77777777" w:rsidR="00C51EA1" w:rsidRPr="001D3C3D" w:rsidRDefault="00C51EA1" w:rsidP="00ED7DC3">
      <w:pPr>
        <w:tabs>
          <w:tab w:val="left" w:pos="567"/>
        </w:tabs>
        <w:suppressAutoHyphens/>
        <w:spacing w:after="0" w:line="240" w:lineRule="auto"/>
        <w:rPr>
          <w:rFonts w:ascii="Times New Roman" w:eastAsia="SimSun" w:hAnsi="Times New Roman" w:cs="Times New Roman"/>
          <w:color w:val="000000"/>
          <w:shd w:val="clear" w:color="auto" w:fill="C0C0C0"/>
          <w:lang w:eastAsia="ar-SA"/>
        </w:rPr>
      </w:pPr>
      <w:r w:rsidRPr="001D3C3D">
        <w:rPr>
          <w:rFonts w:ascii="Times New Roman" w:eastAsia="SimSun" w:hAnsi="Times New Roman" w:cs="Times New Roman"/>
          <w:color w:val="000000"/>
          <w:shd w:val="clear" w:color="auto" w:fill="C0C0C0"/>
          <w:lang w:eastAsia="ar-SA"/>
        </w:rPr>
        <w:t>10x1 plėvele dengtų tablečių</w:t>
      </w:r>
    </w:p>
    <w:p w14:paraId="08C1D4E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30x1 plėvele dengtų tablečių</w:t>
      </w:r>
    </w:p>
    <w:p w14:paraId="0F11955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099C70D"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shd w:val="clear" w:color="auto" w:fill="C0C0C0"/>
          <w:lang w:eastAsia="ar-SA"/>
        </w:rPr>
      </w:pPr>
      <w:r w:rsidRPr="001D3C3D">
        <w:rPr>
          <w:rFonts w:ascii="Times New Roman" w:eastAsia="SimSun" w:hAnsi="Times New Roman" w:cs="Times New Roman"/>
          <w:i/>
          <w:color w:val="000000"/>
          <w:shd w:val="clear" w:color="auto" w:fill="C0C0C0"/>
          <w:lang w:eastAsia="ar-SA"/>
        </w:rPr>
        <w:t>Buteliukas</w:t>
      </w:r>
    </w:p>
    <w:p w14:paraId="1675FEE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30 plėvele dengtų tablečių</w:t>
      </w:r>
    </w:p>
    <w:p w14:paraId="47C10B8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3E446E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7811EB3"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w:t>
      </w:r>
      <w:r w:rsidRPr="001D3C3D">
        <w:rPr>
          <w:rFonts w:ascii="Times New Roman" w:eastAsia="SimSun" w:hAnsi="Times New Roman" w:cs="Times New Roman"/>
          <w:b/>
          <w:color w:val="000000"/>
          <w:lang w:eastAsia="ar-SA"/>
        </w:rPr>
        <w:tab/>
        <w:t>VARTOJIMO METODAS IR BŪDAS (-AI)</w:t>
      </w:r>
    </w:p>
    <w:p w14:paraId="2F83B2D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A71893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Tabletę nuryti nepažeistą.</w:t>
      </w:r>
    </w:p>
    <w:p w14:paraId="20AB223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Prieš vartojimą perskaitykite pakuotės lapelį.</w:t>
      </w:r>
    </w:p>
    <w:p w14:paraId="604D24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Vartoti per burną. </w:t>
      </w:r>
    </w:p>
    <w:p w14:paraId="0A7662E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ABD3C50"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Tik buteliukui</w:t>
      </w:r>
      <w:r w:rsidRPr="001D3C3D">
        <w:rPr>
          <w:rFonts w:ascii="Times New Roman" w:eastAsia="SimSun" w:hAnsi="Times New Roman" w:cs="Times New Roman"/>
          <w:color w:val="000000"/>
          <w:lang w:eastAsia="ar-SA"/>
        </w:rPr>
        <w:t xml:space="preserve"> </w:t>
      </w:r>
    </w:p>
    <w:p w14:paraId="48BFC7B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highlight w:val="lightGray"/>
          <w:lang w:eastAsia="ar-SA"/>
        </w:rPr>
        <w:t>Buteliuke esančio sausiklio nenuryti.</w:t>
      </w:r>
    </w:p>
    <w:p w14:paraId="005CAA3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sz w:val="16"/>
          <w:szCs w:val="16"/>
          <w:lang w:eastAsia="ar-SA"/>
        </w:rPr>
      </w:pPr>
    </w:p>
    <w:p w14:paraId="7DFBD7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color w:val="000000"/>
          <w:lang w:eastAsia="ar-SA"/>
        </w:rPr>
        <w:t xml:space="preserve"> </w:t>
      </w:r>
    </w:p>
    <w:p w14:paraId="417F8974"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6.</w:t>
      </w:r>
      <w:r w:rsidRPr="001D3C3D">
        <w:rPr>
          <w:rFonts w:ascii="Times New Roman" w:eastAsia="SimSun" w:hAnsi="Times New Roman" w:cs="Times New Roman"/>
          <w:b/>
          <w:color w:val="000000"/>
          <w:lang w:eastAsia="ar-SA"/>
        </w:rPr>
        <w:tab/>
        <w:t>SPECIALUS ĮSPĖJIMAS, KAD VAISTINĮ PREPARATĄ BŪTINA LAIKYTI VAIKAMS NEPASTEBIMOJE IR NEPASIEKIAMOJE VIETOJE</w:t>
      </w:r>
    </w:p>
    <w:p w14:paraId="54C8FF5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DF831B3"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Laikyti vaikams nepastebimoje ir nepasiekiamoje vietoje.</w:t>
      </w:r>
    </w:p>
    <w:p w14:paraId="7597875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130740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sz w:val="16"/>
          <w:szCs w:val="16"/>
          <w:lang w:eastAsia="ar-SA"/>
        </w:rPr>
      </w:pPr>
    </w:p>
    <w:p w14:paraId="4AE096A6"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7.</w:t>
      </w:r>
      <w:r w:rsidRPr="001D3C3D">
        <w:rPr>
          <w:rFonts w:ascii="Times New Roman" w:eastAsia="SimSun" w:hAnsi="Times New Roman" w:cs="Times New Roman"/>
          <w:b/>
          <w:color w:val="000000"/>
          <w:lang w:eastAsia="ar-SA"/>
        </w:rPr>
        <w:tab/>
        <w:t>KITAS (-I) SPECIALUS (-ŪS) ĮSPĖJIMAS (-AI) (JEI REIKIA)</w:t>
      </w:r>
    </w:p>
    <w:p w14:paraId="2500312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36B6125"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CITOSTATIŠKAS</w:t>
      </w:r>
    </w:p>
    <w:p w14:paraId="197A7B1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AD1197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2CACA97"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8.</w:t>
      </w:r>
      <w:r w:rsidRPr="001D3C3D">
        <w:rPr>
          <w:rFonts w:ascii="Times New Roman" w:eastAsia="SimSun" w:hAnsi="Times New Roman" w:cs="Times New Roman"/>
          <w:b/>
          <w:color w:val="000000"/>
          <w:lang w:eastAsia="ar-SA"/>
        </w:rPr>
        <w:tab/>
        <w:t>TINKAMUMO LAIKAS</w:t>
      </w:r>
    </w:p>
    <w:p w14:paraId="08CACCF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725C57E" w14:textId="6031E67F"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EXP</w:t>
      </w:r>
      <w:r w:rsidR="009C1CC8">
        <w:rPr>
          <w:rFonts w:ascii="Times New Roman" w:eastAsia="SimSun" w:hAnsi="Times New Roman" w:cs="Times New Roman"/>
          <w:color w:val="000000"/>
          <w:lang w:eastAsia="ar-SA"/>
        </w:rPr>
        <w:t xml:space="preserve"> </w:t>
      </w:r>
      <w:r w:rsidRPr="001D3C3D">
        <w:rPr>
          <w:rFonts w:ascii="Times New Roman" w:eastAsia="SimSun" w:hAnsi="Times New Roman" w:cs="Times New Roman"/>
          <w:color w:val="000000"/>
          <w:lang w:eastAsia="ar-SA"/>
        </w:rPr>
        <w:t>{mm MMMM}</w:t>
      </w:r>
    </w:p>
    <w:p w14:paraId="2F16619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sz w:val="16"/>
          <w:szCs w:val="16"/>
          <w:lang w:eastAsia="ar-SA"/>
        </w:rPr>
      </w:pPr>
    </w:p>
    <w:p w14:paraId="08AAD08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C0D6E88" w14:textId="77777777" w:rsidR="00ED7DC3" w:rsidRPr="001D3C3D" w:rsidRDefault="00ED7DC3" w:rsidP="0086689D">
      <w:pPr>
        <w:keepNext/>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9.</w:t>
      </w:r>
      <w:r w:rsidRPr="001D3C3D">
        <w:rPr>
          <w:rFonts w:ascii="Times New Roman" w:eastAsia="SimSun" w:hAnsi="Times New Roman" w:cs="Times New Roman"/>
          <w:b/>
          <w:color w:val="000000"/>
          <w:lang w:eastAsia="ar-SA"/>
        </w:rPr>
        <w:tab/>
        <w:t>SPECIALIOS LAIKYMO SĄLYGOS</w:t>
      </w:r>
    </w:p>
    <w:p w14:paraId="4A561B7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467953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4D35C27"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10.</w:t>
      </w:r>
      <w:r w:rsidRPr="001D3C3D">
        <w:rPr>
          <w:rFonts w:ascii="Times New Roman" w:eastAsia="SimSun" w:hAnsi="Times New Roman" w:cs="Times New Roman"/>
          <w:b/>
          <w:color w:val="000000"/>
          <w:lang w:eastAsia="ar-SA"/>
        </w:rPr>
        <w:tab/>
        <w:t>SPECIALIOS ATSARGUMO PRIEMONĖS DĖL NESUVARTOTO VAISTINIO PREPARATO AR JO ATLIEKŲ TVARKYMO (JEI REIKIA)</w:t>
      </w:r>
    </w:p>
    <w:p w14:paraId="6B833ED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50E0BD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Nesuvartotą vaistą ar atliekas reikia tvarkyti laikantis vietinių reikalavimų, taikomų citotoksiniams vaistams.</w:t>
      </w:r>
    </w:p>
    <w:p w14:paraId="26E8A28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sz w:val="16"/>
          <w:szCs w:val="16"/>
          <w:lang w:eastAsia="ar-SA"/>
        </w:rPr>
      </w:pPr>
    </w:p>
    <w:p w14:paraId="45AEE43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175D20B"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11.</w:t>
      </w:r>
      <w:r w:rsidRPr="001D3C3D">
        <w:rPr>
          <w:rFonts w:ascii="Times New Roman" w:eastAsia="SimSun" w:hAnsi="Times New Roman" w:cs="Times New Roman"/>
          <w:b/>
          <w:color w:val="000000"/>
          <w:lang w:eastAsia="ar-SA"/>
        </w:rPr>
        <w:tab/>
      </w:r>
      <w:r w:rsidRPr="001D3C3D">
        <w:rPr>
          <w:rFonts w:ascii="Times New Roman" w:eastAsia="SimSun" w:hAnsi="Times New Roman" w:cs="Times New Roman"/>
          <w:b/>
          <w:caps/>
          <w:color w:val="000000"/>
          <w:lang w:eastAsia="ar-SA"/>
        </w:rPr>
        <w:t>rEGISTRUOTOJO PAVADINIMAS IR ADRESAS</w:t>
      </w:r>
    </w:p>
    <w:p w14:paraId="0007D57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794745E"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Sandoz d.d.</w:t>
      </w:r>
    </w:p>
    <w:p w14:paraId="254120F4"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Verovškova 57</w:t>
      </w:r>
    </w:p>
    <w:p w14:paraId="4E99F9D8"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SI-1000 Ljubljana</w:t>
      </w:r>
    </w:p>
    <w:p w14:paraId="0412BF12" w14:textId="77777777" w:rsidR="00ED7DC3" w:rsidRPr="001D3C3D" w:rsidRDefault="00ED7DC3" w:rsidP="00ED7DC3">
      <w:pPr>
        <w:tabs>
          <w:tab w:val="left" w:pos="425"/>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Slovėnija</w:t>
      </w:r>
    </w:p>
    <w:p w14:paraId="5E38C2B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292FAF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BB39634"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12.</w:t>
      </w:r>
      <w:r w:rsidRPr="001D3C3D">
        <w:rPr>
          <w:rFonts w:ascii="Times New Roman" w:eastAsia="SimSun" w:hAnsi="Times New Roman" w:cs="Times New Roman"/>
          <w:b/>
          <w:color w:val="000000"/>
          <w:lang w:eastAsia="ar-SA"/>
        </w:rPr>
        <w:tab/>
        <w:t xml:space="preserve">REGISTRACIJOS PAŽYMĖJIMO NUMERIS (-IAI) </w:t>
      </w:r>
    </w:p>
    <w:p w14:paraId="5395F7A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6F359BE" w14:textId="2E70D148"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20 mg</w:t>
      </w:r>
    </w:p>
    <w:p w14:paraId="00C6BA4D" w14:textId="33FDE61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w:t>
      </w:r>
      <w:r w:rsidR="00D376E0" w:rsidRPr="001D3C3D">
        <w:rPr>
          <w:rFonts w:ascii="Times New Roman" w:eastAsia="Times New Roman" w:hAnsi="Times New Roman" w:cs="Times New Roman"/>
          <w:color w:val="000000"/>
          <w:u w:val="single"/>
          <w:shd w:val="clear" w:color="auto" w:fill="D9D9D9" w:themeFill="background1" w:themeFillShade="D9"/>
          <w:lang w:eastAsia="ar-SA"/>
        </w:rPr>
        <w:t>, dalomoji lizdinė plokštelė</w:t>
      </w:r>
      <w:r w:rsidRPr="001D3C3D">
        <w:rPr>
          <w:rFonts w:ascii="Times New Roman" w:eastAsia="Times New Roman" w:hAnsi="Times New Roman" w:cs="Times New Roman"/>
          <w:color w:val="000000"/>
          <w:lang w:eastAsia="ar-SA"/>
        </w:rPr>
        <w:t>:</w:t>
      </w:r>
    </w:p>
    <w:p w14:paraId="4884A8BB"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lang w:eastAsia="ar-SA"/>
        </w:rPr>
        <w:t xml:space="preserve">LT/1/18/4281/004 </w:t>
      </w:r>
      <w:r w:rsidRPr="001D3C3D">
        <w:rPr>
          <w:rFonts w:ascii="Times New Roman" w:eastAsia="Times New Roman" w:hAnsi="Times New Roman" w:cs="Times New Roman"/>
          <w:color w:val="000000"/>
          <w:shd w:val="clear" w:color="auto" w:fill="D9D9D9" w:themeFill="background1" w:themeFillShade="D9"/>
          <w:lang w:eastAsia="ar-SA"/>
        </w:rPr>
        <w:t>– N12</w:t>
      </w:r>
    </w:p>
    <w:p w14:paraId="62E5BB24"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LT/1/18/4281/001 – N56</w:t>
      </w:r>
    </w:p>
    <w:p w14:paraId="72329987"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LT/1/18/4281/005 – N12x1</w:t>
      </w:r>
    </w:p>
    <w:p w14:paraId="3274061C"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LT/1/18/4281/002 – N60x1</w:t>
      </w:r>
    </w:p>
    <w:p w14:paraId="38005197"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025D1543"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LT/1/18/4281/003 – N60</w:t>
      </w:r>
      <w:r w:rsidRPr="001D3C3D">
        <w:rPr>
          <w:rFonts w:ascii="Times New Roman" w:eastAsia="Times New Roman" w:hAnsi="Times New Roman" w:cs="Times New Roman"/>
          <w:color w:val="000000"/>
          <w:lang w:eastAsia="ar-SA"/>
        </w:rPr>
        <w:tab/>
      </w:r>
    </w:p>
    <w:p w14:paraId="6628242A" w14:textId="77777777" w:rsidR="00D376E0" w:rsidRPr="001D3C3D" w:rsidRDefault="00D376E0"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7F46DBDA" w14:textId="2F4E8BC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50</w:t>
      </w:r>
      <w:r w:rsidR="007246D6">
        <w:rPr>
          <w:rFonts w:ascii="Times New Roman" w:eastAsia="Times New Roman" w:hAnsi="Times New Roman" w:cs="Times New Roman"/>
          <w:color w:val="000000"/>
          <w:u w:val="single"/>
          <w:shd w:val="clear" w:color="auto" w:fill="D9D9D9" w:themeFill="background1" w:themeFillShade="D9"/>
          <w:lang w:eastAsia="ar-SA"/>
        </w:rPr>
        <w:t> </w:t>
      </w:r>
      <w:r w:rsidRPr="001D3C3D">
        <w:rPr>
          <w:rFonts w:ascii="Times New Roman" w:eastAsia="Times New Roman" w:hAnsi="Times New Roman" w:cs="Times New Roman"/>
          <w:color w:val="000000"/>
          <w:u w:val="single"/>
          <w:shd w:val="clear" w:color="auto" w:fill="D9D9D9" w:themeFill="background1" w:themeFillShade="D9"/>
          <w:lang w:eastAsia="ar-SA"/>
        </w:rPr>
        <w:t>mg</w:t>
      </w:r>
    </w:p>
    <w:p w14:paraId="510AFF82" w14:textId="77777777" w:rsidR="00D376E0" w:rsidRPr="001D3C3D" w:rsidRDefault="00D376E0"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 dalomoji lizdinė plokštelė</w:t>
      </w:r>
      <w:r w:rsidRPr="001D3C3D">
        <w:rPr>
          <w:rFonts w:ascii="Times New Roman" w:eastAsia="Times New Roman" w:hAnsi="Times New Roman" w:cs="Times New Roman"/>
          <w:color w:val="000000"/>
          <w:shd w:val="clear" w:color="auto" w:fill="D9D9D9" w:themeFill="background1" w:themeFillShade="D9"/>
          <w:lang w:eastAsia="ar-SA"/>
        </w:rPr>
        <w:t>:</w:t>
      </w:r>
    </w:p>
    <w:p w14:paraId="5E43F49D"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lang w:eastAsia="ar-SA"/>
        </w:rPr>
        <w:t xml:space="preserve">LT/1/18/4282/004 </w:t>
      </w:r>
      <w:r w:rsidRPr="001D3C3D">
        <w:rPr>
          <w:rFonts w:ascii="Times New Roman" w:eastAsia="Times New Roman" w:hAnsi="Times New Roman" w:cs="Times New Roman"/>
          <w:color w:val="000000"/>
          <w:shd w:val="clear" w:color="auto" w:fill="D9D9D9" w:themeFill="background1" w:themeFillShade="D9"/>
          <w:lang w:eastAsia="ar-SA"/>
        </w:rPr>
        <w:t>– N12</w:t>
      </w:r>
    </w:p>
    <w:p w14:paraId="65E786E8" w14:textId="3430D93E"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LT/1/18/4282/001 – N56</w:t>
      </w:r>
    </w:p>
    <w:p w14:paraId="2A7DA1BC"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LT/1/18/4282/005 – N12x1</w:t>
      </w:r>
    </w:p>
    <w:p w14:paraId="4205E1A7"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LT/1/18/4282/002 – N60x1</w:t>
      </w:r>
    </w:p>
    <w:p w14:paraId="21DDACEC"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503F9168"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LT/1/18/4282/003 – N60</w:t>
      </w:r>
    </w:p>
    <w:p w14:paraId="46757FE7" w14:textId="77777777" w:rsidR="00D376E0" w:rsidRPr="001D3C3D" w:rsidRDefault="00D376E0"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31BA1B0C" w14:textId="735510D4"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70</w:t>
      </w:r>
      <w:r w:rsidR="007246D6">
        <w:rPr>
          <w:rFonts w:ascii="Times New Roman" w:eastAsia="Times New Roman" w:hAnsi="Times New Roman" w:cs="Times New Roman"/>
          <w:color w:val="000000"/>
          <w:u w:val="single"/>
          <w:shd w:val="clear" w:color="auto" w:fill="D9D9D9" w:themeFill="background1" w:themeFillShade="D9"/>
          <w:lang w:eastAsia="ar-SA"/>
        </w:rPr>
        <w:t> </w:t>
      </w:r>
      <w:r w:rsidRPr="001D3C3D">
        <w:rPr>
          <w:rFonts w:ascii="Times New Roman" w:eastAsia="Times New Roman" w:hAnsi="Times New Roman" w:cs="Times New Roman"/>
          <w:color w:val="000000"/>
          <w:u w:val="single"/>
          <w:shd w:val="clear" w:color="auto" w:fill="D9D9D9" w:themeFill="background1" w:themeFillShade="D9"/>
          <w:lang w:eastAsia="ar-SA"/>
        </w:rPr>
        <w:t>mg</w:t>
      </w:r>
    </w:p>
    <w:p w14:paraId="24B89823"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 dalomoji lizdinė plokštelė</w:t>
      </w:r>
      <w:r w:rsidRPr="001D3C3D">
        <w:rPr>
          <w:rFonts w:ascii="Times New Roman" w:eastAsia="Times New Roman" w:hAnsi="Times New Roman" w:cs="Times New Roman"/>
          <w:color w:val="000000"/>
          <w:shd w:val="clear" w:color="auto" w:fill="D9D9D9" w:themeFill="background1" w:themeFillShade="D9"/>
          <w:lang w:eastAsia="ar-SA"/>
        </w:rPr>
        <w:t>:</w:t>
      </w:r>
    </w:p>
    <w:p w14:paraId="1D8ED50B"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LT/1/18/4283/004 – N12</w:t>
      </w:r>
    </w:p>
    <w:p w14:paraId="31F0B903"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LT/1/18/4283/001 – N56</w:t>
      </w:r>
    </w:p>
    <w:p w14:paraId="3DF6D0D4"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LT/1/18/4283/005 – N12x1</w:t>
      </w:r>
    </w:p>
    <w:p w14:paraId="765BBB51"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LT/1/18/4283/002 – N60x1</w:t>
      </w:r>
    </w:p>
    <w:p w14:paraId="57CD3BFE"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3A7BF719" w14:textId="79A863D8" w:rsidR="00D376E0"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LT/1/18/4283/003 – N60</w:t>
      </w:r>
    </w:p>
    <w:p w14:paraId="2137EDBE" w14:textId="77777777" w:rsidR="00D376E0" w:rsidRPr="001D3C3D" w:rsidRDefault="00D376E0"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778372CF" w14:textId="2173966B"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80</w:t>
      </w:r>
      <w:r w:rsidR="007246D6">
        <w:rPr>
          <w:rFonts w:ascii="Times New Roman" w:eastAsia="Times New Roman" w:hAnsi="Times New Roman" w:cs="Times New Roman"/>
          <w:color w:val="000000"/>
          <w:u w:val="single"/>
          <w:shd w:val="clear" w:color="auto" w:fill="D9D9D9" w:themeFill="background1" w:themeFillShade="D9"/>
          <w:lang w:eastAsia="ar-SA"/>
        </w:rPr>
        <w:t> </w:t>
      </w:r>
      <w:r w:rsidRPr="001D3C3D">
        <w:rPr>
          <w:rFonts w:ascii="Times New Roman" w:eastAsia="Times New Roman" w:hAnsi="Times New Roman" w:cs="Times New Roman"/>
          <w:color w:val="000000"/>
          <w:u w:val="single"/>
          <w:shd w:val="clear" w:color="auto" w:fill="D9D9D9" w:themeFill="background1" w:themeFillShade="D9"/>
          <w:lang w:eastAsia="ar-SA"/>
        </w:rPr>
        <w:t>mg</w:t>
      </w:r>
    </w:p>
    <w:p w14:paraId="0716F901" w14:textId="77777777" w:rsidR="00D376E0" w:rsidRPr="001D3C3D" w:rsidRDefault="00D376E0" w:rsidP="00D376E0">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 dalomoji lizdinė plokštelė</w:t>
      </w:r>
      <w:r w:rsidRPr="001D3C3D">
        <w:rPr>
          <w:rFonts w:ascii="Times New Roman" w:eastAsia="Times New Roman" w:hAnsi="Times New Roman" w:cs="Times New Roman"/>
          <w:color w:val="000000"/>
          <w:shd w:val="clear" w:color="auto" w:fill="D9D9D9" w:themeFill="background1" w:themeFillShade="D9"/>
          <w:lang w:eastAsia="ar-SA"/>
        </w:rPr>
        <w:t>:</w:t>
      </w:r>
    </w:p>
    <w:p w14:paraId="72BACE37" w14:textId="1620E704"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LT/1/18/4284/003 – N1</w:t>
      </w:r>
      <w:r w:rsidR="006577D5" w:rsidRPr="001D3C3D">
        <w:rPr>
          <w:rFonts w:ascii="Times New Roman" w:eastAsia="Times New Roman" w:hAnsi="Times New Roman" w:cs="Times New Roman"/>
          <w:color w:val="000000"/>
          <w:shd w:val="clear" w:color="auto" w:fill="D9D9D9" w:themeFill="background1" w:themeFillShade="D9"/>
          <w:lang w:eastAsia="ar-SA"/>
        </w:rPr>
        <w:t>0</w:t>
      </w:r>
    </w:p>
    <w:p w14:paraId="071777F8" w14:textId="77777777" w:rsidR="006577D5" w:rsidRPr="001D3C3D" w:rsidRDefault="006577D5" w:rsidP="006577D5">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LT/1/18/4284/004 – N10x1</w:t>
      </w:r>
    </w:p>
    <w:p w14:paraId="4551B3D4"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LT/1/18/4284/001 – N30x1</w:t>
      </w:r>
    </w:p>
    <w:p w14:paraId="678D986C"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3E1D6351"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LT/1/18/4284/002 – N30</w:t>
      </w:r>
    </w:p>
    <w:p w14:paraId="0877EC7A"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7BB7B3D2" w14:textId="6A5E5505"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100</w:t>
      </w:r>
      <w:r w:rsidR="007246D6">
        <w:rPr>
          <w:rFonts w:ascii="Times New Roman" w:eastAsia="Times New Roman" w:hAnsi="Times New Roman" w:cs="Times New Roman"/>
          <w:color w:val="000000"/>
          <w:u w:val="single"/>
          <w:shd w:val="clear" w:color="auto" w:fill="D9D9D9" w:themeFill="background1" w:themeFillShade="D9"/>
          <w:lang w:eastAsia="ar-SA"/>
        </w:rPr>
        <w:t> </w:t>
      </w:r>
      <w:r w:rsidRPr="001D3C3D">
        <w:rPr>
          <w:rFonts w:ascii="Times New Roman" w:eastAsia="Times New Roman" w:hAnsi="Times New Roman" w:cs="Times New Roman"/>
          <w:color w:val="000000"/>
          <w:u w:val="single"/>
          <w:shd w:val="clear" w:color="auto" w:fill="D9D9D9" w:themeFill="background1" w:themeFillShade="D9"/>
          <w:lang w:eastAsia="ar-SA"/>
        </w:rPr>
        <w:t>mg</w:t>
      </w:r>
    </w:p>
    <w:p w14:paraId="7E0B12ED" w14:textId="77777777" w:rsidR="006577D5" w:rsidRPr="001D3C3D" w:rsidRDefault="006577D5" w:rsidP="006577D5">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 dalomoji lizdinė plokštelė</w:t>
      </w:r>
      <w:r w:rsidRPr="001D3C3D">
        <w:rPr>
          <w:rFonts w:ascii="Times New Roman" w:eastAsia="Times New Roman" w:hAnsi="Times New Roman" w:cs="Times New Roman"/>
          <w:color w:val="000000"/>
          <w:shd w:val="clear" w:color="auto" w:fill="D9D9D9" w:themeFill="background1" w:themeFillShade="D9"/>
          <w:lang w:eastAsia="ar-SA"/>
        </w:rPr>
        <w:t>:</w:t>
      </w:r>
    </w:p>
    <w:p w14:paraId="64658BEA" w14:textId="4967204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LT/1/18/4285/003 – N1</w:t>
      </w:r>
      <w:r w:rsidR="006577D5" w:rsidRPr="001D3C3D">
        <w:rPr>
          <w:rFonts w:ascii="Times New Roman" w:eastAsia="Times New Roman" w:hAnsi="Times New Roman" w:cs="Times New Roman"/>
          <w:color w:val="000000"/>
          <w:shd w:val="clear" w:color="auto" w:fill="D9D9D9" w:themeFill="background1" w:themeFillShade="D9"/>
          <w:lang w:eastAsia="ar-SA"/>
        </w:rPr>
        <w:t>0</w:t>
      </w:r>
    </w:p>
    <w:p w14:paraId="7CA26B90" w14:textId="77777777" w:rsidR="006577D5" w:rsidRPr="001D3C3D" w:rsidRDefault="006577D5" w:rsidP="006577D5">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LT/1/18/4285/004 – N10x1</w:t>
      </w:r>
    </w:p>
    <w:p w14:paraId="1ABE4395"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LT/1/18/4285/001 – N30x1</w:t>
      </w:r>
    </w:p>
    <w:p w14:paraId="1E6ACA5A"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3B91237C" w14:textId="77777777" w:rsidR="00D376E0"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LT/1/18/4285/002 – N30</w:t>
      </w:r>
      <w:r w:rsidRPr="001D3C3D">
        <w:rPr>
          <w:rFonts w:ascii="Times New Roman" w:eastAsia="Times New Roman" w:hAnsi="Times New Roman" w:cs="Times New Roman"/>
          <w:color w:val="000000"/>
          <w:lang w:eastAsia="ar-SA"/>
        </w:rPr>
        <w:tab/>
      </w:r>
    </w:p>
    <w:p w14:paraId="282C6D7A" w14:textId="77777777" w:rsidR="00D376E0" w:rsidRPr="001D3C3D" w:rsidRDefault="00D376E0"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01E1AB20" w14:textId="3FF08BF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u w:val="single"/>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140</w:t>
      </w:r>
      <w:r w:rsidR="007246D6">
        <w:rPr>
          <w:rFonts w:ascii="Times New Roman" w:eastAsia="Times New Roman" w:hAnsi="Times New Roman" w:cs="Times New Roman"/>
          <w:color w:val="000000"/>
          <w:u w:val="single"/>
          <w:shd w:val="clear" w:color="auto" w:fill="D9D9D9" w:themeFill="background1" w:themeFillShade="D9"/>
          <w:lang w:eastAsia="ar-SA"/>
        </w:rPr>
        <w:t> </w:t>
      </w:r>
      <w:r w:rsidRPr="001D3C3D">
        <w:rPr>
          <w:rFonts w:ascii="Times New Roman" w:eastAsia="Times New Roman" w:hAnsi="Times New Roman" w:cs="Times New Roman"/>
          <w:color w:val="000000"/>
          <w:u w:val="single"/>
          <w:shd w:val="clear" w:color="auto" w:fill="D9D9D9" w:themeFill="background1" w:themeFillShade="D9"/>
          <w:lang w:eastAsia="ar-SA"/>
        </w:rPr>
        <w:t>mg</w:t>
      </w:r>
    </w:p>
    <w:p w14:paraId="09E21BDE" w14:textId="77777777" w:rsidR="006577D5" w:rsidRPr="001D3C3D" w:rsidRDefault="006577D5" w:rsidP="006577D5">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Lizdinė plokštelė (kalendorinė), dalomoji lizdinė plokštelė</w:t>
      </w:r>
      <w:r w:rsidRPr="001D3C3D">
        <w:rPr>
          <w:rFonts w:ascii="Times New Roman" w:eastAsia="Times New Roman" w:hAnsi="Times New Roman" w:cs="Times New Roman"/>
          <w:color w:val="000000"/>
          <w:shd w:val="clear" w:color="auto" w:fill="D9D9D9" w:themeFill="background1" w:themeFillShade="D9"/>
          <w:lang w:eastAsia="ar-SA"/>
        </w:rPr>
        <w:t>:</w:t>
      </w:r>
    </w:p>
    <w:p w14:paraId="35468B04" w14:textId="686F9FCA"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LT/1/18/4286/003 – N1</w:t>
      </w:r>
      <w:r w:rsidR="006577D5" w:rsidRPr="001D3C3D">
        <w:rPr>
          <w:rFonts w:ascii="Times New Roman" w:eastAsia="Times New Roman" w:hAnsi="Times New Roman" w:cs="Times New Roman"/>
          <w:color w:val="000000"/>
          <w:shd w:val="clear" w:color="auto" w:fill="D9D9D9" w:themeFill="background1" w:themeFillShade="D9"/>
          <w:lang w:eastAsia="ar-SA"/>
        </w:rPr>
        <w:t>0</w:t>
      </w:r>
    </w:p>
    <w:p w14:paraId="01575511" w14:textId="77777777" w:rsidR="006577D5" w:rsidRPr="001D3C3D" w:rsidRDefault="006577D5" w:rsidP="006577D5">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LT/1/18/4286/004 – N10x1</w:t>
      </w:r>
    </w:p>
    <w:p w14:paraId="0976F6CC"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LT/1/18/4286/001 – N30x1</w:t>
      </w:r>
    </w:p>
    <w:p w14:paraId="30FF1019"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u w:val="single"/>
          <w:shd w:val="clear" w:color="auto" w:fill="D9D9D9" w:themeFill="background1" w:themeFillShade="D9"/>
          <w:lang w:eastAsia="ar-SA"/>
        </w:rPr>
        <w:t>Buteliukas</w:t>
      </w:r>
      <w:r w:rsidRPr="001D3C3D">
        <w:rPr>
          <w:rFonts w:ascii="Times New Roman" w:eastAsia="Times New Roman" w:hAnsi="Times New Roman" w:cs="Times New Roman"/>
          <w:color w:val="000000"/>
          <w:shd w:val="clear" w:color="auto" w:fill="D9D9D9" w:themeFill="background1" w:themeFillShade="D9"/>
          <w:lang w:eastAsia="ar-SA"/>
        </w:rPr>
        <w:t>:</w:t>
      </w:r>
    </w:p>
    <w:p w14:paraId="2CF4460F" w14:textId="44195E95"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shd w:val="clear" w:color="auto" w:fill="D9D9D9" w:themeFill="background1" w:themeFillShade="D9"/>
          <w:lang w:eastAsia="ar-SA"/>
        </w:rPr>
      </w:pPr>
      <w:r w:rsidRPr="001D3C3D">
        <w:rPr>
          <w:rFonts w:ascii="Times New Roman" w:eastAsia="Times New Roman" w:hAnsi="Times New Roman" w:cs="Times New Roman"/>
          <w:color w:val="000000"/>
          <w:shd w:val="clear" w:color="auto" w:fill="D9D9D9" w:themeFill="background1" w:themeFillShade="D9"/>
          <w:lang w:eastAsia="ar-SA"/>
        </w:rPr>
        <w:t>LT/1/18/4286/002 – N30</w:t>
      </w:r>
    </w:p>
    <w:p w14:paraId="0925062E" w14:textId="77777777" w:rsidR="00D70528" w:rsidRPr="001D3C3D" w:rsidRDefault="00D70528" w:rsidP="00D70528">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635A270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4972A15"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13.</w:t>
      </w:r>
      <w:r w:rsidRPr="001D3C3D">
        <w:rPr>
          <w:rFonts w:ascii="Times New Roman" w:eastAsia="SimSun" w:hAnsi="Times New Roman" w:cs="Times New Roman"/>
          <w:b/>
          <w:color w:val="000000"/>
          <w:lang w:eastAsia="ar-SA"/>
        </w:rPr>
        <w:tab/>
        <w:t xml:space="preserve">SERIJOS NUMERIS </w:t>
      </w:r>
    </w:p>
    <w:p w14:paraId="06361D8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516A857"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Lot </w:t>
      </w:r>
    </w:p>
    <w:p w14:paraId="3145009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F33E19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463388C"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14.</w:t>
      </w:r>
      <w:r w:rsidRPr="001D3C3D">
        <w:rPr>
          <w:rFonts w:ascii="Times New Roman" w:eastAsia="SimSun" w:hAnsi="Times New Roman" w:cs="Times New Roman"/>
          <w:b/>
          <w:color w:val="000000"/>
          <w:lang w:eastAsia="ar-SA"/>
        </w:rPr>
        <w:tab/>
        <w:t>PARDAVIMO (IŠDAVIMO) TVARKA</w:t>
      </w:r>
    </w:p>
    <w:p w14:paraId="2D7D3E0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8C0A2D3"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Receptinis vaistas.</w:t>
      </w:r>
    </w:p>
    <w:p w14:paraId="5133592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9F051F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3842812" w14:textId="77777777" w:rsidR="00ED7DC3" w:rsidRPr="001D3C3D" w:rsidRDefault="00ED7DC3" w:rsidP="0086689D">
      <w:pPr>
        <w:suppressLineNumbers/>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15.</w:t>
      </w:r>
      <w:r w:rsidRPr="001D3C3D">
        <w:rPr>
          <w:rFonts w:ascii="Times New Roman" w:eastAsia="SimSun" w:hAnsi="Times New Roman" w:cs="Times New Roman"/>
          <w:b/>
          <w:color w:val="000000"/>
          <w:lang w:eastAsia="ar-SA"/>
        </w:rPr>
        <w:tab/>
        <w:t>VARTOJIMO INSTRUKCIJA</w:t>
      </w:r>
    </w:p>
    <w:p w14:paraId="10022A1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E16396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5A51E53" w14:textId="77777777" w:rsidR="00ED7DC3" w:rsidRPr="001D3C3D" w:rsidRDefault="00ED7DC3" w:rsidP="0086689D">
      <w:pPr>
        <w:suppressLineNumbers/>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16.</w:t>
      </w:r>
      <w:r w:rsidRPr="001D3C3D">
        <w:rPr>
          <w:rFonts w:ascii="Times New Roman" w:eastAsia="SimSun" w:hAnsi="Times New Roman" w:cs="Times New Roman"/>
          <w:b/>
          <w:color w:val="000000"/>
          <w:lang w:eastAsia="ar-SA"/>
        </w:rPr>
        <w:tab/>
        <w:t>INFORMACIJA BRAILIO RAŠTU</w:t>
      </w:r>
    </w:p>
    <w:p w14:paraId="5A8944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F0DF20C"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[Tik išorinė pakuotė]</w:t>
      </w:r>
    </w:p>
    <w:p w14:paraId="350B996A"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Dasatinib Sandoz 20 mg </w:t>
      </w:r>
    </w:p>
    <w:p w14:paraId="1909564B"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color w:val="000000"/>
          <w:lang w:eastAsia="ar-SA"/>
        </w:rPr>
        <w:t xml:space="preserve">Dasatinib Sandoz 50 mg </w:t>
      </w:r>
    </w:p>
    <w:p w14:paraId="16404C79"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 xml:space="preserve">Dasatinib Sandoz 70 mg </w:t>
      </w:r>
    </w:p>
    <w:p w14:paraId="3BC26D89"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bCs/>
          <w:color w:val="000000"/>
          <w:lang w:eastAsia="ar-SA"/>
        </w:rPr>
        <w:t xml:space="preserve">Dasatinib Sandoz 80 mg </w:t>
      </w:r>
    </w:p>
    <w:p w14:paraId="2CF107B9"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 xml:space="preserve">Dasatinib Sandoz 100 mg </w:t>
      </w:r>
    </w:p>
    <w:p w14:paraId="35C20DB6" w14:textId="77777777" w:rsidR="00ED7DC3" w:rsidRPr="001D3C3D" w:rsidRDefault="00ED7DC3" w:rsidP="00ED7DC3">
      <w:pPr>
        <w:shd w:val="clear" w:color="auto" w:fill="808080"/>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bCs/>
          <w:color w:val="000000"/>
          <w:lang w:eastAsia="ar-SA"/>
        </w:rPr>
        <w:t xml:space="preserve">Dasatinib Sandoz 140 mg </w:t>
      </w:r>
    </w:p>
    <w:p w14:paraId="7094E039"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shd w:val="clear" w:color="auto" w:fill="C0C0C0"/>
          <w:lang w:eastAsia="ar-SA"/>
        </w:rPr>
      </w:pPr>
    </w:p>
    <w:p w14:paraId="1A6AD422"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color w:val="000000"/>
          <w:shd w:val="clear" w:color="auto" w:fill="C0C0C0"/>
          <w:lang w:eastAsia="ar-SA"/>
        </w:rPr>
      </w:pPr>
    </w:p>
    <w:p w14:paraId="0F58E5B6" w14:textId="77777777" w:rsidR="00ED7DC3" w:rsidRPr="001D3C3D" w:rsidRDefault="00ED7DC3" w:rsidP="0086689D">
      <w:pPr>
        <w:keepNext/>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3"/>
        <w:rPr>
          <w:rFonts w:ascii="Times New Roman" w:eastAsia="Times New Roman" w:hAnsi="Times New Roman" w:cs="Times New Roman"/>
          <w:color w:val="000000"/>
          <w:lang w:eastAsia="lt-LT" w:bidi="lt-LT"/>
        </w:rPr>
      </w:pPr>
      <w:r w:rsidRPr="001D3C3D">
        <w:rPr>
          <w:rFonts w:ascii="Times New Roman" w:eastAsia="Times New Roman" w:hAnsi="Times New Roman" w:cs="Times New Roman"/>
          <w:b/>
          <w:color w:val="000000"/>
          <w:lang w:eastAsia="lt-LT" w:bidi="lt-LT"/>
        </w:rPr>
        <w:t>17.</w:t>
      </w:r>
      <w:r w:rsidRPr="001D3C3D">
        <w:rPr>
          <w:rFonts w:ascii="Times New Roman" w:eastAsia="Times New Roman" w:hAnsi="Times New Roman" w:cs="Times New Roman"/>
          <w:b/>
          <w:color w:val="000000"/>
          <w:lang w:eastAsia="lt-LT" w:bidi="lt-LT"/>
        </w:rPr>
        <w:tab/>
        <w:t>UNIKALUS IDENTIFIKATORIUS – 2D BRŪKŠNINIS KODAS</w:t>
      </w:r>
    </w:p>
    <w:p w14:paraId="607123EC"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6F7C0666" w14:textId="77777777" w:rsidR="00ED7DC3" w:rsidRPr="001D3C3D" w:rsidRDefault="00ED7DC3" w:rsidP="0086689D">
      <w:pPr>
        <w:tabs>
          <w:tab w:val="left" w:pos="567"/>
        </w:tabs>
        <w:suppressAutoHyphens/>
        <w:spacing w:after="0" w:line="260" w:lineRule="exact"/>
        <w:rPr>
          <w:rFonts w:ascii="Times New Roman" w:eastAsia="Times New Roman" w:hAnsi="Times New Roman" w:cs="Times New Roman"/>
          <w:color w:val="000000"/>
          <w:lang w:eastAsia="lt-LT" w:bidi="lt-LT"/>
        </w:rPr>
      </w:pPr>
      <w:r w:rsidRPr="001D3C3D">
        <w:rPr>
          <w:rFonts w:ascii="Times New Roman" w:eastAsia="Times New Roman" w:hAnsi="Times New Roman" w:cs="Times New Roman"/>
          <w:color w:val="000000"/>
          <w:shd w:val="clear" w:color="auto" w:fill="C0C0C0"/>
          <w:lang w:eastAsia="lt-LT" w:bidi="lt-LT"/>
        </w:rPr>
        <w:t>2D brūkšninis kodas su nurodytu unikaliu identifikatoriumi.</w:t>
      </w:r>
    </w:p>
    <w:p w14:paraId="040E65F4"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3769EE86"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lt-LT" w:bidi="lt-LT"/>
        </w:rPr>
      </w:pPr>
      <w:r w:rsidRPr="001D3C3D">
        <w:rPr>
          <w:rFonts w:ascii="Times New Roman" w:eastAsia="SimSun" w:hAnsi="Times New Roman" w:cs="Times New Roman"/>
          <w:color w:val="000000"/>
          <w:shd w:val="clear" w:color="auto" w:fill="C0C0C0"/>
          <w:lang w:eastAsia="ar-SA"/>
        </w:rPr>
        <w:t>[Tik išorinė pakuotė]</w:t>
      </w:r>
    </w:p>
    <w:p w14:paraId="75F05CF3"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212AC10D"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003CE36C" w14:textId="77777777" w:rsidR="00ED7DC3" w:rsidRPr="001D3C3D" w:rsidRDefault="00ED7DC3" w:rsidP="0086689D">
      <w:pPr>
        <w:keepNext/>
        <w:pBdr>
          <w:top w:val="single" w:sz="4" w:space="1" w:color="000000"/>
          <w:left w:val="single" w:sz="4" w:space="4" w:color="000000"/>
          <w:bottom w:val="single" w:sz="4" w:space="1" w:color="000000"/>
          <w:right w:val="single" w:sz="4" w:space="4" w:color="000000"/>
        </w:pBdr>
        <w:tabs>
          <w:tab w:val="left" w:pos="567"/>
        </w:tabs>
        <w:suppressAutoHyphens/>
        <w:spacing w:after="0" w:line="260" w:lineRule="exact"/>
        <w:ind w:left="-3"/>
        <w:rPr>
          <w:rFonts w:ascii="Times New Roman" w:eastAsia="Times New Roman" w:hAnsi="Times New Roman" w:cs="Times New Roman"/>
          <w:color w:val="000000"/>
          <w:lang w:eastAsia="lt-LT" w:bidi="lt-LT"/>
        </w:rPr>
      </w:pPr>
      <w:r w:rsidRPr="001D3C3D">
        <w:rPr>
          <w:rFonts w:ascii="Times New Roman" w:eastAsia="Times New Roman" w:hAnsi="Times New Roman" w:cs="Times New Roman"/>
          <w:b/>
          <w:color w:val="000000"/>
          <w:lang w:eastAsia="lt-LT" w:bidi="lt-LT"/>
        </w:rPr>
        <w:t>18.</w:t>
      </w:r>
      <w:r w:rsidRPr="001D3C3D">
        <w:rPr>
          <w:rFonts w:ascii="Times New Roman" w:eastAsia="Times New Roman" w:hAnsi="Times New Roman" w:cs="Times New Roman"/>
          <w:b/>
          <w:color w:val="000000"/>
          <w:lang w:eastAsia="lt-LT" w:bidi="lt-LT"/>
        </w:rPr>
        <w:tab/>
        <w:t>UNIKALUS IDENTIFIKATORIUS – ŽMONĖMS SUPRANTAMI DUOMENYS</w:t>
      </w:r>
    </w:p>
    <w:p w14:paraId="3AED5597"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3DF953E7" w14:textId="0A3652D5" w:rsidR="00ED7DC3" w:rsidRPr="001D3C3D" w:rsidRDefault="00ED7DC3" w:rsidP="0086689D">
      <w:pPr>
        <w:tabs>
          <w:tab w:val="left" w:pos="567"/>
        </w:tabs>
        <w:suppressAutoHyphens/>
        <w:spacing w:after="0" w:line="260" w:lineRule="exact"/>
        <w:rPr>
          <w:rFonts w:ascii="Times New Roman" w:eastAsia="Times New Roman" w:hAnsi="Times New Roman" w:cs="Times New Roman"/>
          <w:color w:val="000000"/>
          <w:lang w:eastAsia="lt-LT" w:bidi="lt-LT"/>
        </w:rPr>
      </w:pPr>
      <w:r w:rsidRPr="001D3C3D">
        <w:rPr>
          <w:rFonts w:ascii="Times New Roman" w:eastAsia="Times New Roman" w:hAnsi="Times New Roman" w:cs="Times New Roman"/>
          <w:color w:val="000000"/>
          <w:lang w:eastAsia="lt-LT" w:bidi="lt-LT"/>
        </w:rPr>
        <w:t xml:space="preserve">PC </w:t>
      </w:r>
    </w:p>
    <w:p w14:paraId="2114A92D" w14:textId="61146F86" w:rsidR="00ED7DC3" w:rsidRPr="001D3C3D" w:rsidRDefault="00ED7DC3" w:rsidP="0086689D">
      <w:pPr>
        <w:tabs>
          <w:tab w:val="left" w:pos="567"/>
        </w:tabs>
        <w:suppressAutoHyphens/>
        <w:spacing w:after="0" w:line="260" w:lineRule="exact"/>
        <w:rPr>
          <w:rFonts w:ascii="Times New Roman" w:eastAsia="Times New Roman" w:hAnsi="Times New Roman" w:cs="Times New Roman"/>
          <w:color w:val="000000"/>
          <w:shd w:val="clear" w:color="auto" w:fill="C0C0C0"/>
          <w:lang w:eastAsia="lt-LT" w:bidi="lt-LT"/>
        </w:rPr>
      </w:pPr>
      <w:r w:rsidRPr="001D3C3D">
        <w:rPr>
          <w:rFonts w:ascii="Times New Roman" w:eastAsia="Times New Roman" w:hAnsi="Times New Roman" w:cs="Times New Roman"/>
          <w:color w:val="000000"/>
          <w:lang w:eastAsia="lt-LT" w:bidi="lt-LT"/>
        </w:rPr>
        <w:t xml:space="preserve">SN </w:t>
      </w:r>
    </w:p>
    <w:p w14:paraId="30AAD82C" w14:textId="68073FB8" w:rsidR="00ED7DC3" w:rsidRPr="001D3C3D" w:rsidRDefault="00ED7DC3" w:rsidP="0086689D">
      <w:pPr>
        <w:tabs>
          <w:tab w:val="left" w:pos="567"/>
        </w:tabs>
        <w:suppressAutoHyphens/>
        <w:spacing w:after="0" w:line="260" w:lineRule="exact"/>
        <w:rPr>
          <w:rFonts w:ascii="Times New Roman" w:eastAsia="Times New Roman" w:hAnsi="Times New Roman" w:cs="Times New Roman"/>
          <w:color w:val="000000"/>
          <w:lang w:eastAsia="lt-LT" w:bidi="lt-LT"/>
        </w:rPr>
      </w:pPr>
      <w:r w:rsidRPr="001D3C3D">
        <w:rPr>
          <w:rFonts w:ascii="Times New Roman" w:eastAsia="Times New Roman" w:hAnsi="Times New Roman" w:cs="Times New Roman"/>
          <w:color w:val="000000"/>
          <w:shd w:val="clear" w:color="auto" w:fill="C0C0C0"/>
          <w:lang w:eastAsia="lt-LT" w:bidi="lt-LT"/>
        </w:rPr>
        <w:t xml:space="preserve">NN </w:t>
      </w:r>
    </w:p>
    <w:p w14:paraId="2533EC00"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lt-LT" w:bidi="lt-LT"/>
        </w:rPr>
      </w:pPr>
    </w:p>
    <w:p w14:paraId="53F17193"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[Tik išorinė pakuotė]</w:t>
      </w:r>
    </w:p>
    <w:p w14:paraId="709EE95E"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p>
    <w:p w14:paraId="1B6BBA9B" w14:textId="77777777" w:rsidR="00ED7DC3" w:rsidRPr="001D3C3D" w:rsidRDefault="00ED7DC3" w:rsidP="00ED7DC3">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lastRenderedPageBreak/>
        <w:t>MINIMALI INFORMACIJA ANT LIZDINIŲ PLOKŠTELIŲ ARBA DVISLUOKSNIŲ JUOSTELIŲ</w:t>
      </w:r>
      <w:r w:rsidRPr="001D3C3D">
        <w:rPr>
          <w:rFonts w:ascii="Times New Roman" w:eastAsia="SimSun" w:hAnsi="Times New Roman" w:cs="Times New Roman"/>
          <w:b/>
          <w:color w:val="000000"/>
          <w:lang w:eastAsia="ar-SA"/>
        </w:rPr>
        <w:br/>
      </w:r>
      <w:r w:rsidRPr="001D3C3D">
        <w:rPr>
          <w:rFonts w:ascii="Times New Roman" w:eastAsia="SimSun" w:hAnsi="Times New Roman" w:cs="Times New Roman"/>
          <w:b/>
          <w:color w:val="000000"/>
          <w:lang w:eastAsia="ar-SA"/>
        </w:rPr>
        <w:br/>
      </w:r>
      <w:r w:rsidR="00AA667A" w:rsidRPr="001D3C3D">
        <w:rPr>
          <w:rFonts w:ascii="Times New Roman" w:eastAsia="SimSun" w:hAnsi="Times New Roman" w:cs="Times New Roman"/>
          <w:b/>
          <w:caps/>
          <w:color w:val="000000"/>
          <w:lang w:eastAsia="ar-SA"/>
        </w:rPr>
        <w:t xml:space="preserve">Aliuminio-OPA/Al/PVC </w:t>
      </w:r>
      <w:r w:rsidRPr="001D3C3D">
        <w:rPr>
          <w:rFonts w:ascii="Times New Roman" w:eastAsia="SimSun" w:hAnsi="Times New Roman" w:cs="Times New Roman"/>
          <w:b/>
          <w:caps/>
          <w:color w:val="000000"/>
          <w:lang w:eastAsia="ar-SA"/>
        </w:rPr>
        <w:t>Lizdinė plokštelė</w:t>
      </w:r>
    </w:p>
    <w:p w14:paraId="0EE27EB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224D58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A1F7C38"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w:t>
      </w:r>
      <w:r w:rsidRPr="001D3C3D">
        <w:rPr>
          <w:rFonts w:ascii="Times New Roman" w:eastAsia="SimSun" w:hAnsi="Times New Roman" w:cs="Times New Roman"/>
          <w:b/>
          <w:color w:val="000000"/>
          <w:lang w:eastAsia="ar-SA"/>
        </w:rPr>
        <w:tab/>
      </w:r>
      <w:r w:rsidRPr="001D3C3D">
        <w:rPr>
          <w:rFonts w:ascii="Times New Roman" w:eastAsia="SimSun" w:hAnsi="Times New Roman" w:cs="Times New Roman"/>
          <w:b/>
          <w:caps/>
          <w:color w:val="000000"/>
          <w:lang w:eastAsia="ar-SA"/>
        </w:rPr>
        <w:t>VAISTINIO</w:t>
      </w:r>
      <w:r w:rsidRPr="001D3C3D">
        <w:rPr>
          <w:rFonts w:ascii="Times New Roman" w:eastAsia="SimSun" w:hAnsi="Times New Roman" w:cs="Times New Roman"/>
          <w:b/>
          <w:color w:val="000000"/>
          <w:lang w:eastAsia="ar-SA"/>
        </w:rPr>
        <w:t xml:space="preserve"> PREPARATO PAVADINIMAS</w:t>
      </w:r>
    </w:p>
    <w:p w14:paraId="24ED5FB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17CB9C8" w14:textId="77777777" w:rsidR="00ED7DC3" w:rsidRPr="001D3C3D" w:rsidRDefault="00ED7DC3" w:rsidP="0086689D">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Dasatinib Sandoz 20 mg plėvele dengtos tabletės </w:t>
      </w:r>
    </w:p>
    <w:p w14:paraId="68EFF523" w14:textId="77777777" w:rsidR="00ED7DC3" w:rsidRPr="001D3C3D" w:rsidRDefault="00ED7DC3" w:rsidP="00ED7DC3">
      <w:pPr>
        <w:shd w:val="clear" w:color="auto" w:fill="F2F2F2"/>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color w:val="000000"/>
          <w:lang w:eastAsia="ar-SA"/>
        </w:rPr>
        <w:t xml:space="preserve">Dasatinib Sandoz 50 mg plėvele dengtos tabletės </w:t>
      </w:r>
    </w:p>
    <w:p w14:paraId="589C247E" w14:textId="77777777" w:rsidR="00ED7DC3" w:rsidRPr="001D3C3D" w:rsidRDefault="00ED7DC3" w:rsidP="00ED7DC3">
      <w:pPr>
        <w:shd w:val="clear" w:color="auto" w:fill="D9D9D9"/>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Dasatinib Sandoz 70 mg plėvele dengtos tabletės</w:t>
      </w:r>
      <w:r w:rsidRPr="001D3C3D">
        <w:rPr>
          <w:rFonts w:ascii="Times New Roman" w:eastAsia="Calibri" w:hAnsi="Times New Roman" w:cs="Times New Roman"/>
          <w:color w:val="000000"/>
          <w:lang w:eastAsia="ar-SA"/>
        </w:rPr>
        <w:t xml:space="preserve"> </w:t>
      </w:r>
    </w:p>
    <w:p w14:paraId="7930DB5F" w14:textId="77777777" w:rsidR="00ED7DC3" w:rsidRPr="001D3C3D" w:rsidRDefault="00ED7DC3" w:rsidP="00ED7DC3">
      <w:pPr>
        <w:shd w:val="clear" w:color="auto" w:fill="BFBFBF"/>
        <w:tabs>
          <w:tab w:val="left" w:pos="567"/>
        </w:tabs>
        <w:suppressAutoHyphens/>
        <w:spacing w:after="0" w:line="240" w:lineRule="auto"/>
        <w:rPr>
          <w:rFonts w:ascii="Times New Roman" w:eastAsia="Calibri" w:hAnsi="Times New Roman" w:cs="Times New Roman"/>
          <w:color w:val="000000"/>
          <w:shd w:val="clear" w:color="auto" w:fill="C0C0C0"/>
          <w:lang w:eastAsia="ar-SA"/>
        </w:rPr>
      </w:pPr>
      <w:r w:rsidRPr="001D3C3D">
        <w:rPr>
          <w:rFonts w:ascii="Times New Roman" w:eastAsia="Calibri" w:hAnsi="Times New Roman" w:cs="Times New Roman"/>
          <w:bCs/>
          <w:color w:val="000000"/>
          <w:lang w:eastAsia="ar-SA"/>
        </w:rPr>
        <w:t>Dasatinib Sandoz 80 mg plėvele dengtos tabletės</w:t>
      </w:r>
    </w:p>
    <w:p w14:paraId="625CD767" w14:textId="77777777" w:rsidR="00ED7DC3" w:rsidRPr="001D3C3D" w:rsidRDefault="00ED7DC3" w:rsidP="00ED7DC3">
      <w:pPr>
        <w:shd w:val="clear" w:color="auto" w:fill="A6A6A6"/>
        <w:tabs>
          <w:tab w:val="left" w:pos="567"/>
        </w:tabs>
        <w:suppressAutoHyphens/>
        <w:spacing w:after="0" w:line="240" w:lineRule="auto"/>
        <w:rPr>
          <w:rFonts w:ascii="Times New Roman" w:eastAsia="Calibri" w:hAnsi="Times New Roman" w:cs="Times New Roman"/>
          <w:bCs/>
          <w:color w:val="000000"/>
          <w:lang w:eastAsia="ar-SA"/>
        </w:rPr>
      </w:pPr>
      <w:r w:rsidRPr="001D3C3D">
        <w:rPr>
          <w:rFonts w:ascii="Times New Roman" w:eastAsia="Calibri" w:hAnsi="Times New Roman" w:cs="Times New Roman"/>
          <w:color w:val="000000"/>
          <w:shd w:val="clear" w:color="auto" w:fill="C0C0C0"/>
          <w:lang w:eastAsia="ar-SA"/>
        </w:rPr>
        <w:t>Dasatinib Sandoz 100 mg plėvele dengtos tabletės</w:t>
      </w:r>
      <w:r w:rsidRPr="001D3C3D">
        <w:rPr>
          <w:rFonts w:ascii="Times New Roman" w:eastAsia="Calibri" w:hAnsi="Times New Roman" w:cs="Times New Roman"/>
          <w:color w:val="000000"/>
          <w:lang w:eastAsia="ar-SA"/>
        </w:rPr>
        <w:t xml:space="preserve"> </w:t>
      </w:r>
    </w:p>
    <w:p w14:paraId="1EC0690E" w14:textId="77777777" w:rsidR="00ED7DC3" w:rsidRPr="001D3C3D" w:rsidRDefault="00ED7DC3" w:rsidP="00ED7DC3">
      <w:pPr>
        <w:shd w:val="clear" w:color="auto" w:fill="808080"/>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Calibri" w:hAnsi="Times New Roman" w:cs="Times New Roman"/>
          <w:bCs/>
          <w:color w:val="000000"/>
          <w:lang w:eastAsia="ar-SA"/>
        </w:rPr>
        <w:t>Dasatinib Sandoz 140 mg plėvele dengtos tabletės</w:t>
      </w:r>
    </w:p>
    <w:p w14:paraId="568B015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DC077B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dasatinibum</w:t>
      </w:r>
    </w:p>
    <w:p w14:paraId="4BBCCDD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5328E3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F85F81F"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2.</w:t>
      </w:r>
      <w:r w:rsidRPr="001D3C3D">
        <w:rPr>
          <w:rFonts w:ascii="Times New Roman" w:eastAsia="SimSun" w:hAnsi="Times New Roman" w:cs="Times New Roman"/>
          <w:b/>
          <w:color w:val="000000"/>
          <w:lang w:eastAsia="ar-SA"/>
        </w:rPr>
        <w:tab/>
      </w:r>
      <w:r w:rsidRPr="001D3C3D">
        <w:rPr>
          <w:rFonts w:ascii="Times New Roman" w:eastAsia="SimSun" w:hAnsi="Times New Roman" w:cs="Times New Roman"/>
          <w:b/>
          <w:caps/>
          <w:color w:val="000000"/>
          <w:lang w:eastAsia="ar-SA"/>
        </w:rPr>
        <w:t>REGISTRUOTOJO pavadinimas</w:t>
      </w:r>
    </w:p>
    <w:p w14:paraId="718C7C9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593FFE6"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SANDOZ</w:t>
      </w:r>
    </w:p>
    <w:p w14:paraId="09CCF4F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6DF975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ABD504D" w14:textId="77777777" w:rsidR="00ED7DC3" w:rsidRPr="001D3C3D" w:rsidRDefault="00ED7DC3" w:rsidP="0086689D">
      <w:pPr>
        <w:suppressLineNumbers/>
        <w:pBdr>
          <w:top w:val="single" w:sz="4" w:space="1" w:color="000000"/>
          <w:left w:val="single" w:sz="4" w:space="4" w:color="000000"/>
          <w:bottom w:val="single" w:sz="4" w:space="2"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3.</w:t>
      </w:r>
      <w:r w:rsidRPr="001D3C3D">
        <w:rPr>
          <w:rFonts w:ascii="Times New Roman" w:eastAsia="SimSun" w:hAnsi="Times New Roman" w:cs="Times New Roman"/>
          <w:b/>
          <w:color w:val="000000"/>
          <w:lang w:eastAsia="ar-SA"/>
        </w:rPr>
        <w:tab/>
        <w:t>TINKAMUMO LAIKAS</w:t>
      </w:r>
    </w:p>
    <w:p w14:paraId="6BBE6B3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323331C"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EXP</w:t>
      </w:r>
      <w:r w:rsidRPr="001D3C3D">
        <w:rPr>
          <w:rFonts w:ascii="Times New Roman" w:eastAsia="SimSun" w:hAnsi="Times New Roman" w:cs="Times New Roman"/>
          <w:color w:val="000000"/>
          <w:lang w:eastAsia="ar-SA"/>
        </w:rPr>
        <w:t xml:space="preserve"> {mm MMMM}</w:t>
      </w:r>
    </w:p>
    <w:p w14:paraId="786C79D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48AD73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D6F4D0C"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w:t>
      </w:r>
      <w:r w:rsidRPr="001D3C3D">
        <w:rPr>
          <w:rFonts w:ascii="Times New Roman" w:eastAsia="SimSun" w:hAnsi="Times New Roman" w:cs="Times New Roman"/>
          <w:b/>
          <w:color w:val="000000"/>
          <w:lang w:eastAsia="ar-SA"/>
        </w:rPr>
        <w:tab/>
        <w:t>SERIJOS NUMERIS</w:t>
      </w:r>
    </w:p>
    <w:p w14:paraId="01EB86C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39E235C"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Lot</w:t>
      </w:r>
    </w:p>
    <w:p w14:paraId="24BF5A9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C02247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93F0256" w14:textId="77777777" w:rsidR="00ED7DC3" w:rsidRPr="001D3C3D" w:rsidRDefault="00ED7DC3" w:rsidP="0086689D">
      <w:pPr>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5.</w:t>
      </w:r>
      <w:r w:rsidRPr="001D3C3D">
        <w:rPr>
          <w:rFonts w:ascii="Times New Roman" w:eastAsia="SimSun" w:hAnsi="Times New Roman" w:cs="Times New Roman"/>
          <w:b/>
          <w:color w:val="000000"/>
          <w:lang w:eastAsia="ar-SA"/>
        </w:rPr>
        <w:tab/>
        <w:t>KITA</w:t>
      </w:r>
    </w:p>
    <w:p w14:paraId="6149942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EC5801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shd w:val="clear" w:color="auto" w:fill="C0C0C0"/>
          <w:lang w:eastAsia="ar-SA"/>
        </w:rPr>
        <w:t>[Kalendorinė pakuotė]</w:t>
      </w:r>
      <w:r w:rsidRPr="001D3C3D">
        <w:rPr>
          <w:rFonts w:ascii="Times New Roman" w:eastAsia="SimSun" w:hAnsi="Times New Roman" w:cs="Times New Roman"/>
          <w:color w:val="000000"/>
          <w:lang w:eastAsia="ar-SA"/>
        </w:rPr>
        <w:t xml:space="preserve"> </w:t>
      </w:r>
    </w:p>
    <w:p w14:paraId="59D10AF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 A. T. K. Pn. Š. S.</w:t>
      </w:r>
    </w:p>
    <w:p w14:paraId="439D85AF"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0D1E6504" w14:textId="77777777" w:rsidR="00ED7DC3" w:rsidRPr="001D3C3D" w:rsidRDefault="00ED7DC3" w:rsidP="00ED7DC3">
      <w:pPr>
        <w:pageBreakBefore/>
        <w:tabs>
          <w:tab w:val="left" w:pos="567"/>
        </w:tabs>
        <w:suppressAutoHyphens/>
        <w:spacing w:after="0" w:line="240" w:lineRule="auto"/>
        <w:rPr>
          <w:rFonts w:ascii="Times New Roman" w:eastAsia="SimSun" w:hAnsi="Times New Roman" w:cs="Times New Roman"/>
          <w:color w:val="000000"/>
          <w:lang w:eastAsia="ar-SA"/>
        </w:rPr>
      </w:pPr>
    </w:p>
    <w:p w14:paraId="6216072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21CF53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BF8834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7D1AA3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17AF16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48B703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45C63C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76D219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0AF46B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F38F40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6F5D19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F77223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867877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6C3EB9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530FAA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30BF45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CA97F2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D7EE07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775258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42D2A5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3BD5EE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2EDEECE" w14:textId="77777777" w:rsidR="00ED7DC3" w:rsidRPr="001D3C3D" w:rsidRDefault="00ED7DC3" w:rsidP="0086689D">
      <w:pPr>
        <w:keepNext/>
        <w:tabs>
          <w:tab w:val="left" w:pos="567"/>
        </w:tabs>
        <w:suppressAutoHyphens/>
        <w:spacing w:after="0" w:line="240" w:lineRule="auto"/>
        <w:jc w:val="center"/>
        <w:rPr>
          <w:rFonts w:ascii="Times New Roman" w:eastAsia="SimSun" w:hAnsi="Times New Roman" w:cs="Times New Roman"/>
          <w:b/>
          <w:iCs/>
          <w:color w:val="000000"/>
          <w:lang w:eastAsia="ar-SA"/>
        </w:rPr>
      </w:pPr>
      <w:r w:rsidRPr="001D3C3D">
        <w:rPr>
          <w:rFonts w:ascii="Times New Roman" w:eastAsia="SimSun" w:hAnsi="Times New Roman" w:cs="Times New Roman"/>
          <w:b/>
          <w:iCs/>
          <w:color w:val="000000"/>
          <w:lang w:eastAsia="ar-SA"/>
        </w:rPr>
        <w:t>B. PAKUOTĖS LAPELIS</w:t>
      </w:r>
    </w:p>
    <w:p w14:paraId="7CEEFB1F" w14:textId="77777777" w:rsidR="00ED7DC3" w:rsidRPr="001D3C3D" w:rsidRDefault="00ED7DC3" w:rsidP="00ED7DC3">
      <w:pPr>
        <w:keepNext/>
        <w:pageBreakBefore/>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b/>
          <w:iCs/>
          <w:color w:val="000000"/>
          <w:lang w:eastAsia="ar-SA"/>
        </w:rPr>
        <w:lastRenderedPageBreak/>
        <w:t>Pakuotės lapelis: informacija vartotojui</w:t>
      </w:r>
    </w:p>
    <w:p w14:paraId="7724CD7F" w14:textId="77777777" w:rsidR="00ED7DC3" w:rsidRPr="001D3C3D" w:rsidRDefault="00ED7DC3" w:rsidP="00ED7DC3">
      <w:pPr>
        <w:shd w:val="clear" w:color="auto" w:fill="FFFFFF"/>
        <w:tabs>
          <w:tab w:val="left" w:pos="567"/>
        </w:tabs>
        <w:suppressAutoHyphens/>
        <w:spacing w:after="0" w:line="240" w:lineRule="auto"/>
        <w:jc w:val="center"/>
        <w:rPr>
          <w:rFonts w:ascii="Times New Roman" w:eastAsia="SimSun" w:hAnsi="Times New Roman" w:cs="Times New Roman"/>
          <w:color w:val="000000"/>
          <w:lang w:eastAsia="ar-SA"/>
        </w:rPr>
      </w:pPr>
    </w:p>
    <w:p w14:paraId="59EC6E02" w14:textId="77777777" w:rsidR="00ED7DC3" w:rsidRPr="001D3C3D" w:rsidRDefault="00ED7DC3" w:rsidP="0086689D">
      <w:pPr>
        <w:tabs>
          <w:tab w:val="left" w:pos="567"/>
        </w:tabs>
        <w:suppressAutoHyphens/>
        <w:spacing w:after="0" w:line="240" w:lineRule="auto"/>
        <w:jc w:val="center"/>
        <w:rPr>
          <w:rFonts w:ascii="Times New Roman" w:eastAsia="Calibri" w:hAnsi="Times New Roman" w:cs="Times New Roman"/>
          <w:b/>
          <w:color w:val="000000"/>
          <w:lang w:eastAsia="ar-SA"/>
        </w:rPr>
      </w:pPr>
      <w:r w:rsidRPr="001D3C3D">
        <w:rPr>
          <w:rFonts w:ascii="Times New Roman" w:eastAsia="Calibri" w:hAnsi="Times New Roman" w:cs="Times New Roman"/>
          <w:b/>
          <w:color w:val="000000"/>
          <w:lang w:eastAsia="ar-SA"/>
        </w:rPr>
        <w:t>Dasatinib Sandoz 20 mg plėvele dengtos tabletės</w:t>
      </w:r>
    </w:p>
    <w:p w14:paraId="5E4519B7" w14:textId="77777777" w:rsidR="00ED7DC3" w:rsidRPr="001D3C3D" w:rsidRDefault="00ED7DC3" w:rsidP="00ED7DC3">
      <w:pPr>
        <w:shd w:val="clear" w:color="auto" w:fill="F2F2F2"/>
        <w:tabs>
          <w:tab w:val="left" w:pos="567"/>
        </w:tabs>
        <w:suppressAutoHyphens/>
        <w:spacing w:after="0" w:line="240" w:lineRule="auto"/>
        <w:jc w:val="center"/>
        <w:rPr>
          <w:rFonts w:ascii="Times New Roman" w:eastAsia="Calibri" w:hAnsi="Times New Roman" w:cs="Times New Roman"/>
          <w:b/>
          <w:color w:val="000000"/>
          <w:shd w:val="clear" w:color="auto" w:fill="C0C0C0"/>
          <w:lang w:eastAsia="ar-SA"/>
        </w:rPr>
      </w:pPr>
      <w:r w:rsidRPr="001D3C3D">
        <w:rPr>
          <w:rFonts w:ascii="Times New Roman" w:eastAsia="Calibri" w:hAnsi="Times New Roman" w:cs="Times New Roman"/>
          <w:b/>
          <w:color w:val="000000"/>
          <w:lang w:eastAsia="ar-SA"/>
        </w:rPr>
        <w:t>Dasatinib Sandoz 50 mg plėvele dengtos tabletės</w:t>
      </w:r>
    </w:p>
    <w:p w14:paraId="1BF87D44" w14:textId="77777777" w:rsidR="00ED7DC3" w:rsidRPr="001D3C3D" w:rsidRDefault="00ED7DC3" w:rsidP="00ED7DC3">
      <w:pPr>
        <w:shd w:val="clear" w:color="auto" w:fill="D9D9D9"/>
        <w:tabs>
          <w:tab w:val="left" w:pos="567"/>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color w:val="000000"/>
          <w:shd w:val="clear" w:color="auto" w:fill="C0C0C0"/>
          <w:lang w:eastAsia="ar-SA"/>
        </w:rPr>
        <w:t>Dasatinib Sandoz 70 mg plėvele dengtos tabletės</w:t>
      </w:r>
    </w:p>
    <w:p w14:paraId="26EA4FE1" w14:textId="77777777" w:rsidR="00ED7DC3" w:rsidRPr="001D3C3D" w:rsidRDefault="00ED7DC3" w:rsidP="00ED7DC3">
      <w:pPr>
        <w:shd w:val="clear" w:color="auto" w:fill="BFBFBF"/>
        <w:tabs>
          <w:tab w:val="left" w:pos="567"/>
        </w:tabs>
        <w:suppressAutoHyphens/>
        <w:spacing w:after="0" w:line="240" w:lineRule="auto"/>
        <w:jc w:val="center"/>
        <w:rPr>
          <w:rFonts w:ascii="Times New Roman" w:eastAsia="Calibri" w:hAnsi="Times New Roman" w:cs="Times New Roman"/>
          <w:b/>
          <w:color w:val="000000"/>
          <w:shd w:val="clear" w:color="auto" w:fill="C0C0C0"/>
          <w:lang w:eastAsia="ar-SA"/>
        </w:rPr>
      </w:pPr>
      <w:r w:rsidRPr="001D3C3D">
        <w:rPr>
          <w:rFonts w:ascii="Times New Roman" w:eastAsia="Calibri" w:hAnsi="Times New Roman" w:cs="Times New Roman"/>
          <w:b/>
          <w:bCs/>
          <w:color w:val="000000"/>
          <w:lang w:eastAsia="ar-SA"/>
        </w:rPr>
        <w:t>Dasatinib Sandoz 80 mg plėvele dengtos tabletės</w:t>
      </w:r>
    </w:p>
    <w:p w14:paraId="06072ABB" w14:textId="77777777" w:rsidR="00ED7DC3" w:rsidRPr="001D3C3D" w:rsidRDefault="00ED7DC3" w:rsidP="00ED7DC3">
      <w:pPr>
        <w:shd w:val="clear" w:color="auto" w:fill="A6A6A6"/>
        <w:tabs>
          <w:tab w:val="left" w:pos="567"/>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color w:val="000000"/>
          <w:shd w:val="clear" w:color="auto" w:fill="C0C0C0"/>
          <w:lang w:eastAsia="ar-SA"/>
        </w:rPr>
        <w:t>Dasatinib Sandoz 100 mg plėvele dengtos tabletės</w:t>
      </w:r>
    </w:p>
    <w:p w14:paraId="5BFF000E" w14:textId="77777777" w:rsidR="00ED7DC3" w:rsidRPr="001D3C3D" w:rsidRDefault="00ED7DC3" w:rsidP="00ED7DC3">
      <w:pPr>
        <w:shd w:val="clear" w:color="auto" w:fill="808080"/>
        <w:tabs>
          <w:tab w:val="left" w:pos="567"/>
        </w:tabs>
        <w:suppressAutoHyphens/>
        <w:spacing w:after="0" w:line="240" w:lineRule="auto"/>
        <w:jc w:val="center"/>
        <w:rPr>
          <w:rFonts w:ascii="Times New Roman" w:eastAsia="Calibri" w:hAnsi="Times New Roman" w:cs="Times New Roman"/>
          <w:b/>
          <w:bCs/>
          <w:color w:val="000000"/>
          <w:lang w:eastAsia="ar-SA"/>
        </w:rPr>
      </w:pPr>
      <w:r w:rsidRPr="001D3C3D">
        <w:rPr>
          <w:rFonts w:ascii="Times New Roman" w:eastAsia="Calibri" w:hAnsi="Times New Roman" w:cs="Times New Roman"/>
          <w:b/>
          <w:bCs/>
          <w:color w:val="000000"/>
          <w:lang w:eastAsia="ar-SA"/>
        </w:rPr>
        <w:t>Dasatinib Sandoz 140 mg plėvele dengtos tabletės</w:t>
      </w:r>
    </w:p>
    <w:p w14:paraId="60B1F4CC" w14:textId="77777777" w:rsidR="00ED7DC3" w:rsidRPr="001D3C3D" w:rsidRDefault="00ED7DC3" w:rsidP="00ED7DC3">
      <w:pPr>
        <w:tabs>
          <w:tab w:val="left" w:pos="567"/>
        </w:tabs>
        <w:suppressAutoHyphens/>
        <w:spacing w:after="0" w:line="240" w:lineRule="auto"/>
        <w:rPr>
          <w:rFonts w:ascii="Times New Roman" w:eastAsia="Calibri" w:hAnsi="Times New Roman" w:cs="Times New Roman"/>
          <w:b/>
          <w:bCs/>
          <w:color w:val="000000"/>
          <w:lang w:eastAsia="ar-SA"/>
        </w:rPr>
      </w:pPr>
    </w:p>
    <w:p w14:paraId="26091C8A" w14:textId="77777777" w:rsidR="00ED7DC3" w:rsidRPr="001D3C3D" w:rsidRDefault="00ED7DC3" w:rsidP="00ED7DC3">
      <w:pPr>
        <w:tabs>
          <w:tab w:val="left" w:pos="567"/>
        </w:tabs>
        <w:suppressAutoHyphens/>
        <w:spacing w:after="0" w:line="240" w:lineRule="auto"/>
        <w:jc w:val="center"/>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dazatinibas</w:t>
      </w:r>
    </w:p>
    <w:p w14:paraId="4698993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73AF7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Atidžiai perskaitykite visą šį lapelį, prieš pradėdami vartoti vaistą, nes jame pateikiama Jums svarbi informacija.</w:t>
      </w:r>
    </w:p>
    <w:p w14:paraId="5C2E0569" w14:textId="77777777" w:rsidR="00ED7DC3" w:rsidRPr="001D3C3D" w:rsidRDefault="00ED7DC3" w:rsidP="00ED7DC3">
      <w:pPr>
        <w:numPr>
          <w:ilvl w:val="0"/>
          <w:numId w:val="6"/>
        </w:numPr>
        <w:tabs>
          <w:tab w:val="left" w:pos="567"/>
        </w:tabs>
        <w:suppressAutoHyphens/>
        <w:spacing w:after="0" w:line="260" w:lineRule="exact"/>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Neišmeskite šio lapelio, nes vėl gali prireikti jį perskaityti. </w:t>
      </w:r>
    </w:p>
    <w:p w14:paraId="6C926F13" w14:textId="77777777" w:rsidR="00ED7DC3" w:rsidRPr="001D3C3D" w:rsidRDefault="00ED7DC3" w:rsidP="00ED7DC3">
      <w:pPr>
        <w:numPr>
          <w:ilvl w:val="0"/>
          <w:numId w:val="6"/>
        </w:numPr>
        <w:tabs>
          <w:tab w:val="left" w:pos="567"/>
        </w:tabs>
        <w:suppressAutoHyphens/>
        <w:spacing w:after="0" w:line="260" w:lineRule="exact"/>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Jeigu kiltų daugiau klausimų, kreipkitės į gydytoją arba vaistininką.</w:t>
      </w:r>
    </w:p>
    <w:p w14:paraId="48BC1540" w14:textId="77777777" w:rsidR="00ED7DC3" w:rsidRPr="001D3C3D" w:rsidRDefault="00ED7DC3" w:rsidP="00ED7DC3">
      <w:pPr>
        <w:numPr>
          <w:ilvl w:val="1"/>
          <w:numId w:val="7"/>
        </w:numPr>
        <w:tabs>
          <w:tab w:val="left" w:pos="567"/>
        </w:tabs>
        <w:suppressAutoHyphens/>
        <w:spacing w:after="0" w:line="260" w:lineRule="exact"/>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Šis vaistas skirtas tik Jums, todėl kitiems žmonėms jo duoti negalima. Vaistas gali jiems pakenkti (net tiems, kurių ligos požymiai yra tokie patys kaip Jūsų).</w:t>
      </w:r>
      <w:r w:rsidRPr="001D3C3D">
        <w:rPr>
          <w:rFonts w:ascii="Times New Roman" w:eastAsia="Calibri" w:hAnsi="Times New Roman" w:cs="Times New Roman"/>
          <w:color w:val="000000"/>
          <w:lang w:eastAsia="ar-SA"/>
        </w:rPr>
        <w:t xml:space="preserve"> </w:t>
      </w:r>
    </w:p>
    <w:p w14:paraId="72882112" w14:textId="038741ED" w:rsidR="00ED7DC3" w:rsidRPr="001D3C3D" w:rsidRDefault="00ED7DC3" w:rsidP="00ED7DC3">
      <w:pPr>
        <w:numPr>
          <w:ilvl w:val="1"/>
          <w:numId w:val="7"/>
        </w:numPr>
        <w:tabs>
          <w:tab w:val="left" w:pos="567"/>
        </w:tabs>
        <w:suppressAutoHyphens/>
        <w:spacing w:after="0" w:line="260" w:lineRule="exact"/>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Jeigu pasireiškė šalutinis poveikis (net jeigu jis šiame lapelyje nenurodytas), kreipkitės į gydytoją arba vaistininką. Žr.</w:t>
      </w:r>
      <w:r w:rsidR="004C18B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4</w:t>
      </w:r>
      <w:r w:rsidR="004C18BB">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skyrių.</w:t>
      </w:r>
    </w:p>
    <w:p w14:paraId="6B69B42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1317637"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Apie ką rašoma šiame lapelyje?</w:t>
      </w:r>
    </w:p>
    <w:p w14:paraId="7190F66B" w14:textId="77777777" w:rsidR="00ED7DC3" w:rsidRPr="001D3C3D" w:rsidRDefault="00ED7DC3" w:rsidP="00ED7DC3">
      <w:pPr>
        <w:tabs>
          <w:tab w:val="left" w:pos="567"/>
        </w:tabs>
        <w:suppressAutoHyphens/>
        <w:spacing w:after="0" w:line="260" w:lineRule="exact"/>
        <w:rPr>
          <w:rFonts w:ascii="Times New Roman" w:eastAsia="SimSun" w:hAnsi="Times New Roman" w:cs="Times New Roman"/>
          <w:color w:val="000000"/>
          <w:lang w:eastAsia="ar-SA"/>
        </w:rPr>
      </w:pPr>
    </w:p>
    <w:p w14:paraId="614A49E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1.</w:t>
      </w:r>
      <w:r w:rsidRPr="001D3C3D">
        <w:rPr>
          <w:rFonts w:ascii="Times New Roman" w:eastAsia="SimSun" w:hAnsi="Times New Roman" w:cs="Times New Roman"/>
          <w:color w:val="000000"/>
          <w:lang w:eastAsia="ar-SA"/>
        </w:rPr>
        <w:tab/>
        <w:t xml:space="preserve">Kas yra Dasatinib Sandoz ir kam jis vartojamas </w:t>
      </w:r>
    </w:p>
    <w:p w14:paraId="7A02E80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2.</w:t>
      </w:r>
      <w:r w:rsidRPr="001D3C3D">
        <w:rPr>
          <w:rFonts w:ascii="Times New Roman" w:eastAsia="SimSun" w:hAnsi="Times New Roman" w:cs="Times New Roman"/>
          <w:color w:val="000000"/>
          <w:lang w:eastAsia="ar-SA"/>
        </w:rPr>
        <w:tab/>
        <w:t xml:space="preserve">Kas žinotina prieš vartojant Dasatinib Sandoz </w:t>
      </w:r>
    </w:p>
    <w:p w14:paraId="5C8C5A1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3.</w:t>
      </w:r>
      <w:r w:rsidRPr="001D3C3D">
        <w:rPr>
          <w:rFonts w:ascii="Times New Roman" w:eastAsia="SimSun" w:hAnsi="Times New Roman" w:cs="Times New Roman"/>
          <w:color w:val="000000"/>
          <w:lang w:eastAsia="ar-SA"/>
        </w:rPr>
        <w:tab/>
        <w:t xml:space="preserve">Kaip vartoti Dasatinib Sandoz </w:t>
      </w:r>
    </w:p>
    <w:p w14:paraId="0F680C0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4.</w:t>
      </w:r>
      <w:r w:rsidRPr="001D3C3D">
        <w:rPr>
          <w:rFonts w:ascii="Times New Roman" w:eastAsia="SimSun" w:hAnsi="Times New Roman" w:cs="Times New Roman"/>
          <w:color w:val="000000"/>
          <w:lang w:eastAsia="ar-SA"/>
        </w:rPr>
        <w:tab/>
        <w:t xml:space="preserve">Galimas šalutinis poveikis </w:t>
      </w:r>
    </w:p>
    <w:p w14:paraId="25A237D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5.</w:t>
      </w:r>
      <w:r w:rsidRPr="001D3C3D">
        <w:rPr>
          <w:rFonts w:ascii="Times New Roman" w:eastAsia="SimSun" w:hAnsi="Times New Roman" w:cs="Times New Roman"/>
          <w:color w:val="000000"/>
          <w:lang w:eastAsia="ar-SA"/>
        </w:rPr>
        <w:tab/>
        <w:t xml:space="preserve">Kaip laikyti Dasatinib Sandoz </w:t>
      </w:r>
    </w:p>
    <w:p w14:paraId="5B442D8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6.</w:t>
      </w:r>
      <w:r w:rsidRPr="001D3C3D">
        <w:rPr>
          <w:rFonts w:ascii="Times New Roman" w:eastAsia="SimSun" w:hAnsi="Times New Roman" w:cs="Times New Roman"/>
          <w:color w:val="000000"/>
          <w:lang w:eastAsia="ar-SA"/>
        </w:rPr>
        <w:tab/>
        <w:t>Pakuotės turinys ir kita informacija</w:t>
      </w:r>
    </w:p>
    <w:p w14:paraId="6192B33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3F2EAE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92B4FAE" w14:textId="77777777" w:rsidR="00ED7DC3" w:rsidRPr="001D3C3D" w:rsidRDefault="00ED7DC3" w:rsidP="0086689D">
      <w:pPr>
        <w:keepNext/>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1.</w:t>
      </w:r>
      <w:r w:rsidRPr="001D3C3D">
        <w:rPr>
          <w:rFonts w:ascii="Times New Roman" w:eastAsia="SimSun" w:hAnsi="Times New Roman" w:cs="Times New Roman"/>
          <w:b/>
          <w:color w:val="000000"/>
          <w:lang w:eastAsia="ar-SA"/>
        </w:rPr>
        <w:tab/>
        <w:t>Kas yra Dasatinib Sandoz ir kam jis vartojamas</w:t>
      </w:r>
    </w:p>
    <w:p w14:paraId="7D9C87E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9174E09" w14:textId="76F8E66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Dasatinib Sandoz sudėtyje yra veikliosios medžiagos dazatinibo. Šis vaistas vartojamas suaugusiesiems, paaugliams ir ne jaunesniems kaip 1</w:t>
      </w:r>
      <w:r w:rsidR="007246D6">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vaikams gydyti nuo lėtinės mieloidinės leukemijos (LML). Leukemija yra baltųjų kraujo ląstelių vėžys. Šios kraujo ląstelės paprastai padeda organizmui kovoti su infekcijomis. Susirgus lėtine mieloidine leukemija, baltosios kraujo ląstelės, kurios vadinamos granulocitais, pradeda nekontroliuojamai augti. Dasatinib Sandoz slopina šių leukeminių ląstelių augimą.</w:t>
      </w:r>
    </w:p>
    <w:p w14:paraId="0E199F4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800A2A4" w14:textId="72476D44"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Dasatinib Sandoz taip pat vartojamas suaugusiesiems, paaugliams ir ne jaunesniems kaip 1</w:t>
      </w:r>
      <w:r w:rsidR="00820744">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vaikams gydyti nuo Filadelfijos chromosomai teigiamos (Ph+) ūminės limfoblastinės leukemijos (ŪLL) ir suaugusiųjų limfoidinių blastų lėtinės mieloidinės leukemijos gydymui, jeigu ankstesnis gydymas buvo neveiksmingas. Sergant ūmine limfoblastine leukemija, baltosios kraujo ląstelės, kurios vadinamos limfocitais, dauginasi per greitai ir gyvuoja per ilgai. Dasatinib Sandoz slopina šių leukeminių ląstelių augimą.</w:t>
      </w:r>
    </w:p>
    <w:p w14:paraId="1B6C2F5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061EF0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Jeigu Jums kyla kokių nors klausimų apie Dasatinib Sandoz veikimą arba kodėl Jums šio vaisto paskirta, klauskite savo gydytojo.</w:t>
      </w:r>
    </w:p>
    <w:p w14:paraId="681CD7F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596A79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FA89C9A" w14:textId="77777777" w:rsidR="00ED7DC3" w:rsidRPr="001D3C3D" w:rsidRDefault="00ED7DC3" w:rsidP="0086689D">
      <w:pPr>
        <w:keepNext/>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2.</w:t>
      </w:r>
      <w:r w:rsidRPr="001D3C3D">
        <w:rPr>
          <w:rFonts w:ascii="Times New Roman" w:eastAsia="SimSun" w:hAnsi="Times New Roman" w:cs="Times New Roman"/>
          <w:b/>
          <w:color w:val="000000"/>
          <w:lang w:eastAsia="ar-SA"/>
        </w:rPr>
        <w:tab/>
        <w:t xml:space="preserve">Kas žinotina prieš vartojant Dasatinib Sandoz </w:t>
      </w:r>
    </w:p>
    <w:p w14:paraId="328CC21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CFF0030" w14:textId="588238DD"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 xml:space="preserve">Dasatinib Sandoz vartoti </w:t>
      </w:r>
      <w:r w:rsidR="00B44CBE" w:rsidRPr="001D3C3D">
        <w:rPr>
          <w:rFonts w:ascii="Times New Roman" w:eastAsia="SimSun" w:hAnsi="Times New Roman" w:cs="Times New Roman"/>
          <w:b/>
          <w:color w:val="000000"/>
          <w:lang w:eastAsia="ar-SA"/>
        </w:rPr>
        <w:t>draudžiama</w:t>
      </w:r>
      <w:r w:rsidRPr="001D3C3D">
        <w:rPr>
          <w:rFonts w:ascii="Times New Roman" w:eastAsia="SimSun" w:hAnsi="Times New Roman" w:cs="Times New Roman"/>
          <w:b/>
          <w:color w:val="000000"/>
          <w:lang w:eastAsia="ar-SA"/>
        </w:rPr>
        <w:t>:</w:t>
      </w:r>
    </w:p>
    <w:p w14:paraId="3DB719BD" w14:textId="3937CABB" w:rsidR="00ED7DC3" w:rsidRPr="001D3C3D" w:rsidRDefault="00ED7DC3" w:rsidP="00ED7DC3">
      <w:pPr>
        <w:numPr>
          <w:ilvl w:val="0"/>
          <w:numId w:val="3"/>
        </w:numPr>
        <w:tabs>
          <w:tab w:val="left" w:pos="567"/>
        </w:tabs>
        <w:suppressAutoHyphens/>
        <w:spacing w:after="0" w:line="260" w:lineRule="exact"/>
        <w:ind w:left="540" w:hanging="540"/>
        <w:rPr>
          <w:rFonts w:ascii="Times New Roman" w:eastAsia="SimSun" w:hAnsi="Times New Roman" w:cs="Times New Roman"/>
          <w:b/>
          <w:color w:val="000000"/>
          <w:lang w:eastAsia="ar-SA"/>
        </w:rPr>
      </w:pPr>
      <w:r w:rsidRPr="001D3C3D">
        <w:rPr>
          <w:rFonts w:ascii="Times New Roman" w:eastAsia="SimSun" w:hAnsi="Times New Roman" w:cs="Times New Roman"/>
          <w:color w:val="000000"/>
          <w:lang w:eastAsia="ar-SA"/>
        </w:rPr>
        <w:t xml:space="preserve">jeigu yra </w:t>
      </w:r>
      <w:r w:rsidRPr="001D3C3D">
        <w:rPr>
          <w:rFonts w:ascii="Times New Roman" w:eastAsia="SimSun" w:hAnsi="Times New Roman" w:cs="Times New Roman"/>
          <w:b/>
          <w:color w:val="000000"/>
          <w:lang w:eastAsia="ar-SA"/>
        </w:rPr>
        <w:t>alergija</w:t>
      </w:r>
      <w:r w:rsidRPr="001D3C3D">
        <w:rPr>
          <w:rFonts w:ascii="Times New Roman" w:eastAsia="SimSun" w:hAnsi="Times New Roman" w:cs="Times New Roman"/>
          <w:color w:val="000000"/>
          <w:lang w:eastAsia="ar-SA"/>
        </w:rPr>
        <w:t xml:space="preserve"> dazatinibui arba bet kuriai pagalbinei šio vaisto medžiagai (jos išvardytos 6</w:t>
      </w:r>
      <w:r w:rsidR="003A1600">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skyriuje).</w:t>
      </w:r>
    </w:p>
    <w:p w14:paraId="34633B82" w14:textId="77777777" w:rsidR="00ED7DC3" w:rsidRPr="001D3C3D" w:rsidRDefault="00ED7DC3" w:rsidP="0086689D">
      <w:pPr>
        <w:tabs>
          <w:tab w:val="left" w:pos="567"/>
        </w:tabs>
        <w:suppressAutoHyphens/>
        <w:spacing w:after="0" w:line="240" w:lineRule="auto"/>
        <w:ind w:left="540" w:hanging="540"/>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 xml:space="preserve">Jeigu galbūt esate alergiškas, kreipkitės patarimo į savo gydytoją. </w:t>
      </w:r>
    </w:p>
    <w:p w14:paraId="5DEEA78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79D631F"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 xml:space="preserve">Įspėjimai ir atsargumo priemonės </w:t>
      </w:r>
    </w:p>
    <w:p w14:paraId="5BF072E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Pasitarkite su savo gydytoju, prieš pradėdami vartoti Dasatinib Sandoz, jeigu:</w:t>
      </w:r>
    </w:p>
    <w:p w14:paraId="3273FAAE" w14:textId="77777777" w:rsidR="00ED7DC3" w:rsidRPr="001D3C3D" w:rsidRDefault="00ED7DC3" w:rsidP="00ED7DC3">
      <w:pPr>
        <w:numPr>
          <w:ilvl w:val="0"/>
          <w:numId w:val="9"/>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vartojate </w:t>
      </w:r>
      <w:r w:rsidRPr="001D3C3D">
        <w:rPr>
          <w:rFonts w:ascii="Times New Roman" w:eastAsia="SimSun" w:hAnsi="Times New Roman" w:cs="Times New Roman"/>
          <w:b/>
          <w:bCs/>
          <w:color w:val="000000"/>
          <w:lang w:eastAsia="ar-SA"/>
        </w:rPr>
        <w:t xml:space="preserve">vaistų kraujui skystinti </w:t>
      </w:r>
      <w:r w:rsidRPr="001D3C3D">
        <w:rPr>
          <w:rFonts w:ascii="Times New Roman" w:eastAsia="SimSun" w:hAnsi="Times New Roman" w:cs="Times New Roman"/>
          <w:bCs/>
          <w:color w:val="000000"/>
          <w:lang w:eastAsia="ar-SA"/>
        </w:rPr>
        <w:t xml:space="preserve">ar krešulių atsiradimui sutrukdyti </w:t>
      </w:r>
      <w:r w:rsidRPr="001D3C3D">
        <w:rPr>
          <w:rFonts w:ascii="Times New Roman" w:eastAsia="SimSun" w:hAnsi="Times New Roman" w:cs="Times New Roman"/>
          <w:color w:val="000000"/>
          <w:lang w:eastAsia="ar-SA"/>
        </w:rPr>
        <w:t>(</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r. „Kiti vaistai ir Dasatinib Sandoz);</w:t>
      </w:r>
    </w:p>
    <w:p w14:paraId="2664AFFE" w14:textId="77777777" w:rsidR="00ED7DC3" w:rsidRPr="001D3C3D" w:rsidRDefault="00ED7DC3" w:rsidP="00ED7DC3">
      <w:pPr>
        <w:numPr>
          <w:ilvl w:val="0"/>
          <w:numId w:val="8"/>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Jums yra arba buvo kepen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ar </w:t>
      </w:r>
      <w:r w:rsidRPr="001D3C3D">
        <w:rPr>
          <w:rFonts w:ascii="Times New Roman" w:eastAsia="TimesNewRoman" w:hAnsi="Times New Roman" w:cs="Times New Roman"/>
          <w:color w:val="000000"/>
          <w:lang w:eastAsia="ar-SA"/>
        </w:rPr>
        <w:t>š</w:t>
      </w:r>
      <w:r w:rsidRPr="001D3C3D">
        <w:rPr>
          <w:rFonts w:ascii="Times New Roman" w:eastAsia="SimSun" w:hAnsi="Times New Roman" w:cs="Times New Roman"/>
          <w:color w:val="000000"/>
          <w:lang w:eastAsia="ar-SA"/>
        </w:rPr>
        <w:t>irdies sutrikim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7FC06163" w14:textId="2C6939AF" w:rsidR="00ED7DC3" w:rsidRPr="001D3C3D" w:rsidRDefault="00ED7DC3" w:rsidP="00ED7DC3">
      <w:pPr>
        <w:numPr>
          <w:ilvl w:val="0"/>
          <w:numId w:val="8"/>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vartojant dazatinibo </w:t>
      </w:r>
      <w:r w:rsidRPr="001D3C3D">
        <w:rPr>
          <w:rFonts w:ascii="Times New Roman" w:eastAsia="SimSun" w:hAnsi="Times New Roman" w:cs="Times New Roman"/>
          <w:b/>
          <w:bCs/>
          <w:color w:val="000000"/>
          <w:lang w:eastAsia="ar-SA"/>
        </w:rPr>
        <w:t xml:space="preserve">pasunkėja kvėpavimas, ima skaudėti krūtinę arba prasideda kosulys: </w:t>
      </w:r>
      <w:r w:rsidRPr="001D3C3D">
        <w:rPr>
          <w:rFonts w:ascii="Times New Roman" w:eastAsia="SimSun" w:hAnsi="Times New Roman" w:cs="Times New Roman"/>
          <w:bCs/>
          <w:color w:val="000000"/>
          <w:lang w:eastAsia="ar-SA"/>
        </w:rPr>
        <w:t>tai gali būti</w:t>
      </w:r>
      <w:r w:rsidRPr="001D3C3D">
        <w:rPr>
          <w:rFonts w:ascii="Times New Roman" w:eastAsia="SimSun" w:hAnsi="Times New Roman" w:cs="Times New Roman"/>
          <w:color w:val="000000"/>
          <w:lang w:eastAsia="ar-SA"/>
        </w:rPr>
        <w:t xml:space="preserve"> skysči</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xml:space="preserve"> kaupim</w:t>
      </w:r>
      <w:r w:rsidRPr="001D3C3D">
        <w:rPr>
          <w:rFonts w:ascii="Times New Roman" w:eastAsia="MS Mincho" w:hAnsi="Times New Roman" w:cs="Times New Roman"/>
          <w:color w:val="000000"/>
          <w:lang w:eastAsia="ar-SA"/>
        </w:rPr>
        <w:t>osi</w:t>
      </w:r>
      <w:r w:rsidRPr="001D3C3D">
        <w:rPr>
          <w:rFonts w:ascii="Times New Roman" w:eastAsia="SimSun" w:hAnsi="Times New Roman" w:cs="Times New Roman"/>
          <w:color w:val="000000"/>
          <w:lang w:eastAsia="ar-SA"/>
        </w:rPr>
        <w:t xml:space="preserve"> plaučiuose ar krūtin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stoje požymis (65</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vyresniems pacientams j</w:t>
      </w:r>
      <w:r w:rsidRPr="001D3C3D">
        <w:rPr>
          <w:rFonts w:ascii="Times New Roman" w:eastAsia="MS Mincho" w:hAnsi="Times New Roman" w:cs="Times New Roman"/>
          <w:color w:val="000000"/>
          <w:lang w:eastAsia="ar-SA"/>
        </w:rPr>
        <w:t>is</w:t>
      </w:r>
      <w:r w:rsidRPr="001D3C3D">
        <w:rPr>
          <w:rFonts w:ascii="Times New Roman" w:eastAsia="SimSun" w:hAnsi="Times New Roman" w:cs="Times New Roman"/>
          <w:color w:val="000000"/>
          <w:lang w:eastAsia="ar-SA"/>
        </w:rPr>
        <w:t xml:space="preserve"> gali pasireikšti da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niau) arba dėl kraujagysli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kuriomis kraujas teka </w:t>
      </w:r>
      <w:r w:rsidRPr="001D3C3D">
        <w:rPr>
          <w:rFonts w:ascii="Times New Roman" w:eastAsia="MS Mincho" w:hAnsi="Times New Roman" w:cs="Times New Roman"/>
          <w:color w:val="000000"/>
          <w:lang w:eastAsia="ar-SA"/>
        </w:rPr>
        <w:t xml:space="preserve">į </w:t>
      </w:r>
      <w:r w:rsidRPr="001D3C3D">
        <w:rPr>
          <w:rFonts w:ascii="Times New Roman" w:eastAsia="SimSun" w:hAnsi="Times New Roman" w:cs="Times New Roman"/>
          <w:color w:val="000000"/>
          <w:lang w:eastAsia="ar-SA"/>
        </w:rPr>
        <w:t>plaučius, pokyčių;</w:t>
      </w:r>
    </w:p>
    <w:p w14:paraId="12650310" w14:textId="77777777" w:rsidR="00ED7DC3" w:rsidRPr="001D3C3D" w:rsidRDefault="00ED7DC3" w:rsidP="00ED7DC3">
      <w:pPr>
        <w:numPr>
          <w:ilvl w:val="0"/>
          <w:numId w:val="8"/>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Jums kada nors buvo diagnozuota hepatito B infekcija arba šiuo metu galite būti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sikr</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šiuo virusu. Apie tai pasakyti būtina, nes dazatinibas gali 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suaktyvinti hepatitą B, kuris kai kuriais atvejais gali būti mirtinas. Prieš pradedant gydym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gydytojas atid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iai patikrins, ar pacientas neturi šios infekcijos po</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ymi</w:t>
      </w:r>
      <w:r w:rsidRPr="001D3C3D">
        <w:rPr>
          <w:rFonts w:ascii="Times New Roman" w:eastAsia="MS Mincho" w:hAnsi="Times New Roman" w:cs="Times New Roman"/>
          <w:color w:val="000000"/>
          <w:lang w:eastAsia="ar-SA"/>
        </w:rPr>
        <w:t>ų;</w:t>
      </w:r>
    </w:p>
    <w:p w14:paraId="48332619" w14:textId="5BD6A891" w:rsidR="00ED7DC3" w:rsidRPr="001D3C3D" w:rsidRDefault="00ED7DC3" w:rsidP="00ED7DC3">
      <w:pPr>
        <w:numPr>
          <w:ilvl w:val="0"/>
          <w:numId w:val="8"/>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vartojant Dasatinib Sandoz Jums atsiranda kraujosrūvų, kraujavimas, karščiavimas, nuovargis ir sumišimas, kreipkitės į savo gydytoją. Tai gali būti kraujagyslių pažeidimo, žinomo kaip trombinė mikroangiopatija (TMA), požymis.</w:t>
      </w:r>
    </w:p>
    <w:p w14:paraId="6D496A2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479D7D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Jūsų gydytojas reguliariai tirs Jūs</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sveikatos būkl</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kad gal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sitikinti, ar dazatinibas sukelia pageidaujamą poveikį. Be to, dazatinibo vartojimo metu Jums bus reguliariai atliekami kraujo tyrimai.</w:t>
      </w:r>
    </w:p>
    <w:p w14:paraId="415A618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435CF6CD"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Vaikams ir paaugliams</w:t>
      </w:r>
    </w:p>
    <w:p w14:paraId="6074E020" w14:textId="550DB324"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Neduokite šio vaisto jaunesniems kaip 1</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metų vaikams. Dazatinibo vartojimo šios am</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iaus grup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pacientams patirtis yra nedidelė. Bus atidžiai stebimas dazatinibo vartojančių vaikų kaulų augimas ir vystymasis.</w:t>
      </w:r>
    </w:p>
    <w:p w14:paraId="7EC71AA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756F34E" w14:textId="77777777" w:rsidR="00ED7DC3" w:rsidRPr="001D3C3D" w:rsidRDefault="00ED7DC3" w:rsidP="0086689D">
      <w:pPr>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Kiti vaistai ir Dasatinib Sandoz</w:t>
      </w:r>
    </w:p>
    <w:p w14:paraId="1DC0C17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Jeigu vartojate ar neseniai vartojote kit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vaist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arba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l to nesate tikri, apie tai </w:t>
      </w:r>
      <w:r w:rsidRPr="001D3C3D">
        <w:rPr>
          <w:rFonts w:ascii="Times New Roman" w:eastAsia="SimSun" w:hAnsi="Times New Roman" w:cs="Times New Roman"/>
          <w:b/>
          <w:bCs/>
          <w:color w:val="000000"/>
          <w:lang w:eastAsia="ar-SA"/>
        </w:rPr>
        <w:t>pasakykite savo gydytojui</w:t>
      </w:r>
      <w:r w:rsidRPr="001D3C3D">
        <w:rPr>
          <w:rFonts w:ascii="Times New Roman" w:eastAsia="SimSun" w:hAnsi="Times New Roman" w:cs="Times New Roman"/>
          <w:color w:val="000000"/>
          <w:lang w:eastAsia="ar-SA"/>
        </w:rPr>
        <w:t>.</w:t>
      </w:r>
    </w:p>
    <w:p w14:paraId="06C9D82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877252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Dazatinibą daugiausia apdoroja kepenys. Tam tikri vaistai, vartojami kartu, gali trikdyti dazatinibo veikim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w:t>
      </w:r>
    </w:p>
    <w:p w14:paraId="5DD9AEE6"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Kartu su dazatinibu negalima vartoti šių vaistų:</w:t>
      </w:r>
    </w:p>
    <w:p w14:paraId="031783F3"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vaistų nuo grybelio </w:t>
      </w:r>
      <w:r w:rsidRPr="001D3C3D">
        <w:rPr>
          <w:rFonts w:ascii="Times New Roman" w:eastAsia="SimSun" w:hAnsi="Times New Roman" w:cs="Times New Roman"/>
          <w:color w:val="000000"/>
          <w:lang w:eastAsia="ar-SA"/>
        </w:rPr>
        <w:t>- ketokonazolo, itrakonazolo;</w:t>
      </w:r>
    </w:p>
    <w:p w14:paraId="382DC550"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antibiotikų </w:t>
      </w:r>
      <w:r w:rsidRPr="001D3C3D">
        <w:rPr>
          <w:rFonts w:ascii="Times New Roman" w:eastAsia="SimSun" w:hAnsi="Times New Roman" w:cs="Times New Roman"/>
          <w:color w:val="000000"/>
          <w:lang w:eastAsia="ar-SA"/>
        </w:rPr>
        <w:t>- eritromicino, klaritromicino, telitromicino;</w:t>
      </w:r>
    </w:p>
    <w:p w14:paraId="4EF76535"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vaisto nuo virusų </w:t>
      </w:r>
      <w:r w:rsidRPr="001D3C3D">
        <w:rPr>
          <w:rFonts w:ascii="Times New Roman" w:eastAsia="SimSun" w:hAnsi="Times New Roman" w:cs="Times New Roman"/>
          <w:color w:val="000000"/>
          <w:lang w:eastAsia="ar-SA"/>
        </w:rPr>
        <w:t>infekcijos - ritonaviro;</w:t>
      </w:r>
    </w:p>
    <w:p w14:paraId="03F27641"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vaistų nuo epilepsijos - </w:t>
      </w:r>
      <w:r w:rsidRPr="001D3C3D">
        <w:rPr>
          <w:rFonts w:ascii="Times New Roman" w:eastAsia="SimSun" w:hAnsi="Times New Roman" w:cs="Times New Roman"/>
          <w:color w:val="000000"/>
          <w:lang w:eastAsia="ar-SA"/>
        </w:rPr>
        <w:t>fenitoino, karbamazepino, fenobarbitalio;</w:t>
      </w:r>
    </w:p>
    <w:p w14:paraId="07AF407B"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vaisto nuo tuberkuliozės </w:t>
      </w:r>
      <w:r w:rsidRPr="001D3C3D">
        <w:rPr>
          <w:rFonts w:ascii="Times New Roman" w:eastAsia="SimSun" w:hAnsi="Times New Roman" w:cs="Times New Roman"/>
          <w:color w:val="000000"/>
          <w:lang w:eastAsia="ar-SA"/>
        </w:rPr>
        <w:t>- rifampicino;</w:t>
      </w:r>
    </w:p>
    <w:p w14:paraId="6949703E"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skrandžio rūgšties išskyrimą slopinančių vaistų </w:t>
      </w:r>
      <w:r w:rsidRPr="001D3C3D">
        <w:rPr>
          <w:rFonts w:ascii="Times New Roman" w:eastAsia="SimSun" w:hAnsi="Times New Roman" w:cs="Times New Roman"/>
          <w:color w:val="000000"/>
          <w:lang w:eastAsia="ar-SA"/>
        </w:rPr>
        <w:t>- famotidino, omeprazolo;</w:t>
      </w:r>
    </w:p>
    <w:p w14:paraId="4163F841" w14:textId="77777777" w:rsidR="00ED7DC3" w:rsidRPr="001D3C3D" w:rsidRDefault="00ED7DC3" w:rsidP="00ED7DC3">
      <w:pPr>
        <w:numPr>
          <w:ilvl w:val="0"/>
          <w:numId w:val="10"/>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jona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ol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s (taip pat ji vadinama </w:t>
      </w:r>
      <w:r w:rsidRPr="001D3C3D">
        <w:rPr>
          <w:rFonts w:ascii="Times New Roman" w:eastAsia="SimSun" w:hAnsi="Times New Roman" w:cs="Times New Roman"/>
          <w:i/>
          <w:iCs/>
          <w:color w:val="000000"/>
          <w:lang w:eastAsia="ar-SA"/>
        </w:rPr>
        <w:t>Hypericum perforatum</w:t>
      </w:r>
      <w:r w:rsidRPr="001D3C3D">
        <w:rPr>
          <w:rFonts w:ascii="Times New Roman" w:eastAsia="SimSun" w:hAnsi="Times New Roman" w:cs="Times New Roman"/>
          <w:color w:val="000000"/>
          <w:lang w:eastAsia="ar-SA"/>
        </w:rPr>
        <w:t xml:space="preserve">) - nereceptinio vaistažolių preparato nuo </w:t>
      </w:r>
      <w:r w:rsidRPr="001D3C3D">
        <w:rPr>
          <w:rFonts w:ascii="Times New Roman" w:eastAsia="SimSun" w:hAnsi="Times New Roman" w:cs="Times New Roman"/>
          <w:b/>
          <w:bCs/>
          <w:color w:val="000000"/>
          <w:lang w:eastAsia="ar-SA"/>
        </w:rPr>
        <w:t xml:space="preserve">depresijos </w:t>
      </w:r>
      <w:r w:rsidRPr="001D3C3D">
        <w:rPr>
          <w:rFonts w:ascii="Times New Roman" w:eastAsia="SimSun" w:hAnsi="Times New Roman" w:cs="Times New Roman"/>
          <w:color w:val="000000"/>
          <w:lang w:eastAsia="ar-SA"/>
        </w:rPr>
        <w:t>ir kit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sutrikim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w:t>
      </w:r>
    </w:p>
    <w:p w14:paraId="3337A78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79221485" w14:textId="1B9ECF7F"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Nevartokite skrandžio rūgštį neutralizuojančių vaistų </w:t>
      </w:r>
      <w:r w:rsidRPr="001D3C3D">
        <w:rPr>
          <w:rFonts w:ascii="Times New Roman" w:eastAsia="SimSun" w:hAnsi="Times New Roman" w:cs="Times New Roman"/>
          <w:color w:val="000000"/>
          <w:lang w:eastAsia="ar-SA"/>
        </w:rPr>
        <w:t xml:space="preserve">(pvz., aliuminio hidroksido, magnio hidroksido) </w:t>
      </w:r>
      <w:r w:rsidRPr="001D3C3D">
        <w:rPr>
          <w:rFonts w:ascii="Times New Roman" w:eastAsia="SimSun" w:hAnsi="Times New Roman" w:cs="Times New Roman"/>
          <w:b/>
          <w:bCs/>
          <w:color w:val="000000"/>
          <w:lang w:eastAsia="ar-SA"/>
        </w:rPr>
        <w:t>likus mažiau kaip 2</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valandoms iki dazatinibo vartojimo ir 2</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val. po jo</w:t>
      </w:r>
      <w:r w:rsidRPr="001D3C3D">
        <w:rPr>
          <w:rFonts w:ascii="Times New Roman" w:eastAsia="SimSun" w:hAnsi="Times New Roman" w:cs="Times New Roman"/>
          <w:color w:val="000000"/>
          <w:lang w:eastAsia="ar-SA"/>
        </w:rPr>
        <w:t>.</w:t>
      </w:r>
    </w:p>
    <w:p w14:paraId="2B7A1A8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6591374"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Pasakykite savo gydytojui, </w:t>
      </w:r>
      <w:r w:rsidRPr="001D3C3D">
        <w:rPr>
          <w:rFonts w:ascii="Times New Roman" w:eastAsia="SimSun" w:hAnsi="Times New Roman" w:cs="Times New Roman"/>
          <w:bCs/>
          <w:color w:val="000000"/>
          <w:lang w:eastAsia="ar-SA"/>
        </w:rPr>
        <w:t>j</w:t>
      </w:r>
      <w:r w:rsidRPr="001D3C3D">
        <w:rPr>
          <w:rFonts w:ascii="Times New Roman" w:eastAsia="SimSun" w:hAnsi="Times New Roman" w:cs="Times New Roman"/>
          <w:color w:val="000000"/>
          <w:lang w:eastAsia="ar-SA"/>
        </w:rPr>
        <w:t>eigu vartojate vaist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w:t>
      </w:r>
      <w:r w:rsidRPr="001D3C3D">
        <w:rPr>
          <w:rFonts w:ascii="Times New Roman" w:eastAsia="SimSun" w:hAnsi="Times New Roman" w:cs="Times New Roman"/>
          <w:b/>
          <w:bCs/>
          <w:color w:val="000000"/>
          <w:lang w:eastAsia="ar-SA"/>
        </w:rPr>
        <w:t xml:space="preserve">kraujui skystinti </w:t>
      </w:r>
      <w:r w:rsidRPr="001D3C3D">
        <w:rPr>
          <w:rFonts w:ascii="Times New Roman" w:eastAsia="SimSun" w:hAnsi="Times New Roman" w:cs="Times New Roman"/>
          <w:color w:val="000000"/>
          <w:lang w:eastAsia="ar-SA"/>
        </w:rPr>
        <w:t>ar krešulių atsiradimui sutrukdyti</w:t>
      </w:r>
      <w:r w:rsidRPr="001D3C3D">
        <w:rPr>
          <w:rFonts w:ascii="Times New Roman" w:eastAsia="SimSun" w:hAnsi="Times New Roman" w:cs="Times New Roman"/>
          <w:b/>
          <w:bCs/>
          <w:color w:val="000000"/>
          <w:lang w:eastAsia="ar-SA"/>
        </w:rPr>
        <w:t>.</w:t>
      </w:r>
    </w:p>
    <w:p w14:paraId="224BEB2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55894934"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Dasatinib Sandoz vartojimas su maistu ir gėrimais</w:t>
      </w:r>
    </w:p>
    <w:p w14:paraId="0ECA2A68"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Nevartokite dazatinibo kartu su greipfrutais ar 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sultimis.</w:t>
      </w:r>
    </w:p>
    <w:p w14:paraId="7CC99B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5D5D18B6"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Nėštumas ir žindymo laikotarpis</w:t>
      </w:r>
    </w:p>
    <w:p w14:paraId="5789F63A"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Jeigu esate nėščia </w:t>
      </w:r>
      <w:r w:rsidRPr="001D3C3D">
        <w:rPr>
          <w:rFonts w:ascii="Times New Roman" w:eastAsia="SimSun" w:hAnsi="Times New Roman" w:cs="Times New Roman"/>
          <w:color w:val="000000"/>
          <w:lang w:eastAsia="ar-SA"/>
        </w:rPr>
        <w:t>arba manote, kad galbūt esate 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ščia</w:t>
      </w:r>
      <w:r w:rsidRPr="001D3C3D">
        <w:rPr>
          <w:rFonts w:ascii="Times New Roman" w:eastAsia="SimSun" w:hAnsi="Times New Roman" w:cs="Times New Roman"/>
          <w:b/>
          <w:bCs/>
          <w:color w:val="000000"/>
          <w:lang w:eastAsia="ar-SA"/>
        </w:rPr>
        <w:t>, apie tai nedelsdama pasakykite gydytojui</w:t>
      </w:r>
      <w:r w:rsidRPr="001D3C3D">
        <w:rPr>
          <w:rFonts w:ascii="Times New Roman" w:eastAsia="SimSun" w:hAnsi="Times New Roman" w:cs="Times New Roman"/>
          <w:color w:val="000000"/>
          <w:lang w:eastAsia="ar-SA"/>
        </w:rPr>
        <w:t>.</w:t>
      </w:r>
    </w:p>
    <w:p w14:paraId="62B7EF6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Nėštumo laikotarpiu dazatinibo turi būti nevartojama, </w:t>
      </w:r>
      <w:r w:rsidRPr="001D3C3D">
        <w:rPr>
          <w:rFonts w:ascii="Times New Roman" w:eastAsia="SimSun" w:hAnsi="Times New Roman" w:cs="Times New Roman"/>
          <w:color w:val="000000"/>
          <w:lang w:eastAsia="ar-SA"/>
        </w:rPr>
        <w:t>išskyrus neabejotinai būtinus atvejus. Jūsų gydytojas aptars su Jumis dazatinibo vartojimo nėštumo metu galimą riziką.</w:t>
      </w:r>
    </w:p>
    <w:p w14:paraId="4569191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Dazatinibo vartojantiems vyrams ir moterims patariama gydymo metu taikyti veiksming</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kontracepciją.</w:t>
      </w:r>
    </w:p>
    <w:p w14:paraId="6BF36D4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74B511C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Jeigu žindote kūdikį, apie tai pasakykite gydytojui. </w:t>
      </w:r>
      <w:r w:rsidRPr="001D3C3D">
        <w:rPr>
          <w:rFonts w:ascii="Times New Roman" w:eastAsia="SimSun" w:hAnsi="Times New Roman" w:cs="Times New Roman"/>
          <w:color w:val="000000"/>
          <w:lang w:eastAsia="ar-SA"/>
        </w:rPr>
        <w:t>Žindymą turite nutraukti, kol vartojate dazatinibo.</w:t>
      </w:r>
    </w:p>
    <w:p w14:paraId="6178651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2CB4D84"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Vairavimas ir mechanizmų valdymas</w:t>
      </w:r>
    </w:p>
    <w:p w14:paraId="2C69AE3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 xml:space="preserve">Jeigu pasireiškia šalutinis poveikis, toks, kaip svaigulys ar matomo vaizdo ryškumo sumažėjimas, vairuoti ar valdyti mechanizmus reikia ypač atsargiai. </w:t>
      </w:r>
    </w:p>
    <w:p w14:paraId="6D4CADE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31B916F2"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Dasatinib Sandoz sudėtyje yra laktozės ir natrio </w:t>
      </w:r>
    </w:p>
    <w:p w14:paraId="24B1FE1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color w:val="000000"/>
          <w:lang w:eastAsia="ar-SA"/>
        </w:rPr>
        <w:t>Jeigu gydytojas Jums yra sak</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kad netoleruojate koki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nors angliavandeni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kreipkit</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s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j</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prieš prad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dami vartoti š</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vaist</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w:t>
      </w:r>
    </w:p>
    <w:p w14:paraId="5B6D3FF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93D07B6"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Šio vaisto dozėje yra mažiau kaip 1 mmol (23 mg) natrio, t.y. jis beveik neturi reikšmės.</w:t>
      </w:r>
    </w:p>
    <w:p w14:paraId="055D7E1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6EBA782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29FE3BC" w14:textId="368B076A"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3.</w:t>
      </w:r>
      <w:r w:rsidRPr="001D3C3D">
        <w:rPr>
          <w:rFonts w:ascii="Times New Roman" w:eastAsia="SimSun" w:hAnsi="Times New Roman" w:cs="Times New Roman"/>
          <w:b/>
          <w:bCs/>
          <w:color w:val="000000"/>
          <w:lang w:eastAsia="ar-SA"/>
        </w:rPr>
        <w:tab/>
        <w:t>Kaip vartoti Dasatinib Sandoz</w:t>
      </w:r>
    </w:p>
    <w:p w14:paraId="4AF0511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06345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Dasatinib Sandoz gali skirti tik gydytojas, turintis leukemijos gydymo patirties. Visada vartokite š</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vaist</w:t>
      </w:r>
      <w:r w:rsidRPr="001D3C3D">
        <w:rPr>
          <w:rFonts w:ascii="Times New Roman" w:eastAsia="MS Mincho" w:hAnsi="Times New Roman" w:cs="Times New Roman"/>
          <w:color w:val="000000"/>
          <w:lang w:eastAsia="ar-SA"/>
        </w:rPr>
        <w:t xml:space="preserve">ą </w:t>
      </w:r>
      <w:r w:rsidRPr="001D3C3D">
        <w:rPr>
          <w:rFonts w:ascii="Times New Roman" w:eastAsia="SimSun" w:hAnsi="Times New Roman" w:cs="Times New Roman"/>
          <w:color w:val="000000"/>
          <w:lang w:eastAsia="ar-SA"/>
        </w:rPr>
        <w:t>tiksliai kaip nurod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gydytojas. Jeigu abejojate, kreipkit</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s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gydytoj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arba vaistinink</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Dasatinib Sandoz yra skirtas suaugusiems pacientams ir vaikams nuo 1 metų amžiaus.</w:t>
      </w:r>
    </w:p>
    <w:p w14:paraId="7B6B83A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66A6465A" w14:textId="6841B8F3"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Rekomenduojama pradinė dozė lėtinės fazės lėtine mieloidine leukemija leukoze sergantiems suaugusiems pacientams yra 100</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mg 1</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kartą per parą.</w:t>
      </w:r>
    </w:p>
    <w:p w14:paraId="13E5EB3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767CCAB5" w14:textId="79D8BF02"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Rekomenduojama pradinė dozė lėtine mieloidine leukemija, kai yra akceleracijos fazė ar blastų krizė, arba Filadelfijos chromosomai teigiama ūmine limfoblastine leukemija sergantiems suaugusiems pacientams yra 140</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mg 1</w:t>
      </w:r>
      <w:r w:rsidR="00E701DA">
        <w:rPr>
          <w:rFonts w:ascii="Times New Roman" w:eastAsia="SimSun" w:hAnsi="Times New Roman" w:cs="Times New Roman"/>
          <w:b/>
          <w:bCs/>
          <w:color w:val="000000"/>
          <w:lang w:eastAsia="ar-SA"/>
        </w:rPr>
        <w:t> </w:t>
      </w:r>
      <w:r w:rsidRPr="001D3C3D">
        <w:rPr>
          <w:rFonts w:ascii="Times New Roman" w:eastAsia="SimSun" w:hAnsi="Times New Roman" w:cs="Times New Roman"/>
          <w:b/>
          <w:bCs/>
          <w:color w:val="000000"/>
          <w:lang w:eastAsia="ar-SA"/>
        </w:rPr>
        <w:t>kartą per parą.</w:t>
      </w:r>
    </w:p>
    <w:p w14:paraId="2C79710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9F1C2FA" w14:textId="599EC0E6"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Vaikams, sergantiems lėtinės fazės LML arba Ph+ ŪLL, dozuojama pagal kūno svorį.</w:t>
      </w:r>
      <w:r w:rsidRPr="001D3C3D">
        <w:rPr>
          <w:rFonts w:ascii="Times New Roman" w:eastAsia="SimSun" w:hAnsi="Times New Roman" w:cs="Times New Roman"/>
          <w:color w:val="000000"/>
          <w:lang w:eastAsia="ar-SA"/>
        </w:rPr>
        <w:t xml:space="preserve"> Dasanitib Sandoz vartojamas per burną 1</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kartą per parą. Mažiau kaip 10</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kg sergantiems pacientams Dasanitib Sandoz tabletės nerekomenduojamos. Mažiau kaip 10</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kg sveriantiems arba tablečių negalintiems nuryti pacientams gali būti tinkami milteliai geriamajai suspensijai. Dozė gali pakisti, jeigu keičiamos farmacinės formos (t.y. tabletės ir milteliai geriamajai suspensijai), taigi Jūs turite nekeisti vienos formos kita. </w:t>
      </w:r>
    </w:p>
    <w:p w14:paraId="5AD1DBD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FEAC97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Tinkamą farmacinę formą ir dozę parinks Jūsų gydytojas, atsižvelgdamas į kūno svorį, šalutinį poveikį ir atsaką į gydymą. Dasatinib Sandoz pradinė dozė vaikams apskaičiuojama pagal kūno svorį kaip nurodyta žemiau: </w:t>
      </w:r>
    </w:p>
    <w:p w14:paraId="2D3F298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tbl>
      <w:tblPr>
        <w:tblW w:w="0" w:type="auto"/>
        <w:tblInd w:w="20" w:type="dxa"/>
        <w:tblLayout w:type="fixed"/>
        <w:tblCellMar>
          <w:top w:w="25" w:type="dxa"/>
          <w:left w:w="0" w:type="dxa"/>
          <w:right w:w="115" w:type="dxa"/>
        </w:tblCellMar>
        <w:tblLook w:val="0000" w:firstRow="0" w:lastRow="0" w:firstColumn="0" w:lastColumn="0" w:noHBand="0" w:noVBand="0"/>
      </w:tblPr>
      <w:tblGrid>
        <w:gridCol w:w="4619"/>
        <w:gridCol w:w="4404"/>
      </w:tblGrid>
      <w:tr w:rsidR="00ED7DC3" w:rsidRPr="001D3C3D" w14:paraId="6DC08909" w14:textId="77777777" w:rsidTr="0036275F">
        <w:trPr>
          <w:trHeight w:val="250"/>
        </w:trPr>
        <w:tc>
          <w:tcPr>
            <w:tcW w:w="4619" w:type="dxa"/>
            <w:tcBorders>
              <w:top w:val="single" w:sz="4" w:space="0" w:color="000000"/>
              <w:bottom w:val="single" w:sz="4" w:space="0" w:color="000000"/>
            </w:tcBorders>
            <w:shd w:val="clear" w:color="auto" w:fill="auto"/>
          </w:tcPr>
          <w:p w14:paraId="6B28F755" w14:textId="77777777" w:rsidR="00ED7DC3" w:rsidRPr="001D3C3D" w:rsidRDefault="00ED7DC3" w:rsidP="00ED7DC3">
            <w:pPr>
              <w:suppressAutoHyphens/>
              <w:spacing w:after="0" w:line="256" w:lineRule="auto"/>
              <w:ind w:left="115"/>
              <w:rPr>
                <w:rFonts w:ascii="Times New Roman" w:eastAsia="Times New Roman" w:hAnsi="Times New Roman" w:cs="Times New Roman"/>
                <w:b/>
                <w:color w:val="000000"/>
                <w:lang w:eastAsia="ar-SA"/>
              </w:rPr>
            </w:pPr>
            <w:r w:rsidRPr="001D3C3D">
              <w:rPr>
                <w:rFonts w:ascii="Times New Roman" w:eastAsia="Times New Roman" w:hAnsi="Times New Roman" w:cs="Times New Roman"/>
                <w:b/>
                <w:color w:val="000000"/>
                <w:lang w:eastAsia="ar-SA"/>
              </w:rPr>
              <w:t>Kūno svoris (kg)</w:t>
            </w:r>
            <w:r w:rsidRPr="001D3C3D">
              <w:rPr>
                <w:rFonts w:ascii="Times New Roman" w:eastAsia="Times New Roman" w:hAnsi="Times New Roman" w:cs="Times New Roman"/>
                <w:color w:val="000000"/>
                <w:vertAlign w:val="superscript"/>
                <w:lang w:eastAsia="ar-SA"/>
              </w:rPr>
              <w:t>a</w:t>
            </w:r>
            <w:r w:rsidRPr="001D3C3D">
              <w:rPr>
                <w:rFonts w:ascii="Times New Roman" w:eastAsia="Times New Roman" w:hAnsi="Times New Roman" w:cs="Times New Roman"/>
                <w:b/>
                <w:color w:val="000000"/>
                <w:lang w:eastAsia="ar-SA"/>
              </w:rPr>
              <w:t xml:space="preserve"> </w:t>
            </w:r>
          </w:p>
        </w:tc>
        <w:tc>
          <w:tcPr>
            <w:tcW w:w="4404" w:type="dxa"/>
            <w:tcBorders>
              <w:top w:val="single" w:sz="4" w:space="0" w:color="000000"/>
              <w:bottom w:val="single" w:sz="4" w:space="0" w:color="000000"/>
            </w:tcBorders>
            <w:shd w:val="clear" w:color="auto" w:fill="auto"/>
          </w:tcPr>
          <w:p w14:paraId="1DA5692C" w14:textId="77777777" w:rsidR="00ED7DC3" w:rsidRPr="001D3C3D" w:rsidRDefault="00ED7DC3" w:rsidP="00ED7DC3">
            <w:pPr>
              <w:suppressAutoHyphens/>
              <w:spacing w:after="0" w:line="256" w:lineRule="auto"/>
              <w:ind w:left="1"/>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Paros dozė (mg)</w:t>
            </w:r>
          </w:p>
        </w:tc>
      </w:tr>
      <w:tr w:rsidR="00ED7DC3" w:rsidRPr="001D3C3D" w14:paraId="45DA2027" w14:textId="77777777" w:rsidTr="0036275F">
        <w:trPr>
          <w:trHeight w:val="270"/>
        </w:trPr>
        <w:tc>
          <w:tcPr>
            <w:tcW w:w="4619" w:type="dxa"/>
            <w:tcBorders>
              <w:top w:val="single" w:sz="4" w:space="0" w:color="000000"/>
            </w:tcBorders>
            <w:shd w:val="clear" w:color="auto" w:fill="auto"/>
          </w:tcPr>
          <w:p w14:paraId="0E560620" w14:textId="3A5B1CA2" w:rsidR="00ED7DC3" w:rsidRPr="001D3C3D" w:rsidRDefault="00ED7DC3" w:rsidP="00ED7DC3">
            <w:pPr>
              <w:suppressAutoHyphens/>
              <w:spacing w:after="0" w:line="256"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Nuo 10 iki mažiau negu 20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kg </w:t>
            </w:r>
          </w:p>
        </w:tc>
        <w:tc>
          <w:tcPr>
            <w:tcW w:w="4404" w:type="dxa"/>
            <w:tcBorders>
              <w:top w:val="single" w:sz="4" w:space="0" w:color="000000"/>
            </w:tcBorders>
            <w:shd w:val="clear" w:color="auto" w:fill="auto"/>
          </w:tcPr>
          <w:p w14:paraId="1535A3D0" w14:textId="54664DF7" w:rsidR="00ED7DC3" w:rsidRPr="001D3C3D" w:rsidRDefault="00ED7DC3" w:rsidP="00ED7DC3">
            <w:pPr>
              <w:suppressAutoHyphens/>
              <w:spacing w:after="0" w:line="256" w:lineRule="auto"/>
              <w:ind w:left="1"/>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mg</w:t>
            </w:r>
          </w:p>
        </w:tc>
      </w:tr>
      <w:tr w:rsidR="00ED7DC3" w:rsidRPr="001D3C3D" w14:paraId="7423C52B" w14:textId="77777777" w:rsidTr="0036275F">
        <w:trPr>
          <w:trHeight w:val="238"/>
        </w:trPr>
        <w:tc>
          <w:tcPr>
            <w:tcW w:w="4619" w:type="dxa"/>
            <w:shd w:val="clear" w:color="auto" w:fill="auto"/>
          </w:tcPr>
          <w:p w14:paraId="5C105DD8" w14:textId="73C9D1C5" w:rsidR="00ED7DC3" w:rsidRPr="001D3C3D" w:rsidRDefault="00ED7DC3" w:rsidP="00ED7DC3">
            <w:pPr>
              <w:suppressAutoHyphens/>
              <w:spacing w:after="0" w:line="256"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Nuo 20 iki mažiau negu 30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kg </w:t>
            </w:r>
          </w:p>
        </w:tc>
        <w:tc>
          <w:tcPr>
            <w:tcW w:w="4404" w:type="dxa"/>
            <w:shd w:val="clear" w:color="auto" w:fill="auto"/>
          </w:tcPr>
          <w:p w14:paraId="7AED13F6" w14:textId="208178FD" w:rsidR="00ED7DC3" w:rsidRPr="001D3C3D" w:rsidRDefault="00ED7DC3" w:rsidP="00ED7DC3">
            <w:pPr>
              <w:suppressAutoHyphens/>
              <w:spacing w:after="0" w:line="256"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60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mg </w:t>
            </w:r>
          </w:p>
        </w:tc>
      </w:tr>
      <w:tr w:rsidR="00ED7DC3" w:rsidRPr="001D3C3D" w14:paraId="7173EDD5" w14:textId="77777777" w:rsidTr="0036275F">
        <w:trPr>
          <w:trHeight w:val="238"/>
        </w:trPr>
        <w:tc>
          <w:tcPr>
            <w:tcW w:w="4619" w:type="dxa"/>
            <w:shd w:val="clear" w:color="auto" w:fill="auto"/>
          </w:tcPr>
          <w:p w14:paraId="1B4FE5C1" w14:textId="220B56A8" w:rsidR="00ED7DC3" w:rsidRPr="001D3C3D" w:rsidRDefault="00ED7DC3" w:rsidP="00ED7DC3">
            <w:pPr>
              <w:suppressAutoHyphens/>
              <w:spacing w:after="0" w:line="256"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Nuo 30 iki mažiau negu 45</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kg </w:t>
            </w:r>
          </w:p>
        </w:tc>
        <w:tc>
          <w:tcPr>
            <w:tcW w:w="4404" w:type="dxa"/>
            <w:shd w:val="clear" w:color="auto" w:fill="auto"/>
          </w:tcPr>
          <w:p w14:paraId="632DDC93" w14:textId="28082F38" w:rsidR="00ED7DC3" w:rsidRPr="001D3C3D" w:rsidRDefault="00ED7DC3" w:rsidP="00ED7DC3">
            <w:pPr>
              <w:suppressAutoHyphens/>
              <w:spacing w:after="0" w:line="256" w:lineRule="auto"/>
              <w:ind w:left="1"/>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70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mg</w:t>
            </w:r>
          </w:p>
        </w:tc>
      </w:tr>
      <w:tr w:rsidR="00ED7DC3" w:rsidRPr="001D3C3D" w14:paraId="3291D5E3" w14:textId="77777777" w:rsidTr="0036275F">
        <w:trPr>
          <w:trHeight w:val="218"/>
        </w:trPr>
        <w:tc>
          <w:tcPr>
            <w:tcW w:w="4619" w:type="dxa"/>
            <w:tcBorders>
              <w:bottom w:val="single" w:sz="1" w:space="0" w:color="000000"/>
            </w:tcBorders>
            <w:shd w:val="clear" w:color="auto" w:fill="auto"/>
          </w:tcPr>
          <w:p w14:paraId="0777FCF1" w14:textId="5D08360F" w:rsidR="00ED7DC3" w:rsidRPr="001D3C3D" w:rsidRDefault="00ED7DC3" w:rsidP="00ED7DC3">
            <w:pPr>
              <w:suppressAutoHyphens/>
              <w:spacing w:after="0" w:line="256" w:lineRule="auto"/>
              <w:ind w:left="115"/>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45</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kg arba daugiau</w:t>
            </w:r>
          </w:p>
        </w:tc>
        <w:tc>
          <w:tcPr>
            <w:tcW w:w="4404" w:type="dxa"/>
            <w:tcBorders>
              <w:bottom w:val="single" w:sz="1" w:space="0" w:color="000000"/>
            </w:tcBorders>
            <w:shd w:val="clear" w:color="auto" w:fill="auto"/>
          </w:tcPr>
          <w:p w14:paraId="212F6712" w14:textId="1F0EB890" w:rsidR="00ED7DC3" w:rsidRPr="001D3C3D" w:rsidRDefault="00ED7DC3" w:rsidP="00ED7DC3">
            <w:pPr>
              <w:suppressAutoHyphens/>
              <w:spacing w:after="0" w:line="256" w:lineRule="auto"/>
              <w:ind w:left="1"/>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100</w:t>
            </w:r>
            <w:r w:rsidR="00E701DA">
              <w:rPr>
                <w:rFonts w:ascii="Times New Roman" w:eastAsia="Times New Roman" w:hAnsi="Times New Roman" w:cs="Times New Roman"/>
                <w:color w:val="000000"/>
                <w:lang w:eastAsia="ar-SA"/>
              </w:rPr>
              <w:t> </w:t>
            </w:r>
            <w:r w:rsidRPr="001D3C3D">
              <w:rPr>
                <w:rFonts w:ascii="Times New Roman" w:eastAsia="Times New Roman" w:hAnsi="Times New Roman" w:cs="Times New Roman"/>
                <w:color w:val="000000"/>
                <w:lang w:eastAsia="ar-SA"/>
              </w:rPr>
              <w:t xml:space="preserve">mg </w:t>
            </w:r>
          </w:p>
        </w:tc>
      </w:tr>
    </w:tbl>
    <w:p w14:paraId="1FC72FB9" w14:textId="12CB415C" w:rsidR="00ED7DC3" w:rsidRPr="00B92E23" w:rsidRDefault="00ED7DC3" w:rsidP="00ED7DC3">
      <w:pPr>
        <w:tabs>
          <w:tab w:val="left" w:pos="567"/>
        </w:tabs>
        <w:suppressAutoHyphens/>
        <w:spacing w:after="0" w:line="240" w:lineRule="auto"/>
        <w:rPr>
          <w:rFonts w:ascii="Times New Roman" w:eastAsia="SimSun" w:hAnsi="Times New Roman" w:cs="Times New Roman"/>
          <w:color w:val="000000"/>
          <w:sz w:val="20"/>
          <w:szCs w:val="20"/>
          <w:lang w:eastAsia="ar-SA"/>
        </w:rPr>
      </w:pPr>
      <w:r w:rsidRPr="00B92E23">
        <w:rPr>
          <w:rFonts w:ascii="Times New Roman" w:eastAsia="SimSun" w:hAnsi="Times New Roman" w:cs="Times New Roman"/>
          <w:color w:val="000000"/>
          <w:sz w:val="20"/>
          <w:szCs w:val="20"/>
          <w:vertAlign w:val="superscript"/>
          <w:lang w:eastAsia="ar-SA"/>
        </w:rPr>
        <w:t>a</w:t>
      </w:r>
      <w:r w:rsidRPr="00B92E23">
        <w:rPr>
          <w:rFonts w:ascii="Times New Roman" w:eastAsia="SimSun" w:hAnsi="Times New Roman" w:cs="Times New Roman"/>
          <w:color w:val="000000"/>
          <w:sz w:val="20"/>
          <w:szCs w:val="20"/>
          <w:lang w:eastAsia="ar-SA"/>
        </w:rPr>
        <w:t xml:space="preserve"> Tabletės nerekomenduojamos pacientams, sveriantiems mažiau kaip 10</w:t>
      </w:r>
      <w:r w:rsidR="00E701DA" w:rsidRPr="00B92E23">
        <w:rPr>
          <w:rFonts w:ascii="Times New Roman" w:eastAsia="SimSun" w:hAnsi="Times New Roman" w:cs="Times New Roman"/>
          <w:color w:val="000000"/>
          <w:sz w:val="20"/>
          <w:szCs w:val="20"/>
          <w:lang w:eastAsia="ar-SA"/>
        </w:rPr>
        <w:t> </w:t>
      </w:r>
      <w:r w:rsidRPr="00B92E23">
        <w:rPr>
          <w:rFonts w:ascii="Times New Roman" w:eastAsia="SimSun" w:hAnsi="Times New Roman" w:cs="Times New Roman"/>
          <w:color w:val="000000"/>
          <w:sz w:val="20"/>
          <w:szCs w:val="20"/>
          <w:lang w:eastAsia="ar-SA"/>
        </w:rPr>
        <w:t>kg; šiems pacientams gali būti tinkami milteliai geriamajai suspensijai.</w:t>
      </w:r>
    </w:p>
    <w:p w14:paraId="377E7FE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AFDCDDD" w14:textId="1A97201F"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Dasanitib Sandoz dozavimo jaunesniems kaip 1</w:t>
      </w:r>
      <w:r w:rsidR="00E701DA">
        <w:rPr>
          <w:rFonts w:ascii="Times New Roman" w:eastAsia="SimSun" w:hAnsi="Times New Roman" w:cs="Times New Roman"/>
          <w:color w:val="000000"/>
          <w:lang w:eastAsia="ar-SA"/>
        </w:rPr>
        <w:t> </w:t>
      </w:r>
      <w:r w:rsidRPr="001D3C3D">
        <w:rPr>
          <w:rFonts w:ascii="Times New Roman" w:eastAsia="SimSun" w:hAnsi="Times New Roman" w:cs="Times New Roman"/>
          <w:color w:val="000000"/>
          <w:lang w:eastAsia="ar-SA"/>
        </w:rPr>
        <w:t xml:space="preserve">metų vaikams rekomendacijų nėra. </w:t>
      </w:r>
    </w:p>
    <w:p w14:paraId="45CF3DF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346176BD"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color w:val="000000"/>
          <w:lang w:eastAsia="ar-SA"/>
        </w:rPr>
        <w:t>Pagal tai, kaip Jūs</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organizmas reaguos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gydym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Jūsų gydytojas gali rekomenduoti vartoti didesn</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ma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esn</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ar net laikinai nutraukti gydym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Didesn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ms ar ma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esn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ms doz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ms Jums gali reikėti vartoti skirtingo stiprumo tablečių derinius.</w:t>
      </w:r>
    </w:p>
    <w:p w14:paraId="1A14F0CD"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p>
    <w:p w14:paraId="3066AE8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Šios tabletės gali būti tiekiamos pakuotėse, kuriose yra kalendorinių lizdinių plokštelių. </w:t>
      </w:r>
      <w:r w:rsidRPr="001D3C3D">
        <w:rPr>
          <w:rFonts w:ascii="Times New Roman" w:eastAsia="SimSun" w:hAnsi="Times New Roman" w:cs="Times New Roman"/>
          <w:color w:val="000000"/>
          <w:lang w:eastAsia="ar-SA"/>
        </w:rPr>
        <w:t>Tai lizdin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plokštel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ant kurių nurodytos savait</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s dienos. Kurią tabletę vartoti kitą kartą pagal Jums parinktą gydymo schemą, rodo rodyklės. </w:t>
      </w:r>
    </w:p>
    <w:p w14:paraId="6E426AE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050AFA8E"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Kaip vartoti Dasatinib Sandoz</w:t>
      </w:r>
    </w:p>
    <w:p w14:paraId="113AD1B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Tabletes gerkite kasdien tuo pačiu laiku.</w:t>
      </w:r>
      <w:r w:rsidRPr="001D3C3D">
        <w:rPr>
          <w:rFonts w:ascii="Times New Roman" w:eastAsia="SimSun" w:hAnsi="Times New Roman" w:cs="Times New Roman"/>
          <w:color w:val="000000"/>
          <w:lang w:eastAsia="ar-SA"/>
        </w:rPr>
        <w:t xml:space="preserve"> Tabletes nurykite nepa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 xml:space="preserve">eistas. </w:t>
      </w:r>
      <w:r w:rsidRPr="001D3C3D">
        <w:rPr>
          <w:rFonts w:ascii="Times New Roman" w:eastAsia="SimSun" w:hAnsi="Times New Roman" w:cs="Times New Roman"/>
          <w:b/>
          <w:color w:val="000000"/>
          <w:lang w:eastAsia="ar-SA"/>
        </w:rPr>
        <w:t>J</w:t>
      </w:r>
      <w:r w:rsidRPr="001D3C3D">
        <w:rPr>
          <w:rFonts w:ascii="Times New Roman" w:eastAsia="MS Mincho" w:hAnsi="Times New Roman" w:cs="Times New Roman"/>
          <w:b/>
          <w:color w:val="000000"/>
          <w:lang w:eastAsia="ar-SA"/>
        </w:rPr>
        <w:t>ų</w:t>
      </w:r>
      <w:r w:rsidRPr="001D3C3D">
        <w:rPr>
          <w:rFonts w:ascii="Times New Roman" w:eastAsia="SimSun" w:hAnsi="Times New Roman" w:cs="Times New Roman"/>
          <w:b/>
          <w:color w:val="000000"/>
          <w:lang w:eastAsia="ar-SA"/>
        </w:rPr>
        <w:t xml:space="preserve"> negalima traiškyti, pjaustyti ar kramtyti</w:t>
      </w:r>
      <w:r w:rsidRPr="001D3C3D">
        <w:rPr>
          <w:rFonts w:ascii="Times New Roman" w:eastAsia="SimSun" w:hAnsi="Times New Roman" w:cs="Times New Roman"/>
          <w:color w:val="000000"/>
          <w:lang w:eastAsia="ar-SA"/>
        </w:rPr>
        <w:t>. Negerkite susmulkintų tablečių. Jūs negalite būti tikri, kad gausite reikiamą dozę, jei tabletę traiškysite, pjaustysite ar kramtysite. Dasatinib Sandoz galima gerti valgant arba kitu laiku.</w:t>
      </w:r>
    </w:p>
    <w:p w14:paraId="188BE87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4A6203A8"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Specialios atsargumo priemonės dirbant su Dasatinib Sandoz</w:t>
      </w:r>
    </w:p>
    <w:p w14:paraId="2D33297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Neįtikėtina, kad Dasatinib Sandoz tablet</w:t>
      </w:r>
      <w:r w:rsidRPr="001D3C3D">
        <w:rPr>
          <w:rFonts w:ascii="Times New Roman" w:eastAsia="MS Mincho" w:hAnsi="Times New Roman" w:cs="Times New Roman"/>
          <w:color w:val="000000"/>
          <w:lang w:eastAsia="ar-SA"/>
        </w:rPr>
        <w:t>ės sulūžtų</w:t>
      </w:r>
      <w:r w:rsidRPr="001D3C3D">
        <w:rPr>
          <w:rFonts w:ascii="Times New Roman" w:eastAsia="SimSun" w:hAnsi="Times New Roman" w:cs="Times New Roman"/>
          <w:color w:val="000000"/>
          <w:lang w:eastAsia="ar-SA"/>
        </w:rPr>
        <w:t>, tačiau jei taip atsitikt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tai tvarkant Dasatinib Sandoz </w:t>
      </w:r>
      <w:r w:rsidRPr="001D3C3D">
        <w:rPr>
          <w:rFonts w:ascii="Times New Roman" w:eastAsia="MS Mincho" w:hAnsi="Times New Roman" w:cs="Times New Roman"/>
          <w:color w:val="000000"/>
          <w:lang w:eastAsia="ar-SA"/>
        </w:rPr>
        <w:t>asmenys</w:t>
      </w:r>
      <w:r w:rsidRPr="001D3C3D">
        <w:rPr>
          <w:rFonts w:ascii="Times New Roman" w:eastAsia="SimSun" w:hAnsi="Times New Roman" w:cs="Times New Roman"/>
          <w:color w:val="000000"/>
          <w:lang w:eastAsia="ar-SA"/>
        </w:rPr>
        <w:t xml:space="preserve"> (išskyrus pacient</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turi mūv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 pirštines.</w:t>
      </w:r>
    </w:p>
    <w:p w14:paraId="1ECB51A4"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7907C103"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Kaip ilgai vartoti Dasatinib Sandoz</w:t>
      </w:r>
    </w:p>
    <w:p w14:paraId="3984986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Dasatinib Sandoz gerkite kasdien, kol gydytojas nurodys šio vaisto vartojim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baigti. Pasirūpinkite Dasatinib Sandoz vartoti tiek laiko, kiek paskirta.</w:t>
      </w:r>
    </w:p>
    <w:p w14:paraId="2ED6D10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021DC2D4" w14:textId="32B7F37E"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Ką daryti pavartojus per didelę Dasatinib Sandoz dozę</w:t>
      </w:r>
    </w:p>
    <w:p w14:paraId="4AC7E4DB" w14:textId="77777777" w:rsidR="00ED7DC3"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Netyčia išg</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r</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per daug tableči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apie tai </w:t>
      </w:r>
      <w:r w:rsidRPr="001D3C3D">
        <w:rPr>
          <w:rFonts w:ascii="Times New Roman" w:eastAsia="SimSun" w:hAnsi="Times New Roman" w:cs="Times New Roman"/>
          <w:b/>
          <w:bCs/>
          <w:color w:val="000000"/>
          <w:lang w:eastAsia="ar-SA"/>
        </w:rPr>
        <w:t xml:space="preserve">nedelsdami </w:t>
      </w:r>
      <w:r w:rsidRPr="001D3C3D">
        <w:rPr>
          <w:rFonts w:ascii="Times New Roman" w:eastAsia="SimSun" w:hAnsi="Times New Roman" w:cs="Times New Roman"/>
          <w:color w:val="000000"/>
          <w:lang w:eastAsia="ar-SA"/>
        </w:rPr>
        <w:t>pasakykite savo gydytojui. Jums gali prireikti medicininės pagalbos.</w:t>
      </w:r>
    </w:p>
    <w:p w14:paraId="05FD5AFD" w14:textId="77777777" w:rsidR="000A081E" w:rsidRPr="001D3C3D" w:rsidRDefault="000A081E" w:rsidP="00ED7DC3">
      <w:pPr>
        <w:tabs>
          <w:tab w:val="left" w:pos="567"/>
        </w:tabs>
        <w:suppressAutoHyphens/>
        <w:spacing w:after="0" w:line="240" w:lineRule="auto"/>
        <w:rPr>
          <w:rFonts w:ascii="Times New Roman" w:eastAsia="SimSun" w:hAnsi="Times New Roman" w:cs="Times New Roman"/>
          <w:b/>
          <w:bCs/>
          <w:color w:val="000000"/>
          <w:lang w:eastAsia="ar-SA"/>
        </w:rPr>
      </w:pPr>
    </w:p>
    <w:p w14:paraId="71A374FB"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Pamiršus pavartoti Dasatinib Sandoz</w:t>
      </w:r>
    </w:p>
    <w:p w14:paraId="26CBC6B5"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Negalima vartoti dvigubos doz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norint kompensuoti praleist</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Kit</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doz</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gerkite jai skirtu laiku.</w:t>
      </w:r>
    </w:p>
    <w:p w14:paraId="7292DB9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6FF9896"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Jeigu kiltų daugiau klausimų dėl šio vaisto vartojimo, kreipkitės į gydytoją, vaistininką arba slaugytoją.</w:t>
      </w:r>
    </w:p>
    <w:p w14:paraId="168D6CD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A9620D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C77C288" w14:textId="77777777" w:rsidR="00ED7DC3" w:rsidRPr="001D3C3D" w:rsidRDefault="00ED7DC3" w:rsidP="00B92E2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4.</w:t>
      </w:r>
      <w:r w:rsidRPr="001D3C3D">
        <w:rPr>
          <w:rFonts w:ascii="Times New Roman" w:eastAsia="SimSun" w:hAnsi="Times New Roman" w:cs="Times New Roman"/>
          <w:b/>
          <w:color w:val="000000"/>
          <w:lang w:eastAsia="ar-SA"/>
        </w:rPr>
        <w:tab/>
        <w:t>Galimas šalutinis poveikis</w:t>
      </w:r>
    </w:p>
    <w:p w14:paraId="196ECC1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A98BC1D"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Šis vaistas, kaip ir visi kiti, gali sukelti šalutinį poveikį, nors jis pasireiškia ne visiems žmonėms. </w:t>
      </w:r>
    </w:p>
    <w:p w14:paraId="607586F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7C88BAD"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Sunkų šalutinį poveikį gali rodyti:</w:t>
      </w:r>
    </w:p>
    <w:p w14:paraId="03A337AE" w14:textId="77777777" w:rsidR="00ED7DC3" w:rsidRPr="001D3C3D" w:rsidRDefault="00ED7DC3" w:rsidP="00ED7DC3">
      <w:pPr>
        <w:numPr>
          <w:ilvl w:val="0"/>
          <w:numId w:val="11"/>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krūtin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skausmas, kv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pavimo pasunk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kosulys, alpimas;</w:t>
      </w:r>
    </w:p>
    <w:p w14:paraId="279BBACC" w14:textId="77777777" w:rsidR="00ED7DC3" w:rsidRPr="001D3C3D" w:rsidRDefault="00ED7DC3" w:rsidP="00ED7DC3">
      <w:pPr>
        <w:numPr>
          <w:ilvl w:val="0"/>
          <w:numId w:val="11"/>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kraujavimas ar kraujosruvos dėl neaiškios priežasties </w:t>
      </w:r>
      <w:r w:rsidRPr="001D3C3D">
        <w:rPr>
          <w:rFonts w:ascii="Times New Roman" w:eastAsia="SimSun" w:hAnsi="Times New Roman" w:cs="Times New Roman"/>
          <w:color w:val="000000"/>
          <w:lang w:eastAsia="ar-SA"/>
        </w:rPr>
        <w:t>(nesusi</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eidus);</w:t>
      </w:r>
    </w:p>
    <w:p w14:paraId="1C59DA83" w14:textId="77777777" w:rsidR="00ED7DC3" w:rsidRPr="001D3C3D" w:rsidRDefault="00ED7DC3" w:rsidP="00ED7DC3">
      <w:pPr>
        <w:numPr>
          <w:ilvl w:val="0"/>
          <w:numId w:val="11"/>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kraujas 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maluose, išmatose ar šlapime, arba juodos išmatos;</w:t>
      </w:r>
    </w:p>
    <w:p w14:paraId="3E20821F" w14:textId="77777777" w:rsidR="00ED7DC3" w:rsidRPr="001D3C3D" w:rsidRDefault="00ED7DC3" w:rsidP="00ED7DC3">
      <w:pPr>
        <w:numPr>
          <w:ilvl w:val="0"/>
          <w:numId w:val="11"/>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infekcijos požymiai, </w:t>
      </w:r>
      <w:r w:rsidRPr="001D3C3D">
        <w:rPr>
          <w:rFonts w:ascii="Times New Roman" w:eastAsia="SimSun" w:hAnsi="Times New Roman" w:cs="Times New Roman"/>
          <w:color w:val="000000"/>
          <w:lang w:eastAsia="ar-SA"/>
        </w:rPr>
        <w:t>pvz., karščiavimas arba stiprus drebulys;</w:t>
      </w:r>
    </w:p>
    <w:p w14:paraId="002CB163" w14:textId="77777777" w:rsidR="00ED7DC3" w:rsidRPr="001D3C3D" w:rsidRDefault="00ED7DC3" w:rsidP="00ED7DC3">
      <w:pPr>
        <w:numPr>
          <w:ilvl w:val="0"/>
          <w:numId w:val="11"/>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karščiavimas, burnos ertm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arba gerkl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skausmas, odos ir (arba) gleivin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pūsl</w:t>
      </w:r>
      <w:r w:rsidRPr="001D3C3D">
        <w:rPr>
          <w:rFonts w:ascii="Times New Roman" w:eastAsia="MS Mincho" w:hAnsi="Times New Roman" w:cs="Times New Roman"/>
          <w:color w:val="000000"/>
          <w:lang w:eastAsia="ar-SA"/>
        </w:rPr>
        <w:t>ėtumas</w:t>
      </w:r>
      <w:r w:rsidRPr="001D3C3D">
        <w:rPr>
          <w:rFonts w:ascii="Times New Roman" w:eastAsia="SimSun" w:hAnsi="Times New Roman" w:cs="Times New Roman"/>
          <w:color w:val="000000"/>
          <w:lang w:eastAsia="ar-SA"/>
        </w:rPr>
        <w:t xml:space="preserve"> arba lupimasis.</w:t>
      </w:r>
    </w:p>
    <w:p w14:paraId="4D9DD97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Nedelsdami kreipkitės į savo gydytoją, </w:t>
      </w:r>
      <w:r w:rsidRPr="001D3C3D">
        <w:rPr>
          <w:rFonts w:ascii="Times New Roman" w:eastAsia="SimSun" w:hAnsi="Times New Roman" w:cs="Times New Roman"/>
          <w:color w:val="000000"/>
          <w:lang w:eastAsia="ar-SA"/>
        </w:rPr>
        <w:t>jeigu pastebite bet kurį minėtą sutrikimą.</w:t>
      </w:r>
    </w:p>
    <w:p w14:paraId="3BAB798D"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3C62F29C" w14:textId="19AC6DED"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Labai dažn</w:t>
      </w:r>
      <w:r w:rsidR="00B44CBE" w:rsidRPr="001D3C3D">
        <w:rPr>
          <w:rFonts w:ascii="Times New Roman" w:eastAsia="SimSun" w:hAnsi="Times New Roman" w:cs="Times New Roman"/>
          <w:b/>
          <w:bCs/>
          <w:color w:val="000000"/>
          <w:lang w:eastAsia="ar-SA"/>
        </w:rPr>
        <w:t>i</w:t>
      </w:r>
      <w:r w:rsidRPr="001D3C3D">
        <w:rPr>
          <w:rFonts w:ascii="Times New Roman" w:eastAsia="SimSun" w:hAnsi="Times New Roman" w:cs="Times New Roman"/>
          <w:b/>
          <w:bCs/>
          <w:color w:val="000000"/>
          <w:lang w:eastAsia="ar-SA"/>
        </w:rPr>
        <w:t xml:space="preserve"> šalutini</w:t>
      </w:r>
      <w:r w:rsidR="00B44CBE" w:rsidRPr="001D3C3D">
        <w:rPr>
          <w:rFonts w:ascii="Times New Roman" w:eastAsia="SimSun" w:hAnsi="Times New Roman" w:cs="Times New Roman"/>
          <w:b/>
          <w:bCs/>
          <w:color w:val="000000"/>
          <w:lang w:eastAsia="ar-SA"/>
        </w:rPr>
        <w:t>o</w:t>
      </w:r>
      <w:r w:rsidRPr="001D3C3D">
        <w:rPr>
          <w:rFonts w:ascii="Times New Roman" w:eastAsia="SimSun" w:hAnsi="Times New Roman" w:cs="Times New Roman"/>
          <w:b/>
          <w:bCs/>
          <w:color w:val="000000"/>
          <w:lang w:eastAsia="ar-SA"/>
        </w:rPr>
        <w:t xml:space="preserve"> poveiki</w:t>
      </w:r>
      <w:r w:rsidR="00B44CBE" w:rsidRPr="001D3C3D">
        <w:rPr>
          <w:rFonts w:ascii="Times New Roman" w:eastAsia="SimSun" w:hAnsi="Times New Roman" w:cs="Times New Roman"/>
          <w:b/>
          <w:bCs/>
          <w:color w:val="000000"/>
          <w:lang w:eastAsia="ar-SA"/>
        </w:rPr>
        <w:t>o</w:t>
      </w:r>
      <w:r w:rsidRPr="001D3C3D">
        <w:rPr>
          <w:rFonts w:ascii="Times New Roman" w:eastAsia="SimSun" w:hAnsi="Times New Roman" w:cs="Times New Roman"/>
          <w:b/>
          <w:bCs/>
          <w:color w:val="000000"/>
          <w:lang w:eastAsia="ar-SA"/>
        </w:rPr>
        <w:t xml:space="preserve"> </w:t>
      </w:r>
      <w:r w:rsidR="00B44CBE" w:rsidRPr="001D3C3D">
        <w:rPr>
          <w:rFonts w:ascii="Times New Roman" w:eastAsia="SimSun" w:hAnsi="Times New Roman" w:cs="Times New Roman"/>
          <w:b/>
          <w:bCs/>
          <w:color w:val="000000"/>
          <w:lang w:eastAsia="ar-SA"/>
        </w:rPr>
        <w:t xml:space="preserve">reiškiniai </w:t>
      </w:r>
      <w:r w:rsidRPr="001D3C3D">
        <w:rPr>
          <w:rFonts w:ascii="Times New Roman" w:eastAsia="SimSun" w:hAnsi="Times New Roman" w:cs="Times New Roman"/>
          <w:b/>
          <w:bCs/>
          <w:color w:val="000000"/>
          <w:lang w:eastAsia="ar-SA"/>
        </w:rPr>
        <w:t>(</w:t>
      </w:r>
      <w:r w:rsidRPr="001D3C3D">
        <w:rPr>
          <w:rFonts w:ascii="Times New Roman" w:eastAsia="SimSun" w:hAnsi="Times New Roman" w:cs="Times New Roman"/>
          <w:b/>
          <w:bCs/>
          <w:i/>
          <w:color w:val="000000"/>
          <w:lang w:eastAsia="ar-SA"/>
        </w:rPr>
        <w:t xml:space="preserve">gali pasireikšti </w:t>
      </w:r>
      <w:r w:rsidR="00B44CBE" w:rsidRPr="001D3C3D">
        <w:rPr>
          <w:rFonts w:ascii="Times New Roman" w:eastAsia="SimSun" w:hAnsi="Times New Roman" w:cs="Times New Roman"/>
          <w:b/>
          <w:bCs/>
          <w:i/>
          <w:color w:val="000000"/>
          <w:lang w:eastAsia="ar-SA"/>
        </w:rPr>
        <w:t xml:space="preserve">ne rečiau </w:t>
      </w:r>
      <w:r w:rsidRPr="001D3C3D">
        <w:rPr>
          <w:rFonts w:ascii="Times New Roman" w:eastAsia="SimSun" w:hAnsi="Times New Roman" w:cs="Times New Roman"/>
          <w:b/>
          <w:bCs/>
          <w:i/>
          <w:color w:val="000000"/>
          <w:lang w:eastAsia="ar-SA"/>
        </w:rPr>
        <w:t>kaip 1 iš 10</w:t>
      </w:r>
      <w:r w:rsidR="001C1CB9">
        <w:rPr>
          <w:rFonts w:ascii="Times New Roman" w:eastAsia="SimSun" w:hAnsi="Times New Roman" w:cs="Times New Roman"/>
          <w:b/>
          <w:bCs/>
          <w:i/>
          <w:color w:val="000000"/>
          <w:lang w:eastAsia="ar-SA"/>
        </w:rPr>
        <w:t> </w:t>
      </w:r>
      <w:r w:rsidR="00B44CBE" w:rsidRPr="001D3C3D">
        <w:rPr>
          <w:rFonts w:ascii="Times New Roman" w:eastAsia="SimSun" w:hAnsi="Times New Roman" w:cs="Times New Roman"/>
          <w:b/>
          <w:bCs/>
          <w:i/>
          <w:color w:val="000000"/>
          <w:lang w:eastAsia="ar-SA"/>
        </w:rPr>
        <w:t>asmen</w:t>
      </w:r>
      <w:r w:rsidRPr="001D3C3D">
        <w:rPr>
          <w:rFonts w:ascii="Times New Roman" w:eastAsia="SimSun" w:hAnsi="Times New Roman" w:cs="Times New Roman"/>
          <w:b/>
          <w:bCs/>
          <w:i/>
          <w:color w:val="000000"/>
          <w:lang w:eastAsia="ar-SA"/>
        </w:rPr>
        <w:t>ų</w:t>
      </w:r>
      <w:r w:rsidRPr="001D3C3D">
        <w:rPr>
          <w:rFonts w:ascii="Times New Roman" w:eastAsia="SimSun" w:hAnsi="Times New Roman" w:cs="Times New Roman"/>
          <w:b/>
          <w:bCs/>
          <w:color w:val="000000"/>
          <w:lang w:eastAsia="ar-SA"/>
        </w:rPr>
        <w:t>)</w:t>
      </w:r>
      <w:r w:rsidR="0033368D">
        <w:rPr>
          <w:rFonts w:ascii="Times New Roman" w:eastAsia="SimSun" w:hAnsi="Times New Roman" w:cs="Times New Roman"/>
          <w:b/>
          <w:bCs/>
          <w:color w:val="000000"/>
          <w:lang w:eastAsia="ar-SA"/>
        </w:rPr>
        <w:t>:</w:t>
      </w:r>
    </w:p>
    <w:p w14:paraId="3B022316"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Infekcijos </w:t>
      </w:r>
      <w:r w:rsidRPr="001D3C3D">
        <w:rPr>
          <w:rFonts w:ascii="Times New Roman" w:eastAsia="SimSun" w:hAnsi="Times New Roman" w:cs="Times New Roman"/>
          <w:color w:val="000000"/>
          <w:lang w:eastAsia="ar-SA"/>
        </w:rPr>
        <w:t>(įkaitant sukeltas bakterij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virus</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grybeli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w:t>
      </w:r>
    </w:p>
    <w:p w14:paraId="5C08E9B8"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Širdies ir plaučių sutrikimai</w:t>
      </w:r>
      <w:r w:rsidRPr="001D3C3D">
        <w:rPr>
          <w:rFonts w:ascii="Times New Roman" w:eastAsia="SimSun" w:hAnsi="Times New Roman" w:cs="Times New Roman"/>
          <w:color w:val="000000"/>
          <w:lang w:eastAsia="ar-SA"/>
        </w:rPr>
        <w:t>: dusulys.</w:t>
      </w:r>
    </w:p>
    <w:p w14:paraId="5CFB12CE"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Virškinimo sutrikimai: </w:t>
      </w:r>
      <w:r w:rsidRPr="001D3C3D">
        <w:rPr>
          <w:rFonts w:ascii="Times New Roman" w:eastAsia="SimSun" w:hAnsi="Times New Roman" w:cs="Times New Roman"/>
          <w:color w:val="000000"/>
          <w:lang w:eastAsia="ar-SA"/>
        </w:rPr>
        <w:t>viduriavimas, šleikštulys arba blogavimas (pykinimas arba 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mimas).</w:t>
      </w:r>
    </w:p>
    <w:p w14:paraId="270D564F"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Odos, plaukų, akių ir bendrieji sutrikimai</w:t>
      </w:r>
      <w:r w:rsidRPr="001D3C3D">
        <w:rPr>
          <w:rFonts w:ascii="Times New Roman" w:eastAsia="SimSun" w:hAnsi="Times New Roman" w:cs="Times New Roman"/>
          <w:color w:val="000000"/>
          <w:lang w:eastAsia="ar-SA"/>
        </w:rPr>
        <w:t>: odos išb</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rimas, karščiavimas, patinimai veido, plaštak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d</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srityje, galvos skausmas, nuovargis ar silpnumas, kraujavimas.</w:t>
      </w:r>
    </w:p>
    <w:p w14:paraId="45B4D6A3"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Skausmas</w:t>
      </w:r>
      <w:r w:rsidRPr="001D3C3D">
        <w:rPr>
          <w:rFonts w:ascii="Times New Roman" w:eastAsia="SimSun" w:hAnsi="Times New Roman" w:cs="Times New Roman"/>
          <w:color w:val="000000"/>
          <w:lang w:eastAsia="ar-SA"/>
        </w:rPr>
        <w:t>: raumen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skausmas (gydymo metu ar jį baigus), pilvo skausmas.</w:t>
      </w:r>
    </w:p>
    <w:p w14:paraId="459AFF0F"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Tyrimai gali rodyti </w:t>
      </w:r>
      <w:r w:rsidRPr="001D3C3D">
        <w:rPr>
          <w:rFonts w:ascii="Times New Roman" w:eastAsia="SimSun" w:hAnsi="Times New Roman" w:cs="Times New Roman"/>
          <w:color w:val="000000"/>
          <w:lang w:eastAsia="ar-SA"/>
        </w:rPr>
        <w:t>ma</w:t>
      </w:r>
      <w:r w:rsidRPr="001D3C3D">
        <w:rPr>
          <w:rFonts w:ascii="Times New Roman" w:eastAsia="MS Mincho" w:hAnsi="Times New Roman" w:cs="Times New Roman"/>
          <w:color w:val="000000"/>
          <w:lang w:eastAsia="ar-SA"/>
        </w:rPr>
        <w:t>žą</w:t>
      </w:r>
      <w:r w:rsidRPr="001D3C3D">
        <w:rPr>
          <w:rFonts w:ascii="Times New Roman" w:eastAsia="SimSun" w:hAnsi="Times New Roman" w:cs="Times New Roman"/>
          <w:color w:val="000000"/>
          <w:lang w:eastAsia="ar-SA"/>
        </w:rPr>
        <w:t xml:space="preserve"> trombocit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skaiči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(trombocitopenij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ma</w:t>
      </w:r>
      <w:r w:rsidRPr="001D3C3D">
        <w:rPr>
          <w:rFonts w:ascii="Times New Roman" w:eastAsia="MS Mincho" w:hAnsi="Times New Roman" w:cs="Times New Roman"/>
          <w:color w:val="000000"/>
          <w:lang w:eastAsia="ar-SA"/>
        </w:rPr>
        <w:t>žą</w:t>
      </w:r>
      <w:r w:rsidRPr="001D3C3D">
        <w:rPr>
          <w:rFonts w:ascii="Times New Roman" w:eastAsia="SimSun" w:hAnsi="Times New Roman" w:cs="Times New Roman"/>
          <w:color w:val="000000"/>
          <w:lang w:eastAsia="ar-SA"/>
        </w:rPr>
        <w:t xml:space="preserve"> balt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kraujo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skaiči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(neutropenij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ma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akraujyst</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skysči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susikaupim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apie plaučius.</w:t>
      </w:r>
    </w:p>
    <w:p w14:paraId="6637C61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04B7C39E" w14:textId="0701D11A"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Dažn</w:t>
      </w:r>
      <w:r w:rsidR="00B44CBE" w:rsidRPr="001D3C3D">
        <w:rPr>
          <w:rFonts w:ascii="Times New Roman" w:eastAsia="SimSun" w:hAnsi="Times New Roman" w:cs="Times New Roman"/>
          <w:b/>
          <w:bCs/>
          <w:color w:val="000000"/>
          <w:lang w:eastAsia="ar-SA"/>
        </w:rPr>
        <w:t>i</w:t>
      </w:r>
      <w:r w:rsidRPr="001D3C3D">
        <w:rPr>
          <w:rFonts w:ascii="Times New Roman" w:eastAsia="SimSun" w:hAnsi="Times New Roman" w:cs="Times New Roman"/>
          <w:b/>
          <w:bCs/>
          <w:color w:val="000000"/>
          <w:lang w:eastAsia="ar-SA"/>
        </w:rPr>
        <w:t xml:space="preserve"> šalutini</w:t>
      </w:r>
      <w:r w:rsidR="00B44CBE" w:rsidRPr="001D3C3D">
        <w:rPr>
          <w:rFonts w:ascii="Times New Roman" w:eastAsia="SimSun" w:hAnsi="Times New Roman" w:cs="Times New Roman"/>
          <w:b/>
          <w:bCs/>
          <w:color w:val="000000"/>
          <w:lang w:eastAsia="ar-SA"/>
        </w:rPr>
        <w:t>o</w:t>
      </w:r>
      <w:r w:rsidRPr="001D3C3D">
        <w:rPr>
          <w:rFonts w:ascii="Times New Roman" w:eastAsia="SimSun" w:hAnsi="Times New Roman" w:cs="Times New Roman"/>
          <w:b/>
          <w:bCs/>
          <w:color w:val="000000"/>
          <w:lang w:eastAsia="ar-SA"/>
        </w:rPr>
        <w:t xml:space="preserve"> poveiki</w:t>
      </w:r>
      <w:r w:rsidR="00B44CBE" w:rsidRPr="001D3C3D">
        <w:rPr>
          <w:rFonts w:ascii="Times New Roman" w:eastAsia="SimSun" w:hAnsi="Times New Roman" w:cs="Times New Roman"/>
          <w:b/>
          <w:bCs/>
          <w:color w:val="000000"/>
          <w:lang w:eastAsia="ar-SA"/>
        </w:rPr>
        <w:t>o reiškiniai</w:t>
      </w:r>
      <w:r w:rsidRPr="001D3C3D">
        <w:rPr>
          <w:rFonts w:ascii="Times New Roman" w:eastAsia="SimSun" w:hAnsi="Times New Roman" w:cs="Times New Roman"/>
          <w:b/>
          <w:bCs/>
          <w:color w:val="000000"/>
          <w:lang w:eastAsia="ar-SA"/>
        </w:rPr>
        <w:t xml:space="preserve"> (</w:t>
      </w:r>
      <w:r w:rsidRPr="001D3C3D">
        <w:rPr>
          <w:rFonts w:ascii="Times New Roman" w:eastAsia="SimSun" w:hAnsi="Times New Roman" w:cs="Times New Roman"/>
          <w:b/>
          <w:bCs/>
          <w:i/>
          <w:color w:val="000000"/>
          <w:lang w:eastAsia="ar-SA"/>
        </w:rPr>
        <w:t>gali pasireikšti rečiau kaip 1 iš 10</w:t>
      </w:r>
      <w:r w:rsidR="001C1CB9">
        <w:rPr>
          <w:rFonts w:ascii="Times New Roman" w:eastAsia="SimSun" w:hAnsi="Times New Roman" w:cs="Times New Roman"/>
          <w:b/>
          <w:bCs/>
          <w:i/>
          <w:color w:val="000000"/>
          <w:lang w:eastAsia="ar-SA"/>
        </w:rPr>
        <w:t> </w:t>
      </w:r>
      <w:r w:rsidR="00B44CBE" w:rsidRPr="001D3C3D">
        <w:rPr>
          <w:rFonts w:ascii="Times New Roman" w:eastAsia="SimSun" w:hAnsi="Times New Roman" w:cs="Times New Roman"/>
          <w:b/>
          <w:bCs/>
          <w:i/>
          <w:color w:val="000000"/>
          <w:lang w:eastAsia="ar-SA"/>
        </w:rPr>
        <w:t>asmen</w:t>
      </w:r>
      <w:r w:rsidRPr="001D3C3D">
        <w:rPr>
          <w:rFonts w:ascii="Times New Roman" w:eastAsia="SimSun" w:hAnsi="Times New Roman" w:cs="Times New Roman"/>
          <w:b/>
          <w:bCs/>
          <w:i/>
          <w:color w:val="000000"/>
          <w:lang w:eastAsia="ar-SA"/>
        </w:rPr>
        <w:t>ų</w:t>
      </w:r>
      <w:r w:rsidRPr="001D3C3D">
        <w:rPr>
          <w:rFonts w:ascii="Times New Roman" w:eastAsia="SimSun" w:hAnsi="Times New Roman" w:cs="Times New Roman"/>
          <w:b/>
          <w:bCs/>
          <w:color w:val="000000"/>
          <w:lang w:eastAsia="ar-SA"/>
        </w:rPr>
        <w:t>)</w:t>
      </w:r>
      <w:r w:rsidR="0033368D">
        <w:rPr>
          <w:rFonts w:ascii="Times New Roman" w:eastAsia="SimSun" w:hAnsi="Times New Roman" w:cs="Times New Roman"/>
          <w:b/>
          <w:bCs/>
          <w:color w:val="000000"/>
          <w:lang w:eastAsia="ar-SA"/>
        </w:rPr>
        <w:t>:</w:t>
      </w:r>
    </w:p>
    <w:p w14:paraId="18D834A8"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color w:val="000000"/>
          <w:lang w:eastAsia="ar-SA"/>
        </w:rPr>
        <w:t xml:space="preserve"> </w:t>
      </w:r>
      <w:r w:rsidRPr="001D3C3D">
        <w:rPr>
          <w:rFonts w:ascii="Times New Roman" w:eastAsia="SimSun" w:hAnsi="Times New Roman" w:cs="Times New Roman"/>
          <w:b/>
          <w:bCs/>
          <w:color w:val="000000"/>
          <w:lang w:eastAsia="ar-SA"/>
        </w:rPr>
        <w:t>Infekcijos</w:t>
      </w:r>
      <w:r w:rsidRPr="001D3C3D">
        <w:rPr>
          <w:rFonts w:ascii="Times New Roman" w:eastAsia="SimSun" w:hAnsi="Times New Roman" w:cs="Times New Roman"/>
          <w:color w:val="000000"/>
          <w:lang w:eastAsia="ar-SA"/>
        </w:rPr>
        <w:t>: plauči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pūslelin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viruso [</w:t>
      </w:r>
      <w:r w:rsidRPr="001D3C3D">
        <w:rPr>
          <w:rFonts w:ascii="Times New Roman" w:eastAsia="SimSun" w:hAnsi="Times New Roman" w:cs="Times New Roman"/>
          <w:i/>
          <w:color w:val="000000"/>
          <w:lang w:eastAsia="ar-SA"/>
        </w:rPr>
        <w:t>herpes simplex</w:t>
      </w:r>
      <w:r w:rsidRPr="001D3C3D">
        <w:rPr>
          <w:rFonts w:ascii="Times New Roman" w:eastAsia="SimSun" w:hAnsi="Times New Roman" w:cs="Times New Roman"/>
          <w:color w:val="000000"/>
          <w:lang w:eastAsia="ar-SA"/>
        </w:rPr>
        <w:t>] infekcija (įskaitant citomegaloviruso infekciją), viršutini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pavimo tak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infekcija, sunki kraujo ir audini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infekcija (įskaitant nedažnus atvejus pasibaigusius mirtimi).</w:t>
      </w:r>
    </w:p>
    <w:p w14:paraId="3968C39C"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Širdies ir plaučių sutrikimai</w:t>
      </w:r>
      <w:r w:rsidRPr="001D3C3D">
        <w:rPr>
          <w:rFonts w:ascii="Times New Roman" w:eastAsia="SimSun" w:hAnsi="Times New Roman" w:cs="Times New Roman"/>
          <w:color w:val="000000"/>
          <w:lang w:eastAsia="ar-SA"/>
        </w:rPr>
        <w:t>: palpitacijos, nereguliarūs širdies susitraukimai, stazinis širdies nepakankamumas, širdies raumens susilpn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aukštas kraujospūdis,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kraujospūdis plaučiuose, kosulys.</w:t>
      </w:r>
    </w:p>
    <w:p w14:paraId="03250274"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lastRenderedPageBreak/>
        <w:t xml:space="preserve">Virškinimo sutrikimai: </w:t>
      </w:r>
      <w:r w:rsidRPr="001D3C3D">
        <w:rPr>
          <w:rFonts w:ascii="Times New Roman" w:eastAsia="SimSun" w:hAnsi="Times New Roman" w:cs="Times New Roman"/>
          <w:color w:val="000000"/>
          <w:lang w:eastAsia="ar-SA"/>
        </w:rPr>
        <w:t>apetito sutrikimai, skonio sutrikimas viduri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pūtimas, storosios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arnos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viduri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kiet</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r</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muo, burnos išopėjimas, svorio prieaugis, svorio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jimas, skrand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io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w:t>
      </w:r>
    </w:p>
    <w:p w14:paraId="3DDBDA42"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Odos, plaukų, akių ir bendrieji sutrikimai: </w:t>
      </w:r>
      <w:r w:rsidRPr="001D3C3D">
        <w:rPr>
          <w:rFonts w:ascii="Times New Roman" w:eastAsia="SimSun" w:hAnsi="Times New Roman" w:cs="Times New Roman"/>
          <w:color w:val="000000"/>
          <w:lang w:eastAsia="ar-SA"/>
        </w:rPr>
        <w:t>odos dilgčiojimas, nie</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ulys, sausa oda, spuogai, odos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nuolatinis spengimas ausyse, plauk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slinkimas,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prakaitavimas, reg</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jimo sutrikimai (įskaitant vaizdo ryškumo sumažėjimą, regėjimo sutrikimą), akių sausumas, kraujosruvos, depresija, nemiga, staigus paraudimas dėl kraujo priplūdimo, svaigulys, kraujosruvos („m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lyn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apetito stoka, mieguistumas, išplit</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patinimas.</w:t>
      </w:r>
    </w:p>
    <w:p w14:paraId="3650DFB6"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Skausmas: </w:t>
      </w:r>
      <w:r w:rsidRPr="001D3C3D">
        <w:rPr>
          <w:rFonts w:ascii="Times New Roman" w:eastAsia="SimSun" w:hAnsi="Times New Roman" w:cs="Times New Roman"/>
          <w:color w:val="000000"/>
          <w:lang w:eastAsia="ar-SA"/>
        </w:rPr>
        <w:t>s</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nari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skausmas, raumen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silpnumas, krūtin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skausmas, skausmas plaštak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d</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srityje, drebulys, raumen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s</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nari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stingulys, raumen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spazmas.</w:t>
      </w:r>
    </w:p>
    <w:p w14:paraId="57A30968" w14:textId="77777777" w:rsidR="00ED7DC3" w:rsidRPr="001D3C3D" w:rsidRDefault="00ED7DC3" w:rsidP="00ED7DC3">
      <w:pPr>
        <w:numPr>
          <w:ilvl w:val="0"/>
          <w:numId w:val="12"/>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Tyrimai gali rodyti </w:t>
      </w:r>
      <w:r w:rsidRPr="001D3C3D">
        <w:rPr>
          <w:rFonts w:ascii="Times New Roman" w:eastAsia="SimSun" w:hAnsi="Times New Roman" w:cs="Times New Roman"/>
          <w:color w:val="000000"/>
          <w:lang w:eastAsia="ar-SA"/>
        </w:rPr>
        <w:t>širdies ir (ar) plauči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srityje susikaupus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skyst</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sutrikus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širdies ritm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su balt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kraujo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skaičiaus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jimu susijus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karščiavim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kraujavim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iš virškinimo trakto,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šlapimo rūgšties kiek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kraujyje.</w:t>
      </w:r>
    </w:p>
    <w:p w14:paraId="24ACAEC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0FB9D386" w14:textId="6BBF882B" w:rsidR="00ED7DC3" w:rsidRPr="001D3C3D" w:rsidRDefault="00ED7DC3" w:rsidP="0086689D">
      <w:pPr>
        <w:tabs>
          <w:tab w:val="left" w:pos="567"/>
        </w:tabs>
        <w:suppressAutoHyphens/>
        <w:spacing w:after="0" w:line="240" w:lineRule="auto"/>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Nedažn</w:t>
      </w:r>
      <w:r w:rsidR="00B44CBE" w:rsidRPr="001D3C3D">
        <w:rPr>
          <w:rFonts w:ascii="Times New Roman" w:eastAsia="SimSun" w:hAnsi="Times New Roman" w:cs="Times New Roman"/>
          <w:b/>
          <w:bCs/>
          <w:color w:val="000000"/>
          <w:lang w:eastAsia="ar-SA"/>
        </w:rPr>
        <w:t>i</w:t>
      </w:r>
      <w:r w:rsidRPr="001D3C3D">
        <w:rPr>
          <w:rFonts w:ascii="Times New Roman" w:eastAsia="SimSun" w:hAnsi="Times New Roman" w:cs="Times New Roman"/>
          <w:b/>
          <w:bCs/>
          <w:color w:val="000000"/>
          <w:lang w:eastAsia="ar-SA"/>
        </w:rPr>
        <w:t xml:space="preserve"> šalutini</w:t>
      </w:r>
      <w:r w:rsidR="00B44CBE" w:rsidRPr="001D3C3D">
        <w:rPr>
          <w:rFonts w:ascii="Times New Roman" w:eastAsia="SimSun" w:hAnsi="Times New Roman" w:cs="Times New Roman"/>
          <w:b/>
          <w:bCs/>
          <w:color w:val="000000"/>
          <w:lang w:eastAsia="ar-SA"/>
        </w:rPr>
        <w:t>o</w:t>
      </w:r>
      <w:r w:rsidRPr="001D3C3D">
        <w:rPr>
          <w:rFonts w:ascii="Times New Roman" w:eastAsia="SimSun" w:hAnsi="Times New Roman" w:cs="Times New Roman"/>
          <w:b/>
          <w:bCs/>
          <w:color w:val="000000"/>
          <w:lang w:eastAsia="ar-SA"/>
        </w:rPr>
        <w:t xml:space="preserve"> poveiki</w:t>
      </w:r>
      <w:r w:rsidR="00B44CBE" w:rsidRPr="001D3C3D">
        <w:rPr>
          <w:rFonts w:ascii="Times New Roman" w:eastAsia="SimSun" w:hAnsi="Times New Roman" w:cs="Times New Roman"/>
          <w:b/>
          <w:bCs/>
          <w:color w:val="000000"/>
          <w:lang w:eastAsia="ar-SA"/>
        </w:rPr>
        <w:t>o reiškiniai</w:t>
      </w:r>
      <w:r w:rsidRPr="001D3C3D">
        <w:rPr>
          <w:rFonts w:ascii="Times New Roman" w:eastAsia="SimSun" w:hAnsi="Times New Roman" w:cs="Times New Roman"/>
          <w:b/>
          <w:bCs/>
          <w:color w:val="000000"/>
          <w:lang w:eastAsia="ar-SA"/>
        </w:rPr>
        <w:t xml:space="preserve"> </w:t>
      </w:r>
      <w:r w:rsidRPr="001D3C3D">
        <w:rPr>
          <w:rFonts w:ascii="Times New Roman" w:eastAsia="SimSun" w:hAnsi="Times New Roman" w:cs="Times New Roman"/>
          <w:b/>
          <w:bCs/>
          <w:i/>
          <w:color w:val="000000"/>
          <w:lang w:eastAsia="ar-SA"/>
        </w:rPr>
        <w:t>(gali pasireikšti rečiau kaip 1 iš 100</w:t>
      </w:r>
      <w:r w:rsidR="001C1CB9">
        <w:rPr>
          <w:rFonts w:ascii="Times New Roman" w:eastAsia="SimSun" w:hAnsi="Times New Roman" w:cs="Times New Roman"/>
          <w:b/>
          <w:bCs/>
          <w:i/>
          <w:color w:val="000000"/>
          <w:lang w:eastAsia="ar-SA"/>
        </w:rPr>
        <w:t> </w:t>
      </w:r>
      <w:r w:rsidR="00B44CBE" w:rsidRPr="001D3C3D">
        <w:rPr>
          <w:rFonts w:ascii="Times New Roman" w:eastAsia="SimSun" w:hAnsi="Times New Roman" w:cs="Times New Roman"/>
          <w:b/>
          <w:bCs/>
          <w:i/>
          <w:color w:val="000000"/>
          <w:lang w:eastAsia="ar-SA"/>
        </w:rPr>
        <w:t>asmen</w:t>
      </w:r>
      <w:r w:rsidRPr="001D3C3D">
        <w:rPr>
          <w:rFonts w:ascii="Times New Roman" w:eastAsia="SimSun" w:hAnsi="Times New Roman" w:cs="Times New Roman"/>
          <w:b/>
          <w:bCs/>
          <w:i/>
          <w:color w:val="000000"/>
          <w:lang w:eastAsia="ar-SA"/>
        </w:rPr>
        <w:t>ų)</w:t>
      </w:r>
      <w:r w:rsidR="0033368D">
        <w:rPr>
          <w:rFonts w:ascii="Times New Roman" w:eastAsia="SimSun" w:hAnsi="Times New Roman" w:cs="Times New Roman"/>
          <w:b/>
          <w:bCs/>
          <w:i/>
          <w:color w:val="000000"/>
          <w:lang w:eastAsia="ar-SA"/>
        </w:rPr>
        <w:t>:</w:t>
      </w:r>
    </w:p>
    <w:p w14:paraId="66F47D3D" w14:textId="77777777" w:rsidR="00ED7DC3" w:rsidRPr="001D3C3D"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Širdies ir plaučių sutrikimai: </w:t>
      </w:r>
      <w:r w:rsidRPr="001D3C3D">
        <w:rPr>
          <w:rFonts w:ascii="Times New Roman" w:eastAsia="SimSun" w:hAnsi="Times New Roman" w:cs="Times New Roman"/>
          <w:color w:val="000000"/>
          <w:lang w:eastAsia="ar-SA"/>
        </w:rPr>
        <w:t>širdies priepuolis (įskaitant mirtimi pasibaigusius atvejus), širdies maišelio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(perikarditas), nereguliarus širdies ritmas, krūtin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skausmas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nepakankamos širdies kraujotakos (krūtin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s angina),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emas kraujospūdis, kv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pavimo tak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susiaur</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 gali pasunk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ti kv</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pavimas ir ištikti astmos priepuolis,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kraujospūdis plauči</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arterijose (kraujagysl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se).</w:t>
      </w:r>
    </w:p>
    <w:p w14:paraId="4C758AE4" w14:textId="77777777" w:rsidR="00ED7DC3" w:rsidRPr="001D3C3D"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Virškinimo sutrikimai: </w:t>
      </w:r>
      <w:r w:rsidRPr="001D3C3D">
        <w:rPr>
          <w:rFonts w:ascii="Times New Roman" w:eastAsia="SimSun" w:hAnsi="Times New Roman" w:cs="Times New Roman"/>
          <w:color w:val="000000"/>
          <w:lang w:eastAsia="ar-SA"/>
        </w:rPr>
        <w:t>kasos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pepsin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opa, stempl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 xml:space="preserve">degimas, pilvo pūtimas, išeinamosios angos odos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plyšimas, pasunk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rijimas, tul</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ies pūsl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tul</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ies latak</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sikimšimas, refliuksas iš skrand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 xml:space="preserve">io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stempl</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 (kai skrand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 xml:space="preserve">io rūgštis ir kitoks turinys grąžinamas </w:t>
      </w:r>
      <w:r w:rsidRPr="001D3C3D">
        <w:rPr>
          <w:rFonts w:ascii="Times New Roman" w:eastAsia="MS Mincho" w:hAnsi="Times New Roman" w:cs="Times New Roman"/>
          <w:color w:val="000000"/>
          <w:lang w:eastAsia="ar-SA"/>
        </w:rPr>
        <w:t xml:space="preserve">į </w:t>
      </w:r>
      <w:r w:rsidRPr="001D3C3D">
        <w:rPr>
          <w:rFonts w:ascii="Times New Roman" w:eastAsia="SimSun" w:hAnsi="Times New Roman" w:cs="Times New Roman"/>
          <w:color w:val="000000"/>
          <w:lang w:eastAsia="ar-SA"/>
        </w:rPr>
        <w:t>gerkl</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w:t>
      </w:r>
    </w:p>
    <w:p w14:paraId="545E1EB9" w14:textId="77777777" w:rsidR="00ED7DC3" w:rsidRPr="001D3C3D"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Odos, plaukų, akių ir viso organizmo sutrikimai: </w:t>
      </w:r>
      <w:r w:rsidRPr="001D3C3D">
        <w:rPr>
          <w:rFonts w:ascii="Times New Roman" w:eastAsia="SimSun" w:hAnsi="Times New Roman" w:cs="Times New Roman"/>
          <w:color w:val="000000"/>
          <w:lang w:eastAsia="ar-SA"/>
        </w:rPr>
        <w:t>alergin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reakcija,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kurios atsiranda skausming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paraudusi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mazg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odoje (mazgin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raudonė [</w:t>
      </w:r>
      <w:r w:rsidRPr="001D3C3D">
        <w:rPr>
          <w:rFonts w:ascii="Times New Roman" w:eastAsia="SimSun" w:hAnsi="Times New Roman" w:cs="Times New Roman"/>
          <w:i/>
          <w:color w:val="000000"/>
          <w:lang w:eastAsia="ar-SA"/>
        </w:rPr>
        <w:t>erythema nodosum</w:t>
      </w:r>
      <w:r w:rsidRPr="001D3C3D">
        <w:rPr>
          <w:rFonts w:ascii="Times New Roman" w:eastAsia="SimSun" w:hAnsi="Times New Roman" w:cs="Times New Roman"/>
          <w:color w:val="000000"/>
          <w:lang w:eastAsia="ar-SA"/>
        </w:rPr>
        <w:t>]), nerimas, sumišimas, nuotaikos pokyčiai,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lytinis potraukis, alpimas, drebulys, akies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 atsiranda paraudimas ar skausmas, odos liga, pasireiškianti skausmingomis raudonomis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mis su aiškiomis ribomis, staiga prasidedančiu karščiavimu ir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jusiu balt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kraujo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kiekiu (neutrofilin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dermatoz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klausos netekimas,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jautrumas šviesai, sutrikusi rega,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ašarojimas, pakitusi odos spalva, poodinio riebalinio audinio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odos opa, odos pūsl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nag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sutrikimai, plauk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sutrikimai, plaštak</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ir 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d</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sutrikimai, inkst</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nepakankamumas, da</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nas šlapinimasis, vyr</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krūt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sutrikusios m</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nesin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bendras silpnumas ir diskomfortas, susilpn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jusi skydliauk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funkcija, sutrikusi pusiausvyra einant, osteonekroz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jusios kaul</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kraujotakos liga,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kurios gali suma</w:t>
      </w:r>
      <w:r w:rsidRPr="001D3C3D">
        <w:rPr>
          <w:rFonts w:ascii="Times New Roman" w:eastAsia="MS Mincho" w:hAnsi="Times New Roman" w:cs="Times New Roman"/>
          <w:color w:val="000000"/>
          <w:lang w:eastAsia="ar-SA"/>
        </w:rPr>
        <w:t>žė</w:t>
      </w:r>
      <w:r w:rsidRPr="001D3C3D">
        <w:rPr>
          <w:rFonts w:ascii="Times New Roman" w:eastAsia="SimSun" w:hAnsi="Times New Roman" w:cs="Times New Roman"/>
          <w:color w:val="000000"/>
          <w:lang w:eastAsia="ar-SA"/>
        </w:rPr>
        <w:t xml:space="preserve">ti kaulinio audinio kiekis, kaulas gali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ūti), s</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nari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(artritas) ir bet kurios kūno dalies odos patinimas.</w:t>
      </w:r>
    </w:p>
    <w:p w14:paraId="39CD8D81" w14:textId="77777777" w:rsidR="00ED7DC3" w:rsidRPr="001D3C3D"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Skausmas: </w:t>
      </w:r>
      <w:r w:rsidRPr="001D3C3D">
        <w:rPr>
          <w:rFonts w:ascii="Times New Roman" w:eastAsia="SimSun" w:hAnsi="Times New Roman" w:cs="Times New Roman"/>
          <w:color w:val="000000"/>
          <w:lang w:eastAsia="ar-SA"/>
        </w:rPr>
        <w:t>venos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 gali atsirasti paraudimas, skausmingumas ir patinimas, sausgysl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w:t>
      </w:r>
    </w:p>
    <w:p w14:paraId="1DBA4FBA" w14:textId="77777777" w:rsidR="00ED7DC3" w:rsidRPr="001D3C3D"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Galvos smegenys: </w:t>
      </w:r>
      <w:r w:rsidRPr="001D3C3D">
        <w:rPr>
          <w:rFonts w:ascii="Times New Roman" w:eastAsia="SimSun" w:hAnsi="Times New Roman" w:cs="Times New Roman"/>
          <w:color w:val="000000"/>
          <w:lang w:eastAsia="ar-SA"/>
        </w:rPr>
        <w:t>atminties praradimas.</w:t>
      </w:r>
    </w:p>
    <w:p w14:paraId="0F915F73" w14:textId="2DD7BC87" w:rsidR="00ED7DC3" w:rsidRPr="00B92E23" w:rsidRDefault="00ED7DC3" w:rsidP="00ED7DC3">
      <w:pPr>
        <w:numPr>
          <w:ilvl w:val="0"/>
          <w:numId w:val="13"/>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 xml:space="preserve">Tyrimai gali rodyti: </w:t>
      </w:r>
      <w:r w:rsidRPr="001D3C3D">
        <w:rPr>
          <w:rFonts w:ascii="Times New Roman" w:eastAsia="SimSun" w:hAnsi="Times New Roman" w:cs="Times New Roman"/>
          <w:bCs/>
          <w:color w:val="000000"/>
          <w:lang w:eastAsia="ar-SA"/>
        </w:rPr>
        <w:t>nenormalius kraujo tyrimo rezultatus</w:t>
      </w:r>
      <w:r w:rsidRPr="001D3C3D">
        <w:rPr>
          <w:rFonts w:ascii="Times New Roman" w:eastAsia="SimSun" w:hAnsi="Times New Roman" w:cs="Times New Roman"/>
          <w:color w:val="000000"/>
          <w:lang w:eastAsia="ar-SA"/>
        </w:rPr>
        <w:t xml:space="preserve"> ir galim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inkst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funkcijos sutrikim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l iš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ūvančio naviko atsipalaidavusi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med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(naviko </w:t>
      </w:r>
      <w:r w:rsidRPr="001D3C3D">
        <w:rPr>
          <w:rFonts w:ascii="Times New Roman" w:eastAsia="MS Mincho" w:hAnsi="Times New Roman" w:cs="Times New Roman"/>
          <w:color w:val="000000"/>
          <w:lang w:eastAsia="ar-SA"/>
        </w:rPr>
        <w:t>lizės</w:t>
      </w:r>
      <w:r w:rsidRPr="001D3C3D">
        <w:rPr>
          <w:rFonts w:ascii="Times New Roman" w:eastAsia="SimSun" w:hAnsi="Times New Roman" w:cs="Times New Roman"/>
          <w:color w:val="000000"/>
          <w:lang w:eastAsia="ar-SA"/>
        </w:rPr>
        <w:t xml:space="preserve"> sindrom</w:t>
      </w:r>
      <w:r w:rsidRPr="001D3C3D">
        <w:rPr>
          <w:rFonts w:ascii="Times New Roman" w:eastAsia="MS Mincho" w:hAnsi="Times New Roman" w:cs="Times New Roman"/>
          <w:color w:val="000000"/>
          <w:lang w:eastAsia="ar-SA"/>
        </w:rPr>
        <w:t>as</w:t>
      </w:r>
      <w:r w:rsidRPr="001D3C3D">
        <w:rPr>
          <w:rFonts w:ascii="Times New Roman" w:eastAsia="SimSun" w:hAnsi="Times New Roman" w:cs="Times New Roman"/>
          <w:color w:val="000000"/>
          <w:lang w:eastAsia="ar-SA"/>
        </w:rPr>
        <w:t>), ma</w:t>
      </w:r>
      <w:r w:rsidRPr="001D3C3D">
        <w:rPr>
          <w:rFonts w:ascii="Times New Roman" w:eastAsia="MS Mincho" w:hAnsi="Times New Roman" w:cs="Times New Roman"/>
          <w:color w:val="000000"/>
          <w:lang w:eastAsia="ar-SA"/>
        </w:rPr>
        <w:t>žą</w:t>
      </w:r>
      <w:r w:rsidRPr="001D3C3D">
        <w:rPr>
          <w:rFonts w:ascii="Times New Roman" w:eastAsia="SimSun" w:hAnsi="Times New Roman" w:cs="Times New Roman"/>
          <w:color w:val="000000"/>
          <w:lang w:eastAsia="ar-SA"/>
        </w:rPr>
        <w:t xml:space="preserve"> albumino kiek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kraujyje, ma</w:t>
      </w:r>
      <w:r w:rsidRPr="001D3C3D">
        <w:rPr>
          <w:rFonts w:ascii="Times New Roman" w:eastAsia="MS Mincho" w:hAnsi="Times New Roman" w:cs="Times New Roman"/>
          <w:color w:val="000000"/>
          <w:lang w:eastAsia="ar-SA"/>
        </w:rPr>
        <w:t xml:space="preserve">žą </w:t>
      </w:r>
      <w:r w:rsidRPr="001D3C3D">
        <w:rPr>
          <w:rFonts w:ascii="Times New Roman" w:eastAsia="SimSun" w:hAnsi="Times New Roman" w:cs="Times New Roman"/>
          <w:color w:val="000000"/>
          <w:lang w:eastAsia="ar-SA"/>
        </w:rPr>
        <w:t>limfocit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(tam tikr</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balt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kraujo l</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steli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kiek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kraujyje,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cholesterolio kiek</w:t>
      </w:r>
      <w:r w:rsidRPr="001D3C3D">
        <w:rPr>
          <w:rFonts w:ascii="Times New Roman" w:eastAsia="MS Mincho" w:hAnsi="Times New Roman" w:cs="Times New Roman"/>
          <w:color w:val="000000"/>
          <w:lang w:eastAsia="ar-SA"/>
        </w:rPr>
        <w:t xml:space="preserve">į </w:t>
      </w:r>
      <w:r w:rsidRPr="001D3C3D">
        <w:rPr>
          <w:rFonts w:ascii="Times New Roman" w:eastAsia="SimSun" w:hAnsi="Times New Roman" w:cs="Times New Roman"/>
          <w:color w:val="000000"/>
          <w:lang w:eastAsia="ar-SA"/>
        </w:rPr>
        <w:t>kraujyje,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jusius limfmazgius, kraujavim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galvos smegenis, nereguliar</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širdies elektrin</w:t>
      </w:r>
      <w:r w:rsidRPr="001D3C3D">
        <w:rPr>
          <w:rFonts w:ascii="Times New Roman" w:eastAsia="MS Mincho" w:hAnsi="Times New Roman" w:cs="Times New Roman"/>
          <w:color w:val="000000"/>
          <w:lang w:eastAsia="ar-SA"/>
        </w:rPr>
        <w:t xml:space="preserve">į </w:t>
      </w:r>
      <w:r w:rsidRPr="001D3C3D">
        <w:rPr>
          <w:rFonts w:ascii="Times New Roman" w:eastAsia="SimSun" w:hAnsi="Times New Roman" w:cs="Times New Roman"/>
          <w:color w:val="000000"/>
          <w:lang w:eastAsia="ar-SA"/>
        </w:rPr>
        <w:t>aktyvum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jusi</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šird</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kepen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baltym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xml:space="preserve"> šlapime,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kreatinfosfokinaz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(fermento, kurio daugiausia aptinkama širdyje, galvos smegenyse ir skeleto raumenyse) aktyvumą,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troponino (fermento, kurio daugiausia aptinkama širdies ir skeleto raumenyse) kiek</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ir 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jus</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 xml:space="preserve"> gama glutamiltransferaz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(fermento, kurio daugiausia aptinkama kepenyse) aktyvumą</w:t>
      </w:r>
      <w:r w:rsidR="002E1726" w:rsidRPr="001D3C3D">
        <w:rPr>
          <w:rFonts w:ascii="Times New Roman" w:eastAsia="SimSun" w:hAnsi="Times New Roman" w:cs="Times New Roman"/>
          <w:color w:val="000000"/>
          <w:lang w:eastAsia="ar-SA"/>
        </w:rPr>
        <w:t>,</w:t>
      </w:r>
      <w:r w:rsidR="002E1726" w:rsidRPr="001D3C3D">
        <w:t xml:space="preserve"> </w:t>
      </w:r>
      <w:r w:rsidR="002E1726" w:rsidRPr="00B92E23">
        <w:rPr>
          <w:rFonts w:ascii="Times New Roman" w:eastAsia="SimSun" w:hAnsi="Times New Roman" w:cs="Times New Roman"/>
          <w:color w:val="000000"/>
          <w:lang w:eastAsia="ar-SA"/>
        </w:rPr>
        <w:t>atsiradusį pieno išvaizdos skystį aplink plaučius (chilotoraksas).</w:t>
      </w:r>
    </w:p>
    <w:p w14:paraId="57078030"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
          <w:bCs/>
          <w:color w:val="000000"/>
          <w:lang w:eastAsia="ar-SA"/>
        </w:rPr>
      </w:pPr>
    </w:p>
    <w:p w14:paraId="55CDA13B" w14:textId="486857E4"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Ret</w:t>
      </w:r>
      <w:r w:rsidR="00B44CBE" w:rsidRPr="001D3C3D">
        <w:rPr>
          <w:rFonts w:ascii="Times New Roman" w:eastAsia="SimSun" w:hAnsi="Times New Roman" w:cs="Times New Roman"/>
          <w:b/>
          <w:bCs/>
          <w:color w:val="000000"/>
          <w:lang w:eastAsia="ar-SA"/>
        </w:rPr>
        <w:t>i</w:t>
      </w:r>
      <w:r w:rsidRPr="001D3C3D">
        <w:rPr>
          <w:rFonts w:ascii="Times New Roman" w:eastAsia="SimSun" w:hAnsi="Times New Roman" w:cs="Times New Roman"/>
          <w:b/>
          <w:bCs/>
          <w:color w:val="000000"/>
          <w:lang w:eastAsia="ar-SA"/>
        </w:rPr>
        <w:t xml:space="preserve"> šalutini</w:t>
      </w:r>
      <w:r w:rsidR="00B44CBE" w:rsidRPr="001D3C3D">
        <w:rPr>
          <w:rFonts w:ascii="Times New Roman" w:eastAsia="SimSun" w:hAnsi="Times New Roman" w:cs="Times New Roman"/>
          <w:b/>
          <w:bCs/>
          <w:color w:val="000000"/>
          <w:lang w:eastAsia="ar-SA"/>
        </w:rPr>
        <w:t>o</w:t>
      </w:r>
      <w:r w:rsidRPr="001D3C3D">
        <w:rPr>
          <w:rFonts w:ascii="Times New Roman" w:eastAsia="SimSun" w:hAnsi="Times New Roman" w:cs="Times New Roman"/>
          <w:b/>
          <w:bCs/>
          <w:color w:val="000000"/>
          <w:lang w:eastAsia="ar-SA"/>
        </w:rPr>
        <w:t xml:space="preserve"> poveiki</w:t>
      </w:r>
      <w:r w:rsidR="00B44CBE" w:rsidRPr="001D3C3D">
        <w:rPr>
          <w:rFonts w:ascii="Times New Roman" w:eastAsia="SimSun" w:hAnsi="Times New Roman" w:cs="Times New Roman"/>
          <w:b/>
          <w:bCs/>
          <w:color w:val="000000"/>
          <w:lang w:eastAsia="ar-SA"/>
        </w:rPr>
        <w:t>o reiškiniai</w:t>
      </w:r>
      <w:r w:rsidRPr="001D3C3D">
        <w:rPr>
          <w:rFonts w:ascii="Times New Roman" w:eastAsia="SimSun" w:hAnsi="Times New Roman" w:cs="Times New Roman"/>
          <w:b/>
          <w:bCs/>
          <w:color w:val="000000"/>
          <w:lang w:eastAsia="ar-SA"/>
        </w:rPr>
        <w:t xml:space="preserve"> </w:t>
      </w:r>
      <w:r w:rsidRPr="001D3C3D">
        <w:rPr>
          <w:rFonts w:ascii="Times New Roman" w:eastAsia="SimSun" w:hAnsi="Times New Roman" w:cs="Times New Roman"/>
          <w:b/>
          <w:bCs/>
          <w:i/>
          <w:color w:val="000000"/>
          <w:lang w:eastAsia="ar-SA"/>
        </w:rPr>
        <w:t>(gali pasireikšti rečiau kaip 1 iš 1</w:t>
      </w:r>
      <w:r w:rsidR="00E701DA">
        <w:rPr>
          <w:rFonts w:ascii="Times New Roman" w:eastAsia="SimSun" w:hAnsi="Times New Roman" w:cs="Times New Roman"/>
          <w:b/>
          <w:bCs/>
          <w:i/>
          <w:color w:val="000000"/>
          <w:lang w:eastAsia="ar-SA"/>
        </w:rPr>
        <w:t> </w:t>
      </w:r>
      <w:r w:rsidRPr="001D3C3D">
        <w:rPr>
          <w:rFonts w:ascii="Times New Roman" w:eastAsia="SimSun" w:hAnsi="Times New Roman" w:cs="Times New Roman"/>
          <w:b/>
          <w:bCs/>
          <w:i/>
          <w:color w:val="000000"/>
          <w:lang w:eastAsia="ar-SA"/>
        </w:rPr>
        <w:t>000</w:t>
      </w:r>
      <w:r w:rsidR="00EA2AAF">
        <w:rPr>
          <w:rFonts w:ascii="Times New Roman" w:eastAsia="SimSun" w:hAnsi="Times New Roman" w:cs="Times New Roman"/>
          <w:b/>
          <w:bCs/>
          <w:i/>
          <w:color w:val="000000"/>
          <w:lang w:eastAsia="ar-SA"/>
        </w:rPr>
        <w:t> </w:t>
      </w:r>
      <w:r w:rsidR="00B44CBE" w:rsidRPr="001D3C3D">
        <w:rPr>
          <w:rFonts w:ascii="Times New Roman" w:eastAsia="SimSun" w:hAnsi="Times New Roman" w:cs="Times New Roman"/>
          <w:b/>
          <w:bCs/>
          <w:i/>
          <w:color w:val="000000"/>
          <w:lang w:eastAsia="ar-SA"/>
        </w:rPr>
        <w:t>asmen</w:t>
      </w:r>
      <w:r w:rsidRPr="001D3C3D">
        <w:rPr>
          <w:rFonts w:ascii="Times New Roman" w:eastAsia="SimSun" w:hAnsi="Times New Roman" w:cs="Times New Roman"/>
          <w:b/>
          <w:bCs/>
          <w:i/>
          <w:color w:val="000000"/>
          <w:lang w:eastAsia="ar-SA"/>
        </w:rPr>
        <w:t>ų)</w:t>
      </w:r>
      <w:r w:rsidR="0033368D">
        <w:rPr>
          <w:rFonts w:ascii="Times New Roman" w:eastAsia="SimSun" w:hAnsi="Times New Roman" w:cs="Times New Roman"/>
          <w:b/>
          <w:bCs/>
          <w:i/>
          <w:color w:val="000000"/>
          <w:lang w:eastAsia="ar-SA"/>
        </w:rPr>
        <w:t>:</w:t>
      </w:r>
    </w:p>
    <w:p w14:paraId="4CAF2E92"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Širdies ir plaučių sutrikimai: </w:t>
      </w:r>
      <w:r w:rsidRPr="001D3C3D">
        <w:rPr>
          <w:rFonts w:ascii="Times New Roman" w:eastAsia="SimSun" w:hAnsi="Times New Roman" w:cs="Times New Roman"/>
          <w:color w:val="000000"/>
          <w:lang w:eastAsia="ar-SA"/>
        </w:rPr>
        <w:t>padid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s širdies dešinysis skilvelis, širdies raumens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ir būkl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sutrikusios širdies raumens kraujotakos (ūmus koronarinis sindromas), širdies sustojimas (ji nustoja pumpuoti krauj</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išemin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širdies arterij</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liga, širdies ir plauči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dangal</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kraujo krešuliai, kraujo krešuliai plaučiuose.</w:t>
      </w:r>
    </w:p>
    <w:p w14:paraId="779A8495"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lastRenderedPageBreak/>
        <w:t xml:space="preserve">Virškinimo sutrikimai: </w:t>
      </w:r>
      <w:r w:rsidRPr="001D3C3D">
        <w:rPr>
          <w:rFonts w:ascii="Times New Roman" w:eastAsia="SimSun" w:hAnsi="Times New Roman" w:cs="Times New Roman"/>
          <w:color w:val="000000"/>
          <w:lang w:eastAsia="ar-SA"/>
        </w:rPr>
        <w:t>gyvybiškai svarbi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maisto med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iag</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(pvz., baltym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netekimas iš virškinimo trakto,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arn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sikimšimas, išang</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fistul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(nenormalus kanalas, kuris jungia išang</w:t>
      </w:r>
      <w:r w:rsidRPr="001D3C3D">
        <w:rPr>
          <w:rFonts w:ascii="Times New Roman" w:eastAsia="MS Mincho" w:hAnsi="Times New Roman" w:cs="Times New Roman"/>
          <w:color w:val="000000"/>
          <w:lang w:eastAsia="ar-SA"/>
        </w:rPr>
        <w:t xml:space="preserve">ę </w:t>
      </w:r>
      <w:r w:rsidRPr="001D3C3D">
        <w:rPr>
          <w:rFonts w:ascii="Times New Roman" w:eastAsia="SimSun" w:hAnsi="Times New Roman" w:cs="Times New Roman"/>
          <w:color w:val="000000"/>
          <w:lang w:eastAsia="ar-SA"/>
        </w:rPr>
        <w:t>su greta jos esančia oda), sutrikusi inkst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funkcija, cukrinis diabetas.</w:t>
      </w:r>
    </w:p>
    <w:p w14:paraId="7DDD3765"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Odos, plaukų, akių ir bendrieji sutrikimai</w:t>
      </w:r>
      <w:r w:rsidRPr="001D3C3D">
        <w:rPr>
          <w:rFonts w:ascii="Times New Roman" w:eastAsia="SimSun" w:hAnsi="Times New Roman" w:cs="Times New Roman"/>
          <w:color w:val="000000"/>
          <w:lang w:eastAsia="ar-SA"/>
        </w:rPr>
        <w:t>: traukuliai, regos nervo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kurio galima visiškai ar iš dalies apakti, melsvai purpurinis odos dėmėtumas, nenormaliai stipri skydliauk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funkcija, skydliauk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ataksija (sutrikusi judesi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koordinacija), pasunk</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w:t>
      </w:r>
      <w:r w:rsidRPr="001D3C3D">
        <w:rPr>
          <w:rFonts w:ascii="Times New Roman" w:eastAsia="MS Mincho" w:hAnsi="Times New Roman" w:cs="Times New Roman"/>
          <w:color w:val="000000"/>
          <w:lang w:eastAsia="ar-SA"/>
        </w:rPr>
        <w:t>ę</w:t>
      </w:r>
      <w:r w:rsidRPr="001D3C3D">
        <w:rPr>
          <w:rFonts w:ascii="Times New Roman" w:eastAsia="SimSun" w:hAnsi="Times New Roman" w:cs="Times New Roman"/>
          <w:color w:val="000000"/>
          <w:lang w:eastAsia="ar-SA"/>
        </w:rPr>
        <w:t xml:space="preserve">s </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 persileidimas, odos kraujagysli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 odos fibroz</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 xml:space="preserve"> (rand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jimas).</w:t>
      </w:r>
    </w:p>
    <w:p w14:paraId="2AA313DB"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Galvos smegenys: </w:t>
      </w:r>
      <w:r w:rsidRPr="001D3C3D">
        <w:rPr>
          <w:rFonts w:ascii="Times New Roman" w:eastAsia="SimSun" w:hAnsi="Times New Roman" w:cs="Times New Roman"/>
          <w:color w:val="000000"/>
          <w:lang w:eastAsia="ar-SA"/>
        </w:rPr>
        <w:t>insultas, laikinas neurologini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sutrikim</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epizodas d</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l sutrikusios smegen</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kraujotakos, veidinio nervo paraly</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ius, demencija (silpnaprotyst</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w:t>
      </w:r>
    </w:p>
    <w:p w14:paraId="4D3D7D44"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
          <w:bCs/>
          <w:color w:val="000000"/>
          <w:lang w:eastAsia="ar-SA"/>
        </w:rPr>
      </w:pPr>
      <w:r w:rsidRPr="001D3C3D">
        <w:rPr>
          <w:rFonts w:ascii="Times New Roman" w:eastAsia="SimSun" w:hAnsi="Times New Roman" w:cs="Times New Roman"/>
          <w:b/>
          <w:bCs/>
          <w:color w:val="000000"/>
          <w:lang w:eastAsia="ar-SA"/>
        </w:rPr>
        <w:t xml:space="preserve">Imuninė sistema: </w:t>
      </w:r>
      <w:r w:rsidRPr="001D3C3D">
        <w:rPr>
          <w:rFonts w:ascii="Times New Roman" w:eastAsia="SimSun" w:hAnsi="Times New Roman" w:cs="Times New Roman"/>
          <w:color w:val="000000"/>
          <w:lang w:eastAsia="ar-SA"/>
        </w:rPr>
        <w:t>sunki alerginė reakcija.</w:t>
      </w:r>
    </w:p>
    <w:p w14:paraId="4AFB8932"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bCs/>
          <w:color w:val="000000"/>
          <w:lang w:eastAsia="ar-SA"/>
        </w:rPr>
      </w:pPr>
      <w:r w:rsidRPr="001D3C3D">
        <w:rPr>
          <w:rFonts w:ascii="Times New Roman" w:eastAsia="SimSun" w:hAnsi="Times New Roman" w:cs="Times New Roman"/>
          <w:b/>
          <w:bCs/>
          <w:color w:val="000000"/>
          <w:lang w:eastAsia="ar-SA"/>
        </w:rPr>
        <w:t>Skeleto, raumenų ir jungiamojo audinio sutrikimai</w:t>
      </w:r>
      <w:r w:rsidRPr="001D3C3D">
        <w:rPr>
          <w:rFonts w:ascii="Times New Roman" w:eastAsia="SimSun" w:hAnsi="Times New Roman" w:cs="Times New Roman"/>
          <w:bCs/>
          <w:color w:val="000000"/>
          <w:lang w:eastAsia="ar-SA"/>
        </w:rPr>
        <w:t>: sąnarius sudarančių apvalių kaulų galų (epifizių) vėlyvas susiliejimas; lėtesnis arba uždelstas augimas.</w:t>
      </w:r>
    </w:p>
    <w:p w14:paraId="2ECB27CB"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2C26E6A" w14:textId="66009F4A" w:rsidR="00ED7DC3" w:rsidRPr="001D3C3D" w:rsidRDefault="00B44CBE" w:rsidP="00ED7DC3">
      <w:pPr>
        <w:tabs>
          <w:tab w:val="left" w:pos="0"/>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bCs/>
          <w:color w:val="000000"/>
          <w:lang w:eastAsia="ar-SA"/>
        </w:rPr>
        <w:t>Šalutinio poveikio reiškiniai, kurių</w:t>
      </w:r>
      <w:r w:rsidRPr="001D3C3D">
        <w:rPr>
          <w:rFonts w:ascii="Times New Roman" w:hAnsi="Times New Roman"/>
          <w:b/>
          <w:color w:val="000000"/>
        </w:rPr>
        <w:t xml:space="preserve"> dažnis nežinomas</w:t>
      </w:r>
      <w:r w:rsidRPr="001D3C3D">
        <w:rPr>
          <w:rFonts w:ascii="Times New Roman" w:eastAsia="SimSun" w:hAnsi="Times New Roman" w:cs="Times New Roman"/>
          <w:b/>
          <w:bCs/>
          <w:color w:val="000000"/>
          <w:lang w:eastAsia="ar-SA"/>
        </w:rPr>
        <w:t xml:space="preserve"> </w:t>
      </w:r>
      <w:r w:rsidR="0092268E">
        <w:rPr>
          <w:rFonts w:ascii="Times New Roman" w:eastAsia="SimSun" w:hAnsi="Times New Roman" w:cs="Times New Roman"/>
          <w:b/>
          <w:bCs/>
          <w:color w:val="000000"/>
          <w:lang w:eastAsia="ar-SA"/>
        </w:rPr>
        <w:t>(</w:t>
      </w:r>
      <w:r w:rsidRPr="001D3C3D">
        <w:rPr>
          <w:rFonts w:ascii="Times New Roman" w:hAnsi="Times New Roman"/>
          <w:b/>
          <w:color w:val="000000"/>
        </w:rPr>
        <w:t>negali būti apskaičiuotas pagal turimus duomenis</w:t>
      </w:r>
      <w:r w:rsidR="0092268E">
        <w:rPr>
          <w:rFonts w:ascii="Times New Roman" w:hAnsi="Times New Roman"/>
          <w:b/>
          <w:color w:val="000000"/>
        </w:rPr>
        <w:t>)</w:t>
      </w:r>
      <w:r w:rsidRPr="001D3C3D">
        <w:rPr>
          <w:rFonts w:ascii="Times New Roman" w:eastAsia="SimSun" w:hAnsi="Times New Roman" w:cs="Times New Roman"/>
          <w:b/>
          <w:bCs/>
          <w:color w:val="000000"/>
          <w:lang w:eastAsia="ar-SA"/>
        </w:rPr>
        <w:t>:</w:t>
      </w:r>
    </w:p>
    <w:p w14:paraId="38129FEA" w14:textId="77777777" w:rsidR="00ED7DC3" w:rsidRPr="001D3C3D" w:rsidRDefault="00ED7DC3" w:rsidP="00ED7DC3">
      <w:pPr>
        <w:numPr>
          <w:ilvl w:val="0"/>
          <w:numId w:val="15"/>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Plauči</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u</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degimas.</w:t>
      </w:r>
    </w:p>
    <w:p w14:paraId="3D8DB1D2"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Kraujavimas iš skrand</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 xml:space="preserve">io ar </w:t>
      </w:r>
      <w:r w:rsidRPr="001D3C3D">
        <w:rPr>
          <w:rFonts w:ascii="Times New Roman" w:eastAsia="MS Mincho" w:hAnsi="Times New Roman" w:cs="Times New Roman"/>
          <w:color w:val="000000"/>
          <w:lang w:eastAsia="ar-SA"/>
        </w:rPr>
        <w:t>ž</w:t>
      </w:r>
      <w:r w:rsidRPr="001D3C3D">
        <w:rPr>
          <w:rFonts w:ascii="Times New Roman" w:eastAsia="SimSun" w:hAnsi="Times New Roman" w:cs="Times New Roman"/>
          <w:color w:val="000000"/>
          <w:lang w:eastAsia="ar-SA"/>
        </w:rPr>
        <w:t>arn</w:t>
      </w:r>
      <w:r w:rsidRPr="001D3C3D">
        <w:rPr>
          <w:rFonts w:ascii="Times New Roman" w:eastAsia="MS Mincho" w:hAnsi="Times New Roman" w:cs="Times New Roman"/>
          <w:color w:val="000000"/>
          <w:lang w:eastAsia="ar-SA"/>
        </w:rPr>
        <w:t>ų, kuris gali būti</w:t>
      </w:r>
      <w:r w:rsidRPr="001D3C3D">
        <w:rPr>
          <w:rFonts w:ascii="Times New Roman" w:eastAsia="SimSun" w:hAnsi="Times New Roman" w:cs="Times New Roman"/>
          <w:color w:val="000000"/>
          <w:lang w:eastAsia="ar-SA"/>
        </w:rPr>
        <w:t xml:space="preserve"> mirtinas.</w:t>
      </w:r>
    </w:p>
    <w:p w14:paraId="7FEB88A5"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Hepatito B infekcijos pasikartojimas (reaktyvacija), jeigu anksčiau Jums buvo hepatitas B (kepen</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infekcija).</w:t>
      </w:r>
    </w:p>
    <w:p w14:paraId="09E62D76"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Reakcija, pasireiškusi karščiavimu, odos pūsl</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mis ir gleivin</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išop</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jimu.</w:t>
      </w:r>
    </w:p>
    <w:p w14:paraId="5E6AC3BC"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Inkst</w:t>
      </w:r>
      <w:r w:rsidRPr="001D3C3D">
        <w:rPr>
          <w:rFonts w:ascii="Times New Roman" w:eastAsia="MS Mincho" w:hAnsi="Times New Roman" w:cs="Times New Roman"/>
          <w:color w:val="000000"/>
          <w:lang w:eastAsia="ar-SA"/>
        </w:rPr>
        <w:t>ų</w:t>
      </w:r>
      <w:r w:rsidRPr="001D3C3D">
        <w:rPr>
          <w:rFonts w:ascii="Times New Roman" w:eastAsia="SimSun" w:hAnsi="Times New Roman" w:cs="Times New Roman"/>
          <w:color w:val="000000"/>
          <w:lang w:eastAsia="ar-SA"/>
        </w:rPr>
        <w:t xml:space="preserve"> liga pasireiškianti simptomais, </w:t>
      </w:r>
      <w:r w:rsidRPr="001D3C3D">
        <w:rPr>
          <w:rFonts w:ascii="Times New Roman" w:eastAsia="MS Mincho" w:hAnsi="Times New Roman" w:cs="Times New Roman"/>
          <w:color w:val="000000"/>
          <w:lang w:eastAsia="ar-SA"/>
        </w:rPr>
        <w:t>į</w:t>
      </w:r>
      <w:r w:rsidRPr="001D3C3D">
        <w:rPr>
          <w:rFonts w:ascii="Times New Roman" w:eastAsia="SimSun" w:hAnsi="Times New Roman" w:cs="Times New Roman"/>
          <w:color w:val="000000"/>
          <w:lang w:eastAsia="ar-SA"/>
        </w:rPr>
        <w:t>skaitant edem</w:t>
      </w:r>
      <w:r w:rsidRPr="001D3C3D">
        <w:rPr>
          <w:rFonts w:ascii="Times New Roman" w:eastAsia="MS Mincho" w:hAnsi="Times New Roman" w:cs="Times New Roman"/>
          <w:color w:val="000000"/>
          <w:lang w:eastAsia="ar-SA"/>
        </w:rPr>
        <w:t>ą</w:t>
      </w:r>
      <w:r w:rsidRPr="001D3C3D">
        <w:rPr>
          <w:rFonts w:ascii="Times New Roman" w:eastAsia="SimSun" w:hAnsi="Times New Roman" w:cs="Times New Roman"/>
          <w:color w:val="000000"/>
          <w:lang w:eastAsia="ar-SA"/>
        </w:rPr>
        <w:t>, ir nenormalūs laboratoriniai tyrim</w:t>
      </w:r>
      <w:r w:rsidRPr="001D3C3D">
        <w:rPr>
          <w:rFonts w:ascii="Times New Roman" w:eastAsia="MS Mincho" w:hAnsi="Times New Roman" w:cs="Times New Roman"/>
          <w:color w:val="000000"/>
          <w:lang w:eastAsia="ar-SA"/>
        </w:rPr>
        <w:t xml:space="preserve">ų </w:t>
      </w:r>
      <w:r w:rsidRPr="001D3C3D">
        <w:rPr>
          <w:rFonts w:ascii="Times New Roman" w:eastAsia="SimSun" w:hAnsi="Times New Roman" w:cs="Times New Roman"/>
          <w:color w:val="000000"/>
          <w:lang w:eastAsia="ar-SA"/>
        </w:rPr>
        <w:t xml:space="preserve">rezultatai, tokie kaip baltymas šlapime ir </w:t>
      </w:r>
      <w:r w:rsidRPr="001D3C3D">
        <w:rPr>
          <w:rFonts w:ascii="Times New Roman" w:eastAsia="MS Mincho" w:hAnsi="Times New Roman" w:cs="Times New Roman"/>
          <w:color w:val="000000"/>
          <w:lang w:eastAsia="ar-SA"/>
        </w:rPr>
        <w:t xml:space="preserve">mažas </w:t>
      </w:r>
      <w:r w:rsidRPr="001D3C3D">
        <w:rPr>
          <w:rFonts w:ascii="Times New Roman" w:eastAsia="SimSun" w:hAnsi="Times New Roman" w:cs="Times New Roman"/>
          <w:color w:val="000000"/>
          <w:lang w:eastAsia="ar-SA"/>
        </w:rPr>
        <w:t>baltym</w:t>
      </w:r>
      <w:r w:rsidRPr="001D3C3D">
        <w:rPr>
          <w:rFonts w:ascii="Times New Roman" w:eastAsia="MS Mincho" w:hAnsi="Times New Roman" w:cs="Times New Roman"/>
          <w:color w:val="000000"/>
          <w:lang w:eastAsia="ar-SA"/>
        </w:rPr>
        <w:t>o</w:t>
      </w:r>
      <w:r w:rsidRPr="001D3C3D">
        <w:rPr>
          <w:rFonts w:ascii="Times New Roman" w:eastAsia="SimSun" w:hAnsi="Times New Roman" w:cs="Times New Roman"/>
          <w:color w:val="000000"/>
          <w:lang w:eastAsia="ar-SA"/>
        </w:rPr>
        <w:t xml:space="preserve"> kiekis kraujyje.</w:t>
      </w:r>
    </w:p>
    <w:p w14:paraId="40E3E228" w14:textId="77777777" w:rsidR="00ED7DC3" w:rsidRPr="001D3C3D" w:rsidRDefault="00ED7DC3" w:rsidP="00ED7DC3">
      <w:pPr>
        <w:numPr>
          <w:ilvl w:val="0"/>
          <w:numId w:val="14"/>
        </w:numPr>
        <w:tabs>
          <w:tab w:val="left" w:pos="567"/>
        </w:tabs>
        <w:suppressAutoHyphens/>
        <w:spacing w:after="0" w:line="240" w:lineRule="auto"/>
        <w:ind w:left="567" w:hanging="567"/>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Kraujagyslių pažeidimas, žinomas kaip trombinė mikroangiopatija (TMA), įskaitant sumažėjusi raudonųjų kraujo ląstelių skaičių, sumažėjusį kraujo plokštelių kiekį ir krešulių formavimąsi. </w:t>
      </w:r>
    </w:p>
    <w:p w14:paraId="0167F0B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B8ABB08" w14:textId="40EBD571"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Jūsų gydymo metu gydytojas steb</w:t>
      </w:r>
      <w:r w:rsidRPr="001D3C3D">
        <w:rPr>
          <w:rFonts w:ascii="Times New Roman" w:eastAsia="MS Mincho" w:hAnsi="Times New Roman" w:cs="Times New Roman"/>
          <w:color w:val="000000"/>
          <w:lang w:eastAsia="ar-SA"/>
        </w:rPr>
        <w:t>ė</w:t>
      </w:r>
      <w:r w:rsidRPr="001D3C3D">
        <w:rPr>
          <w:rFonts w:ascii="Times New Roman" w:eastAsia="SimSun" w:hAnsi="Times New Roman" w:cs="Times New Roman"/>
          <w:color w:val="000000"/>
          <w:lang w:eastAsia="ar-SA"/>
        </w:rPr>
        <w:t>s, ar nepasireišk</w:t>
      </w:r>
      <w:r w:rsidRPr="001D3C3D">
        <w:rPr>
          <w:rFonts w:ascii="Times New Roman" w:eastAsia="MS Mincho" w:hAnsi="Times New Roman" w:cs="Times New Roman"/>
          <w:color w:val="000000"/>
          <w:lang w:eastAsia="ar-SA"/>
        </w:rPr>
        <w:t>ia</w:t>
      </w:r>
      <w:r w:rsidRPr="001D3C3D">
        <w:rPr>
          <w:rFonts w:ascii="Times New Roman" w:eastAsia="SimSun" w:hAnsi="Times New Roman" w:cs="Times New Roman"/>
          <w:color w:val="000000"/>
          <w:lang w:eastAsia="ar-SA"/>
        </w:rPr>
        <w:t xml:space="preserve"> kai kuri</w:t>
      </w:r>
      <w:r w:rsidRPr="001D3C3D">
        <w:rPr>
          <w:rFonts w:ascii="Times New Roman" w:eastAsia="MS Mincho" w:hAnsi="Times New Roman" w:cs="Times New Roman"/>
          <w:color w:val="000000"/>
          <w:lang w:eastAsia="ar-SA"/>
        </w:rPr>
        <w:t>e</w:t>
      </w:r>
      <w:r w:rsidRPr="001D3C3D">
        <w:rPr>
          <w:rFonts w:ascii="Times New Roman" w:eastAsia="SimSun" w:hAnsi="Times New Roman" w:cs="Times New Roman"/>
          <w:color w:val="000000"/>
          <w:lang w:eastAsia="ar-SA"/>
        </w:rPr>
        <w:t xml:space="preserve"> minėti šalutiniai efektai.</w:t>
      </w:r>
    </w:p>
    <w:p w14:paraId="6435E2D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024D5680" w14:textId="77777777" w:rsidR="00ED7DC3" w:rsidRPr="001D3C3D" w:rsidRDefault="00ED7DC3" w:rsidP="0086689D">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b/>
          <w:color w:val="000000"/>
          <w:lang w:eastAsia="ar-SA"/>
        </w:rPr>
        <w:t>Pranešimas apie šalutinį poveikį</w:t>
      </w:r>
    </w:p>
    <w:p w14:paraId="6BFC213F" w14:textId="29081040" w:rsidR="00ED7DC3" w:rsidRPr="001D3C3D" w:rsidRDefault="00B44CBE" w:rsidP="00ED7DC3">
      <w:pPr>
        <w:tabs>
          <w:tab w:val="left" w:pos="567"/>
        </w:tabs>
        <w:suppressAutoHyphens/>
        <w:spacing w:after="0" w:line="260" w:lineRule="exact"/>
        <w:ind w:right="-449"/>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1D3C3D">
          <w:rPr>
            <w:rFonts w:ascii="Times New Roman" w:eastAsia="SimSun" w:hAnsi="Times New Roman" w:cs="Times New Roman"/>
            <w:color w:val="000000"/>
            <w:lang w:eastAsia="ar-SA"/>
          </w:rPr>
          <w:t>https://vapris.vvkt.lt/vvkt-web/public/nrv</w:t>
        </w:r>
      </w:hyperlink>
      <w:r w:rsidRPr="001D3C3D">
        <w:rPr>
          <w:rFonts w:ascii="Times New Roman" w:eastAsia="SimSun" w:hAnsi="Times New Roman" w:cs="Times New Roman"/>
          <w:color w:val="000000"/>
          <w:lang w:eastAsia="ar-SA"/>
        </w:rPr>
        <w:t xml:space="preserve"> arba užpildant Paciento pranešimo apie įtariamą nepageidaujamą reakciją (ĮNR) formą, kuri skelbiama </w:t>
      </w:r>
      <w:hyperlink r:id="rId17" w:history="1">
        <w:r w:rsidRPr="001D3C3D">
          <w:rPr>
            <w:rFonts w:ascii="Times New Roman" w:eastAsia="SimSun" w:hAnsi="Times New Roman" w:cs="Times New Roman"/>
            <w:color w:val="000000"/>
            <w:lang w:eastAsia="ar-SA"/>
          </w:rPr>
          <w:t>https://www.vvkt.lt/index.php?4004286486</w:t>
        </w:r>
      </w:hyperlink>
      <w:r w:rsidRPr="001D3C3D">
        <w:rPr>
          <w:rFonts w:ascii="Times New Roman" w:eastAsia="SimSun" w:hAnsi="Times New Roman" w:cs="Times New Roman"/>
          <w:color w:val="000000"/>
          <w:lang w:eastAsia="ar-SA"/>
        </w:rPr>
        <w:t xml:space="preserve">, ir atsiunčiant elektroniniu paštu (adresu </w:t>
      </w:r>
      <w:hyperlink r:id="rId18" w:history="1">
        <w:r w:rsidRPr="001D3C3D">
          <w:rPr>
            <w:rFonts w:ascii="Times New Roman" w:eastAsia="SimSun" w:hAnsi="Times New Roman" w:cs="Times New Roman"/>
            <w:color w:val="000000"/>
            <w:lang w:eastAsia="ar-SA"/>
          </w:rPr>
          <w:t>NepageidaujamaR@vvkt.lt</w:t>
        </w:r>
      </w:hyperlink>
      <w:r w:rsidRPr="001D3C3D">
        <w:rPr>
          <w:rFonts w:ascii="Times New Roman" w:eastAsia="SimSun" w:hAnsi="Times New Roman" w:cs="Times New Roman"/>
          <w:color w:val="000000"/>
          <w:lang w:eastAsia="ar-SA"/>
        </w:rPr>
        <w:t>) arba nemokamu telefonu 8 800 73 568</w:t>
      </w:r>
      <w:r w:rsidR="00B97C57">
        <w:rPr>
          <w:rFonts w:ascii="Times New Roman" w:eastAsia="SimSun" w:hAnsi="Times New Roman" w:cs="Times New Roman"/>
          <w:color w:val="000000"/>
          <w:lang w:eastAsia="ar-SA"/>
        </w:rPr>
        <w:t xml:space="preserve">. </w:t>
      </w:r>
      <w:r w:rsidR="00ED7DC3" w:rsidRPr="001D3C3D">
        <w:rPr>
          <w:rFonts w:ascii="Times New Roman" w:eastAsia="Times New Roman" w:hAnsi="Times New Roman" w:cs="Times New Roman"/>
          <w:color w:val="000000"/>
          <w:lang w:eastAsia="ar-SA"/>
        </w:rPr>
        <w:t>Pranešdami apie šalutinį poveikį galite mums padėti gauti daugiau informacijos apie šio vaisto saugumą.</w:t>
      </w:r>
    </w:p>
    <w:p w14:paraId="4294694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298594E"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39A6F73A" w14:textId="77777777" w:rsidR="00ED7DC3" w:rsidRPr="001D3C3D" w:rsidRDefault="00ED7DC3" w:rsidP="0086689D">
      <w:pPr>
        <w:keepNext/>
        <w:keepLines/>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5.</w:t>
      </w:r>
      <w:r w:rsidRPr="001D3C3D">
        <w:rPr>
          <w:rFonts w:ascii="Times New Roman" w:eastAsia="SimSun" w:hAnsi="Times New Roman" w:cs="Times New Roman"/>
          <w:b/>
          <w:bCs/>
          <w:color w:val="000000"/>
          <w:lang w:eastAsia="ar-SA"/>
        </w:rPr>
        <w:tab/>
        <w:t>Kaip laikyti Dasatinib Sandoz</w:t>
      </w:r>
    </w:p>
    <w:p w14:paraId="5567498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67BC71B"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Šį vaistą laikykite vaikams nepastebimoje ir nepasiekiamoje vietoje.</w:t>
      </w:r>
    </w:p>
    <w:p w14:paraId="0592509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5929AAF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Ant dėžutės, buteliuko etiketės ar lizdinės plokštelės po „EXP” nurodytam tinkamumo laikui pasibaigus, šio vaisto vartoti negalima. Vaistas tinkamas vartoti iki paskutinės nurodyto mėnesio dienos.</w:t>
      </w:r>
    </w:p>
    <w:p w14:paraId="2E90628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41FBF1C" w14:textId="77777777"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Šiam vaistui specialių laikymo sąlygų nereikia.</w:t>
      </w:r>
    </w:p>
    <w:p w14:paraId="00F3839F"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90D145A"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color w:val="000000"/>
          <w:lang w:eastAsia="ar-SA"/>
        </w:rPr>
        <w:t xml:space="preserve">Vaistų negalima išmesti į kanalizaciją </w:t>
      </w:r>
      <w:r w:rsidRPr="001D3C3D">
        <w:rPr>
          <w:rFonts w:ascii="Times New Roman" w:eastAsia="SimSun" w:hAnsi="Times New Roman" w:cs="Times New Roman"/>
          <w:color w:val="000000"/>
          <w:highlight w:val="lightGray"/>
          <w:lang w:eastAsia="ar-SA"/>
        </w:rPr>
        <w:t>arba su buitinėmis atliekomis.</w:t>
      </w:r>
      <w:r w:rsidRPr="001D3C3D">
        <w:rPr>
          <w:rFonts w:ascii="Times New Roman" w:eastAsia="SimSun" w:hAnsi="Times New Roman" w:cs="Times New Roman"/>
          <w:color w:val="000000"/>
          <w:lang w:eastAsia="ar-SA"/>
        </w:rPr>
        <w:t xml:space="preserve"> Kaip išmesti nereikalingus vaistus, klauskite vaistininko. Šios priemonės padės apsaugoti aplinką.</w:t>
      </w:r>
    </w:p>
    <w:p w14:paraId="25D26CE8"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14A8C5B5"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9B55C2D" w14:textId="77777777" w:rsidR="00ED7DC3" w:rsidRPr="001D3C3D" w:rsidRDefault="00ED7DC3" w:rsidP="0086689D">
      <w:pPr>
        <w:keepNext/>
        <w:keepLines/>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bCs/>
          <w:color w:val="000000"/>
          <w:lang w:eastAsia="ar-SA"/>
        </w:rPr>
        <w:t>6.</w:t>
      </w:r>
      <w:r w:rsidRPr="001D3C3D">
        <w:rPr>
          <w:rFonts w:ascii="Times New Roman" w:eastAsia="SimSun" w:hAnsi="Times New Roman" w:cs="Times New Roman"/>
          <w:b/>
          <w:bCs/>
          <w:color w:val="000000"/>
          <w:lang w:eastAsia="ar-SA"/>
        </w:rPr>
        <w:tab/>
        <w:t>Pakuotės turinys ir kita informacija</w:t>
      </w:r>
    </w:p>
    <w:p w14:paraId="2D9DFB02"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20B356F4" w14:textId="77777777" w:rsidR="00F612D8" w:rsidRPr="001D3C3D" w:rsidRDefault="00ED7DC3" w:rsidP="0086689D">
      <w:pPr>
        <w:keepNext/>
        <w:tabs>
          <w:tab w:val="left" w:pos="567"/>
        </w:tabs>
        <w:suppressAutoHyphens/>
        <w:spacing w:after="0" w:line="240" w:lineRule="auto"/>
        <w:jc w:val="both"/>
        <w:rPr>
          <w:rFonts w:ascii="Times New Roman" w:eastAsia="SimSun" w:hAnsi="Times New Roman" w:cs="Times New Roman"/>
          <w:b/>
          <w:color w:val="000000"/>
          <w:lang w:eastAsia="ar-SA"/>
        </w:rPr>
      </w:pPr>
      <w:r w:rsidRPr="001D3C3D">
        <w:rPr>
          <w:rFonts w:ascii="Times New Roman" w:eastAsia="SimSun" w:hAnsi="Times New Roman" w:cs="Times New Roman"/>
          <w:b/>
          <w:color w:val="000000"/>
          <w:lang w:eastAsia="ar-SA"/>
        </w:rPr>
        <w:lastRenderedPageBreak/>
        <w:t xml:space="preserve">Dasatinib Sandoz sudėtis </w:t>
      </w:r>
    </w:p>
    <w:p w14:paraId="1B1B9AF5" w14:textId="77777777" w:rsidR="00ED7DC3" w:rsidRPr="001D3C3D" w:rsidRDefault="00F612D8" w:rsidP="0086689D">
      <w:pPr>
        <w:keepNext/>
        <w:tabs>
          <w:tab w:val="left" w:pos="567"/>
        </w:tabs>
        <w:suppressAutoHyphens/>
        <w:spacing w:after="0" w:line="240" w:lineRule="auto"/>
        <w:jc w:val="both"/>
        <w:rPr>
          <w:rFonts w:ascii="Times New Roman" w:eastAsia="SimSun" w:hAnsi="Times New Roman" w:cs="Times New Roman"/>
          <w:color w:val="000000"/>
          <w:lang w:eastAsia="ar-SA"/>
        </w:rPr>
      </w:pPr>
      <w:r w:rsidRPr="001D3C3D">
        <w:rPr>
          <w:rFonts w:ascii="Times New Roman" w:eastAsia="Calibri" w:hAnsi="Times New Roman" w:cs="Times New Roman"/>
          <w:color w:val="000000"/>
          <w:lang w:eastAsia="ar-SA"/>
        </w:rPr>
        <w:t>Veiklioji medžiaga yra dazatinibas.</w:t>
      </w:r>
    </w:p>
    <w:p w14:paraId="0D146FB4" w14:textId="326817AF" w:rsidR="00F612D8" w:rsidRPr="001D3C3D" w:rsidRDefault="00F612D8"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Kiekvienoje plėvele dengtoje tabletėje yra 20</w:t>
      </w:r>
      <w:r w:rsidR="00E701DA">
        <w:rPr>
          <w:rFonts w:eastAsia="Calibri"/>
          <w:sz w:val="22"/>
          <w:szCs w:val="22"/>
          <w:lang w:val="lt-LT"/>
        </w:rPr>
        <w:t> </w:t>
      </w:r>
      <w:r w:rsidRPr="001D3C3D">
        <w:rPr>
          <w:rFonts w:eastAsia="Calibri"/>
          <w:sz w:val="22"/>
          <w:szCs w:val="22"/>
          <w:lang w:val="lt-LT"/>
        </w:rPr>
        <w:t xml:space="preserve">mg dazatinibo. </w:t>
      </w:r>
    </w:p>
    <w:p w14:paraId="640DFB2E" w14:textId="5E6160ED" w:rsidR="00F612D8" w:rsidRPr="001D3C3D" w:rsidRDefault="00F612D8"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Kiekvienoje plėvele dengtoje tabletėje yra 50</w:t>
      </w:r>
      <w:r w:rsidR="00E701DA">
        <w:rPr>
          <w:rFonts w:eastAsia="Calibri"/>
          <w:sz w:val="22"/>
          <w:szCs w:val="22"/>
          <w:lang w:val="lt-LT"/>
        </w:rPr>
        <w:t> </w:t>
      </w:r>
      <w:r w:rsidRPr="001D3C3D">
        <w:rPr>
          <w:rFonts w:eastAsia="Calibri"/>
          <w:sz w:val="22"/>
          <w:szCs w:val="22"/>
          <w:lang w:val="lt-LT"/>
        </w:rPr>
        <w:t xml:space="preserve">mg dazatinibo. </w:t>
      </w:r>
    </w:p>
    <w:p w14:paraId="076A1168" w14:textId="58D04175" w:rsidR="00F612D8" w:rsidRPr="001D3C3D" w:rsidRDefault="00F612D8"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Kiekvienoje plėvele dengtoje tabletėje yra 70</w:t>
      </w:r>
      <w:r w:rsidR="00E701DA">
        <w:rPr>
          <w:rFonts w:eastAsia="Calibri"/>
          <w:sz w:val="22"/>
          <w:szCs w:val="22"/>
          <w:lang w:val="lt-LT"/>
        </w:rPr>
        <w:t> </w:t>
      </w:r>
      <w:r w:rsidRPr="001D3C3D">
        <w:rPr>
          <w:rFonts w:eastAsia="Calibri"/>
          <w:sz w:val="22"/>
          <w:szCs w:val="22"/>
          <w:lang w:val="lt-LT"/>
        </w:rPr>
        <w:t>mg dazatinibo.</w:t>
      </w:r>
    </w:p>
    <w:p w14:paraId="0B2A7DFA" w14:textId="486C0BC8" w:rsidR="00F612D8" w:rsidRPr="001D3C3D" w:rsidRDefault="00F612D8"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Kiekvienoje plėvele dengtoje tabletėje yra 80</w:t>
      </w:r>
      <w:r w:rsidR="00E701DA">
        <w:rPr>
          <w:rFonts w:eastAsia="Calibri"/>
          <w:sz w:val="22"/>
          <w:szCs w:val="22"/>
          <w:lang w:val="lt-LT"/>
        </w:rPr>
        <w:t> </w:t>
      </w:r>
      <w:r w:rsidRPr="001D3C3D">
        <w:rPr>
          <w:rFonts w:eastAsia="Calibri"/>
          <w:sz w:val="22"/>
          <w:szCs w:val="22"/>
          <w:lang w:val="lt-LT"/>
        </w:rPr>
        <w:t>mg dazatinibo.</w:t>
      </w:r>
    </w:p>
    <w:p w14:paraId="782FA653" w14:textId="740CCF2B" w:rsidR="00F612D8" w:rsidRPr="001D3C3D" w:rsidRDefault="00F612D8"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Kiekvienoje plėvele dengtoje tabletėje yra 100</w:t>
      </w:r>
      <w:r w:rsidR="00E701DA">
        <w:rPr>
          <w:rFonts w:eastAsia="Calibri"/>
          <w:sz w:val="22"/>
          <w:szCs w:val="22"/>
          <w:lang w:val="lt-LT"/>
        </w:rPr>
        <w:t> </w:t>
      </w:r>
      <w:r w:rsidRPr="001D3C3D">
        <w:rPr>
          <w:rFonts w:eastAsia="Calibri"/>
          <w:sz w:val="22"/>
          <w:szCs w:val="22"/>
          <w:lang w:val="lt-LT"/>
        </w:rPr>
        <w:t>mg dazatinibo.</w:t>
      </w:r>
    </w:p>
    <w:p w14:paraId="1E7F5FC7" w14:textId="2A74AAD2" w:rsidR="00F612D8" w:rsidRPr="00B92E23" w:rsidRDefault="00F612D8" w:rsidP="00FC497C">
      <w:pPr>
        <w:pStyle w:val="Sraopastraipa"/>
        <w:numPr>
          <w:ilvl w:val="0"/>
          <w:numId w:val="19"/>
        </w:numPr>
        <w:tabs>
          <w:tab w:val="left" w:pos="567"/>
        </w:tabs>
        <w:spacing w:line="260" w:lineRule="exact"/>
        <w:rPr>
          <w:rFonts w:eastAsia="Calibri"/>
          <w:sz w:val="22"/>
          <w:szCs w:val="22"/>
          <w:lang w:val="lt-LT"/>
        </w:rPr>
      </w:pPr>
      <w:r w:rsidRPr="00B92E23">
        <w:rPr>
          <w:rFonts w:eastAsia="Calibri"/>
          <w:sz w:val="22"/>
          <w:szCs w:val="22"/>
          <w:lang w:val="lt-LT"/>
        </w:rPr>
        <w:t>Kiekvienoje plėvele dengtoje tabletėje yra 140</w:t>
      </w:r>
      <w:r w:rsidR="00E701DA">
        <w:rPr>
          <w:rFonts w:eastAsia="Calibri"/>
          <w:sz w:val="22"/>
          <w:szCs w:val="22"/>
          <w:lang w:val="lt-LT"/>
        </w:rPr>
        <w:t> </w:t>
      </w:r>
      <w:r w:rsidRPr="00B92E23">
        <w:rPr>
          <w:rFonts w:eastAsia="Calibri"/>
          <w:sz w:val="22"/>
          <w:szCs w:val="22"/>
          <w:lang w:val="lt-LT"/>
        </w:rPr>
        <w:t>mg dazatinibo.</w:t>
      </w:r>
    </w:p>
    <w:p w14:paraId="178A0F97" w14:textId="77777777" w:rsidR="00F612D8" w:rsidRPr="001D3C3D" w:rsidRDefault="00F612D8" w:rsidP="00FC497C">
      <w:pPr>
        <w:tabs>
          <w:tab w:val="left" w:pos="567"/>
        </w:tabs>
        <w:suppressAutoHyphens/>
        <w:spacing w:after="0" w:line="260" w:lineRule="exact"/>
        <w:rPr>
          <w:rFonts w:ascii="Times New Roman" w:eastAsia="Calibri" w:hAnsi="Times New Roman" w:cs="Times New Roman"/>
          <w:color w:val="000000"/>
          <w:lang w:eastAsia="ar-SA"/>
        </w:rPr>
      </w:pPr>
    </w:p>
    <w:p w14:paraId="2684D379" w14:textId="58C9FA0D" w:rsidR="00ED7DC3" w:rsidRPr="001D3C3D" w:rsidRDefault="00ED7DC3" w:rsidP="00FC497C">
      <w:pPr>
        <w:pStyle w:val="Sraopastraipa"/>
        <w:numPr>
          <w:ilvl w:val="0"/>
          <w:numId w:val="19"/>
        </w:numPr>
        <w:tabs>
          <w:tab w:val="left" w:pos="567"/>
        </w:tabs>
        <w:spacing w:line="260" w:lineRule="exact"/>
        <w:rPr>
          <w:rFonts w:eastAsia="Calibri"/>
          <w:lang w:val="lt-LT"/>
        </w:rPr>
      </w:pPr>
      <w:r w:rsidRPr="001D3C3D">
        <w:rPr>
          <w:rFonts w:eastAsia="Calibri"/>
          <w:sz w:val="22"/>
          <w:szCs w:val="22"/>
          <w:lang w:val="lt-LT"/>
        </w:rPr>
        <w:t xml:space="preserve">Pagalbinės medžiagos </w:t>
      </w:r>
      <w:r w:rsidRPr="001D3C3D">
        <w:rPr>
          <w:rFonts w:eastAsia="Calibri"/>
          <w:sz w:val="22"/>
          <w:szCs w:val="22"/>
          <w:lang w:val="lt-LT"/>
        </w:rPr>
        <w:br/>
      </w:r>
      <w:r w:rsidRPr="00B92E23">
        <w:rPr>
          <w:rFonts w:eastAsia="Calibri"/>
          <w:i/>
          <w:iCs/>
          <w:sz w:val="22"/>
          <w:szCs w:val="22"/>
          <w:lang w:val="lt-LT"/>
        </w:rPr>
        <w:t>Tabletės šerdis</w:t>
      </w:r>
      <w:r w:rsidRPr="001D3C3D">
        <w:rPr>
          <w:rFonts w:eastAsia="Calibri"/>
          <w:sz w:val="22"/>
          <w:szCs w:val="22"/>
          <w:lang w:val="lt-LT"/>
        </w:rPr>
        <w:t>: mikrokristalinė celiuliozė (E</w:t>
      </w:r>
      <w:r w:rsidR="00637434">
        <w:rPr>
          <w:rFonts w:eastAsia="Calibri"/>
          <w:sz w:val="22"/>
          <w:szCs w:val="22"/>
          <w:lang w:val="lt-LT"/>
        </w:rPr>
        <w:t> </w:t>
      </w:r>
      <w:r w:rsidRPr="001D3C3D">
        <w:rPr>
          <w:rFonts w:eastAsia="Calibri"/>
          <w:sz w:val="22"/>
          <w:szCs w:val="22"/>
          <w:lang w:val="lt-LT"/>
        </w:rPr>
        <w:t>460), laktozė monohidratas (žr.</w:t>
      </w:r>
      <w:r w:rsidR="00E64E04">
        <w:rPr>
          <w:rFonts w:eastAsia="Calibri"/>
          <w:sz w:val="22"/>
          <w:szCs w:val="22"/>
          <w:lang w:val="lt-LT"/>
        </w:rPr>
        <w:t> </w:t>
      </w:r>
      <w:r w:rsidRPr="001D3C3D">
        <w:rPr>
          <w:rFonts w:eastAsia="Calibri"/>
          <w:sz w:val="22"/>
          <w:szCs w:val="22"/>
          <w:lang w:val="lt-LT"/>
        </w:rPr>
        <w:t>2 skyrių „Kas žinotina prieš vartojant Dasatinib Sandoz“), kroskarmeliozės natrio druska, hidroksipropilceliuliozė (E</w:t>
      </w:r>
      <w:r w:rsidR="00950FA0">
        <w:rPr>
          <w:rFonts w:eastAsia="Calibri"/>
          <w:sz w:val="22"/>
          <w:szCs w:val="22"/>
          <w:lang w:val="lt-LT"/>
        </w:rPr>
        <w:t> </w:t>
      </w:r>
      <w:r w:rsidRPr="001D3C3D">
        <w:rPr>
          <w:rFonts w:eastAsia="Calibri"/>
          <w:sz w:val="22"/>
          <w:szCs w:val="22"/>
          <w:lang w:val="lt-LT"/>
        </w:rPr>
        <w:t>463), magnio stearatas (E</w:t>
      </w:r>
      <w:r w:rsidR="00950FA0">
        <w:rPr>
          <w:rFonts w:eastAsia="Calibri"/>
          <w:sz w:val="22"/>
          <w:szCs w:val="22"/>
          <w:lang w:val="lt-LT"/>
        </w:rPr>
        <w:t> </w:t>
      </w:r>
      <w:r w:rsidRPr="001D3C3D">
        <w:rPr>
          <w:rFonts w:eastAsia="Calibri"/>
          <w:sz w:val="22"/>
          <w:szCs w:val="22"/>
          <w:lang w:val="lt-LT"/>
        </w:rPr>
        <w:t>470b).</w:t>
      </w:r>
      <w:r w:rsidRPr="001D3C3D">
        <w:rPr>
          <w:rFonts w:eastAsia="Calibri"/>
          <w:sz w:val="22"/>
          <w:szCs w:val="22"/>
          <w:lang w:val="lt-LT"/>
        </w:rPr>
        <w:br/>
      </w:r>
      <w:r w:rsidRPr="00B92E23">
        <w:rPr>
          <w:rFonts w:eastAsia="Calibri"/>
          <w:i/>
          <w:iCs/>
          <w:sz w:val="22"/>
          <w:szCs w:val="22"/>
          <w:lang w:val="lt-LT"/>
        </w:rPr>
        <w:t>Tabletės plėvelė</w:t>
      </w:r>
      <w:r w:rsidRPr="001D3C3D">
        <w:rPr>
          <w:rFonts w:eastAsia="Calibri"/>
          <w:sz w:val="22"/>
          <w:szCs w:val="22"/>
          <w:lang w:val="lt-LT"/>
        </w:rPr>
        <w:t>: polivinilo alkoholis (E</w:t>
      </w:r>
      <w:r w:rsidR="00950FA0">
        <w:rPr>
          <w:rFonts w:eastAsia="Calibri"/>
          <w:sz w:val="22"/>
          <w:szCs w:val="22"/>
          <w:lang w:val="lt-LT"/>
        </w:rPr>
        <w:t> </w:t>
      </w:r>
      <w:r w:rsidRPr="001D3C3D">
        <w:rPr>
          <w:rFonts w:eastAsia="Calibri"/>
          <w:sz w:val="22"/>
          <w:szCs w:val="22"/>
          <w:lang w:val="lt-LT"/>
        </w:rPr>
        <w:t>1203), titano dioksidas (E</w:t>
      </w:r>
      <w:r w:rsidR="00950FA0">
        <w:rPr>
          <w:rFonts w:eastAsia="Calibri"/>
          <w:sz w:val="22"/>
          <w:szCs w:val="22"/>
          <w:lang w:val="lt-LT"/>
        </w:rPr>
        <w:t> </w:t>
      </w:r>
      <w:r w:rsidRPr="001D3C3D">
        <w:rPr>
          <w:rFonts w:eastAsia="Calibri"/>
          <w:sz w:val="22"/>
          <w:szCs w:val="22"/>
          <w:lang w:val="lt-LT"/>
        </w:rPr>
        <w:t>171), talkas (E</w:t>
      </w:r>
      <w:r w:rsidR="00950FA0">
        <w:rPr>
          <w:rFonts w:eastAsia="Calibri"/>
          <w:sz w:val="22"/>
          <w:szCs w:val="22"/>
          <w:lang w:val="lt-LT"/>
        </w:rPr>
        <w:t> </w:t>
      </w:r>
      <w:r w:rsidRPr="001D3C3D">
        <w:rPr>
          <w:rFonts w:eastAsia="Calibri"/>
          <w:sz w:val="22"/>
          <w:szCs w:val="22"/>
          <w:lang w:val="lt-LT"/>
        </w:rPr>
        <w:t>553b), glicerolio monostearatas (E</w:t>
      </w:r>
      <w:r w:rsidR="00950FA0">
        <w:rPr>
          <w:rFonts w:eastAsia="Calibri"/>
          <w:sz w:val="22"/>
          <w:szCs w:val="22"/>
          <w:lang w:val="lt-LT"/>
        </w:rPr>
        <w:t> </w:t>
      </w:r>
      <w:r w:rsidRPr="001D3C3D">
        <w:rPr>
          <w:rFonts w:eastAsia="Calibri"/>
          <w:sz w:val="22"/>
          <w:szCs w:val="22"/>
          <w:lang w:val="lt-LT"/>
        </w:rPr>
        <w:t>471), natrio laurilsulfatas.</w:t>
      </w:r>
    </w:p>
    <w:p w14:paraId="50B18499"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p>
    <w:p w14:paraId="4538D1E6" w14:textId="77777777" w:rsidR="00ED7DC3" w:rsidRPr="001D3C3D" w:rsidRDefault="00ED7DC3" w:rsidP="0086689D">
      <w:pPr>
        <w:suppressAutoHyphens/>
        <w:spacing w:after="0" w:line="240" w:lineRule="auto"/>
        <w:rPr>
          <w:rFonts w:ascii="Times New Roman" w:eastAsia="Calibri" w:hAnsi="Times New Roman" w:cs="Times New Roman"/>
          <w:color w:val="000000"/>
          <w:lang w:eastAsia="ar-SA"/>
        </w:rPr>
      </w:pPr>
      <w:r w:rsidRPr="001D3C3D">
        <w:rPr>
          <w:rFonts w:ascii="Times New Roman" w:eastAsia="SimSun" w:hAnsi="Times New Roman" w:cs="Times New Roman"/>
          <w:b/>
          <w:color w:val="000000"/>
          <w:lang w:eastAsia="ar-SA"/>
        </w:rPr>
        <w:t>Dasatinib Sandoz išvaizda ir kiekis pakuotėje</w:t>
      </w:r>
    </w:p>
    <w:p w14:paraId="2FD9491C" w14:textId="77777777" w:rsidR="00ED7DC3" w:rsidRPr="001D3C3D" w:rsidRDefault="00ED7DC3" w:rsidP="00ED7DC3">
      <w:pPr>
        <w:suppressAutoHyphens/>
        <w:spacing w:after="0" w:line="240" w:lineRule="auto"/>
        <w:jc w:val="both"/>
        <w:rPr>
          <w:rFonts w:ascii="Times New Roman" w:eastAsia="Calibri" w:hAnsi="Times New Roman" w:cs="Times New Roman"/>
          <w:color w:val="000000"/>
          <w:lang w:eastAsia="ar-SA"/>
        </w:rPr>
      </w:pPr>
    </w:p>
    <w:p w14:paraId="6564D059" w14:textId="77777777" w:rsidR="00950FA0" w:rsidRPr="00B92E23" w:rsidRDefault="00950FA0" w:rsidP="00950FA0">
      <w:pPr>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20 mg plėvele dengtos tabletės</w:t>
      </w:r>
    </w:p>
    <w:p w14:paraId="6799C364"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„20”, kita pusė lygi. Tabletė yra 6,1 mm skersmens.</w:t>
      </w:r>
    </w:p>
    <w:p w14:paraId="10E9C419"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p>
    <w:p w14:paraId="7314B4B7" w14:textId="77777777" w:rsidR="00950FA0" w:rsidRPr="00B92E23" w:rsidRDefault="00950FA0" w:rsidP="00950FA0">
      <w:pPr>
        <w:shd w:val="clear" w:color="auto" w:fill="F2F2F2"/>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50 mg plėvele dengtos tabletės</w:t>
      </w:r>
    </w:p>
    <w:p w14:paraId="7C65D52D" w14:textId="77777777" w:rsidR="00950FA0" w:rsidRPr="001D3C3D" w:rsidRDefault="00950FA0" w:rsidP="00950FA0">
      <w:pPr>
        <w:shd w:val="clear" w:color="auto" w:fill="F2F2F2"/>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Balta arba balkšva, abipus išgaubta, ovali plėvele dengta tabletė, kurios vienoje pusėje įspausta „50”, kita pusė lygi. Tabletė yra 10,9 mm x 5,8 mm dydžio. </w:t>
      </w:r>
    </w:p>
    <w:p w14:paraId="69B0138F"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p>
    <w:p w14:paraId="22EB4AAA" w14:textId="77777777" w:rsidR="00950FA0" w:rsidRPr="00B92E23" w:rsidRDefault="00950FA0" w:rsidP="00950FA0">
      <w:pPr>
        <w:shd w:val="clear" w:color="auto" w:fill="D9D9D9"/>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70 mg plėvele dengtos tabletės</w:t>
      </w:r>
    </w:p>
    <w:p w14:paraId="379C1CF2" w14:textId="77777777" w:rsidR="00950FA0" w:rsidRPr="001D3C3D" w:rsidRDefault="00950FA0" w:rsidP="00950FA0">
      <w:pPr>
        <w:shd w:val="clear" w:color="auto" w:fill="D9D9D9"/>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„70”, kita pusė lygi. Tabletė yra 8,9 mm skersmens.</w:t>
      </w:r>
    </w:p>
    <w:p w14:paraId="7B0F4ACC"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p>
    <w:p w14:paraId="14B580FA" w14:textId="77777777" w:rsidR="00950FA0" w:rsidRPr="00B92E23" w:rsidRDefault="00950FA0" w:rsidP="00950FA0">
      <w:pPr>
        <w:shd w:val="clear" w:color="auto" w:fill="BFBFBF"/>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80 mg plėvele dengtos tabletės</w:t>
      </w:r>
    </w:p>
    <w:p w14:paraId="1221BCE2" w14:textId="77777777" w:rsidR="00950FA0" w:rsidRPr="001D3C3D" w:rsidRDefault="00950FA0" w:rsidP="00950FA0">
      <w:pPr>
        <w:shd w:val="clear" w:color="auto" w:fill="BFBFBF"/>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Balta arba balkšva, abipus išgaubta, trikampė plėvele dengta tabletė, kurios vienoje pusėje įspausta „80”, kita pusė lygi. Tabletė yra 10,3 mm x 10 mm dydžio. </w:t>
      </w:r>
    </w:p>
    <w:p w14:paraId="3357D736"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p>
    <w:p w14:paraId="4BE7F36E" w14:textId="77777777" w:rsidR="00950FA0" w:rsidRPr="00B92E23" w:rsidRDefault="00950FA0" w:rsidP="00950FA0">
      <w:pPr>
        <w:shd w:val="clear" w:color="auto" w:fill="A6A6A6"/>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100 mg plėvele dengtos tabletės</w:t>
      </w:r>
    </w:p>
    <w:p w14:paraId="1C72A160" w14:textId="77777777" w:rsidR="00950FA0" w:rsidRPr="001D3C3D" w:rsidRDefault="00950FA0" w:rsidP="00950FA0">
      <w:pPr>
        <w:shd w:val="clear" w:color="auto" w:fill="A6A6A6"/>
        <w:tabs>
          <w:tab w:val="left" w:pos="567"/>
        </w:tabs>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Balta arba balkšva, abipus išgaubta, ovali plėvele dengta tabletė, kurios vienoje pusėje įspausta „100”, kita pusė lygi. Tabletė yra 14,8 mm x 7,2 mm dydžio.</w:t>
      </w:r>
    </w:p>
    <w:p w14:paraId="74A58E41" w14:textId="77777777" w:rsidR="00950FA0" w:rsidRPr="001D3C3D" w:rsidRDefault="00950FA0" w:rsidP="00950FA0">
      <w:pPr>
        <w:tabs>
          <w:tab w:val="left" w:pos="567"/>
        </w:tabs>
        <w:suppressAutoHyphens/>
        <w:spacing w:after="0" w:line="240" w:lineRule="auto"/>
        <w:rPr>
          <w:rFonts w:ascii="Times New Roman" w:eastAsia="Calibri" w:hAnsi="Times New Roman" w:cs="Times New Roman"/>
          <w:color w:val="000000"/>
          <w:lang w:eastAsia="ar-SA"/>
        </w:rPr>
      </w:pPr>
    </w:p>
    <w:p w14:paraId="0E4F3E2A" w14:textId="77777777" w:rsidR="00950FA0" w:rsidRPr="00B92E23" w:rsidRDefault="00950FA0" w:rsidP="00950FA0">
      <w:pPr>
        <w:shd w:val="clear" w:color="auto" w:fill="808080"/>
        <w:tabs>
          <w:tab w:val="left" w:pos="567"/>
        </w:tabs>
        <w:suppressAutoHyphens/>
        <w:spacing w:after="0" w:line="240" w:lineRule="auto"/>
        <w:rPr>
          <w:rFonts w:ascii="Times New Roman" w:eastAsia="Calibri" w:hAnsi="Times New Roman" w:cs="Times New Roman"/>
          <w:i/>
          <w:iCs/>
          <w:color w:val="000000"/>
          <w:lang w:eastAsia="ar-SA"/>
        </w:rPr>
      </w:pPr>
      <w:r w:rsidRPr="00B92E23">
        <w:rPr>
          <w:rFonts w:ascii="Times New Roman" w:eastAsia="Calibri" w:hAnsi="Times New Roman" w:cs="Times New Roman"/>
          <w:i/>
          <w:iCs/>
          <w:color w:val="000000"/>
          <w:u w:val="single"/>
          <w:lang w:eastAsia="ar-SA"/>
        </w:rPr>
        <w:t>140 mg plėvele dengtos tabletės</w:t>
      </w:r>
    </w:p>
    <w:p w14:paraId="11109020" w14:textId="77777777" w:rsidR="00950FA0" w:rsidRPr="001D3C3D" w:rsidRDefault="00950FA0" w:rsidP="00950FA0">
      <w:pPr>
        <w:shd w:val="clear" w:color="auto" w:fill="808080"/>
        <w:tabs>
          <w:tab w:val="left" w:pos="567"/>
        </w:tabs>
        <w:suppressAutoHyphens/>
        <w:spacing w:after="0" w:line="240" w:lineRule="auto"/>
        <w:rPr>
          <w:rFonts w:ascii="Times New Roman" w:eastAsia="Calibri" w:hAnsi="Times New Roman" w:cs="Times New Roman"/>
          <w:b/>
          <w:bCs/>
          <w:color w:val="000000"/>
          <w:lang w:eastAsia="ar-SA"/>
        </w:rPr>
      </w:pPr>
      <w:r w:rsidRPr="001D3C3D">
        <w:rPr>
          <w:rFonts w:ascii="Times New Roman" w:eastAsia="Calibri" w:hAnsi="Times New Roman" w:cs="Times New Roman"/>
          <w:color w:val="000000"/>
          <w:lang w:eastAsia="ar-SA"/>
        </w:rPr>
        <w:t>Balta arba balkšva, abipus išgaubta, apvali plėvele dengta tabletė, kurios vienoje pusėje įspausta „140”, kita pusė lygi. Tabletė yra 11,8 mm skersmens.</w:t>
      </w:r>
    </w:p>
    <w:p w14:paraId="6C1352F1" w14:textId="77777777" w:rsidR="00950FA0" w:rsidRDefault="00950FA0" w:rsidP="00ED7DC3">
      <w:pPr>
        <w:suppressAutoHyphens/>
        <w:spacing w:after="0" w:line="240" w:lineRule="auto"/>
        <w:rPr>
          <w:rFonts w:ascii="Times New Roman" w:eastAsia="Calibri" w:hAnsi="Times New Roman" w:cs="Times New Roman"/>
          <w:color w:val="000000"/>
          <w:lang w:eastAsia="ar-SA"/>
        </w:rPr>
      </w:pPr>
    </w:p>
    <w:p w14:paraId="7F0A2891" w14:textId="578AB4AA" w:rsidR="00ED7DC3" w:rsidRPr="001D3C3D" w:rsidRDefault="00F612D8"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Plėvele dengtos tabletės yra supakuotos į a</w:t>
      </w:r>
      <w:r w:rsidR="00ED7DC3" w:rsidRPr="001D3C3D">
        <w:rPr>
          <w:rFonts w:ascii="Times New Roman" w:eastAsia="Calibri" w:hAnsi="Times New Roman" w:cs="Times New Roman"/>
          <w:color w:val="000000"/>
          <w:lang w:eastAsia="ar-SA"/>
        </w:rPr>
        <w:t>liuminio-OPA/Al/PVC lizdinės plokštelės (kalendorinės lizdinės plokštelės ar perforuotos dalomosios lizdinės plokštelės)</w:t>
      </w:r>
      <w:r w:rsidRPr="001D3C3D">
        <w:rPr>
          <w:rFonts w:ascii="Times New Roman" w:eastAsia="Calibri" w:hAnsi="Times New Roman" w:cs="Times New Roman"/>
          <w:color w:val="000000"/>
          <w:lang w:eastAsia="ar-SA"/>
        </w:rPr>
        <w:t>, arba į d</w:t>
      </w:r>
      <w:r w:rsidR="00ED7DC3" w:rsidRPr="001D3C3D">
        <w:rPr>
          <w:rFonts w:ascii="Times New Roman" w:eastAsia="Calibri" w:hAnsi="Times New Roman" w:cs="Times New Roman"/>
          <w:color w:val="000000"/>
          <w:lang w:eastAsia="ar-SA"/>
        </w:rPr>
        <w:t>idelio tankio polietileno (DTPE) buteliukas su polipropileniniu vaikų sunkiai atidaromu uždoriu ir plastikine (DTPE) talpa, kurioje yra silikagelio</w:t>
      </w:r>
      <w:r w:rsidRPr="001D3C3D">
        <w:rPr>
          <w:rFonts w:ascii="Times New Roman" w:eastAsia="Calibri" w:hAnsi="Times New Roman" w:cs="Times New Roman"/>
          <w:color w:val="000000"/>
          <w:lang w:eastAsia="ar-SA"/>
        </w:rPr>
        <w:t xml:space="preserve"> ir įdėtos į kartono dėžutę.</w:t>
      </w:r>
    </w:p>
    <w:p w14:paraId="43C32FEC" w14:textId="77777777" w:rsidR="00F612D8" w:rsidRPr="001D3C3D" w:rsidRDefault="00F612D8" w:rsidP="00F612D8">
      <w:pPr>
        <w:suppressAutoHyphens/>
        <w:spacing w:after="0" w:line="240" w:lineRule="auto"/>
        <w:jc w:val="both"/>
        <w:rPr>
          <w:rFonts w:ascii="Times New Roman" w:eastAsia="Calibri" w:hAnsi="Times New Roman" w:cs="Times New Roman"/>
          <w:color w:val="000000"/>
          <w:u w:val="single"/>
          <w:lang w:eastAsia="ar-SA"/>
        </w:rPr>
      </w:pPr>
    </w:p>
    <w:p w14:paraId="32124448" w14:textId="77777777" w:rsidR="00F612D8" w:rsidRPr="001D3C3D" w:rsidRDefault="00F612D8" w:rsidP="0086689D">
      <w:pPr>
        <w:suppressAutoHyphens/>
        <w:spacing w:after="0" w:line="240" w:lineRule="auto"/>
        <w:jc w:val="both"/>
        <w:rPr>
          <w:rFonts w:ascii="Times New Roman" w:eastAsia="Calibri" w:hAnsi="Times New Roman" w:cs="Times New Roman"/>
          <w:color w:val="000000"/>
          <w:u w:val="single"/>
          <w:lang w:eastAsia="ar-SA"/>
        </w:rPr>
      </w:pPr>
      <w:r w:rsidRPr="001D3C3D">
        <w:rPr>
          <w:rFonts w:ascii="Times New Roman" w:eastAsia="Calibri" w:hAnsi="Times New Roman" w:cs="Times New Roman"/>
          <w:color w:val="000000"/>
          <w:u w:val="single"/>
          <w:lang w:eastAsia="ar-SA"/>
        </w:rPr>
        <w:t>Pakuotės dyžiai:</w:t>
      </w:r>
    </w:p>
    <w:p w14:paraId="01D245F1" w14:textId="77777777" w:rsidR="00F612D8" w:rsidRPr="001D3C3D" w:rsidRDefault="00F612D8" w:rsidP="00F612D8">
      <w:pPr>
        <w:suppressAutoHyphens/>
        <w:spacing w:after="0" w:line="240" w:lineRule="auto"/>
        <w:jc w:val="both"/>
        <w:rPr>
          <w:rFonts w:ascii="Times New Roman" w:eastAsia="Calibri" w:hAnsi="Times New Roman" w:cs="Times New Roman"/>
          <w:color w:val="000000"/>
          <w:u w:val="single"/>
          <w:lang w:eastAsia="ar-SA"/>
        </w:rPr>
      </w:pPr>
    </w:p>
    <w:p w14:paraId="7AD1E279" w14:textId="7F41C5D4" w:rsidR="00F612D8" w:rsidRPr="00B92E23" w:rsidRDefault="00F612D8" w:rsidP="0086689D">
      <w:pPr>
        <w:suppressAutoHyphens/>
        <w:spacing w:after="0" w:line="240" w:lineRule="auto"/>
        <w:jc w:val="both"/>
        <w:rPr>
          <w:rFonts w:ascii="Times New Roman" w:hAnsi="Times New Roman"/>
          <w:i/>
          <w:iCs/>
          <w:color w:val="000000"/>
          <w:u w:val="single"/>
        </w:rPr>
      </w:pPr>
      <w:r w:rsidRPr="00B92E23">
        <w:rPr>
          <w:rFonts w:ascii="Times New Roman" w:eastAsia="Calibri" w:hAnsi="Times New Roman" w:cs="Times New Roman"/>
          <w:i/>
          <w:iCs/>
          <w:color w:val="000000"/>
          <w:highlight w:val="lightGray"/>
          <w:u w:val="single"/>
          <w:lang w:eastAsia="ar-SA"/>
        </w:rPr>
        <w:t>20 mg, 50 mg, 70 mg plėvele dengtos tabletės</w:t>
      </w:r>
      <w:r w:rsidRPr="00B92E23">
        <w:rPr>
          <w:rFonts w:ascii="Times New Roman" w:eastAsia="Calibri" w:hAnsi="Times New Roman" w:cs="Times New Roman"/>
          <w:i/>
          <w:iCs/>
          <w:color w:val="000000"/>
          <w:u w:val="single"/>
          <w:lang w:eastAsia="ar-SA"/>
        </w:rPr>
        <w:t xml:space="preserve"> </w:t>
      </w:r>
    </w:p>
    <w:p w14:paraId="60EA3771" w14:textId="77777777" w:rsidR="00C51EA1" w:rsidRPr="001D3C3D" w:rsidRDefault="00C51EA1" w:rsidP="0086689D">
      <w:pPr>
        <w:suppressAutoHyphens/>
        <w:spacing w:after="0" w:line="240" w:lineRule="auto"/>
        <w:jc w:val="both"/>
        <w:rPr>
          <w:rFonts w:ascii="Times New Roman" w:eastAsia="Calibri" w:hAnsi="Times New Roman" w:cs="Times New Roman"/>
          <w:color w:val="000000"/>
          <w:lang w:eastAsia="ar-SA"/>
        </w:rPr>
      </w:pPr>
    </w:p>
    <w:p w14:paraId="145DC1CB" w14:textId="1563403B" w:rsidR="00ED7DC3" w:rsidRPr="001D3C3D" w:rsidRDefault="00C51EA1"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Kartono dėžutė, kurioje yra 12 plėvele dengt</w:t>
      </w:r>
      <w:r w:rsidR="00F5451B">
        <w:rPr>
          <w:rFonts w:ascii="Times New Roman" w:eastAsia="Calibri" w:hAnsi="Times New Roman" w:cs="Times New Roman"/>
          <w:color w:val="000000"/>
          <w:lang w:eastAsia="ar-SA"/>
        </w:rPr>
        <w:t>ų</w:t>
      </w:r>
      <w:r w:rsidRPr="001D3C3D">
        <w:rPr>
          <w:rFonts w:ascii="Times New Roman" w:eastAsia="Calibri" w:hAnsi="Times New Roman" w:cs="Times New Roman"/>
          <w:color w:val="000000"/>
          <w:lang w:eastAsia="ar-SA"/>
        </w:rPr>
        <w:t xml:space="preserve"> table</w:t>
      </w:r>
      <w:r w:rsidR="00F5451B">
        <w:rPr>
          <w:rFonts w:ascii="Times New Roman" w:eastAsia="Calibri" w:hAnsi="Times New Roman" w:cs="Times New Roman"/>
          <w:color w:val="000000"/>
          <w:lang w:eastAsia="ar-SA"/>
        </w:rPr>
        <w:t>čių</w:t>
      </w:r>
      <w:r w:rsidRPr="001D3C3D">
        <w:rPr>
          <w:rFonts w:ascii="Times New Roman" w:eastAsia="Calibri" w:hAnsi="Times New Roman" w:cs="Times New Roman"/>
          <w:color w:val="000000"/>
          <w:lang w:eastAsia="ar-SA"/>
        </w:rPr>
        <w:t xml:space="preserve"> 1 kalendorinėje lizdinėje plokštelėje</w:t>
      </w:r>
      <w:r w:rsidR="00F5451B">
        <w:rPr>
          <w:rFonts w:ascii="Times New Roman" w:eastAsia="Calibri" w:hAnsi="Times New Roman" w:cs="Times New Roman"/>
          <w:color w:val="000000"/>
          <w:lang w:eastAsia="ar-SA"/>
        </w:rPr>
        <w:t>.</w:t>
      </w:r>
    </w:p>
    <w:p w14:paraId="6BE0571E"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Kartono dėžutė, kurioje yra 56 plėvele dengtos tabletės 4 kalendorinėse lizdinėse plokštelėse (kiekvienoje yra 14 plėvele dengtų tablečių).</w:t>
      </w:r>
    </w:p>
    <w:p w14:paraId="187B19F4" w14:textId="78D999B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 xml:space="preserve">Kartono dėžutė, kurioje yra </w:t>
      </w:r>
      <w:r w:rsidR="00C51EA1" w:rsidRPr="001D3C3D">
        <w:rPr>
          <w:rFonts w:ascii="Times New Roman" w:eastAsia="Calibri" w:hAnsi="Times New Roman" w:cs="Times New Roman"/>
          <w:color w:val="000000"/>
          <w:lang w:eastAsia="ar-SA"/>
        </w:rPr>
        <w:t>12</w:t>
      </w:r>
      <w:r w:rsidR="00BD6A13">
        <w:rPr>
          <w:rFonts w:ascii="Times New Roman" w:eastAsia="Calibri" w:hAnsi="Times New Roman" w:cs="Times New Roman"/>
          <w:color w:val="000000"/>
          <w:lang w:eastAsia="ar-SA"/>
        </w:rPr>
        <w:t> </w:t>
      </w:r>
      <w:r w:rsidR="00C51EA1" w:rsidRPr="001D3C3D">
        <w:rPr>
          <w:rFonts w:ascii="Times New Roman" w:eastAsia="Calibri" w:hAnsi="Times New Roman" w:cs="Times New Roman"/>
          <w:color w:val="000000"/>
          <w:lang w:eastAsia="ar-SA"/>
        </w:rPr>
        <w:t>x</w:t>
      </w:r>
      <w:r w:rsidR="00BD6A13">
        <w:rPr>
          <w:rFonts w:ascii="Times New Roman" w:eastAsia="Calibri" w:hAnsi="Times New Roman" w:cs="Times New Roman"/>
          <w:color w:val="000000"/>
          <w:lang w:eastAsia="ar-SA"/>
        </w:rPr>
        <w:t> </w:t>
      </w:r>
      <w:r w:rsidR="00C51EA1" w:rsidRPr="001D3C3D">
        <w:rPr>
          <w:rFonts w:ascii="Times New Roman" w:eastAsia="Calibri" w:hAnsi="Times New Roman" w:cs="Times New Roman"/>
          <w:color w:val="000000"/>
          <w:lang w:eastAsia="ar-SA"/>
        </w:rPr>
        <w:t xml:space="preserve">1 ir </w:t>
      </w:r>
      <w:r w:rsidRPr="001D3C3D">
        <w:rPr>
          <w:rFonts w:ascii="Times New Roman" w:eastAsia="Calibri" w:hAnsi="Times New Roman" w:cs="Times New Roman"/>
          <w:color w:val="000000"/>
          <w:lang w:eastAsia="ar-SA"/>
        </w:rPr>
        <w:t>60 x 1 plėvele dengtų tablečių perforuotose dalomosiose lizdinėse plokštelėse.</w:t>
      </w:r>
    </w:p>
    <w:p w14:paraId="459F6973" w14:textId="4EEAF1DF"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lastRenderedPageBreak/>
        <w:t>Kartono dėžutė, kurioje yra vienas buteliukas. Jame yra 60</w:t>
      </w:r>
      <w:r w:rsidR="00632541">
        <w:rPr>
          <w:rFonts w:ascii="Times New Roman" w:eastAsia="Calibri" w:hAnsi="Times New Roman" w:cs="Times New Roman"/>
          <w:color w:val="000000"/>
          <w:lang w:eastAsia="ar-SA"/>
        </w:rPr>
        <w:t> </w:t>
      </w:r>
      <w:r w:rsidRPr="001D3C3D">
        <w:rPr>
          <w:rFonts w:ascii="Times New Roman" w:eastAsia="Calibri" w:hAnsi="Times New Roman" w:cs="Times New Roman"/>
          <w:color w:val="000000"/>
          <w:lang w:eastAsia="ar-SA"/>
        </w:rPr>
        <w:t>plėvele dengtų tablečių.</w:t>
      </w:r>
    </w:p>
    <w:p w14:paraId="0F9D4961"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2014D798" w14:textId="264DE389" w:rsidR="00ED7DC3" w:rsidRPr="00B92E23" w:rsidRDefault="00ED7DC3" w:rsidP="0086689D">
      <w:pPr>
        <w:suppressAutoHyphens/>
        <w:spacing w:after="0" w:line="240" w:lineRule="auto"/>
        <w:jc w:val="both"/>
        <w:rPr>
          <w:rFonts w:ascii="Times New Roman" w:eastAsia="Calibri" w:hAnsi="Times New Roman" w:cs="Times New Roman"/>
          <w:i/>
          <w:iCs/>
          <w:color w:val="000000"/>
          <w:highlight w:val="lightGray"/>
          <w:lang w:eastAsia="ar-SA"/>
        </w:rPr>
      </w:pPr>
      <w:r w:rsidRPr="00B92E23">
        <w:rPr>
          <w:rFonts w:ascii="Times New Roman" w:eastAsia="Calibri" w:hAnsi="Times New Roman" w:cs="Times New Roman"/>
          <w:i/>
          <w:iCs/>
          <w:color w:val="000000"/>
          <w:highlight w:val="lightGray"/>
          <w:u w:val="single"/>
          <w:lang w:eastAsia="ar-SA"/>
        </w:rPr>
        <w:t xml:space="preserve">80 mg, 100 mg, 140 mg plėvele dengtos tabletės </w:t>
      </w:r>
    </w:p>
    <w:p w14:paraId="2ECC7762" w14:textId="596BE13C" w:rsidR="00ED7DC3" w:rsidRPr="00B92E23" w:rsidRDefault="00C51EA1" w:rsidP="00ED7DC3">
      <w:pPr>
        <w:suppressAutoHyphens/>
        <w:spacing w:after="0" w:line="240" w:lineRule="auto"/>
        <w:jc w:val="both"/>
        <w:rPr>
          <w:rFonts w:ascii="Times New Roman" w:eastAsia="Calibri" w:hAnsi="Times New Roman" w:cs="Times New Roman"/>
          <w:color w:val="000000"/>
          <w:highlight w:val="lightGray"/>
          <w:lang w:eastAsia="ar-SA"/>
        </w:rPr>
      </w:pPr>
      <w:r w:rsidRPr="00B92E23">
        <w:rPr>
          <w:rFonts w:ascii="Times New Roman" w:hAnsi="Times New Roman"/>
          <w:color w:val="000000"/>
          <w:highlight w:val="lightGray"/>
        </w:rPr>
        <w:t>Kartono dėžutė, kurioje yra</w:t>
      </w:r>
      <w:r w:rsidRPr="00B92E23">
        <w:rPr>
          <w:rFonts w:ascii="Times New Roman" w:eastAsia="Calibri" w:hAnsi="Times New Roman" w:cs="Times New Roman"/>
          <w:color w:val="000000"/>
          <w:highlight w:val="lightGray"/>
          <w:lang w:eastAsia="ar-SA"/>
        </w:rPr>
        <w:t xml:space="preserve"> 10 plėvele dengt</w:t>
      </w:r>
      <w:r w:rsidR="00FB61B3">
        <w:rPr>
          <w:rFonts w:ascii="Times New Roman" w:eastAsia="Calibri" w:hAnsi="Times New Roman" w:cs="Times New Roman"/>
          <w:color w:val="000000"/>
          <w:highlight w:val="lightGray"/>
          <w:lang w:eastAsia="ar-SA"/>
        </w:rPr>
        <w:t>ų</w:t>
      </w:r>
      <w:r w:rsidRPr="00B92E23">
        <w:rPr>
          <w:rFonts w:ascii="Times New Roman" w:eastAsia="Calibri" w:hAnsi="Times New Roman" w:cs="Times New Roman"/>
          <w:color w:val="000000"/>
          <w:highlight w:val="lightGray"/>
          <w:lang w:eastAsia="ar-SA"/>
        </w:rPr>
        <w:t xml:space="preserve"> table</w:t>
      </w:r>
      <w:r w:rsidR="00FB61B3">
        <w:rPr>
          <w:rFonts w:ascii="Times New Roman" w:eastAsia="Calibri" w:hAnsi="Times New Roman" w:cs="Times New Roman"/>
          <w:color w:val="000000"/>
          <w:highlight w:val="lightGray"/>
          <w:lang w:eastAsia="ar-SA"/>
        </w:rPr>
        <w:t>čių</w:t>
      </w:r>
      <w:r w:rsidRPr="00B92E23">
        <w:rPr>
          <w:rFonts w:ascii="Times New Roman" w:eastAsia="Calibri" w:hAnsi="Times New Roman" w:cs="Times New Roman"/>
          <w:color w:val="000000"/>
          <w:highlight w:val="lightGray"/>
          <w:lang w:eastAsia="ar-SA"/>
        </w:rPr>
        <w:t xml:space="preserve"> 1 kalendorinėje lizdinėje plokštelėje</w:t>
      </w:r>
      <w:r w:rsidR="00FB61B3">
        <w:rPr>
          <w:rFonts w:ascii="Times New Roman" w:eastAsia="Calibri" w:hAnsi="Times New Roman" w:cs="Times New Roman"/>
          <w:color w:val="000000"/>
          <w:highlight w:val="lightGray"/>
          <w:lang w:eastAsia="ar-SA"/>
        </w:rPr>
        <w:t>.</w:t>
      </w:r>
    </w:p>
    <w:p w14:paraId="750CBDD8" w14:textId="69D1E2C1" w:rsidR="00ED7DC3" w:rsidRPr="00B92E23" w:rsidRDefault="00ED7DC3" w:rsidP="00ED7DC3">
      <w:pPr>
        <w:suppressAutoHyphens/>
        <w:spacing w:after="0" w:line="240" w:lineRule="auto"/>
        <w:rPr>
          <w:rFonts w:ascii="Times New Roman" w:eastAsia="Calibri" w:hAnsi="Times New Roman" w:cs="Times New Roman"/>
          <w:color w:val="000000"/>
          <w:highlight w:val="lightGray"/>
          <w:lang w:eastAsia="ar-SA"/>
        </w:rPr>
      </w:pPr>
      <w:r w:rsidRPr="00B92E23">
        <w:rPr>
          <w:rFonts w:ascii="Times New Roman" w:eastAsia="Calibri" w:hAnsi="Times New Roman" w:cs="Times New Roman"/>
          <w:color w:val="000000"/>
          <w:highlight w:val="lightGray"/>
          <w:lang w:eastAsia="ar-SA"/>
        </w:rPr>
        <w:t xml:space="preserve">Kartono dėžutė, kurioje yra </w:t>
      </w:r>
      <w:r w:rsidR="0046430C" w:rsidRPr="00B92E23">
        <w:rPr>
          <w:rFonts w:ascii="Times New Roman" w:eastAsia="Calibri" w:hAnsi="Times New Roman" w:cs="Times New Roman"/>
          <w:color w:val="000000"/>
          <w:highlight w:val="lightGray"/>
          <w:lang w:eastAsia="ar-SA"/>
        </w:rPr>
        <w:t>10</w:t>
      </w:r>
      <w:r w:rsidR="00632541">
        <w:rPr>
          <w:rFonts w:ascii="Times New Roman" w:eastAsia="Calibri" w:hAnsi="Times New Roman" w:cs="Times New Roman"/>
          <w:color w:val="000000"/>
          <w:highlight w:val="lightGray"/>
          <w:lang w:eastAsia="ar-SA"/>
        </w:rPr>
        <w:t> </w:t>
      </w:r>
      <w:r w:rsidR="0046430C" w:rsidRPr="00B92E23">
        <w:rPr>
          <w:rFonts w:ascii="Times New Roman" w:eastAsia="Calibri" w:hAnsi="Times New Roman" w:cs="Times New Roman"/>
          <w:color w:val="000000"/>
          <w:highlight w:val="lightGray"/>
          <w:lang w:eastAsia="ar-SA"/>
        </w:rPr>
        <w:t>x</w:t>
      </w:r>
      <w:r w:rsidR="00632541">
        <w:rPr>
          <w:rFonts w:ascii="Times New Roman" w:eastAsia="Calibri" w:hAnsi="Times New Roman" w:cs="Times New Roman"/>
          <w:color w:val="000000"/>
          <w:highlight w:val="lightGray"/>
          <w:lang w:eastAsia="ar-SA"/>
        </w:rPr>
        <w:t> </w:t>
      </w:r>
      <w:r w:rsidR="0046430C" w:rsidRPr="00B92E23">
        <w:rPr>
          <w:rFonts w:ascii="Times New Roman" w:eastAsia="Calibri" w:hAnsi="Times New Roman" w:cs="Times New Roman"/>
          <w:color w:val="000000"/>
          <w:highlight w:val="lightGray"/>
          <w:lang w:eastAsia="ar-SA"/>
        </w:rPr>
        <w:t xml:space="preserve">1 ir </w:t>
      </w:r>
      <w:r w:rsidRPr="00B92E23">
        <w:rPr>
          <w:rFonts w:ascii="Times New Roman" w:eastAsia="Calibri" w:hAnsi="Times New Roman" w:cs="Times New Roman"/>
          <w:color w:val="000000"/>
          <w:highlight w:val="lightGray"/>
          <w:lang w:eastAsia="ar-SA"/>
        </w:rPr>
        <w:t>30 x 1 plėvele dengtų tablečių perforuotose dalomosiose lizdinėse plokštelėse.</w:t>
      </w:r>
    </w:p>
    <w:p w14:paraId="04DC001B"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B92E23">
        <w:rPr>
          <w:rFonts w:ascii="Times New Roman" w:eastAsia="Calibri" w:hAnsi="Times New Roman" w:cs="Times New Roman"/>
          <w:color w:val="000000"/>
          <w:highlight w:val="lightGray"/>
          <w:lang w:eastAsia="ar-SA"/>
        </w:rPr>
        <w:t>Kartono dėžutė, kurioje yra vienas buteliukas. Jame yra 30 plėvele dengtų tablečių.</w:t>
      </w:r>
    </w:p>
    <w:p w14:paraId="06FCD05F"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2BD287B5" w14:textId="77777777" w:rsidR="00ED7DC3" w:rsidRPr="001D3C3D" w:rsidRDefault="00ED7DC3" w:rsidP="0086689D">
      <w:pPr>
        <w:suppressAutoHyphens/>
        <w:spacing w:after="0" w:line="240" w:lineRule="auto"/>
        <w:jc w:val="both"/>
        <w:rPr>
          <w:rFonts w:ascii="Times New Roman" w:eastAsia="SimSun" w:hAnsi="Times New Roman" w:cs="Times New Roman"/>
          <w:color w:val="000000"/>
          <w:lang w:eastAsia="ar-SA"/>
        </w:rPr>
      </w:pPr>
      <w:r w:rsidRPr="001D3C3D">
        <w:rPr>
          <w:rFonts w:ascii="Times New Roman" w:eastAsia="Calibri" w:hAnsi="Times New Roman" w:cs="Times New Roman"/>
          <w:color w:val="000000"/>
          <w:lang w:eastAsia="ar-SA"/>
        </w:rPr>
        <w:t>Gali būti tiekiamos ne visų dydžių pakuotės.</w:t>
      </w:r>
    </w:p>
    <w:p w14:paraId="46ACF143"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73B06E41" w14:textId="77777777" w:rsidR="00ED7DC3" w:rsidRPr="001D3C3D" w:rsidRDefault="00ED7DC3" w:rsidP="0086689D">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
          <w:color w:val="000000"/>
          <w:lang w:eastAsia="ar-SA"/>
        </w:rPr>
        <w:t>Registruotojas ir gamintojas</w:t>
      </w:r>
    </w:p>
    <w:p w14:paraId="5282A86D"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p>
    <w:p w14:paraId="79843E54" w14:textId="77777777" w:rsidR="00ED7DC3" w:rsidRPr="001D3C3D" w:rsidRDefault="00ED7DC3" w:rsidP="0086689D">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i/>
          <w:color w:val="000000"/>
          <w:lang w:eastAsia="ar-SA"/>
        </w:rPr>
        <w:t>Registruotojas</w:t>
      </w:r>
    </w:p>
    <w:p w14:paraId="61580976"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Sandoz d.d.</w:t>
      </w:r>
    </w:p>
    <w:p w14:paraId="096FD1E8"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Verovškova 57</w:t>
      </w:r>
    </w:p>
    <w:p w14:paraId="21D46330" w14:textId="77777777" w:rsidR="00ED7DC3" w:rsidRPr="001D3C3D" w:rsidRDefault="00ED7DC3" w:rsidP="00ED7DC3">
      <w:pPr>
        <w:tabs>
          <w:tab w:val="left" w:pos="425"/>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SI-1000 Ljubljana</w:t>
      </w:r>
    </w:p>
    <w:p w14:paraId="6BEDDADD" w14:textId="77777777" w:rsidR="00ED7DC3" w:rsidRPr="001D3C3D" w:rsidRDefault="00ED7DC3" w:rsidP="00ED7DC3">
      <w:pPr>
        <w:tabs>
          <w:tab w:val="left" w:pos="425"/>
          <w:tab w:val="left" w:pos="567"/>
        </w:tabs>
        <w:suppressAutoHyphens/>
        <w:spacing w:after="0" w:line="240" w:lineRule="auto"/>
        <w:rPr>
          <w:rFonts w:ascii="Times New Roman" w:eastAsia="Calibri" w:hAnsi="Times New Roman" w:cs="Times New Roman"/>
          <w:b/>
          <w:color w:val="000000"/>
          <w:shd w:val="clear" w:color="auto" w:fill="FFFF00"/>
          <w:lang w:eastAsia="ar-SA"/>
        </w:rPr>
      </w:pPr>
      <w:r w:rsidRPr="001D3C3D">
        <w:rPr>
          <w:rFonts w:ascii="Times New Roman" w:eastAsia="Times New Roman" w:hAnsi="Times New Roman" w:cs="Times New Roman"/>
          <w:color w:val="000000"/>
          <w:lang w:eastAsia="ar-SA"/>
        </w:rPr>
        <w:t>Slovėnija</w:t>
      </w:r>
    </w:p>
    <w:p w14:paraId="1EF2337E" w14:textId="77777777" w:rsidR="00ED7DC3" w:rsidRPr="001D3C3D" w:rsidRDefault="00ED7DC3" w:rsidP="00ED7DC3">
      <w:pPr>
        <w:widowControl w:val="0"/>
        <w:tabs>
          <w:tab w:val="left" w:pos="567"/>
        </w:tabs>
        <w:suppressAutoHyphens/>
        <w:spacing w:after="0" w:line="240" w:lineRule="auto"/>
        <w:ind w:right="7956"/>
        <w:rPr>
          <w:rFonts w:ascii="Times New Roman" w:eastAsia="Calibri" w:hAnsi="Times New Roman" w:cs="Times New Roman"/>
          <w:b/>
          <w:color w:val="000000"/>
          <w:shd w:val="clear" w:color="auto" w:fill="FFFF00"/>
          <w:lang w:eastAsia="ar-SA"/>
        </w:rPr>
      </w:pPr>
    </w:p>
    <w:p w14:paraId="4CAE2F21" w14:textId="33F501BF" w:rsidR="00ED7DC3" w:rsidRPr="001D3C3D" w:rsidRDefault="00ED7DC3" w:rsidP="0086689D">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Cs/>
          <w:i/>
          <w:color w:val="000000"/>
          <w:lang w:eastAsia="ar-SA"/>
        </w:rPr>
        <w:t>Gamintoja</w:t>
      </w:r>
      <w:r w:rsidR="00F27B33">
        <w:rPr>
          <w:rFonts w:ascii="Times New Roman" w:eastAsia="SimSun" w:hAnsi="Times New Roman" w:cs="Times New Roman"/>
          <w:bCs/>
          <w:i/>
          <w:color w:val="000000"/>
          <w:lang w:eastAsia="ar-SA"/>
        </w:rPr>
        <w:t>s</w:t>
      </w:r>
    </w:p>
    <w:p w14:paraId="5152F455"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Remedica Ltd.</w:t>
      </w:r>
    </w:p>
    <w:p w14:paraId="76743791"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Aharnon Street, Limassol Industrial Estate</w:t>
      </w:r>
    </w:p>
    <w:p w14:paraId="6384BBF2"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3056 Limassol</w:t>
      </w:r>
    </w:p>
    <w:p w14:paraId="762B1FEF"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Times New Roman" w:hAnsi="Times New Roman" w:cs="Times New Roman"/>
          <w:color w:val="000000"/>
          <w:lang w:eastAsia="ar-SA"/>
        </w:rPr>
        <w:t>Kipras</w:t>
      </w:r>
    </w:p>
    <w:p w14:paraId="6F74F8AD"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7574F191"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r w:rsidRPr="001D3C3D">
        <w:rPr>
          <w:rFonts w:ascii="Times New Roman" w:eastAsia="Calibri" w:hAnsi="Times New Roman" w:cs="Times New Roman"/>
          <w:color w:val="000000"/>
          <w:lang w:eastAsia="ar-SA"/>
        </w:rPr>
        <w:t>arba</w:t>
      </w:r>
    </w:p>
    <w:p w14:paraId="22643719" w14:textId="77777777" w:rsidR="00ED7DC3" w:rsidRPr="001D3C3D" w:rsidRDefault="00ED7DC3" w:rsidP="00ED7DC3">
      <w:pPr>
        <w:suppressAutoHyphens/>
        <w:spacing w:after="0" w:line="240" w:lineRule="auto"/>
        <w:rPr>
          <w:rFonts w:ascii="Times New Roman" w:eastAsia="Calibri" w:hAnsi="Times New Roman" w:cs="Times New Roman"/>
          <w:color w:val="000000"/>
          <w:lang w:eastAsia="ar-SA"/>
        </w:rPr>
      </w:pPr>
    </w:p>
    <w:p w14:paraId="79A27173" w14:textId="77777777" w:rsidR="00ED7DC3" w:rsidRPr="001D3C3D" w:rsidRDefault="00ED7DC3" w:rsidP="0086689D">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 xml:space="preserve">Lek Pharmaceuticals d.d </w:t>
      </w:r>
    </w:p>
    <w:p w14:paraId="67E751E5"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Verovškova 57</w:t>
      </w:r>
    </w:p>
    <w:p w14:paraId="303DA79E" w14:textId="77777777" w:rsidR="00ED7DC3" w:rsidRPr="001D3C3D" w:rsidRDefault="00ED7DC3" w:rsidP="00ED7DC3">
      <w:pPr>
        <w:suppressAutoHyphens/>
        <w:spacing w:after="0" w:line="240" w:lineRule="auto"/>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1526 Ljubljana</w:t>
      </w:r>
    </w:p>
    <w:p w14:paraId="485421AE" w14:textId="77777777" w:rsidR="00ED7DC3" w:rsidRPr="001D3C3D" w:rsidRDefault="00ED7DC3" w:rsidP="00ED7DC3">
      <w:pPr>
        <w:suppressAutoHyphens/>
        <w:spacing w:after="0" w:line="240" w:lineRule="auto"/>
        <w:rPr>
          <w:rFonts w:ascii="Times New Roman" w:eastAsia="SimSun" w:hAnsi="Times New Roman" w:cs="Times New Roman"/>
          <w:color w:val="000000"/>
          <w:lang w:eastAsia="ar-SA"/>
        </w:rPr>
      </w:pPr>
      <w:r w:rsidRPr="001D3C3D">
        <w:rPr>
          <w:rFonts w:ascii="Times New Roman" w:eastAsia="Times New Roman" w:hAnsi="Times New Roman" w:cs="Times New Roman"/>
          <w:color w:val="000000"/>
          <w:lang w:eastAsia="ar-SA"/>
        </w:rPr>
        <w:t>Slovėnija</w:t>
      </w:r>
    </w:p>
    <w:p w14:paraId="5E9CDC69"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p w14:paraId="42C09DEF" w14:textId="5950CAFC" w:rsidR="00ED7DC3" w:rsidRPr="001D3C3D" w:rsidRDefault="00ED7DC3" w:rsidP="0086689D">
      <w:pPr>
        <w:tabs>
          <w:tab w:val="left" w:pos="567"/>
        </w:tabs>
        <w:suppressAutoHyphens/>
        <w:spacing w:after="0" w:line="260" w:lineRule="exact"/>
        <w:rPr>
          <w:rFonts w:ascii="Times New Roman" w:eastAsia="Times New Roman" w:hAnsi="Times New Roman" w:cs="Times New Roman"/>
          <w:b/>
          <w:bCs/>
          <w:color w:val="000000"/>
          <w:lang w:eastAsia="ar-SA"/>
        </w:rPr>
      </w:pPr>
      <w:r w:rsidRPr="001D3C3D">
        <w:rPr>
          <w:rFonts w:ascii="Times New Roman" w:eastAsia="Times New Roman" w:hAnsi="Times New Roman" w:cs="Times New Roman"/>
          <w:bCs/>
          <w:color w:val="000000"/>
          <w:lang w:eastAsia="ar-SA"/>
        </w:rPr>
        <w:t>Jeigu apie šį vaistą norite sužinoti daugiau, kreipkitės į vietinį registruotojo atstovą</w:t>
      </w:r>
      <w:r w:rsidR="00FB61B3">
        <w:rPr>
          <w:rFonts w:ascii="Times New Roman" w:eastAsia="Times New Roman" w:hAnsi="Times New Roman" w:cs="Times New Roman"/>
          <w:bCs/>
          <w:color w:val="000000"/>
          <w:lang w:eastAsia="ar-SA"/>
        </w:rPr>
        <w:t>:</w:t>
      </w:r>
    </w:p>
    <w:p w14:paraId="7277A1FA"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b/>
          <w:bCs/>
          <w:color w:val="000000"/>
          <w:lang w:eastAsia="ar-SA"/>
        </w:rPr>
      </w:pPr>
    </w:p>
    <w:p w14:paraId="728DF0F3" w14:textId="77777777" w:rsidR="00ED7DC3" w:rsidRPr="001D3C3D" w:rsidRDefault="00ED7DC3" w:rsidP="0086689D">
      <w:pPr>
        <w:tabs>
          <w:tab w:val="left" w:pos="567"/>
        </w:tabs>
        <w:suppressAutoHyphens/>
        <w:spacing w:after="0" w:line="260" w:lineRule="exact"/>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Sandoz Pharmaceuticals d.d. filialas</w:t>
      </w:r>
    </w:p>
    <w:p w14:paraId="37E08B0F" w14:textId="77777777" w:rsidR="00ED7DC3"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Tel. +370 5 2636037</w:t>
      </w:r>
    </w:p>
    <w:p w14:paraId="16E68A4A" w14:textId="42DC507E" w:rsidR="00D501AB" w:rsidRPr="00DE35C7" w:rsidRDefault="00D501AB" w:rsidP="00ED7DC3">
      <w:pPr>
        <w:tabs>
          <w:tab w:val="left" w:pos="567"/>
        </w:tabs>
        <w:suppressAutoHyphens/>
        <w:spacing w:after="0" w:line="260" w:lineRule="exact"/>
        <w:rPr>
          <w:rFonts w:ascii="Times New Roman" w:hAnsi="Times New Roman"/>
          <w:color w:val="000000"/>
        </w:rPr>
      </w:pPr>
    </w:p>
    <w:p w14:paraId="2D323E37" w14:textId="77777777" w:rsidR="00D501AB" w:rsidRPr="00DE35C7" w:rsidRDefault="00D501AB" w:rsidP="00ED7DC3">
      <w:pPr>
        <w:tabs>
          <w:tab w:val="left" w:pos="567"/>
        </w:tabs>
        <w:suppressAutoHyphens/>
        <w:spacing w:after="0" w:line="260" w:lineRule="exact"/>
        <w:rPr>
          <w:rFonts w:ascii="Times New Roman" w:hAnsi="Times New Roman"/>
          <w:color w:val="000000"/>
        </w:rPr>
      </w:pPr>
    </w:p>
    <w:p w14:paraId="799F987C" w14:textId="6150B74F" w:rsidR="00ED7DC3" w:rsidRPr="001D3C3D" w:rsidRDefault="00ED7DC3" w:rsidP="0086689D">
      <w:pPr>
        <w:tabs>
          <w:tab w:val="left" w:pos="567"/>
        </w:tabs>
        <w:suppressAutoHyphens/>
        <w:spacing w:after="0" w:line="240" w:lineRule="auto"/>
        <w:rPr>
          <w:rFonts w:ascii="Times New Roman" w:eastAsia="SimSun" w:hAnsi="Times New Roman" w:cs="Times New Roman"/>
          <w:color w:val="000000"/>
          <w:lang w:eastAsia="ar-SA"/>
        </w:rPr>
      </w:pPr>
      <w:r w:rsidRPr="001D3C3D">
        <w:rPr>
          <w:rFonts w:ascii="Times New Roman" w:eastAsia="SimSun" w:hAnsi="Times New Roman" w:cs="Times New Roman"/>
          <w:b/>
          <w:color w:val="000000"/>
          <w:lang w:eastAsia="ar-SA"/>
        </w:rPr>
        <w:t>Šis vaistas E</w:t>
      </w:r>
      <w:r w:rsidR="00B44CBE" w:rsidRPr="001D3C3D">
        <w:rPr>
          <w:rFonts w:ascii="Times New Roman" w:eastAsia="SimSun" w:hAnsi="Times New Roman" w:cs="Times New Roman"/>
          <w:b/>
          <w:color w:val="000000"/>
          <w:lang w:eastAsia="ar-SA"/>
        </w:rPr>
        <w:t xml:space="preserve">uropos ekonominės erdvės </w:t>
      </w:r>
      <w:r w:rsidRPr="001D3C3D">
        <w:rPr>
          <w:rFonts w:ascii="Times New Roman" w:eastAsia="SimSun" w:hAnsi="Times New Roman" w:cs="Times New Roman"/>
          <w:b/>
          <w:color w:val="000000"/>
          <w:lang w:eastAsia="ar-SA"/>
        </w:rPr>
        <w:t>valstybėse narėse registruotas tokiais pavadinimais</w:t>
      </w:r>
      <w:r w:rsidRPr="001D3C3D">
        <w:rPr>
          <w:rFonts w:ascii="Times New Roman" w:eastAsia="SimSun" w:hAnsi="Times New Roman" w:cs="Times New Roman"/>
          <w:color w:val="000000"/>
          <w:lang w:eastAsia="ar-SA"/>
        </w:rPr>
        <w:t>:</w:t>
      </w:r>
    </w:p>
    <w:p w14:paraId="7AA9C4A1"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color w:val="000000"/>
          <w:lang w:eastAsia="ar-SA"/>
        </w:rPr>
      </w:pPr>
    </w:p>
    <w:tbl>
      <w:tblPr>
        <w:tblW w:w="0" w:type="auto"/>
        <w:tblInd w:w="-20" w:type="dxa"/>
        <w:tblLayout w:type="fixed"/>
        <w:tblLook w:val="0000" w:firstRow="0" w:lastRow="0" w:firstColumn="0" w:lastColumn="0" w:noHBand="0" w:noVBand="0"/>
      </w:tblPr>
      <w:tblGrid>
        <w:gridCol w:w="4530"/>
        <w:gridCol w:w="4569"/>
      </w:tblGrid>
      <w:tr w:rsidR="00ED7DC3" w:rsidRPr="001D3C3D" w14:paraId="14531668" w14:textId="77777777" w:rsidTr="0036275F">
        <w:tc>
          <w:tcPr>
            <w:tcW w:w="4530" w:type="dxa"/>
            <w:tcBorders>
              <w:top w:val="single" w:sz="4" w:space="0" w:color="000000"/>
              <w:left w:val="single" w:sz="4" w:space="0" w:color="000000"/>
              <w:bottom w:val="single" w:sz="4" w:space="0" w:color="000000"/>
            </w:tcBorders>
            <w:shd w:val="clear" w:color="auto" w:fill="auto"/>
          </w:tcPr>
          <w:p w14:paraId="5DE950CB" w14:textId="0B881425" w:rsidR="00ED7DC3" w:rsidRPr="001D3C3D" w:rsidRDefault="00ED7DC3" w:rsidP="00ED7DC3">
            <w:pPr>
              <w:tabs>
                <w:tab w:val="left" w:pos="567"/>
              </w:tabs>
              <w:suppressAutoHyphens/>
              <w:spacing w:after="0" w:line="240" w:lineRule="auto"/>
              <w:rPr>
                <w:rFonts w:ascii="Times New Roman" w:eastAsia="SimSun" w:hAnsi="Times New Roman" w:cs="Times New Roman"/>
                <w:bCs/>
                <w:color w:val="000000"/>
                <w:lang w:eastAsia="ar-SA"/>
              </w:rPr>
            </w:pPr>
            <w:r w:rsidRPr="001D3C3D">
              <w:rPr>
                <w:rFonts w:ascii="Times New Roman" w:eastAsia="SimSun" w:hAnsi="Times New Roman" w:cs="Times New Roman"/>
                <w:bCs/>
                <w:color w:val="000000"/>
                <w:lang w:eastAsia="ar-SA"/>
              </w:rPr>
              <w:t>Nyderlandai, Belgija, Bulgarija, Italija, Jungtinė Karalystė, Latvija, Lenkija, Lietuva, Portugalija, Prancūzija, Rumunija, Slovakija, Slovėnija, Suomija, Švedija, Vengrija</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5ACD62C5"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Cs/>
                <w:color w:val="000000"/>
                <w:lang w:eastAsia="ar-SA"/>
              </w:rPr>
              <w:t>Dasatinib Sandoz</w:t>
            </w:r>
          </w:p>
        </w:tc>
      </w:tr>
      <w:tr w:rsidR="00ED7DC3" w:rsidRPr="001D3C3D" w14:paraId="7BBA9919" w14:textId="77777777" w:rsidTr="0036275F">
        <w:tc>
          <w:tcPr>
            <w:tcW w:w="4530" w:type="dxa"/>
            <w:tcBorders>
              <w:top w:val="single" w:sz="4" w:space="0" w:color="000000"/>
              <w:left w:val="single" w:sz="4" w:space="0" w:color="000000"/>
              <w:bottom w:val="single" w:sz="4" w:space="0" w:color="000000"/>
            </w:tcBorders>
            <w:shd w:val="clear" w:color="auto" w:fill="auto"/>
          </w:tcPr>
          <w:p w14:paraId="528F4A67"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bCs/>
                <w:color w:val="000000"/>
                <w:lang w:eastAsia="ar-SA"/>
              </w:rPr>
            </w:pPr>
            <w:r w:rsidRPr="001D3C3D">
              <w:rPr>
                <w:rFonts w:ascii="Times New Roman" w:eastAsia="SimSun" w:hAnsi="Times New Roman" w:cs="Times New Roman"/>
                <w:bCs/>
                <w:color w:val="000000"/>
                <w:lang w:eastAsia="ar-SA"/>
              </w:rPr>
              <w:t>Vokietija</w:t>
            </w:r>
          </w:p>
        </w:tc>
        <w:tc>
          <w:tcPr>
            <w:tcW w:w="4569" w:type="dxa"/>
            <w:tcBorders>
              <w:top w:val="single" w:sz="4" w:space="0" w:color="000000"/>
              <w:left w:val="single" w:sz="4" w:space="0" w:color="000000"/>
              <w:bottom w:val="single" w:sz="4" w:space="0" w:color="000000"/>
              <w:right w:val="single" w:sz="4" w:space="0" w:color="000000"/>
            </w:tcBorders>
            <w:shd w:val="clear" w:color="auto" w:fill="auto"/>
          </w:tcPr>
          <w:p w14:paraId="5E263B37" w14:textId="77777777" w:rsidR="00ED7DC3" w:rsidRPr="001D3C3D" w:rsidRDefault="00ED7DC3" w:rsidP="00ED7DC3">
            <w:pPr>
              <w:tabs>
                <w:tab w:val="left" w:pos="567"/>
              </w:tabs>
              <w:suppressAutoHyphens/>
              <w:spacing w:after="0" w:line="240" w:lineRule="auto"/>
              <w:rPr>
                <w:rFonts w:ascii="Times New Roman" w:eastAsia="Times New Roman" w:hAnsi="Times New Roman" w:cs="Times New Roman"/>
                <w:color w:val="000000"/>
                <w:lang w:eastAsia="ar-SA"/>
              </w:rPr>
            </w:pPr>
            <w:r w:rsidRPr="001D3C3D">
              <w:rPr>
                <w:rFonts w:ascii="Times New Roman" w:eastAsia="SimSun" w:hAnsi="Times New Roman" w:cs="Times New Roman"/>
                <w:bCs/>
                <w:color w:val="000000"/>
                <w:lang w:eastAsia="ar-SA"/>
              </w:rPr>
              <w:t xml:space="preserve">Dasatinib </w:t>
            </w:r>
            <w:r w:rsidR="00D813F2" w:rsidRPr="001D3C3D">
              <w:rPr>
                <w:rFonts w:ascii="Times New Roman" w:eastAsia="SimSun" w:hAnsi="Times New Roman" w:cs="Times New Roman"/>
                <w:bCs/>
                <w:color w:val="000000"/>
                <w:lang w:eastAsia="ar-SA"/>
              </w:rPr>
              <w:t>1A Pharma</w:t>
            </w:r>
          </w:p>
        </w:tc>
      </w:tr>
    </w:tbl>
    <w:p w14:paraId="40905868" w14:textId="77777777" w:rsidR="00ED7DC3" w:rsidRPr="001D3C3D" w:rsidRDefault="00ED7DC3" w:rsidP="00ED7DC3">
      <w:pPr>
        <w:tabs>
          <w:tab w:val="left" w:pos="567"/>
          <w:tab w:val="center" w:pos="2089"/>
        </w:tabs>
        <w:suppressAutoHyphens/>
        <w:spacing w:after="0" w:line="260" w:lineRule="exact"/>
        <w:rPr>
          <w:rFonts w:ascii="Times New Roman" w:eastAsia="SimSun" w:hAnsi="Times New Roman" w:cs="Times New Roman"/>
          <w:color w:val="000000"/>
          <w:lang w:eastAsia="ar-SA"/>
        </w:rPr>
      </w:pPr>
    </w:p>
    <w:p w14:paraId="7C9C5F3A" w14:textId="1735BC52" w:rsidR="00ED7DC3" w:rsidRPr="001D3C3D" w:rsidRDefault="00ED7DC3" w:rsidP="0086689D">
      <w:pPr>
        <w:tabs>
          <w:tab w:val="left" w:pos="567"/>
        </w:tabs>
        <w:suppressAutoHyphens/>
        <w:spacing w:after="0" w:line="240" w:lineRule="auto"/>
        <w:rPr>
          <w:rFonts w:ascii="Times New Roman" w:eastAsia="SimSun" w:hAnsi="Times New Roman" w:cs="Times New Roman"/>
          <w:b/>
          <w:color w:val="000000"/>
          <w:lang w:eastAsia="ar-SA"/>
        </w:rPr>
      </w:pPr>
      <w:r w:rsidRPr="001D3C3D">
        <w:rPr>
          <w:rFonts w:ascii="Times New Roman" w:eastAsia="SimSun" w:hAnsi="Times New Roman" w:cs="Times New Roman"/>
          <w:b/>
          <w:bCs/>
          <w:color w:val="000000"/>
          <w:lang w:eastAsia="ar-SA"/>
        </w:rPr>
        <w:t xml:space="preserve">Šis pakuotės </w:t>
      </w:r>
      <w:r w:rsidRPr="001D3C3D">
        <w:rPr>
          <w:rFonts w:ascii="Times New Roman" w:eastAsia="SimSun" w:hAnsi="Times New Roman" w:cs="Times New Roman"/>
          <w:b/>
          <w:color w:val="000000"/>
          <w:lang w:eastAsia="ar-SA"/>
        </w:rPr>
        <w:t xml:space="preserve">lapelis paskutinį kartą peržiūrėtas </w:t>
      </w:r>
      <w:r w:rsidR="00B92E23">
        <w:rPr>
          <w:rFonts w:ascii="Times New Roman" w:eastAsia="SimSun" w:hAnsi="Times New Roman" w:cs="Times New Roman"/>
          <w:b/>
          <w:color w:val="000000"/>
          <w:lang w:eastAsia="ar-SA"/>
        </w:rPr>
        <w:t>2023-06-15.</w:t>
      </w:r>
    </w:p>
    <w:p w14:paraId="15FE1EEC" w14:textId="77777777" w:rsidR="00ED7DC3" w:rsidRPr="001D3C3D" w:rsidRDefault="00ED7DC3" w:rsidP="00ED7DC3">
      <w:pPr>
        <w:tabs>
          <w:tab w:val="left" w:pos="567"/>
        </w:tabs>
        <w:suppressAutoHyphens/>
        <w:spacing w:after="0" w:line="240" w:lineRule="auto"/>
        <w:rPr>
          <w:rFonts w:ascii="Times New Roman" w:eastAsia="SimSun" w:hAnsi="Times New Roman" w:cs="Times New Roman"/>
          <w:iCs/>
          <w:color w:val="000000"/>
          <w:shd w:val="clear" w:color="auto" w:fill="FFFF00"/>
          <w:lang w:eastAsia="ar-SA"/>
        </w:rPr>
      </w:pPr>
    </w:p>
    <w:p w14:paraId="50F4F81C" w14:textId="77777777" w:rsidR="00ED7DC3" w:rsidRPr="001D3C3D" w:rsidRDefault="00ED7DC3" w:rsidP="00ED7DC3">
      <w:pPr>
        <w:tabs>
          <w:tab w:val="left" w:pos="567"/>
        </w:tabs>
        <w:suppressAutoHyphens/>
        <w:spacing w:after="0" w:line="240" w:lineRule="auto"/>
        <w:ind w:right="-2"/>
        <w:rPr>
          <w:rFonts w:ascii="Times New Roman" w:eastAsia="Times New Roman" w:hAnsi="Times New Roman" w:cs="Times New Roman"/>
          <w:color w:val="000000"/>
          <w:lang w:eastAsia="ar-SA"/>
        </w:rPr>
      </w:pPr>
      <w:r w:rsidRPr="001D3C3D">
        <w:rPr>
          <w:rFonts w:ascii="Times New Roman" w:eastAsia="Times New Roman" w:hAnsi="Times New Roman" w:cs="Times New Roman"/>
          <w:color w:val="000000"/>
          <w:lang w:eastAsia="ar-SA"/>
        </w:rPr>
        <w:t>Išsami informacija apie šį vaistą pateikiama Valstybinės vaistų kontrolės tarnybos prie Lietuvos Respublikos sveikatos apsaugos ministerijos tinklalapyje</w:t>
      </w:r>
      <w:r w:rsidRPr="001D3C3D">
        <w:rPr>
          <w:rFonts w:ascii="Times New Roman" w:eastAsia="Times New Roman" w:hAnsi="Times New Roman" w:cs="Times New Roman"/>
          <w:i/>
          <w:color w:val="000000"/>
          <w:lang w:eastAsia="ar-SA"/>
        </w:rPr>
        <w:t xml:space="preserve"> </w:t>
      </w:r>
      <w:hyperlink r:id="rId19" w:history="1">
        <w:r w:rsidRPr="001D3C3D">
          <w:rPr>
            <w:rFonts w:ascii="Times New Roman" w:eastAsia="Times New Roman" w:hAnsi="Times New Roman" w:cs="Times New Roman"/>
            <w:color w:val="0000FF"/>
            <w:u w:val="single"/>
            <w:lang w:eastAsia="ar-SA"/>
          </w:rPr>
          <w:t>http://www.vvkt.lt</w:t>
        </w:r>
      </w:hyperlink>
      <w:r w:rsidRPr="001D3C3D">
        <w:rPr>
          <w:rFonts w:ascii="Times New Roman" w:eastAsia="Times New Roman" w:hAnsi="Times New Roman" w:cs="Times New Roman"/>
          <w:color w:val="000000"/>
          <w:lang w:eastAsia="ar-SA"/>
        </w:rPr>
        <w:t>.</w:t>
      </w:r>
    </w:p>
    <w:p w14:paraId="60DF22BC" w14:textId="77777777" w:rsidR="00ED7DC3" w:rsidRPr="001D3C3D" w:rsidRDefault="00ED7DC3" w:rsidP="00ED7DC3">
      <w:pPr>
        <w:tabs>
          <w:tab w:val="left" w:pos="567"/>
        </w:tabs>
        <w:suppressAutoHyphens/>
        <w:spacing w:after="0" w:line="240" w:lineRule="auto"/>
        <w:ind w:right="-2"/>
        <w:rPr>
          <w:rFonts w:ascii="Times New Roman" w:eastAsia="Times New Roman" w:hAnsi="Times New Roman" w:cs="Times New Roman"/>
          <w:color w:val="000000"/>
          <w:lang w:eastAsia="ar-SA"/>
        </w:rPr>
      </w:pPr>
      <w:bookmarkStart w:id="0" w:name="_GoBack"/>
      <w:bookmarkEnd w:id="0"/>
    </w:p>
    <w:p w14:paraId="6B447AF5" w14:textId="77777777" w:rsidR="00ED7DC3" w:rsidRPr="001D3C3D" w:rsidRDefault="00ED7DC3" w:rsidP="00ED7DC3">
      <w:pPr>
        <w:tabs>
          <w:tab w:val="left" w:pos="567"/>
        </w:tabs>
        <w:suppressAutoHyphens/>
        <w:spacing w:after="0" w:line="260" w:lineRule="exact"/>
        <w:rPr>
          <w:rFonts w:ascii="Times New Roman" w:eastAsia="Times New Roman" w:hAnsi="Times New Roman" w:cs="Times New Roman"/>
          <w:color w:val="000000"/>
          <w:lang w:eastAsia="ar-SA"/>
        </w:rPr>
      </w:pPr>
    </w:p>
    <w:p w14:paraId="3D2E0217" w14:textId="77777777" w:rsidR="00FF4FC5" w:rsidRPr="001D3C3D" w:rsidRDefault="00FF4FC5"/>
    <w:sectPr w:rsidR="00FF4FC5" w:rsidRPr="001D3C3D">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737" w:footer="73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DA613" w14:textId="77777777" w:rsidR="00DE35C7" w:rsidRDefault="00DE35C7">
      <w:pPr>
        <w:spacing w:after="0" w:line="240" w:lineRule="auto"/>
      </w:pPr>
      <w:r>
        <w:separator/>
      </w:r>
    </w:p>
  </w:endnote>
  <w:endnote w:type="continuationSeparator" w:id="0">
    <w:p w14:paraId="39ABB5B1" w14:textId="77777777" w:rsidR="00DE35C7" w:rsidRDefault="00DE35C7">
      <w:pPr>
        <w:spacing w:after="0" w:line="240" w:lineRule="auto"/>
      </w:pPr>
      <w:r>
        <w:continuationSeparator/>
      </w:r>
    </w:p>
  </w:endnote>
  <w:endnote w:type="continuationNotice" w:id="1">
    <w:p w14:paraId="693D264C" w14:textId="77777777" w:rsidR="00DE35C7" w:rsidRDefault="00DE3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149A" w14:textId="77777777" w:rsidR="009A61D4" w:rsidRDefault="009A61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720E" w14:textId="24B62DE6" w:rsidR="009A61D4" w:rsidRDefault="009A61D4">
    <w:pPr>
      <w:pStyle w:val="Porat"/>
      <w:jc w:val="center"/>
    </w:pPr>
    <w:r>
      <w:fldChar w:fldCharType="begin"/>
    </w:r>
    <w:r>
      <w:instrText xml:space="preserve"> PAGE </w:instrText>
    </w:r>
    <w:r>
      <w:fldChar w:fldCharType="separate"/>
    </w:r>
    <w:r w:rsidR="00344520">
      <w:rPr>
        <w:noProof/>
      </w:rPr>
      <w:t>58</w:t>
    </w:r>
    <w:r>
      <w:fldChar w:fldCharType="end"/>
    </w:r>
  </w:p>
  <w:p w14:paraId="615D42D9" w14:textId="77777777" w:rsidR="009A61D4" w:rsidRDefault="009A61D4">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C2C6" w14:textId="77777777" w:rsidR="009A61D4" w:rsidRDefault="009A61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DEE6" w14:textId="77777777" w:rsidR="00DE35C7" w:rsidRDefault="00DE35C7">
      <w:pPr>
        <w:spacing w:after="0" w:line="240" w:lineRule="auto"/>
      </w:pPr>
      <w:r>
        <w:separator/>
      </w:r>
    </w:p>
  </w:footnote>
  <w:footnote w:type="continuationSeparator" w:id="0">
    <w:p w14:paraId="44ECF5E3" w14:textId="77777777" w:rsidR="00DE35C7" w:rsidRDefault="00DE35C7">
      <w:pPr>
        <w:spacing w:after="0" w:line="240" w:lineRule="auto"/>
      </w:pPr>
      <w:r>
        <w:continuationSeparator/>
      </w:r>
    </w:p>
  </w:footnote>
  <w:footnote w:type="continuationNotice" w:id="1">
    <w:p w14:paraId="4900B084" w14:textId="77777777" w:rsidR="00DE35C7" w:rsidRDefault="00DE3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4054" w14:textId="77777777" w:rsidR="009A61D4" w:rsidRDefault="009A61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E0112" w14:textId="77777777" w:rsidR="009A61D4" w:rsidRDefault="009A61D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8A01" w14:textId="77777777" w:rsidR="009A61D4" w:rsidRDefault="009A61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CA828E1A"/>
    <w:name w:val="WW8Num2"/>
    <w:lvl w:ilvl="0">
      <w:start w:val="6"/>
      <w:numFmt w:val="decimal"/>
      <w:lvlText w:val="%1"/>
      <w:lvlJc w:val="left"/>
      <w:pPr>
        <w:tabs>
          <w:tab w:val="num" w:pos="570"/>
        </w:tabs>
        <w:ind w:left="570" w:hanging="570"/>
      </w:pPr>
    </w:lvl>
    <w:lvl w:ilvl="1">
      <w:start w:val="4"/>
      <w:numFmt w:val="decimal"/>
      <w:lvlText w:val="%1.%2"/>
      <w:lvlJc w:val="left"/>
      <w:pPr>
        <w:tabs>
          <w:tab w:val="num" w:pos="570"/>
        </w:tabs>
        <w:ind w:left="570" w:hanging="57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Symbol" w:hAnsi="Symbol" w:cs="Times New Roman"/>
        <w:sz w:val="22"/>
        <w:szCs w:val="22"/>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Times New Roman"/>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
      <w:lvlJc w:val="left"/>
      <w:pPr>
        <w:tabs>
          <w:tab w:val="num" w:pos="0"/>
        </w:tabs>
        <w:ind w:left="1440" w:hanging="360"/>
      </w:pPr>
      <w:rPr>
        <w:rFonts w:ascii="Symbol" w:hAnsi="Symbol" w:cs="Symbol"/>
        <w:color w:val="00000A"/>
        <w:sz w:val="22"/>
        <w:szCs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Symbol" w:hAnsi="Symbol" w:cs="OpenSymbol"/>
        <w:szCs w:val="22"/>
      </w:rPr>
    </w:lvl>
    <w:lvl w:ilvl="2">
      <w:start w:val="1"/>
      <w:numFmt w:val="bullet"/>
      <w:lvlText w:val=""/>
      <w:lvlJc w:val="left"/>
      <w:pPr>
        <w:tabs>
          <w:tab w:val="num" w:pos="1440"/>
        </w:tabs>
        <w:ind w:left="1440" w:hanging="360"/>
      </w:pPr>
      <w:rPr>
        <w:rFonts w:ascii="Symbol" w:hAnsi="Symbol" w:cs="OpenSymbol"/>
        <w:szCs w:val="22"/>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Symbol" w:hAnsi="Symbol" w:cs="OpenSymbol"/>
        <w:szCs w:val="22"/>
      </w:rPr>
    </w:lvl>
    <w:lvl w:ilvl="5">
      <w:start w:val="1"/>
      <w:numFmt w:val="bullet"/>
      <w:lvlText w:val=""/>
      <w:lvlJc w:val="left"/>
      <w:pPr>
        <w:tabs>
          <w:tab w:val="num" w:pos="2520"/>
        </w:tabs>
        <w:ind w:left="2520" w:hanging="360"/>
      </w:pPr>
      <w:rPr>
        <w:rFonts w:ascii="Symbol" w:hAnsi="Symbol" w:cs="OpenSymbol"/>
        <w:szCs w:val="22"/>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Symbol" w:hAnsi="Symbol" w:cs="OpenSymbol"/>
        <w:szCs w:val="22"/>
      </w:rPr>
    </w:lvl>
    <w:lvl w:ilvl="8">
      <w:start w:val="1"/>
      <w:numFmt w:val="bullet"/>
      <w:lvlText w:val=""/>
      <w:lvlJc w:val="left"/>
      <w:pPr>
        <w:tabs>
          <w:tab w:val="num" w:pos="3600"/>
        </w:tabs>
        <w:ind w:left="3600" w:hanging="360"/>
      </w:pPr>
      <w:rPr>
        <w:rFonts w:ascii="Symbol" w:hAnsi="Symbol" w:cs="OpenSymbol"/>
        <w:szCs w:val="22"/>
      </w:rPr>
    </w:lvl>
  </w:abstractNum>
  <w:abstractNum w:abstractNumId="16" w15:restartNumberingAfterBreak="0">
    <w:nsid w:val="00000011"/>
    <w:multiLevelType w:val="multilevel"/>
    <w:tmpl w:val="00000011"/>
    <w:name w:val="WW8Num17"/>
    <w:lvl w:ilvl="0">
      <w:start w:val="1"/>
      <w:numFmt w:val="bullet"/>
      <w:lvlText w:val=""/>
      <w:lvlJc w:val="left"/>
      <w:pPr>
        <w:tabs>
          <w:tab w:val="num" w:pos="643"/>
        </w:tabs>
        <w:ind w:left="643" w:hanging="360"/>
      </w:pPr>
      <w:rPr>
        <w:rFonts w:ascii="Symbol" w:hAnsi="Symbol" w:cs="OpenSymbol"/>
        <w:szCs w:val="22"/>
      </w:rPr>
    </w:lvl>
    <w:lvl w:ilvl="1">
      <w:start w:val="1"/>
      <w:numFmt w:val="bullet"/>
      <w:lvlText w:val=""/>
      <w:lvlJc w:val="left"/>
      <w:pPr>
        <w:tabs>
          <w:tab w:val="num" w:pos="1003"/>
        </w:tabs>
        <w:ind w:left="1003" w:hanging="360"/>
      </w:pPr>
      <w:rPr>
        <w:rFonts w:ascii="Symbol" w:hAnsi="Symbol" w:cs="OpenSymbol"/>
        <w:szCs w:val="22"/>
      </w:rPr>
    </w:lvl>
    <w:lvl w:ilvl="2">
      <w:start w:val="1"/>
      <w:numFmt w:val="bullet"/>
      <w:lvlText w:val=""/>
      <w:lvlJc w:val="left"/>
      <w:pPr>
        <w:tabs>
          <w:tab w:val="num" w:pos="1363"/>
        </w:tabs>
        <w:ind w:left="1363" w:hanging="360"/>
      </w:pPr>
      <w:rPr>
        <w:rFonts w:ascii="Symbol" w:hAnsi="Symbol" w:cs="OpenSymbol"/>
        <w:szCs w:val="22"/>
      </w:rPr>
    </w:lvl>
    <w:lvl w:ilvl="3">
      <w:start w:val="1"/>
      <w:numFmt w:val="bullet"/>
      <w:lvlText w:val=""/>
      <w:lvlJc w:val="left"/>
      <w:pPr>
        <w:tabs>
          <w:tab w:val="num" w:pos="1723"/>
        </w:tabs>
        <w:ind w:left="1723" w:hanging="360"/>
      </w:pPr>
      <w:rPr>
        <w:rFonts w:ascii="Symbol" w:hAnsi="Symbol" w:cs="OpenSymbol"/>
        <w:szCs w:val="22"/>
      </w:rPr>
    </w:lvl>
    <w:lvl w:ilvl="4">
      <w:start w:val="1"/>
      <w:numFmt w:val="bullet"/>
      <w:lvlText w:val=""/>
      <w:lvlJc w:val="left"/>
      <w:pPr>
        <w:tabs>
          <w:tab w:val="num" w:pos="2083"/>
        </w:tabs>
        <w:ind w:left="2083" w:hanging="360"/>
      </w:pPr>
      <w:rPr>
        <w:rFonts w:ascii="Symbol" w:hAnsi="Symbol" w:cs="OpenSymbol"/>
        <w:szCs w:val="22"/>
      </w:rPr>
    </w:lvl>
    <w:lvl w:ilvl="5">
      <w:start w:val="1"/>
      <w:numFmt w:val="bullet"/>
      <w:lvlText w:val=""/>
      <w:lvlJc w:val="left"/>
      <w:pPr>
        <w:tabs>
          <w:tab w:val="num" w:pos="2443"/>
        </w:tabs>
        <w:ind w:left="2443" w:hanging="360"/>
      </w:pPr>
      <w:rPr>
        <w:rFonts w:ascii="Symbol" w:hAnsi="Symbol" w:cs="OpenSymbol"/>
        <w:szCs w:val="22"/>
      </w:rPr>
    </w:lvl>
    <w:lvl w:ilvl="6">
      <w:start w:val="1"/>
      <w:numFmt w:val="bullet"/>
      <w:lvlText w:val=""/>
      <w:lvlJc w:val="left"/>
      <w:pPr>
        <w:tabs>
          <w:tab w:val="num" w:pos="2803"/>
        </w:tabs>
        <w:ind w:left="2803" w:hanging="360"/>
      </w:pPr>
      <w:rPr>
        <w:rFonts w:ascii="Symbol" w:hAnsi="Symbol" w:cs="OpenSymbol"/>
        <w:szCs w:val="22"/>
      </w:rPr>
    </w:lvl>
    <w:lvl w:ilvl="7">
      <w:start w:val="1"/>
      <w:numFmt w:val="bullet"/>
      <w:lvlText w:val=""/>
      <w:lvlJc w:val="left"/>
      <w:pPr>
        <w:tabs>
          <w:tab w:val="num" w:pos="3163"/>
        </w:tabs>
        <w:ind w:left="3163" w:hanging="360"/>
      </w:pPr>
      <w:rPr>
        <w:rFonts w:ascii="Symbol" w:hAnsi="Symbol" w:cs="OpenSymbol"/>
        <w:szCs w:val="22"/>
      </w:rPr>
    </w:lvl>
    <w:lvl w:ilvl="8">
      <w:start w:val="1"/>
      <w:numFmt w:val="bullet"/>
      <w:lvlText w:val=""/>
      <w:lvlJc w:val="left"/>
      <w:pPr>
        <w:tabs>
          <w:tab w:val="num" w:pos="3523"/>
        </w:tabs>
        <w:ind w:left="3523" w:hanging="360"/>
      </w:pPr>
      <w:rPr>
        <w:rFonts w:ascii="Symbol" w:hAnsi="Symbol" w:cs="OpenSymbol"/>
        <w:szCs w:val="22"/>
      </w:rPr>
    </w:lvl>
  </w:abstractNum>
  <w:abstractNum w:abstractNumId="17" w15:restartNumberingAfterBreak="0">
    <w:nsid w:val="6AD37EE4"/>
    <w:multiLevelType w:val="hybridMultilevel"/>
    <w:tmpl w:val="961C2B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AC9360C"/>
    <w:multiLevelType w:val="hybridMultilevel"/>
    <w:tmpl w:val="EBC47B68"/>
    <w:lvl w:ilvl="0" w:tplc="6F7EB14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BB"/>
    <w:rsid w:val="00003DC6"/>
    <w:rsid w:val="000200E0"/>
    <w:rsid w:val="000369E6"/>
    <w:rsid w:val="000379E8"/>
    <w:rsid w:val="00041502"/>
    <w:rsid w:val="000650E2"/>
    <w:rsid w:val="00082FB9"/>
    <w:rsid w:val="000868A7"/>
    <w:rsid w:val="000A081E"/>
    <w:rsid w:val="000C70EF"/>
    <w:rsid w:val="000C7AD2"/>
    <w:rsid w:val="000E068E"/>
    <w:rsid w:val="000E2EB0"/>
    <w:rsid w:val="000F0A1D"/>
    <w:rsid w:val="000F351C"/>
    <w:rsid w:val="001128C2"/>
    <w:rsid w:val="00126BE9"/>
    <w:rsid w:val="001436F5"/>
    <w:rsid w:val="00153C31"/>
    <w:rsid w:val="0015517E"/>
    <w:rsid w:val="001835BA"/>
    <w:rsid w:val="0018710C"/>
    <w:rsid w:val="001A6BA1"/>
    <w:rsid w:val="001A6C51"/>
    <w:rsid w:val="001B7D2B"/>
    <w:rsid w:val="001C1CB9"/>
    <w:rsid w:val="001C49DB"/>
    <w:rsid w:val="001C6453"/>
    <w:rsid w:val="001C654C"/>
    <w:rsid w:val="001D3C3D"/>
    <w:rsid w:val="001F0652"/>
    <w:rsid w:val="00205CE6"/>
    <w:rsid w:val="00217B4B"/>
    <w:rsid w:val="00234A90"/>
    <w:rsid w:val="002504F5"/>
    <w:rsid w:val="0025093F"/>
    <w:rsid w:val="00260512"/>
    <w:rsid w:val="00267035"/>
    <w:rsid w:val="00274C3E"/>
    <w:rsid w:val="0028159C"/>
    <w:rsid w:val="00283B0D"/>
    <w:rsid w:val="002B2FBA"/>
    <w:rsid w:val="002C12BD"/>
    <w:rsid w:val="002D0A26"/>
    <w:rsid w:val="002D5BBC"/>
    <w:rsid w:val="002E1726"/>
    <w:rsid w:val="002F6A49"/>
    <w:rsid w:val="00301034"/>
    <w:rsid w:val="003101F0"/>
    <w:rsid w:val="00327992"/>
    <w:rsid w:val="0033368D"/>
    <w:rsid w:val="00336297"/>
    <w:rsid w:val="00344520"/>
    <w:rsid w:val="00345E5D"/>
    <w:rsid w:val="003619B3"/>
    <w:rsid w:val="00362668"/>
    <w:rsid w:val="0036275F"/>
    <w:rsid w:val="003661F3"/>
    <w:rsid w:val="00366226"/>
    <w:rsid w:val="003720D1"/>
    <w:rsid w:val="003931D7"/>
    <w:rsid w:val="003A1600"/>
    <w:rsid w:val="003C0F57"/>
    <w:rsid w:val="003C5609"/>
    <w:rsid w:val="003C5D7A"/>
    <w:rsid w:val="003D3B3C"/>
    <w:rsid w:val="003E2046"/>
    <w:rsid w:val="003F04C6"/>
    <w:rsid w:val="003F31D3"/>
    <w:rsid w:val="0040397C"/>
    <w:rsid w:val="0042042E"/>
    <w:rsid w:val="00436CBF"/>
    <w:rsid w:val="004372D4"/>
    <w:rsid w:val="004420B6"/>
    <w:rsid w:val="00445CD7"/>
    <w:rsid w:val="00461D69"/>
    <w:rsid w:val="0046430C"/>
    <w:rsid w:val="00464C6D"/>
    <w:rsid w:val="004665DA"/>
    <w:rsid w:val="00485E98"/>
    <w:rsid w:val="00496A85"/>
    <w:rsid w:val="004B5D89"/>
    <w:rsid w:val="004B7448"/>
    <w:rsid w:val="004C18BB"/>
    <w:rsid w:val="004F13E8"/>
    <w:rsid w:val="004F486F"/>
    <w:rsid w:val="00520240"/>
    <w:rsid w:val="005235F2"/>
    <w:rsid w:val="00532B88"/>
    <w:rsid w:val="0055571C"/>
    <w:rsid w:val="00555FC6"/>
    <w:rsid w:val="00556DB7"/>
    <w:rsid w:val="00557EB4"/>
    <w:rsid w:val="00560AD4"/>
    <w:rsid w:val="00576BAE"/>
    <w:rsid w:val="00581ADB"/>
    <w:rsid w:val="005832D2"/>
    <w:rsid w:val="00590A95"/>
    <w:rsid w:val="005A48DF"/>
    <w:rsid w:val="005C1899"/>
    <w:rsid w:val="005F3133"/>
    <w:rsid w:val="005F40C3"/>
    <w:rsid w:val="005F44BD"/>
    <w:rsid w:val="006100A6"/>
    <w:rsid w:val="006115E9"/>
    <w:rsid w:val="00617A34"/>
    <w:rsid w:val="00623997"/>
    <w:rsid w:val="00632541"/>
    <w:rsid w:val="00637434"/>
    <w:rsid w:val="00644DEF"/>
    <w:rsid w:val="00652883"/>
    <w:rsid w:val="006577D5"/>
    <w:rsid w:val="00661C2E"/>
    <w:rsid w:val="00661C4B"/>
    <w:rsid w:val="006703E3"/>
    <w:rsid w:val="00672B58"/>
    <w:rsid w:val="006A4537"/>
    <w:rsid w:val="006A5052"/>
    <w:rsid w:val="006A5EA6"/>
    <w:rsid w:val="006B1E82"/>
    <w:rsid w:val="006B27FA"/>
    <w:rsid w:val="006B692D"/>
    <w:rsid w:val="00714E06"/>
    <w:rsid w:val="007246D6"/>
    <w:rsid w:val="0073372D"/>
    <w:rsid w:val="00733BBE"/>
    <w:rsid w:val="0074778F"/>
    <w:rsid w:val="00756A54"/>
    <w:rsid w:val="00760F9C"/>
    <w:rsid w:val="007905D6"/>
    <w:rsid w:val="00794B06"/>
    <w:rsid w:val="00795536"/>
    <w:rsid w:val="007A22FB"/>
    <w:rsid w:val="007F49D2"/>
    <w:rsid w:val="00802C6E"/>
    <w:rsid w:val="008054A6"/>
    <w:rsid w:val="0080701D"/>
    <w:rsid w:val="0081772D"/>
    <w:rsid w:val="00820744"/>
    <w:rsid w:val="00820ECF"/>
    <w:rsid w:val="00845B69"/>
    <w:rsid w:val="00850AC3"/>
    <w:rsid w:val="00857BB8"/>
    <w:rsid w:val="0086689D"/>
    <w:rsid w:val="008671E3"/>
    <w:rsid w:val="008675F2"/>
    <w:rsid w:val="00881658"/>
    <w:rsid w:val="00886581"/>
    <w:rsid w:val="008B061C"/>
    <w:rsid w:val="008B458E"/>
    <w:rsid w:val="008B7AC3"/>
    <w:rsid w:val="008C0550"/>
    <w:rsid w:val="008C53DD"/>
    <w:rsid w:val="008D29E7"/>
    <w:rsid w:val="008E2E94"/>
    <w:rsid w:val="008F45FC"/>
    <w:rsid w:val="00910C24"/>
    <w:rsid w:val="00912A26"/>
    <w:rsid w:val="0092268E"/>
    <w:rsid w:val="00924D65"/>
    <w:rsid w:val="00926DBC"/>
    <w:rsid w:val="0093262C"/>
    <w:rsid w:val="00943AB8"/>
    <w:rsid w:val="00950FA0"/>
    <w:rsid w:val="00965CFC"/>
    <w:rsid w:val="0096782B"/>
    <w:rsid w:val="0099461D"/>
    <w:rsid w:val="009A54A9"/>
    <w:rsid w:val="009A61D4"/>
    <w:rsid w:val="009C1CC8"/>
    <w:rsid w:val="009C2CEE"/>
    <w:rsid w:val="009C3545"/>
    <w:rsid w:val="009D371C"/>
    <w:rsid w:val="009D6741"/>
    <w:rsid w:val="009E6522"/>
    <w:rsid w:val="009F04E8"/>
    <w:rsid w:val="009F0D0B"/>
    <w:rsid w:val="00A04C83"/>
    <w:rsid w:val="00A11920"/>
    <w:rsid w:val="00A264D1"/>
    <w:rsid w:val="00A32DF8"/>
    <w:rsid w:val="00A40691"/>
    <w:rsid w:val="00A65F33"/>
    <w:rsid w:val="00A67D25"/>
    <w:rsid w:val="00A73ACC"/>
    <w:rsid w:val="00A75CBC"/>
    <w:rsid w:val="00A91461"/>
    <w:rsid w:val="00AA1BB1"/>
    <w:rsid w:val="00AA1F25"/>
    <w:rsid w:val="00AA667A"/>
    <w:rsid w:val="00AA6AC4"/>
    <w:rsid w:val="00AD419C"/>
    <w:rsid w:val="00AE0D4F"/>
    <w:rsid w:val="00AE56F6"/>
    <w:rsid w:val="00AF683B"/>
    <w:rsid w:val="00B077B8"/>
    <w:rsid w:val="00B12CD6"/>
    <w:rsid w:val="00B1320F"/>
    <w:rsid w:val="00B164D0"/>
    <w:rsid w:val="00B27BF3"/>
    <w:rsid w:val="00B32DC9"/>
    <w:rsid w:val="00B32F6E"/>
    <w:rsid w:val="00B446A5"/>
    <w:rsid w:val="00B44CBE"/>
    <w:rsid w:val="00B56009"/>
    <w:rsid w:val="00B62315"/>
    <w:rsid w:val="00B92E23"/>
    <w:rsid w:val="00B93186"/>
    <w:rsid w:val="00B97C57"/>
    <w:rsid w:val="00B97CE7"/>
    <w:rsid w:val="00BB05A9"/>
    <w:rsid w:val="00BC39A2"/>
    <w:rsid w:val="00BC5BC6"/>
    <w:rsid w:val="00BC6FEF"/>
    <w:rsid w:val="00BD6A13"/>
    <w:rsid w:val="00BE7A83"/>
    <w:rsid w:val="00C1690C"/>
    <w:rsid w:val="00C27FB6"/>
    <w:rsid w:val="00C35038"/>
    <w:rsid w:val="00C51EA1"/>
    <w:rsid w:val="00C6370F"/>
    <w:rsid w:val="00C64253"/>
    <w:rsid w:val="00C80156"/>
    <w:rsid w:val="00C80509"/>
    <w:rsid w:val="00CA2905"/>
    <w:rsid w:val="00CC4471"/>
    <w:rsid w:val="00CD680F"/>
    <w:rsid w:val="00CE0B0F"/>
    <w:rsid w:val="00CE1630"/>
    <w:rsid w:val="00CE6EFB"/>
    <w:rsid w:val="00D00818"/>
    <w:rsid w:val="00D02438"/>
    <w:rsid w:val="00D32286"/>
    <w:rsid w:val="00D3293E"/>
    <w:rsid w:val="00D376E0"/>
    <w:rsid w:val="00D501AB"/>
    <w:rsid w:val="00D54CC3"/>
    <w:rsid w:val="00D552EE"/>
    <w:rsid w:val="00D60918"/>
    <w:rsid w:val="00D63968"/>
    <w:rsid w:val="00D67E5F"/>
    <w:rsid w:val="00D70528"/>
    <w:rsid w:val="00D813F2"/>
    <w:rsid w:val="00D8671B"/>
    <w:rsid w:val="00DA2744"/>
    <w:rsid w:val="00DA40B7"/>
    <w:rsid w:val="00DB0E46"/>
    <w:rsid w:val="00DB21E8"/>
    <w:rsid w:val="00DB5CCD"/>
    <w:rsid w:val="00DC3FBB"/>
    <w:rsid w:val="00DC74C3"/>
    <w:rsid w:val="00DE35C7"/>
    <w:rsid w:val="00E105D7"/>
    <w:rsid w:val="00E21F83"/>
    <w:rsid w:val="00E30853"/>
    <w:rsid w:val="00E318F6"/>
    <w:rsid w:val="00E41333"/>
    <w:rsid w:val="00E56749"/>
    <w:rsid w:val="00E60F02"/>
    <w:rsid w:val="00E6266B"/>
    <w:rsid w:val="00E64E04"/>
    <w:rsid w:val="00E701DA"/>
    <w:rsid w:val="00E776E5"/>
    <w:rsid w:val="00E853AD"/>
    <w:rsid w:val="00EA2AAF"/>
    <w:rsid w:val="00EB0E34"/>
    <w:rsid w:val="00EB3C7A"/>
    <w:rsid w:val="00EB7163"/>
    <w:rsid w:val="00ED7DC3"/>
    <w:rsid w:val="00EE2E4F"/>
    <w:rsid w:val="00EF3A3F"/>
    <w:rsid w:val="00F10742"/>
    <w:rsid w:val="00F12ECF"/>
    <w:rsid w:val="00F25066"/>
    <w:rsid w:val="00F27B33"/>
    <w:rsid w:val="00F300DA"/>
    <w:rsid w:val="00F5451B"/>
    <w:rsid w:val="00F556DF"/>
    <w:rsid w:val="00F55DE7"/>
    <w:rsid w:val="00F612D8"/>
    <w:rsid w:val="00F676D0"/>
    <w:rsid w:val="00F9118A"/>
    <w:rsid w:val="00F91549"/>
    <w:rsid w:val="00FB0073"/>
    <w:rsid w:val="00FB61B3"/>
    <w:rsid w:val="00FB7C66"/>
    <w:rsid w:val="00FC497C"/>
    <w:rsid w:val="00FD46AA"/>
    <w:rsid w:val="00FD77DC"/>
    <w:rsid w:val="00FE3369"/>
    <w:rsid w:val="00FF4FC5"/>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67F7C"/>
  <w15:chartTrackingRefBased/>
  <w15:docId w15:val="{E8B79E39-F41D-4A83-87DE-BF8D5ADC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6E0"/>
  </w:style>
  <w:style w:type="paragraph" w:styleId="Antrat1">
    <w:name w:val="heading 1"/>
    <w:basedOn w:val="prastasis"/>
    <w:next w:val="Pagrindinistekstas"/>
    <w:link w:val="Antrat1Diagrama"/>
    <w:qFormat/>
    <w:rsid w:val="00ED7DC3"/>
    <w:pPr>
      <w:keepNext/>
      <w:numPr>
        <w:numId w:val="1"/>
      </w:numPr>
      <w:suppressAutoHyphens/>
      <w:spacing w:before="240" w:after="60" w:line="240" w:lineRule="auto"/>
      <w:outlineLvl w:val="0"/>
    </w:pPr>
    <w:rPr>
      <w:rFonts w:ascii="Cambria" w:eastAsia="Times New Roman" w:hAnsi="Cambria" w:cs="Cambria"/>
      <w:b/>
      <w:bCs/>
      <w:color w:val="000000"/>
      <w:kern w:val="1"/>
      <w:sz w:val="32"/>
      <w:szCs w:val="32"/>
      <w:lang w:val="sl-SI" w:eastAsia="ar-SA"/>
    </w:rPr>
  </w:style>
  <w:style w:type="paragraph" w:styleId="Antrat2">
    <w:name w:val="heading 2"/>
    <w:basedOn w:val="prastasis"/>
    <w:next w:val="Pagrindinistekstas"/>
    <w:link w:val="Antrat2Diagrama"/>
    <w:qFormat/>
    <w:rsid w:val="00ED7DC3"/>
    <w:pPr>
      <w:keepNext/>
      <w:numPr>
        <w:ilvl w:val="1"/>
        <w:numId w:val="1"/>
      </w:numPr>
      <w:tabs>
        <w:tab w:val="left" w:pos="540"/>
      </w:tabs>
      <w:suppressAutoHyphens/>
      <w:spacing w:after="0" w:line="240" w:lineRule="auto"/>
      <w:outlineLvl w:val="1"/>
    </w:pPr>
    <w:rPr>
      <w:rFonts w:ascii="Cambria" w:eastAsia="Times New Roman" w:hAnsi="Cambria" w:cs="Cambria"/>
      <w:b/>
      <w:i/>
      <w:color w:val="000000"/>
      <w:sz w:val="28"/>
      <w:szCs w:val="24"/>
      <w:lang w:val="en-GB" w:eastAsia="ar-SA"/>
    </w:rPr>
  </w:style>
  <w:style w:type="paragraph" w:styleId="Antrat3">
    <w:name w:val="heading 3"/>
    <w:basedOn w:val="prastasis"/>
    <w:next w:val="Pagrindinistekstas"/>
    <w:link w:val="Antrat3Diagrama"/>
    <w:qFormat/>
    <w:rsid w:val="00ED7DC3"/>
    <w:pPr>
      <w:keepNext/>
      <w:numPr>
        <w:ilvl w:val="2"/>
        <w:numId w:val="1"/>
      </w:numPr>
      <w:suppressAutoHyphens/>
      <w:spacing w:before="240" w:after="60" w:line="240" w:lineRule="auto"/>
      <w:outlineLvl w:val="2"/>
    </w:pPr>
    <w:rPr>
      <w:rFonts w:ascii="Arial" w:eastAsia="Times New Roman" w:hAnsi="Arial" w:cs="Arial"/>
      <w:b/>
      <w:bCs/>
      <w:color w:val="000000"/>
      <w:sz w:val="26"/>
      <w:szCs w:val="26"/>
      <w:lang w:val="sl-SI" w:eastAsia="ar-SA"/>
    </w:rPr>
  </w:style>
  <w:style w:type="paragraph" w:styleId="Antrat4">
    <w:name w:val="heading 4"/>
    <w:basedOn w:val="prastasis"/>
    <w:next w:val="Pagrindinistekstas"/>
    <w:link w:val="Antrat4Diagrama"/>
    <w:qFormat/>
    <w:rsid w:val="00ED7DC3"/>
    <w:pPr>
      <w:keepNext/>
      <w:numPr>
        <w:ilvl w:val="3"/>
        <w:numId w:val="1"/>
      </w:numPr>
      <w:suppressAutoHyphens/>
      <w:spacing w:after="0" w:line="240" w:lineRule="auto"/>
      <w:jc w:val="both"/>
      <w:outlineLvl w:val="3"/>
    </w:pPr>
    <w:rPr>
      <w:rFonts w:ascii="Times New Roman" w:eastAsia="Times New Roman" w:hAnsi="Times New Roman" w:cs="Times New Roman"/>
      <w:color w:val="000000"/>
      <w:sz w:val="24"/>
      <w:szCs w:val="24"/>
      <w:u w:val="single"/>
      <w:lang w:val="sl-SI" w:eastAsia="ar-SA"/>
    </w:rPr>
  </w:style>
  <w:style w:type="paragraph" w:styleId="Antrat5">
    <w:name w:val="heading 5"/>
    <w:basedOn w:val="prastasis"/>
    <w:next w:val="Pagrindinistekstas"/>
    <w:link w:val="Antrat5Diagrama"/>
    <w:qFormat/>
    <w:rsid w:val="00ED7DC3"/>
    <w:pPr>
      <w:numPr>
        <w:ilvl w:val="4"/>
        <w:numId w:val="1"/>
      </w:numPr>
      <w:suppressAutoHyphens/>
      <w:spacing w:before="240" w:after="60" w:line="240" w:lineRule="auto"/>
      <w:outlineLvl w:val="4"/>
    </w:pPr>
    <w:rPr>
      <w:rFonts w:ascii="Times New Roman" w:eastAsia="Times New Roman" w:hAnsi="Times New Roman" w:cs="Times New Roman"/>
      <w:b/>
      <w:bCs/>
      <w:i/>
      <w:iCs/>
      <w:color w:val="000000"/>
      <w:sz w:val="26"/>
      <w:szCs w:val="26"/>
      <w:lang w:val="sl-SI" w:eastAsia="ar-SA"/>
    </w:rPr>
  </w:style>
  <w:style w:type="paragraph" w:styleId="Antrat6">
    <w:name w:val="heading 6"/>
    <w:basedOn w:val="prastasis"/>
    <w:next w:val="Pagrindinistekstas"/>
    <w:link w:val="Antrat6Diagrama"/>
    <w:qFormat/>
    <w:rsid w:val="00ED7DC3"/>
    <w:pPr>
      <w:numPr>
        <w:ilvl w:val="5"/>
        <w:numId w:val="1"/>
      </w:numPr>
      <w:suppressAutoHyphens/>
      <w:spacing w:before="240" w:after="60" w:line="240" w:lineRule="auto"/>
      <w:outlineLvl w:val="5"/>
    </w:pPr>
    <w:rPr>
      <w:rFonts w:ascii="Times New Roman" w:eastAsia="Times New Roman" w:hAnsi="Times New Roman" w:cs="Times New Roman"/>
      <w:b/>
      <w:bCs/>
      <w:color w:val="000000"/>
      <w:sz w:val="24"/>
      <w:lang w:val="sl-SI" w:eastAsia="ar-SA"/>
    </w:rPr>
  </w:style>
  <w:style w:type="paragraph" w:styleId="Antrat7">
    <w:name w:val="heading 7"/>
    <w:basedOn w:val="prastasis"/>
    <w:next w:val="Pagrindinistekstas"/>
    <w:link w:val="Antrat7Diagrama"/>
    <w:qFormat/>
    <w:rsid w:val="00ED7DC3"/>
    <w:pPr>
      <w:keepNext/>
      <w:numPr>
        <w:ilvl w:val="6"/>
        <w:numId w:val="1"/>
      </w:numPr>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color w:val="000000"/>
      <w:sz w:val="24"/>
      <w:szCs w:val="24"/>
      <w:lang w:val="cs-CZ" w:eastAsia="ar-SA"/>
    </w:rPr>
  </w:style>
  <w:style w:type="paragraph" w:styleId="Antrat8">
    <w:name w:val="heading 8"/>
    <w:basedOn w:val="prastasis"/>
    <w:next w:val="Pagrindinistekstas"/>
    <w:link w:val="Antrat8Diagrama"/>
    <w:qFormat/>
    <w:rsid w:val="00ED7DC3"/>
    <w:pPr>
      <w:numPr>
        <w:ilvl w:val="7"/>
        <w:numId w:val="1"/>
      </w:numPr>
      <w:suppressAutoHyphens/>
      <w:spacing w:before="240" w:after="60" w:line="240" w:lineRule="auto"/>
      <w:outlineLvl w:val="7"/>
    </w:pPr>
    <w:rPr>
      <w:rFonts w:ascii="Times New Roman" w:eastAsia="Times New Roman" w:hAnsi="Times New Roman" w:cs="Times New Roman"/>
      <w:i/>
      <w:iCs/>
      <w:color w:val="000000"/>
      <w:sz w:val="24"/>
      <w:szCs w:val="24"/>
      <w:lang w:val="sl-SI" w:eastAsia="ar-SA"/>
    </w:rPr>
  </w:style>
  <w:style w:type="paragraph" w:styleId="Antrat9">
    <w:name w:val="heading 9"/>
    <w:basedOn w:val="prastasis"/>
    <w:next w:val="Pagrindinistekstas"/>
    <w:link w:val="Antrat9Diagrama"/>
    <w:qFormat/>
    <w:rsid w:val="00ED7DC3"/>
    <w:pPr>
      <w:keepNext/>
      <w:numPr>
        <w:ilvl w:val="8"/>
        <w:numId w:val="1"/>
      </w:numPr>
      <w:tabs>
        <w:tab w:val="left" w:pos="567"/>
      </w:tabs>
      <w:suppressAutoHyphens/>
      <w:spacing w:after="0" w:line="260" w:lineRule="exact"/>
      <w:jc w:val="both"/>
      <w:outlineLvl w:val="8"/>
    </w:pPr>
    <w:rPr>
      <w:rFonts w:ascii="Times New Roman" w:eastAsia="Times New Roman" w:hAnsi="Times New Roman" w:cs="Times New Roman"/>
      <w:b/>
      <w:i/>
      <w:color w:val="000000"/>
      <w:sz w:val="24"/>
      <w:szCs w:val="24"/>
      <w:lang w:val="cs-CZ"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7DC3"/>
    <w:rPr>
      <w:rFonts w:ascii="Cambria" w:eastAsia="Times New Roman" w:hAnsi="Cambria" w:cs="Cambria"/>
      <w:b/>
      <w:bCs/>
      <w:color w:val="000000"/>
      <w:kern w:val="1"/>
      <w:sz w:val="32"/>
      <w:szCs w:val="32"/>
      <w:lang w:val="sl-SI" w:eastAsia="ar-SA"/>
    </w:rPr>
  </w:style>
  <w:style w:type="character" w:customStyle="1" w:styleId="Antrat2Diagrama">
    <w:name w:val="Antraštė 2 Diagrama"/>
    <w:basedOn w:val="Numatytasispastraiposriftas"/>
    <w:link w:val="Antrat2"/>
    <w:rsid w:val="00ED7DC3"/>
    <w:rPr>
      <w:rFonts w:ascii="Cambria" w:eastAsia="Times New Roman" w:hAnsi="Cambria" w:cs="Cambria"/>
      <w:b/>
      <w:i/>
      <w:color w:val="000000"/>
      <w:sz w:val="28"/>
      <w:szCs w:val="24"/>
      <w:lang w:val="en-GB" w:eastAsia="ar-SA"/>
    </w:rPr>
  </w:style>
  <w:style w:type="character" w:customStyle="1" w:styleId="Antrat3Diagrama">
    <w:name w:val="Antraštė 3 Diagrama"/>
    <w:basedOn w:val="Numatytasispastraiposriftas"/>
    <w:link w:val="Antrat3"/>
    <w:rsid w:val="00ED7DC3"/>
    <w:rPr>
      <w:rFonts w:ascii="Arial" w:eastAsia="Times New Roman" w:hAnsi="Arial" w:cs="Arial"/>
      <w:b/>
      <w:bCs/>
      <w:color w:val="000000"/>
      <w:sz w:val="26"/>
      <w:szCs w:val="26"/>
      <w:lang w:val="sl-SI" w:eastAsia="ar-SA"/>
    </w:rPr>
  </w:style>
  <w:style w:type="character" w:customStyle="1" w:styleId="Antrat4Diagrama">
    <w:name w:val="Antraštė 4 Diagrama"/>
    <w:basedOn w:val="Numatytasispastraiposriftas"/>
    <w:link w:val="Antrat4"/>
    <w:rsid w:val="00ED7DC3"/>
    <w:rPr>
      <w:rFonts w:ascii="Times New Roman" w:eastAsia="Times New Roman" w:hAnsi="Times New Roman" w:cs="Times New Roman"/>
      <w:color w:val="000000"/>
      <w:sz w:val="24"/>
      <w:szCs w:val="24"/>
      <w:u w:val="single"/>
      <w:lang w:val="sl-SI" w:eastAsia="ar-SA"/>
    </w:rPr>
  </w:style>
  <w:style w:type="character" w:customStyle="1" w:styleId="Antrat5Diagrama">
    <w:name w:val="Antraštė 5 Diagrama"/>
    <w:basedOn w:val="Numatytasispastraiposriftas"/>
    <w:link w:val="Antrat5"/>
    <w:rsid w:val="00ED7DC3"/>
    <w:rPr>
      <w:rFonts w:ascii="Times New Roman" w:eastAsia="Times New Roman" w:hAnsi="Times New Roman" w:cs="Times New Roman"/>
      <w:b/>
      <w:bCs/>
      <w:i/>
      <w:iCs/>
      <w:color w:val="000000"/>
      <w:sz w:val="26"/>
      <w:szCs w:val="26"/>
      <w:lang w:val="sl-SI" w:eastAsia="ar-SA"/>
    </w:rPr>
  </w:style>
  <w:style w:type="character" w:customStyle="1" w:styleId="Antrat6Diagrama">
    <w:name w:val="Antraštė 6 Diagrama"/>
    <w:basedOn w:val="Numatytasispastraiposriftas"/>
    <w:link w:val="Antrat6"/>
    <w:rsid w:val="00ED7DC3"/>
    <w:rPr>
      <w:rFonts w:ascii="Times New Roman" w:eastAsia="Times New Roman" w:hAnsi="Times New Roman" w:cs="Times New Roman"/>
      <w:b/>
      <w:bCs/>
      <w:color w:val="000000"/>
      <w:sz w:val="24"/>
      <w:lang w:val="sl-SI" w:eastAsia="ar-SA"/>
    </w:rPr>
  </w:style>
  <w:style w:type="character" w:customStyle="1" w:styleId="Antrat7Diagrama">
    <w:name w:val="Antraštė 7 Diagrama"/>
    <w:basedOn w:val="Numatytasispastraiposriftas"/>
    <w:link w:val="Antrat7"/>
    <w:rsid w:val="00ED7DC3"/>
    <w:rPr>
      <w:rFonts w:ascii="Times New Roman" w:eastAsia="Times New Roman" w:hAnsi="Times New Roman" w:cs="Times New Roman"/>
      <w:i/>
      <w:color w:val="000000"/>
      <w:sz w:val="24"/>
      <w:szCs w:val="24"/>
      <w:lang w:val="cs-CZ" w:eastAsia="ar-SA"/>
    </w:rPr>
  </w:style>
  <w:style w:type="character" w:customStyle="1" w:styleId="Antrat8Diagrama">
    <w:name w:val="Antraštė 8 Diagrama"/>
    <w:basedOn w:val="Numatytasispastraiposriftas"/>
    <w:link w:val="Antrat8"/>
    <w:rsid w:val="00ED7DC3"/>
    <w:rPr>
      <w:rFonts w:ascii="Times New Roman" w:eastAsia="Times New Roman" w:hAnsi="Times New Roman" w:cs="Times New Roman"/>
      <w:i/>
      <w:iCs/>
      <w:color w:val="000000"/>
      <w:sz w:val="24"/>
      <w:szCs w:val="24"/>
      <w:lang w:val="sl-SI" w:eastAsia="ar-SA"/>
    </w:rPr>
  </w:style>
  <w:style w:type="character" w:customStyle="1" w:styleId="Antrat9Diagrama">
    <w:name w:val="Antraštė 9 Diagrama"/>
    <w:basedOn w:val="Numatytasispastraiposriftas"/>
    <w:link w:val="Antrat9"/>
    <w:rsid w:val="00ED7DC3"/>
    <w:rPr>
      <w:rFonts w:ascii="Times New Roman" w:eastAsia="Times New Roman" w:hAnsi="Times New Roman" w:cs="Times New Roman"/>
      <w:b/>
      <w:i/>
      <w:color w:val="000000"/>
      <w:sz w:val="24"/>
      <w:szCs w:val="24"/>
      <w:lang w:val="cs-CZ" w:eastAsia="ar-SA"/>
    </w:rPr>
  </w:style>
  <w:style w:type="numbering" w:customStyle="1" w:styleId="Sraonra1">
    <w:name w:val="Sąrašo nėra1"/>
    <w:next w:val="Sraonra"/>
    <w:uiPriority w:val="99"/>
    <w:semiHidden/>
    <w:unhideWhenUsed/>
    <w:rsid w:val="00ED7DC3"/>
  </w:style>
  <w:style w:type="character" w:customStyle="1" w:styleId="WW8Num1z0">
    <w:name w:val="WW8Num1z0"/>
    <w:rsid w:val="00ED7DC3"/>
  </w:style>
  <w:style w:type="character" w:customStyle="1" w:styleId="WW8Num1z1">
    <w:name w:val="WW8Num1z1"/>
    <w:rsid w:val="00ED7DC3"/>
  </w:style>
  <w:style w:type="character" w:customStyle="1" w:styleId="WW8Num1z2">
    <w:name w:val="WW8Num1z2"/>
    <w:rsid w:val="00ED7DC3"/>
  </w:style>
  <w:style w:type="character" w:customStyle="1" w:styleId="WW8Num1z3">
    <w:name w:val="WW8Num1z3"/>
    <w:rsid w:val="00ED7DC3"/>
  </w:style>
  <w:style w:type="character" w:customStyle="1" w:styleId="WW8Num1z4">
    <w:name w:val="WW8Num1z4"/>
    <w:rsid w:val="00ED7DC3"/>
  </w:style>
  <w:style w:type="character" w:customStyle="1" w:styleId="WW8Num1z5">
    <w:name w:val="WW8Num1z5"/>
    <w:rsid w:val="00ED7DC3"/>
  </w:style>
  <w:style w:type="character" w:customStyle="1" w:styleId="WW8Num1z6">
    <w:name w:val="WW8Num1z6"/>
    <w:rsid w:val="00ED7DC3"/>
  </w:style>
  <w:style w:type="character" w:customStyle="1" w:styleId="WW8Num1z7">
    <w:name w:val="WW8Num1z7"/>
    <w:rsid w:val="00ED7DC3"/>
  </w:style>
  <w:style w:type="character" w:customStyle="1" w:styleId="WW8Num1z8">
    <w:name w:val="WW8Num1z8"/>
    <w:rsid w:val="00ED7DC3"/>
  </w:style>
  <w:style w:type="character" w:customStyle="1" w:styleId="WW8Num2z0">
    <w:name w:val="WW8Num2z0"/>
    <w:rsid w:val="00ED7DC3"/>
  </w:style>
  <w:style w:type="character" w:customStyle="1" w:styleId="WW8Num2z1">
    <w:name w:val="WW8Num2z1"/>
    <w:rsid w:val="00ED7DC3"/>
  </w:style>
  <w:style w:type="character" w:customStyle="1" w:styleId="WW8Num2z2">
    <w:name w:val="WW8Num2z2"/>
    <w:rsid w:val="00ED7DC3"/>
  </w:style>
  <w:style w:type="character" w:customStyle="1" w:styleId="WW8Num2z3">
    <w:name w:val="WW8Num2z3"/>
    <w:rsid w:val="00ED7DC3"/>
  </w:style>
  <w:style w:type="character" w:customStyle="1" w:styleId="WW8Num2z4">
    <w:name w:val="WW8Num2z4"/>
    <w:rsid w:val="00ED7DC3"/>
  </w:style>
  <w:style w:type="character" w:customStyle="1" w:styleId="WW8Num2z5">
    <w:name w:val="WW8Num2z5"/>
    <w:rsid w:val="00ED7DC3"/>
  </w:style>
  <w:style w:type="character" w:customStyle="1" w:styleId="WW8Num2z6">
    <w:name w:val="WW8Num2z6"/>
    <w:rsid w:val="00ED7DC3"/>
  </w:style>
  <w:style w:type="character" w:customStyle="1" w:styleId="WW8Num2z7">
    <w:name w:val="WW8Num2z7"/>
    <w:rsid w:val="00ED7DC3"/>
  </w:style>
  <w:style w:type="character" w:customStyle="1" w:styleId="WW8Num2z8">
    <w:name w:val="WW8Num2z8"/>
    <w:rsid w:val="00ED7DC3"/>
  </w:style>
  <w:style w:type="character" w:customStyle="1" w:styleId="WW8Num3z0">
    <w:name w:val="WW8Num3z0"/>
    <w:rsid w:val="00ED7DC3"/>
    <w:rPr>
      <w:rFonts w:ascii="Symbol" w:eastAsia="SimSun" w:hAnsi="Symbol" w:cs="Times New Roman"/>
      <w:sz w:val="22"/>
      <w:szCs w:val="22"/>
    </w:rPr>
  </w:style>
  <w:style w:type="character" w:customStyle="1" w:styleId="WW8Num3z1">
    <w:name w:val="WW8Num3z1"/>
    <w:rsid w:val="00ED7DC3"/>
    <w:rPr>
      <w:rFonts w:ascii="Courier New" w:hAnsi="Courier New" w:cs="Courier New"/>
    </w:rPr>
  </w:style>
  <w:style w:type="character" w:customStyle="1" w:styleId="WW8Num3z2">
    <w:name w:val="WW8Num3z2"/>
    <w:rsid w:val="00ED7DC3"/>
    <w:rPr>
      <w:rFonts w:ascii="Wingdings" w:hAnsi="Wingdings" w:cs="Wingdings"/>
    </w:rPr>
  </w:style>
  <w:style w:type="character" w:customStyle="1" w:styleId="WW8Num3z3">
    <w:name w:val="WW8Num3z3"/>
    <w:rsid w:val="00ED7DC3"/>
    <w:rPr>
      <w:rFonts w:ascii="Symbol" w:hAnsi="Symbol" w:cs="Symbol"/>
    </w:rPr>
  </w:style>
  <w:style w:type="character" w:customStyle="1" w:styleId="WW8Num4z0">
    <w:name w:val="WW8Num4z0"/>
    <w:rsid w:val="00ED7DC3"/>
    <w:rPr>
      <w:rFonts w:ascii="Symbol" w:eastAsia="SimSun" w:hAnsi="Symbol" w:cs="Times New Roman"/>
      <w:sz w:val="22"/>
      <w:szCs w:val="22"/>
    </w:rPr>
  </w:style>
  <w:style w:type="character" w:customStyle="1" w:styleId="WW8Num4z1">
    <w:name w:val="WW8Num4z1"/>
    <w:rsid w:val="00ED7DC3"/>
    <w:rPr>
      <w:rFonts w:ascii="Courier New" w:hAnsi="Courier New" w:cs="Courier New"/>
    </w:rPr>
  </w:style>
  <w:style w:type="character" w:customStyle="1" w:styleId="WW8Num4z2">
    <w:name w:val="WW8Num4z2"/>
    <w:rsid w:val="00ED7DC3"/>
    <w:rPr>
      <w:rFonts w:ascii="Wingdings" w:hAnsi="Wingdings" w:cs="Wingdings"/>
    </w:rPr>
  </w:style>
  <w:style w:type="character" w:customStyle="1" w:styleId="WW8Num4z3">
    <w:name w:val="WW8Num4z3"/>
    <w:rsid w:val="00ED7DC3"/>
    <w:rPr>
      <w:rFonts w:ascii="Symbol" w:hAnsi="Symbol" w:cs="Symbol"/>
    </w:rPr>
  </w:style>
  <w:style w:type="character" w:customStyle="1" w:styleId="WW8Num5z0">
    <w:name w:val="WW8Num5z0"/>
    <w:rsid w:val="00ED7DC3"/>
    <w:rPr>
      <w:rFonts w:ascii="Symbol" w:eastAsia="Calibri" w:hAnsi="Symbol" w:cs="Times New Roman"/>
      <w:sz w:val="22"/>
      <w:szCs w:val="22"/>
    </w:rPr>
  </w:style>
  <w:style w:type="character" w:customStyle="1" w:styleId="WW8Num5z1">
    <w:name w:val="WW8Num5z1"/>
    <w:rsid w:val="00ED7DC3"/>
    <w:rPr>
      <w:rFonts w:ascii="Courier New" w:hAnsi="Courier New" w:cs="Courier New"/>
    </w:rPr>
  </w:style>
  <w:style w:type="character" w:customStyle="1" w:styleId="WW8Num5z2">
    <w:name w:val="WW8Num5z2"/>
    <w:rsid w:val="00ED7DC3"/>
    <w:rPr>
      <w:rFonts w:ascii="Wingdings" w:hAnsi="Wingdings" w:cs="Wingdings"/>
    </w:rPr>
  </w:style>
  <w:style w:type="character" w:customStyle="1" w:styleId="WW8Num5z3">
    <w:name w:val="WW8Num5z3"/>
    <w:rsid w:val="00ED7DC3"/>
    <w:rPr>
      <w:rFonts w:ascii="Symbol" w:hAnsi="Symbol" w:cs="Symbol"/>
    </w:rPr>
  </w:style>
  <w:style w:type="character" w:customStyle="1" w:styleId="WW8Num6z0">
    <w:name w:val="WW8Num6z0"/>
    <w:rsid w:val="00ED7DC3"/>
    <w:rPr>
      <w:rFonts w:ascii="Symbol" w:hAnsi="Symbol" w:cs="Symbol"/>
      <w:color w:val="00000A"/>
      <w:sz w:val="22"/>
    </w:rPr>
  </w:style>
  <w:style w:type="character" w:customStyle="1" w:styleId="WW8Num6z1">
    <w:name w:val="WW8Num6z1"/>
    <w:rsid w:val="00ED7DC3"/>
    <w:rPr>
      <w:rFonts w:ascii="Courier New" w:hAnsi="Courier New" w:cs="Courier New"/>
    </w:rPr>
  </w:style>
  <w:style w:type="character" w:customStyle="1" w:styleId="WW8Num6z2">
    <w:name w:val="WW8Num6z2"/>
    <w:rsid w:val="00ED7DC3"/>
    <w:rPr>
      <w:rFonts w:ascii="Wingdings" w:hAnsi="Wingdings" w:cs="Wingdings"/>
    </w:rPr>
  </w:style>
  <w:style w:type="character" w:customStyle="1" w:styleId="WW8Num6z3">
    <w:name w:val="WW8Num6z3"/>
    <w:rsid w:val="00ED7DC3"/>
    <w:rPr>
      <w:rFonts w:ascii="Symbol" w:hAnsi="Symbol" w:cs="Symbol"/>
    </w:rPr>
  </w:style>
  <w:style w:type="character" w:customStyle="1" w:styleId="WW8Num7z0">
    <w:name w:val="WW8Num7z0"/>
    <w:rsid w:val="00ED7DC3"/>
    <w:rPr>
      <w:rFonts w:ascii="Symbol" w:eastAsia="Calibri" w:hAnsi="Symbol" w:cs="Symbol"/>
      <w:color w:val="00000A"/>
      <w:sz w:val="22"/>
      <w:szCs w:val="22"/>
    </w:rPr>
  </w:style>
  <w:style w:type="character" w:customStyle="1" w:styleId="WW8Num7z2">
    <w:name w:val="WW8Num7z2"/>
    <w:rsid w:val="00ED7DC3"/>
    <w:rPr>
      <w:rFonts w:ascii="Wingdings" w:hAnsi="Wingdings" w:cs="Wingdings"/>
    </w:rPr>
  </w:style>
  <w:style w:type="character" w:customStyle="1" w:styleId="WW8Num7z3">
    <w:name w:val="WW8Num7z3"/>
    <w:rsid w:val="00ED7DC3"/>
    <w:rPr>
      <w:rFonts w:ascii="Symbol" w:hAnsi="Symbol" w:cs="Symbol"/>
    </w:rPr>
  </w:style>
  <w:style w:type="character" w:customStyle="1" w:styleId="WW8Num7z4">
    <w:name w:val="WW8Num7z4"/>
    <w:rsid w:val="00ED7DC3"/>
    <w:rPr>
      <w:rFonts w:ascii="Courier New" w:hAnsi="Courier New" w:cs="Courier New"/>
    </w:rPr>
  </w:style>
  <w:style w:type="character" w:customStyle="1" w:styleId="WW8Num8z0">
    <w:name w:val="WW8Num8z0"/>
    <w:rsid w:val="00ED7DC3"/>
    <w:rPr>
      <w:rFonts w:ascii="Symbol" w:eastAsia="SimSun" w:hAnsi="Symbol" w:cs="Symbol"/>
      <w:color w:val="00000A"/>
      <w:sz w:val="22"/>
      <w:szCs w:val="22"/>
    </w:rPr>
  </w:style>
  <w:style w:type="character" w:customStyle="1" w:styleId="WW8Num8z1">
    <w:name w:val="WW8Num8z1"/>
    <w:rsid w:val="00ED7DC3"/>
    <w:rPr>
      <w:rFonts w:ascii="Courier New" w:hAnsi="Courier New" w:cs="Courier New"/>
    </w:rPr>
  </w:style>
  <w:style w:type="character" w:customStyle="1" w:styleId="WW8Num8z2">
    <w:name w:val="WW8Num8z2"/>
    <w:rsid w:val="00ED7DC3"/>
    <w:rPr>
      <w:rFonts w:ascii="Wingdings" w:hAnsi="Wingdings" w:cs="Wingdings"/>
    </w:rPr>
  </w:style>
  <w:style w:type="character" w:customStyle="1" w:styleId="WW8Num8z3">
    <w:name w:val="WW8Num8z3"/>
    <w:rsid w:val="00ED7DC3"/>
    <w:rPr>
      <w:rFonts w:ascii="Symbol" w:hAnsi="Symbol" w:cs="Symbol"/>
    </w:rPr>
  </w:style>
  <w:style w:type="character" w:customStyle="1" w:styleId="WW8Num9z0">
    <w:name w:val="WW8Num9z0"/>
    <w:rsid w:val="00ED7DC3"/>
    <w:rPr>
      <w:rFonts w:ascii="Symbol" w:eastAsia="SimSun" w:hAnsi="Symbol" w:cs="Symbol"/>
      <w:color w:val="00000A"/>
      <w:sz w:val="22"/>
      <w:szCs w:val="22"/>
    </w:rPr>
  </w:style>
  <w:style w:type="character" w:customStyle="1" w:styleId="WW8Num9z1">
    <w:name w:val="WW8Num9z1"/>
    <w:rsid w:val="00ED7DC3"/>
    <w:rPr>
      <w:rFonts w:ascii="Courier New" w:hAnsi="Courier New" w:cs="Courier New"/>
    </w:rPr>
  </w:style>
  <w:style w:type="character" w:customStyle="1" w:styleId="WW8Num9z2">
    <w:name w:val="WW8Num9z2"/>
    <w:rsid w:val="00ED7DC3"/>
    <w:rPr>
      <w:rFonts w:ascii="Wingdings" w:hAnsi="Wingdings" w:cs="Wingdings"/>
    </w:rPr>
  </w:style>
  <w:style w:type="character" w:customStyle="1" w:styleId="WW8Num9z3">
    <w:name w:val="WW8Num9z3"/>
    <w:rsid w:val="00ED7DC3"/>
    <w:rPr>
      <w:rFonts w:ascii="Symbol" w:hAnsi="Symbol" w:cs="Symbol"/>
    </w:rPr>
  </w:style>
  <w:style w:type="character" w:customStyle="1" w:styleId="WW8Num10z0">
    <w:name w:val="WW8Num10z0"/>
    <w:rsid w:val="00ED7DC3"/>
    <w:rPr>
      <w:rFonts w:ascii="Symbol" w:eastAsia="SimSun" w:hAnsi="Symbol" w:cs="Symbol"/>
      <w:color w:val="00000A"/>
      <w:sz w:val="22"/>
      <w:szCs w:val="22"/>
    </w:rPr>
  </w:style>
  <w:style w:type="character" w:customStyle="1" w:styleId="WW8Num10z1">
    <w:name w:val="WW8Num10z1"/>
    <w:rsid w:val="00ED7DC3"/>
    <w:rPr>
      <w:rFonts w:ascii="Courier New" w:hAnsi="Courier New" w:cs="Courier New"/>
    </w:rPr>
  </w:style>
  <w:style w:type="character" w:customStyle="1" w:styleId="WW8Num10z2">
    <w:name w:val="WW8Num10z2"/>
    <w:rsid w:val="00ED7DC3"/>
    <w:rPr>
      <w:rFonts w:ascii="Wingdings" w:hAnsi="Wingdings" w:cs="Wingdings"/>
    </w:rPr>
  </w:style>
  <w:style w:type="character" w:customStyle="1" w:styleId="WW8Num10z3">
    <w:name w:val="WW8Num10z3"/>
    <w:rsid w:val="00ED7DC3"/>
    <w:rPr>
      <w:rFonts w:ascii="Symbol" w:hAnsi="Symbol" w:cs="Symbol"/>
    </w:rPr>
  </w:style>
  <w:style w:type="character" w:customStyle="1" w:styleId="WW8Num11z0">
    <w:name w:val="WW8Num11z0"/>
    <w:rsid w:val="00ED7DC3"/>
    <w:rPr>
      <w:rFonts w:ascii="Symbol" w:eastAsia="SimSun" w:hAnsi="Symbol" w:cs="Symbol"/>
      <w:color w:val="00000A"/>
      <w:sz w:val="22"/>
      <w:szCs w:val="22"/>
    </w:rPr>
  </w:style>
  <w:style w:type="character" w:customStyle="1" w:styleId="WW8Num11z1">
    <w:name w:val="WW8Num11z1"/>
    <w:rsid w:val="00ED7DC3"/>
    <w:rPr>
      <w:rFonts w:ascii="Courier New" w:hAnsi="Courier New" w:cs="Courier New"/>
    </w:rPr>
  </w:style>
  <w:style w:type="character" w:customStyle="1" w:styleId="WW8Num11z2">
    <w:name w:val="WW8Num11z2"/>
    <w:rsid w:val="00ED7DC3"/>
    <w:rPr>
      <w:rFonts w:ascii="Wingdings" w:hAnsi="Wingdings" w:cs="Wingdings"/>
    </w:rPr>
  </w:style>
  <w:style w:type="character" w:customStyle="1" w:styleId="WW8Num11z3">
    <w:name w:val="WW8Num11z3"/>
    <w:rsid w:val="00ED7DC3"/>
    <w:rPr>
      <w:rFonts w:ascii="Symbol" w:hAnsi="Symbol" w:cs="Symbol"/>
    </w:rPr>
  </w:style>
  <w:style w:type="character" w:customStyle="1" w:styleId="WW8Num12z0">
    <w:name w:val="WW8Num12z0"/>
    <w:rsid w:val="00ED7DC3"/>
    <w:rPr>
      <w:rFonts w:ascii="Symbol" w:eastAsia="SimSun" w:hAnsi="Symbol" w:cs="Symbol"/>
      <w:color w:val="00000A"/>
      <w:sz w:val="22"/>
      <w:szCs w:val="22"/>
    </w:rPr>
  </w:style>
  <w:style w:type="character" w:customStyle="1" w:styleId="WW8Num12z1">
    <w:name w:val="WW8Num12z1"/>
    <w:rsid w:val="00ED7DC3"/>
    <w:rPr>
      <w:rFonts w:ascii="Courier New" w:hAnsi="Courier New" w:cs="Courier New"/>
    </w:rPr>
  </w:style>
  <w:style w:type="character" w:customStyle="1" w:styleId="WW8Num12z2">
    <w:name w:val="WW8Num12z2"/>
    <w:rsid w:val="00ED7DC3"/>
    <w:rPr>
      <w:rFonts w:ascii="Wingdings" w:hAnsi="Wingdings" w:cs="Wingdings"/>
    </w:rPr>
  </w:style>
  <w:style w:type="character" w:customStyle="1" w:styleId="WW8Num12z3">
    <w:name w:val="WW8Num12z3"/>
    <w:rsid w:val="00ED7DC3"/>
    <w:rPr>
      <w:rFonts w:ascii="Symbol" w:hAnsi="Symbol" w:cs="Symbol"/>
    </w:rPr>
  </w:style>
  <w:style w:type="character" w:customStyle="1" w:styleId="WW8Num13z0">
    <w:name w:val="WW8Num13z0"/>
    <w:rsid w:val="00ED7DC3"/>
    <w:rPr>
      <w:rFonts w:ascii="Symbol" w:eastAsia="SimSun" w:hAnsi="Symbol" w:cs="Symbol"/>
      <w:color w:val="00000A"/>
      <w:sz w:val="22"/>
      <w:szCs w:val="22"/>
    </w:rPr>
  </w:style>
  <w:style w:type="character" w:customStyle="1" w:styleId="WW8Num13z1">
    <w:name w:val="WW8Num13z1"/>
    <w:rsid w:val="00ED7DC3"/>
    <w:rPr>
      <w:rFonts w:ascii="Courier New" w:hAnsi="Courier New" w:cs="Courier New"/>
    </w:rPr>
  </w:style>
  <w:style w:type="character" w:customStyle="1" w:styleId="WW8Num13z2">
    <w:name w:val="WW8Num13z2"/>
    <w:rsid w:val="00ED7DC3"/>
    <w:rPr>
      <w:rFonts w:ascii="Wingdings" w:hAnsi="Wingdings" w:cs="Wingdings"/>
    </w:rPr>
  </w:style>
  <w:style w:type="character" w:customStyle="1" w:styleId="WW8Num13z3">
    <w:name w:val="WW8Num13z3"/>
    <w:rsid w:val="00ED7DC3"/>
    <w:rPr>
      <w:rFonts w:ascii="Symbol" w:hAnsi="Symbol" w:cs="Symbol"/>
    </w:rPr>
  </w:style>
  <w:style w:type="character" w:customStyle="1" w:styleId="WW8Num14z0">
    <w:name w:val="WW8Num14z0"/>
    <w:rsid w:val="00ED7DC3"/>
    <w:rPr>
      <w:rFonts w:ascii="Symbol" w:eastAsia="SimSun" w:hAnsi="Symbol" w:cs="Symbol"/>
      <w:color w:val="00000A"/>
      <w:sz w:val="22"/>
      <w:szCs w:val="22"/>
    </w:rPr>
  </w:style>
  <w:style w:type="character" w:customStyle="1" w:styleId="WW8Num14z1">
    <w:name w:val="WW8Num14z1"/>
    <w:rsid w:val="00ED7DC3"/>
    <w:rPr>
      <w:rFonts w:ascii="Courier New" w:hAnsi="Courier New" w:cs="Courier New"/>
    </w:rPr>
  </w:style>
  <w:style w:type="character" w:customStyle="1" w:styleId="WW8Num14z2">
    <w:name w:val="WW8Num14z2"/>
    <w:rsid w:val="00ED7DC3"/>
    <w:rPr>
      <w:rFonts w:ascii="Wingdings" w:hAnsi="Wingdings" w:cs="Wingdings"/>
    </w:rPr>
  </w:style>
  <w:style w:type="character" w:customStyle="1" w:styleId="WW8Num14z3">
    <w:name w:val="WW8Num14z3"/>
    <w:rsid w:val="00ED7DC3"/>
    <w:rPr>
      <w:rFonts w:ascii="Symbol" w:hAnsi="Symbol" w:cs="Symbol"/>
    </w:rPr>
  </w:style>
  <w:style w:type="character" w:customStyle="1" w:styleId="WW8Num15z0">
    <w:name w:val="WW8Num15z0"/>
    <w:rsid w:val="00ED7DC3"/>
    <w:rPr>
      <w:rFonts w:ascii="Symbol" w:eastAsia="SimSun" w:hAnsi="Symbol" w:cs="Symbol"/>
      <w:color w:val="00000A"/>
      <w:sz w:val="22"/>
      <w:szCs w:val="22"/>
    </w:rPr>
  </w:style>
  <w:style w:type="character" w:customStyle="1" w:styleId="WW8Num15z1">
    <w:name w:val="WW8Num15z1"/>
    <w:rsid w:val="00ED7DC3"/>
    <w:rPr>
      <w:rFonts w:ascii="Courier New" w:hAnsi="Courier New" w:cs="Courier New"/>
    </w:rPr>
  </w:style>
  <w:style w:type="character" w:customStyle="1" w:styleId="WW8Num15z2">
    <w:name w:val="WW8Num15z2"/>
    <w:rsid w:val="00ED7DC3"/>
    <w:rPr>
      <w:rFonts w:ascii="Wingdings" w:hAnsi="Wingdings" w:cs="Wingdings"/>
    </w:rPr>
  </w:style>
  <w:style w:type="character" w:customStyle="1" w:styleId="WW8Num15z3">
    <w:name w:val="WW8Num15z3"/>
    <w:rsid w:val="00ED7DC3"/>
    <w:rPr>
      <w:rFonts w:ascii="Symbol" w:hAnsi="Symbol" w:cs="Symbol"/>
    </w:rPr>
  </w:style>
  <w:style w:type="character" w:customStyle="1" w:styleId="WW8Num16z0">
    <w:name w:val="WW8Num16z0"/>
    <w:rsid w:val="00ED7DC3"/>
    <w:rPr>
      <w:rFonts w:ascii="Symbol" w:eastAsia="Calibri" w:hAnsi="Symbol" w:cs="OpenSymbol"/>
      <w:szCs w:val="22"/>
    </w:rPr>
  </w:style>
  <w:style w:type="character" w:customStyle="1" w:styleId="WW8Num17z0">
    <w:name w:val="WW8Num17z0"/>
    <w:rsid w:val="00ED7DC3"/>
    <w:rPr>
      <w:rFonts w:ascii="Symbol" w:eastAsia="Calibri" w:hAnsi="Symbol" w:cs="OpenSymbol"/>
      <w:szCs w:val="22"/>
    </w:rPr>
  </w:style>
  <w:style w:type="character" w:customStyle="1" w:styleId="PagrindinistekstasDiagrama">
    <w:name w:val="Pagrindinis tekstas Diagrama"/>
    <w:rsid w:val="00ED7DC3"/>
    <w:rPr>
      <w:sz w:val="22"/>
      <w:lang w:val="lt-LT" w:eastAsia="ar-SA" w:bidi="ar-SA"/>
    </w:rPr>
  </w:style>
  <w:style w:type="character" w:customStyle="1" w:styleId="Puslapionumeris1">
    <w:name w:val="Puslapio numeris1"/>
    <w:basedOn w:val="Numatytasispastraiposriftas"/>
    <w:rsid w:val="00ED7DC3"/>
  </w:style>
  <w:style w:type="character" w:styleId="Hipersaitas">
    <w:name w:val="Hyperlink"/>
    <w:rsid w:val="00ED7DC3"/>
    <w:rPr>
      <w:color w:val="0000FF"/>
      <w:u w:val="single"/>
    </w:rPr>
  </w:style>
  <w:style w:type="character" w:styleId="Perirtashipersaitas">
    <w:name w:val="FollowedHyperlink"/>
    <w:rsid w:val="00ED7DC3"/>
    <w:rPr>
      <w:color w:val="800080"/>
      <w:u w:val="single"/>
    </w:rPr>
  </w:style>
  <w:style w:type="character" w:customStyle="1" w:styleId="CharChar22">
    <w:name w:val="Char Char22"/>
    <w:rsid w:val="00ED7DC3"/>
    <w:rPr>
      <w:b/>
      <w:sz w:val="22"/>
      <w:lang w:val="lt-LT"/>
    </w:rPr>
  </w:style>
  <w:style w:type="character" w:customStyle="1" w:styleId="BTEMEASMCAChar">
    <w:name w:val="BT EMEA_SMCA Char"/>
    <w:rsid w:val="00ED7DC3"/>
    <w:rPr>
      <w:sz w:val="22"/>
      <w:lang w:val="en-US"/>
    </w:rPr>
  </w:style>
  <w:style w:type="character" w:customStyle="1" w:styleId="TTEMEASMCAChar">
    <w:name w:val="TT EMEA_SMCA Char"/>
    <w:rsid w:val="00ED7DC3"/>
    <w:rPr>
      <w:b/>
      <w:caps/>
      <w:sz w:val="22"/>
      <w:szCs w:val="22"/>
      <w:lang w:val="en-US" w:eastAsia="ar-SA" w:bidi="ar-SA"/>
    </w:rPr>
  </w:style>
  <w:style w:type="character" w:customStyle="1" w:styleId="BTgEMEASMCAChar">
    <w:name w:val="BT(g) EMEA_SMCA Char"/>
    <w:rsid w:val="00ED7DC3"/>
    <w:rPr>
      <w:i/>
      <w:color w:val="008000"/>
      <w:sz w:val="22"/>
      <w:szCs w:val="22"/>
      <w:lang w:val="lt-LT" w:eastAsia="ar-SA" w:bidi="ar-SA"/>
    </w:rPr>
  </w:style>
  <w:style w:type="character" w:customStyle="1" w:styleId="PI-1labEMEASMCAChar">
    <w:name w:val="PI-1_lab EMEA_SMCA Char"/>
    <w:rsid w:val="00ED7DC3"/>
    <w:rPr>
      <w:b/>
      <w:sz w:val="22"/>
      <w:szCs w:val="22"/>
      <w:lang w:val="lt-LT" w:eastAsia="ar-SA" w:bidi="ar-SA"/>
    </w:rPr>
  </w:style>
  <w:style w:type="character" w:customStyle="1" w:styleId="Normal11ptCar">
    <w:name w:val="Normal + 11pt Car"/>
    <w:rsid w:val="00ED7DC3"/>
    <w:rPr>
      <w:sz w:val="22"/>
      <w:szCs w:val="22"/>
      <w:lang w:val="en-GB" w:eastAsia="ar-SA" w:bidi="ar-SA"/>
    </w:rPr>
  </w:style>
  <w:style w:type="character" w:styleId="Grietas">
    <w:name w:val="Strong"/>
    <w:qFormat/>
    <w:rsid w:val="00ED7DC3"/>
    <w:rPr>
      <w:b/>
      <w:bCs/>
    </w:rPr>
  </w:style>
  <w:style w:type="character" w:customStyle="1" w:styleId="Normal1">
    <w:name w:val="Normal1"/>
    <w:rsid w:val="00ED7DC3"/>
    <w:rPr>
      <w:rFonts w:ascii="Arial" w:hAnsi="Arial" w:cs="Arial"/>
      <w:sz w:val="24"/>
    </w:rPr>
  </w:style>
  <w:style w:type="character" w:customStyle="1" w:styleId="CharChar7">
    <w:name w:val="Char Char7"/>
    <w:rsid w:val="00ED7DC3"/>
    <w:rPr>
      <w:rFonts w:cs="Times New Roman"/>
      <w:sz w:val="22"/>
      <w:lang w:val="lt-LT"/>
    </w:rPr>
  </w:style>
  <w:style w:type="character" w:customStyle="1" w:styleId="PoratDiagrama">
    <w:name w:val="Poraštė Diagrama"/>
    <w:rsid w:val="00ED7DC3"/>
    <w:rPr>
      <w:sz w:val="22"/>
      <w:lang w:val="lt-LT"/>
    </w:rPr>
  </w:style>
  <w:style w:type="character" w:customStyle="1" w:styleId="CommentTextChar">
    <w:name w:val="Comment Text Char"/>
    <w:rsid w:val="00ED7DC3"/>
    <w:rPr>
      <w:b/>
      <w:lang w:val="lt-LT"/>
    </w:rPr>
  </w:style>
  <w:style w:type="character" w:customStyle="1" w:styleId="PaantratDiagrama">
    <w:name w:val="Paantraštė Diagrama"/>
    <w:rsid w:val="00ED7DC3"/>
    <w:rPr>
      <w:rFonts w:ascii="TimesNewRoman" w:hAnsi="TimesNewRoman" w:cs="TimesNewRoman"/>
      <w:b/>
      <w:color w:val="000000"/>
      <w:sz w:val="22"/>
    </w:rPr>
  </w:style>
  <w:style w:type="character" w:customStyle="1" w:styleId="AntratsDiagrama">
    <w:name w:val="Antraštės Diagrama"/>
    <w:rsid w:val="00ED7DC3"/>
    <w:rPr>
      <w:sz w:val="24"/>
      <w:szCs w:val="24"/>
      <w:lang w:val="lt-LT"/>
    </w:rPr>
  </w:style>
  <w:style w:type="character" w:customStyle="1" w:styleId="DebesliotekstasDiagrama">
    <w:name w:val="Debesėlio tekstas Diagrama"/>
    <w:rsid w:val="00ED7DC3"/>
    <w:rPr>
      <w:rFonts w:ascii="Tahoma" w:hAnsi="Tahoma" w:cs="Tahoma"/>
      <w:sz w:val="16"/>
      <w:szCs w:val="16"/>
      <w:lang w:val="lt-LT"/>
    </w:rPr>
  </w:style>
  <w:style w:type="character" w:customStyle="1" w:styleId="Pagrindinistekstas2Diagrama">
    <w:name w:val="Pagrindinis tekstas 2 Diagrama"/>
    <w:rsid w:val="00ED7DC3"/>
    <w:rPr>
      <w:sz w:val="22"/>
      <w:lang w:val="lt-LT"/>
    </w:rPr>
  </w:style>
  <w:style w:type="character" w:customStyle="1" w:styleId="Pagrindiniotekstotrauka2Diagrama">
    <w:name w:val="Pagrindinio teksto įtrauka 2 Diagrama"/>
    <w:rsid w:val="00ED7DC3"/>
    <w:rPr>
      <w:sz w:val="22"/>
      <w:lang w:val="lt-LT"/>
    </w:rPr>
  </w:style>
  <w:style w:type="character" w:customStyle="1" w:styleId="Pagrindinistekstas3Diagrama">
    <w:name w:val="Pagrindinis tekstas 3 Diagrama"/>
    <w:rsid w:val="00ED7DC3"/>
    <w:rPr>
      <w:sz w:val="16"/>
      <w:szCs w:val="16"/>
      <w:lang w:val="lt-LT"/>
    </w:rPr>
  </w:style>
  <w:style w:type="character" w:customStyle="1" w:styleId="KomentarotekstasDiagrama">
    <w:name w:val="Komentaro tekstas Diagrama"/>
    <w:rsid w:val="00ED7DC3"/>
    <w:rPr>
      <w:b/>
      <w:bCs/>
      <w:lang w:val="lt-LT"/>
    </w:rPr>
  </w:style>
  <w:style w:type="character" w:customStyle="1" w:styleId="KomentarotemaDiagrama">
    <w:name w:val="Komentaro tema Diagrama"/>
    <w:rsid w:val="00ED7DC3"/>
    <w:rPr>
      <w:b/>
      <w:bCs/>
      <w:lang w:val="lt-LT"/>
    </w:rPr>
  </w:style>
  <w:style w:type="character" w:customStyle="1" w:styleId="CharChar71">
    <w:name w:val="Char Char71"/>
    <w:rsid w:val="00ED7DC3"/>
    <w:rPr>
      <w:sz w:val="22"/>
      <w:lang w:val="lt-LT"/>
    </w:rPr>
  </w:style>
  <w:style w:type="character" w:customStyle="1" w:styleId="Komentaronuoroda1">
    <w:name w:val="Komentaro nuoroda1"/>
    <w:rsid w:val="00ED7DC3"/>
    <w:rPr>
      <w:rFonts w:cs="Times New Roman"/>
      <w:sz w:val="16"/>
    </w:rPr>
  </w:style>
  <w:style w:type="character" w:customStyle="1" w:styleId="PavadinimasDiagrama">
    <w:name w:val="Pavadinimas Diagrama"/>
    <w:rsid w:val="00ED7DC3"/>
    <w:rPr>
      <w:b/>
      <w:kern w:val="1"/>
      <w:sz w:val="22"/>
      <w:lang w:val="lt-LT"/>
    </w:rPr>
  </w:style>
  <w:style w:type="character" w:customStyle="1" w:styleId="CharChar">
    <w:name w:val="Char Char"/>
    <w:rsid w:val="00ED7DC3"/>
    <w:rPr>
      <w:sz w:val="22"/>
      <w:lang w:val="lt-LT" w:eastAsia="ar-SA" w:bidi="ar-SA"/>
    </w:rPr>
  </w:style>
  <w:style w:type="character" w:customStyle="1" w:styleId="CharChar11">
    <w:name w:val="Char Char11"/>
    <w:rsid w:val="00ED7DC3"/>
    <w:rPr>
      <w:rFonts w:ascii="Arial" w:hAnsi="Arial" w:cs="Arial"/>
      <w:b/>
      <w:kern w:val="1"/>
      <w:sz w:val="28"/>
      <w:lang w:val="lt-LT" w:eastAsia="ar-SA" w:bidi="ar-SA"/>
    </w:rPr>
  </w:style>
  <w:style w:type="character" w:customStyle="1" w:styleId="CharChar10">
    <w:name w:val="Char Char10"/>
    <w:rsid w:val="00ED7DC3"/>
    <w:rPr>
      <w:rFonts w:ascii="Arial" w:hAnsi="Arial" w:cs="Arial"/>
      <w:b/>
      <w:i/>
      <w:sz w:val="22"/>
      <w:lang w:val="lt-LT" w:eastAsia="ar-SA" w:bidi="ar-SA"/>
    </w:rPr>
  </w:style>
  <w:style w:type="character" w:customStyle="1" w:styleId="Heading1Char">
    <w:name w:val="Heading 1 Char"/>
    <w:rsid w:val="00ED7DC3"/>
    <w:rPr>
      <w:rFonts w:ascii="Times New Roman" w:eastAsia="SimSun" w:hAnsi="Times New Roman" w:cs="Times New Roman"/>
      <w:b/>
      <w:caps/>
      <w:sz w:val="20"/>
      <w:lang w:val="en-US"/>
    </w:rPr>
  </w:style>
  <w:style w:type="character" w:customStyle="1" w:styleId="Heading3Char">
    <w:name w:val="Heading 3 Char"/>
    <w:rsid w:val="00ED7DC3"/>
    <w:rPr>
      <w:rFonts w:ascii="Cambria" w:hAnsi="Cambria" w:cs="Cambria"/>
      <w:b/>
      <w:sz w:val="26"/>
      <w:lang w:val="en-GB"/>
    </w:rPr>
  </w:style>
  <w:style w:type="character" w:customStyle="1" w:styleId="Heading4Char">
    <w:name w:val="Heading 4 Char"/>
    <w:rsid w:val="00ED7DC3"/>
    <w:rPr>
      <w:rFonts w:ascii="Calibri" w:hAnsi="Calibri" w:cs="Calibri"/>
      <w:b/>
      <w:sz w:val="28"/>
      <w:lang w:val="en-GB"/>
    </w:rPr>
  </w:style>
  <w:style w:type="character" w:customStyle="1" w:styleId="Heading5Char">
    <w:name w:val="Heading 5 Char"/>
    <w:rsid w:val="00ED7DC3"/>
    <w:rPr>
      <w:rFonts w:ascii="Times New Roman" w:eastAsia="SimSun" w:hAnsi="Times New Roman" w:cs="Times New Roman"/>
      <w:sz w:val="20"/>
      <w:lang w:val="en-GB"/>
    </w:rPr>
  </w:style>
  <w:style w:type="character" w:customStyle="1" w:styleId="Heading6Char">
    <w:name w:val="Heading 6 Char"/>
    <w:rsid w:val="00ED7DC3"/>
    <w:rPr>
      <w:rFonts w:ascii="Times New Roman" w:eastAsia="SimSun" w:hAnsi="Times New Roman" w:cs="Times New Roman"/>
      <w:i/>
      <w:sz w:val="20"/>
      <w:lang w:val="en-GB"/>
    </w:rPr>
  </w:style>
  <w:style w:type="character" w:customStyle="1" w:styleId="Heading7Char">
    <w:name w:val="Heading 7 Char"/>
    <w:rsid w:val="00ED7DC3"/>
    <w:rPr>
      <w:rFonts w:ascii="Times New Roman" w:eastAsia="SimSun" w:hAnsi="Times New Roman" w:cs="Times New Roman"/>
      <w:i/>
      <w:sz w:val="20"/>
      <w:lang w:val="en-GB"/>
    </w:rPr>
  </w:style>
  <w:style w:type="character" w:customStyle="1" w:styleId="Heading8Char">
    <w:name w:val="Heading 8 Char"/>
    <w:rsid w:val="00ED7DC3"/>
    <w:rPr>
      <w:rFonts w:ascii="Times New Roman" w:eastAsia="SimSun" w:hAnsi="Times New Roman" w:cs="Times New Roman"/>
      <w:b/>
      <w:i/>
      <w:sz w:val="20"/>
      <w:lang w:val="en-GB"/>
    </w:rPr>
  </w:style>
  <w:style w:type="character" w:customStyle="1" w:styleId="Heading9Char">
    <w:name w:val="Heading 9 Char"/>
    <w:rsid w:val="00ED7DC3"/>
    <w:rPr>
      <w:rFonts w:ascii="Times New Roman" w:eastAsia="SimSun" w:hAnsi="Times New Roman" w:cs="Times New Roman"/>
      <w:b/>
      <w:i/>
      <w:sz w:val="20"/>
      <w:lang w:val="en-GB"/>
    </w:rPr>
  </w:style>
  <w:style w:type="character" w:customStyle="1" w:styleId="FooterChar">
    <w:name w:val="Footer Char"/>
    <w:rsid w:val="00ED7DC3"/>
    <w:rPr>
      <w:rFonts w:ascii="Times New Roman" w:hAnsi="Times New Roman" w:cs="Times New Roman"/>
      <w:sz w:val="20"/>
      <w:lang w:val="en-GB"/>
    </w:rPr>
  </w:style>
  <w:style w:type="character" w:customStyle="1" w:styleId="HeaderChar">
    <w:name w:val="Header Char"/>
    <w:rsid w:val="00ED7DC3"/>
    <w:rPr>
      <w:sz w:val="22"/>
      <w:lang w:val="en-GB"/>
    </w:rPr>
  </w:style>
  <w:style w:type="character" w:customStyle="1" w:styleId="tw4winError">
    <w:name w:val="tw4winError"/>
    <w:rsid w:val="00ED7DC3"/>
    <w:rPr>
      <w:rFonts w:ascii="Courier New" w:hAnsi="Courier New" w:cs="Courier New"/>
      <w:color w:val="00FF00"/>
      <w:sz w:val="40"/>
    </w:rPr>
  </w:style>
  <w:style w:type="character" w:customStyle="1" w:styleId="tw4winTerm">
    <w:name w:val="tw4winTerm"/>
    <w:rsid w:val="00ED7DC3"/>
    <w:rPr>
      <w:color w:val="0000FF"/>
    </w:rPr>
  </w:style>
  <w:style w:type="character" w:customStyle="1" w:styleId="tw4winPopup">
    <w:name w:val="tw4winPopup"/>
    <w:rsid w:val="00ED7DC3"/>
    <w:rPr>
      <w:rFonts w:ascii="Courier New" w:hAnsi="Courier New" w:cs="Courier New"/>
      <w:color w:val="008000"/>
    </w:rPr>
  </w:style>
  <w:style w:type="character" w:customStyle="1" w:styleId="tw4winJump">
    <w:name w:val="tw4winJump"/>
    <w:rsid w:val="00ED7DC3"/>
    <w:rPr>
      <w:rFonts w:ascii="Courier New" w:hAnsi="Courier New" w:cs="Courier New"/>
      <w:color w:val="008080"/>
    </w:rPr>
  </w:style>
  <w:style w:type="character" w:customStyle="1" w:styleId="tw4winExternal">
    <w:name w:val="tw4winExternal"/>
    <w:rsid w:val="00ED7DC3"/>
    <w:rPr>
      <w:rFonts w:ascii="Courier New" w:hAnsi="Courier New" w:cs="Courier New"/>
      <w:color w:val="808080"/>
    </w:rPr>
  </w:style>
  <w:style w:type="character" w:customStyle="1" w:styleId="tw4winInternal">
    <w:name w:val="tw4winInternal"/>
    <w:rsid w:val="00ED7DC3"/>
    <w:rPr>
      <w:rFonts w:ascii="Courier New" w:hAnsi="Courier New" w:cs="Courier New"/>
      <w:color w:val="FF0000"/>
    </w:rPr>
  </w:style>
  <w:style w:type="character" w:customStyle="1" w:styleId="DONOTTRANSLATE">
    <w:name w:val="DO_NOT_TRANSLATE"/>
    <w:rsid w:val="00ED7DC3"/>
    <w:rPr>
      <w:rFonts w:ascii="Courier New" w:hAnsi="Courier New" w:cs="Courier New"/>
      <w:color w:val="800000"/>
    </w:rPr>
  </w:style>
  <w:style w:type="character" w:customStyle="1" w:styleId="BalloonTextChar">
    <w:name w:val="Balloon Text Char"/>
    <w:rsid w:val="00ED7DC3"/>
    <w:rPr>
      <w:rFonts w:ascii="Tahoma" w:hAnsi="Tahoma" w:cs="Tahoma"/>
      <w:sz w:val="16"/>
      <w:lang w:val="en-GB"/>
    </w:rPr>
  </w:style>
  <w:style w:type="character" w:customStyle="1" w:styleId="CommentSubjectChar">
    <w:name w:val="Comment Subject Char"/>
    <w:rsid w:val="00ED7DC3"/>
    <w:rPr>
      <w:rFonts w:ascii="Times New Roman" w:hAnsi="Times New Roman" w:cs="Times New Roman"/>
      <w:b/>
      <w:sz w:val="20"/>
      <w:lang w:val="en-GB"/>
    </w:rPr>
  </w:style>
  <w:style w:type="character" w:customStyle="1" w:styleId="tw4winMark">
    <w:name w:val="tw4winMark"/>
    <w:rsid w:val="00ED7DC3"/>
    <w:rPr>
      <w:rFonts w:ascii="Courier New" w:hAnsi="Courier New" w:cs="Courier New"/>
      <w:vanish/>
      <w:color w:val="800080"/>
      <w:sz w:val="24"/>
      <w:vertAlign w:val="subscript"/>
    </w:rPr>
  </w:style>
  <w:style w:type="character" w:customStyle="1" w:styleId="HeaderChar1">
    <w:name w:val="Header Char1"/>
    <w:rsid w:val="00ED7DC3"/>
    <w:rPr>
      <w:rFonts w:ascii="Times New Roman" w:eastAsia="SimSun" w:hAnsi="Times New Roman" w:cs="Times New Roman"/>
      <w:sz w:val="20"/>
      <w:lang w:val="en-GB"/>
    </w:rPr>
  </w:style>
  <w:style w:type="character" w:customStyle="1" w:styleId="DokumentostruktraDiagrama">
    <w:name w:val="Dokumento struktūra Diagrama"/>
    <w:rsid w:val="00ED7DC3"/>
    <w:rPr>
      <w:rFonts w:ascii="Tahoma" w:eastAsia="SimSun" w:hAnsi="Tahoma" w:cs="Tahoma"/>
      <w:lang w:val="en-GB" w:eastAsia="ar-SA" w:bidi="ar-SA"/>
    </w:rPr>
  </w:style>
  <w:style w:type="character" w:customStyle="1" w:styleId="PagrindiniotekstotraukaDiagrama">
    <w:name w:val="Pagrindinio teksto įtrauka Diagrama"/>
    <w:rsid w:val="00ED7DC3"/>
    <w:rPr>
      <w:rFonts w:eastAsia="SimSun"/>
      <w:lang w:val="en-GB" w:eastAsia="ar-SA" w:bidi="ar-SA"/>
    </w:rPr>
  </w:style>
  <w:style w:type="character" w:customStyle="1" w:styleId="BodyText3Char">
    <w:name w:val="Body Text 3 Char"/>
    <w:rsid w:val="00ED7DC3"/>
    <w:rPr>
      <w:rFonts w:ascii="Times New Roman" w:eastAsia="SimSun" w:hAnsi="Times New Roman" w:cs="Times New Roman"/>
      <w:color w:val="0000FF"/>
      <w:lang w:val="en-GB"/>
    </w:rPr>
  </w:style>
  <w:style w:type="character" w:customStyle="1" w:styleId="BodyTextIndent2Char">
    <w:name w:val="Body Text Indent 2 Char"/>
    <w:rsid w:val="00ED7DC3"/>
    <w:rPr>
      <w:rFonts w:ascii="Times New Roman" w:eastAsia="SimSun" w:hAnsi="Times New Roman" w:cs="Times New Roman"/>
      <w:b/>
      <w:color w:val="0000FF"/>
      <w:lang w:val="en-GB"/>
    </w:rPr>
  </w:style>
  <w:style w:type="character" w:customStyle="1" w:styleId="BodyTextChar">
    <w:name w:val="Body Text Char"/>
    <w:rsid w:val="00ED7DC3"/>
    <w:rPr>
      <w:rFonts w:ascii="Times New Roman" w:eastAsia="SimSun" w:hAnsi="Times New Roman" w:cs="Times New Roman"/>
      <w:i/>
      <w:color w:val="008000"/>
      <w:sz w:val="20"/>
      <w:lang w:val="en-GB"/>
    </w:rPr>
  </w:style>
  <w:style w:type="character" w:customStyle="1" w:styleId="BodyText2Char">
    <w:name w:val="Body Text 2 Char"/>
    <w:rsid w:val="00ED7DC3"/>
    <w:rPr>
      <w:rFonts w:ascii="Times New Roman" w:eastAsia="SimSun" w:hAnsi="Times New Roman" w:cs="Times New Roman"/>
      <w:b/>
      <w:color w:val="0000FF"/>
      <w:u w:val="single"/>
      <w:lang w:val="en-GB"/>
    </w:rPr>
  </w:style>
  <w:style w:type="character" w:customStyle="1" w:styleId="Pagrindiniotekstotrauka3Diagrama">
    <w:name w:val="Pagrindinio teksto įtrauka 3 Diagrama"/>
    <w:rsid w:val="00ED7DC3"/>
    <w:rPr>
      <w:rFonts w:eastAsia="SimSun"/>
      <w:szCs w:val="21"/>
      <w:lang w:val="en-GB" w:eastAsia="ar-SA" w:bidi="ar-SA"/>
    </w:rPr>
  </w:style>
  <w:style w:type="character" w:customStyle="1" w:styleId="BodytextAgencyChar">
    <w:name w:val="Body text (Agency) Char"/>
    <w:rsid w:val="00ED7DC3"/>
    <w:rPr>
      <w:rFonts w:ascii="Verdana" w:eastAsia="Calibri" w:hAnsi="Verdana" w:cs="Verdana"/>
      <w:sz w:val="18"/>
      <w:lang w:val="en-GB" w:eastAsia="ar-SA" w:bidi="ar-SA"/>
    </w:rPr>
  </w:style>
  <w:style w:type="character" w:customStyle="1" w:styleId="NormalAgencyChar">
    <w:name w:val="Normal (Agency) Char"/>
    <w:rsid w:val="00ED7DC3"/>
    <w:rPr>
      <w:rFonts w:ascii="Verdana" w:eastAsia="Calibri" w:hAnsi="Verdana" w:cs="Verdana"/>
      <w:sz w:val="18"/>
      <w:szCs w:val="22"/>
      <w:lang w:val="en-GB"/>
    </w:rPr>
  </w:style>
  <w:style w:type="character" w:customStyle="1" w:styleId="PaprastasistekstasDiagrama">
    <w:name w:val="Paprastasis tekstas Diagrama"/>
    <w:rsid w:val="00ED7DC3"/>
    <w:rPr>
      <w:rFonts w:ascii="Courier New" w:eastAsia="SimSun" w:hAnsi="Courier New" w:cs="Courier New"/>
      <w:lang w:val="en-US" w:eastAsia="ar-SA" w:bidi="ar-SA"/>
    </w:rPr>
  </w:style>
  <w:style w:type="character" w:customStyle="1" w:styleId="TitleChar">
    <w:name w:val="Title Char"/>
    <w:rsid w:val="00ED7DC3"/>
    <w:rPr>
      <w:rFonts w:ascii="Times New Roman" w:eastAsia="SimSun" w:hAnsi="Times New Roman" w:cs="Times New Roman"/>
      <w:b/>
      <w:sz w:val="20"/>
      <w:lang w:val="en-GB"/>
    </w:rPr>
  </w:style>
  <w:style w:type="character" w:customStyle="1" w:styleId="DokumentoinaostekstasDiagrama">
    <w:name w:val="Dokumento išnašos tekstas Diagrama"/>
    <w:rsid w:val="00ED7DC3"/>
    <w:rPr>
      <w:rFonts w:eastAsia="SimSun"/>
      <w:lang w:val="en-GB" w:eastAsia="ar-SA" w:bidi="ar-SA"/>
    </w:rPr>
  </w:style>
  <w:style w:type="character" w:customStyle="1" w:styleId="CharChar12">
    <w:name w:val="Char Char12"/>
    <w:rsid w:val="00ED7DC3"/>
    <w:rPr>
      <w:lang w:val="en-GB"/>
    </w:rPr>
  </w:style>
  <w:style w:type="character" w:customStyle="1" w:styleId="resultoftext">
    <w:name w:val="resultoftext"/>
    <w:basedOn w:val="Numatytasispastraiposriftas"/>
    <w:rsid w:val="00ED7DC3"/>
  </w:style>
  <w:style w:type="character" w:customStyle="1" w:styleId="PlainTextChar">
    <w:name w:val="Plain Text Char"/>
    <w:rsid w:val="00ED7DC3"/>
    <w:rPr>
      <w:rFonts w:ascii="Calibri" w:hAnsi="Calibri" w:cs="Times New Roman"/>
      <w:sz w:val="21"/>
      <w:szCs w:val="21"/>
    </w:rPr>
  </w:style>
  <w:style w:type="character" w:customStyle="1" w:styleId="Dokumentoinaosnumeris1">
    <w:name w:val="Dokumento išnašos numeris1"/>
    <w:rsid w:val="00ED7DC3"/>
    <w:rPr>
      <w:position w:val="0"/>
      <w:sz w:val="20"/>
      <w:vertAlign w:val="baseline"/>
    </w:rPr>
  </w:style>
  <w:style w:type="character" w:customStyle="1" w:styleId="EndnoteTextChar">
    <w:name w:val="Endnote Text Char"/>
    <w:rsid w:val="00ED7DC3"/>
    <w:rPr>
      <w:rFonts w:cs="Times New Roman"/>
      <w:sz w:val="24"/>
      <w:lang w:val="en-US"/>
    </w:rPr>
  </w:style>
  <w:style w:type="character" w:customStyle="1" w:styleId="CommentChar">
    <w:name w:val="Comment Char"/>
    <w:rsid w:val="00ED7DC3"/>
    <w:rPr>
      <w:i/>
      <w:color w:val="0000FF"/>
      <w:sz w:val="24"/>
      <w:lang w:val="en-US" w:eastAsia="ar-SA" w:bidi="ar-SA"/>
    </w:rPr>
  </w:style>
  <w:style w:type="character" w:customStyle="1" w:styleId="Heading1Char1">
    <w:name w:val="Heading 1 Char1"/>
    <w:rsid w:val="00ED7DC3"/>
    <w:rPr>
      <w:rFonts w:ascii="Cambria" w:hAnsi="Cambria" w:cs="Cambria"/>
      <w:b/>
      <w:color w:val="365F91"/>
      <w:sz w:val="28"/>
    </w:rPr>
  </w:style>
  <w:style w:type="character" w:customStyle="1" w:styleId="alt-edited">
    <w:name w:val="alt-edited"/>
    <w:rsid w:val="00ED7DC3"/>
  </w:style>
  <w:style w:type="character" w:customStyle="1" w:styleId="CharChar221">
    <w:name w:val="Char Char221"/>
    <w:rsid w:val="00ED7DC3"/>
    <w:rPr>
      <w:b/>
      <w:sz w:val="22"/>
      <w:lang w:val="lt-LT"/>
    </w:rPr>
  </w:style>
  <w:style w:type="character" w:customStyle="1" w:styleId="CharChar1">
    <w:name w:val="Char Char1"/>
    <w:rsid w:val="00ED7DC3"/>
    <w:rPr>
      <w:sz w:val="22"/>
      <w:lang w:val="lt-LT" w:eastAsia="ar-SA" w:bidi="ar-SA"/>
    </w:rPr>
  </w:style>
  <w:style w:type="character" w:customStyle="1" w:styleId="CharChar111">
    <w:name w:val="Char Char111"/>
    <w:rsid w:val="00ED7DC3"/>
    <w:rPr>
      <w:rFonts w:ascii="Arial" w:hAnsi="Arial" w:cs="Arial"/>
      <w:b/>
      <w:kern w:val="1"/>
      <w:sz w:val="28"/>
      <w:lang w:val="lt-LT" w:eastAsia="ar-SA" w:bidi="ar-SA"/>
    </w:rPr>
  </w:style>
  <w:style w:type="character" w:customStyle="1" w:styleId="CharChar101">
    <w:name w:val="Char Char101"/>
    <w:rsid w:val="00ED7DC3"/>
    <w:rPr>
      <w:rFonts w:ascii="Arial" w:hAnsi="Arial" w:cs="Arial"/>
      <w:b/>
      <w:i/>
      <w:sz w:val="22"/>
      <w:lang w:val="lt-LT" w:eastAsia="ar-SA" w:bidi="ar-SA"/>
    </w:rPr>
  </w:style>
  <w:style w:type="character" w:customStyle="1" w:styleId="hps">
    <w:name w:val="hps"/>
    <w:rsid w:val="00ED7DC3"/>
  </w:style>
  <w:style w:type="character" w:customStyle="1" w:styleId="shorttext">
    <w:name w:val="short_text"/>
    <w:rsid w:val="00ED7DC3"/>
  </w:style>
  <w:style w:type="character" w:customStyle="1" w:styleId="st">
    <w:name w:val="st"/>
    <w:rsid w:val="00ED7DC3"/>
  </w:style>
  <w:style w:type="character" w:styleId="Emfaz">
    <w:name w:val="Emphasis"/>
    <w:qFormat/>
    <w:rsid w:val="00ED7DC3"/>
    <w:rPr>
      <w:rFonts w:cs="Times New Roman"/>
      <w:i/>
      <w:iCs/>
    </w:rPr>
  </w:style>
  <w:style w:type="character" w:customStyle="1" w:styleId="st1">
    <w:name w:val="st1"/>
    <w:rsid w:val="00ED7DC3"/>
  </w:style>
  <w:style w:type="character" w:customStyle="1" w:styleId="ListLabel1">
    <w:name w:val="ListLabel 1"/>
    <w:rsid w:val="00ED7DC3"/>
    <w:rPr>
      <w:b w:val="0"/>
      <w:i w:val="0"/>
      <w:sz w:val="22"/>
    </w:rPr>
  </w:style>
  <w:style w:type="character" w:customStyle="1" w:styleId="ListLabel2">
    <w:name w:val="ListLabel 2"/>
    <w:rsid w:val="00ED7DC3"/>
    <w:rPr>
      <w:rFonts w:cs="Courier New"/>
    </w:rPr>
  </w:style>
  <w:style w:type="character" w:customStyle="1" w:styleId="ListLabel3">
    <w:name w:val="ListLabel 3"/>
    <w:rsid w:val="00ED7DC3"/>
    <w:rPr>
      <w:rFonts w:cs="Times New Roman"/>
    </w:rPr>
  </w:style>
  <w:style w:type="character" w:customStyle="1" w:styleId="ListLabel4">
    <w:name w:val="ListLabel 4"/>
    <w:rsid w:val="00ED7DC3"/>
    <w:rPr>
      <w:rFonts w:cs="Times New Roman"/>
      <w:sz w:val="22"/>
    </w:rPr>
  </w:style>
  <w:style w:type="character" w:customStyle="1" w:styleId="ListLabel5">
    <w:name w:val="ListLabel 5"/>
    <w:rsid w:val="00ED7DC3"/>
    <w:rPr>
      <w:color w:val="00000A"/>
      <w:sz w:val="22"/>
    </w:rPr>
  </w:style>
  <w:style w:type="character" w:customStyle="1" w:styleId="Bullets">
    <w:name w:val="Bullets"/>
    <w:rsid w:val="00ED7DC3"/>
    <w:rPr>
      <w:rFonts w:ascii="OpenSymbol" w:eastAsia="OpenSymbol" w:hAnsi="OpenSymbol" w:cs="OpenSymbol"/>
    </w:rPr>
  </w:style>
  <w:style w:type="paragraph" w:customStyle="1" w:styleId="Heading">
    <w:name w:val="Heading"/>
    <w:basedOn w:val="prastasis"/>
    <w:next w:val="Pagrindinistekstas"/>
    <w:rsid w:val="00ED7DC3"/>
    <w:pPr>
      <w:keepNext/>
      <w:suppressAutoHyphens/>
      <w:spacing w:before="240" w:after="120" w:line="240" w:lineRule="auto"/>
    </w:pPr>
    <w:rPr>
      <w:rFonts w:ascii="Arial" w:eastAsia="Microsoft YaHei" w:hAnsi="Arial" w:cs="Mangal"/>
      <w:color w:val="000000"/>
      <w:sz w:val="28"/>
      <w:szCs w:val="28"/>
      <w:lang w:val="sl-SI" w:eastAsia="ar-SA"/>
    </w:rPr>
  </w:style>
  <w:style w:type="paragraph" w:styleId="Pagrindinistekstas">
    <w:name w:val="Body Text"/>
    <w:basedOn w:val="prastasis"/>
    <w:link w:val="PagrindinistekstasDiagrama1"/>
    <w:rsid w:val="00ED7DC3"/>
    <w:pPr>
      <w:suppressAutoHyphens/>
      <w:spacing w:after="120" w:line="240" w:lineRule="auto"/>
    </w:pPr>
    <w:rPr>
      <w:rFonts w:ascii="Times New Roman" w:eastAsia="Times New Roman" w:hAnsi="Times New Roman" w:cs="Times New Roman"/>
      <w:color w:val="000000"/>
      <w:sz w:val="24"/>
      <w:szCs w:val="24"/>
      <w:lang w:val="sl-SI" w:eastAsia="ar-SA"/>
    </w:rPr>
  </w:style>
  <w:style w:type="character" w:customStyle="1" w:styleId="PagrindinistekstasDiagrama1">
    <w:name w:val="Pagrindinis tekstas Diagrama1"/>
    <w:basedOn w:val="Numatytasispastraiposriftas"/>
    <w:link w:val="Pagrindinistekstas"/>
    <w:rsid w:val="00ED7DC3"/>
    <w:rPr>
      <w:rFonts w:ascii="Times New Roman" w:eastAsia="Times New Roman" w:hAnsi="Times New Roman" w:cs="Times New Roman"/>
      <w:color w:val="000000"/>
      <w:sz w:val="24"/>
      <w:szCs w:val="24"/>
      <w:lang w:val="sl-SI" w:eastAsia="ar-SA"/>
    </w:rPr>
  </w:style>
  <w:style w:type="paragraph" w:styleId="Sraas">
    <w:name w:val="List"/>
    <w:basedOn w:val="Pagrindinistekstas"/>
    <w:rsid w:val="00ED7DC3"/>
    <w:rPr>
      <w:rFonts w:cs="Mangal"/>
    </w:rPr>
  </w:style>
  <w:style w:type="paragraph" w:styleId="Antrat">
    <w:name w:val="caption"/>
    <w:basedOn w:val="prastasis"/>
    <w:qFormat/>
    <w:rsid w:val="00ED7DC3"/>
    <w:pPr>
      <w:suppressLineNumbers/>
      <w:suppressAutoHyphens/>
      <w:spacing w:before="120" w:after="120" w:line="240" w:lineRule="auto"/>
    </w:pPr>
    <w:rPr>
      <w:rFonts w:ascii="Times New Roman" w:eastAsia="Times New Roman" w:hAnsi="Times New Roman" w:cs="Mangal"/>
      <w:i/>
      <w:iCs/>
      <w:color w:val="000000"/>
      <w:sz w:val="24"/>
      <w:szCs w:val="24"/>
      <w:lang w:val="sl-SI" w:eastAsia="ar-SA"/>
    </w:rPr>
  </w:style>
  <w:style w:type="paragraph" w:customStyle="1" w:styleId="Index">
    <w:name w:val="Index"/>
    <w:basedOn w:val="prastasis"/>
    <w:rsid w:val="00ED7DC3"/>
    <w:pPr>
      <w:suppressLineNumbers/>
      <w:suppressAutoHyphens/>
      <w:spacing w:after="0" w:line="240" w:lineRule="auto"/>
    </w:pPr>
    <w:rPr>
      <w:rFonts w:ascii="Times New Roman" w:eastAsia="Times New Roman" w:hAnsi="Times New Roman" w:cs="Mangal"/>
      <w:color w:val="000000"/>
      <w:sz w:val="24"/>
      <w:szCs w:val="24"/>
      <w:lang w:val="sl-SI" w:eastAsia="ar-SA"/>
    </w:rPr>
  </w:style>
  <w:style w:type="paragraph" w:styleId="Porat">
    <w:name w:val="footer"/>
    <w:basedOn w:val="prastasis"/>
    <w:link w:val="PoratDiagrama1"/>
    <w:rsid w:val="00ED7DC3"/>
    <w:pPr>
      <w:suppressLineNumbers/>
      <w:tabs>
        <w:tab w:val="center" w:pos="4153"/>
        <w:tab w:val="right" w:pos="8306"/>
      </w:tabs>
      <w:suppressAutoHyphens/>
      <w:spacing w:after="0" w:line="240" w:lineRule="auto"/>
    </w:pPr>
    <w:rPr>
      <w:rFonts w:ascii="Times New Roman" w:eastAsia="Times New Roman" w:hAnsi="Times New Roman" w:cs="Times New Roman"/>
      <w:color w:val="000000"/>
      <w:sz w:val="24"/>
      <w:szCs w:val="24"/>
      <w:lang w:val="sl-SI" w:eastAsia="ar-SA"/>
    </w:rPr>
  </w:style>
  <w:style w:type="character" w:customStyle="1" w:styleId="PoratDiagrama1">
    <w:name w:val="Poraštė Diagrama1"/>
    <w:basedOn w:val="Numatytasispastraiposriftas"/>
    <w:link w:val="Porat"/>
    <w:rsid w:val="00ED7DC3"/>
    <w:rPr>
      <w:rFonts w:ascii="Times New Roman" w:eastAsia="Times New Roman" w:hAnsi="Times New Roman" w:cs="Times New Roman"/>
      <w:color w:val="000000"/>
      <w:sz w:val="24"/>
      <w:szCs w:val="24"/>
      <w:lang w:val="sl-SI" w:eastAsia="ar-SA"/>
    </w:rPr>
  </w:style>
  <w:style w:type="paragraph" w:styleId="Pavadinimas">
    <w:name w:val="Title"/>
    <w:basedOn w:val="prastasis"/>
    <w:next w:val="Paantrat"/>
    <w:link w:val="PavadinimasDiagrama1"/>
    <w:qFormat/>
    <w:rsid w:val="00ED7DC3"/>
    <w:pPr>
      <w:suppressAutoHyphens/>
      <w:spacing w:after="0" w:line="240" w:lineRule="auto"/>
      <w:jc w:val="center"/>
    </w:pPr>
    <w:rPr>
      <w:rFonts w:ascii="Times New Roman" w:eastAsia="Times New Roman" w:hAnsi="Times New Roman" w:cs="Times New Roman"/>
      <w:b/>
      <w:bCs/>
      <w:color w:val="000000"/>
      <w:kern w:val="1"/>
      <w:sz w:val="36"/>
      <w:szCs w:val="36"/>
      <w:lang w:val="sl-SI" w:eastAsia="ar-SA"/>
    </w:rPr>
  </w:style>
  <w:style w:type="character" w:customStyle="1" w:styleId="PavadinimasDiagrama1">
    <w:name w:val="Pavadinimas Diagrama1"/>
    <w:basedOn w:val="Numatytasispastraiposriftas"/>
    <w:link w:val="Pavadinimas"/>
    <w:rsid w:val="00ED7DC3"/>
    <w:rPr>
      <w:rFonts w:ascii="Times New Roman" w:eastAsia="Times New Roman" w:hAnsi="Times New Roman" w:cs="Times New Roman"/>
      <w:b/>
      <w:bCs/>
      <w:color w:val="000000"/>
      <w:kern w:val="1"/>
      <w:sz w:val="36"/>
      <w:szCs w:val="36"/>
      <w:lang w:val="sl-SI" w:eastAsia="ar-SA"/>
    </w:rPr>
  </w:style>
  <w:style w:type="paragraph" w:styleId="Paantrat">
    <w:name w:val="Subtitle"/>
    <w:basedOn w:val="prastasis"/>
    <w:next w:val="Pagrindinistekstas"/>
    <w:link w:val="PaantratDiagrama1"/>
    <w:qFormat/>
    <w:rsid w:val="00ED7DC3"/>
    <w:pPr>
      <w:suppressAutoHyphens/>
      <w:spacing w:after="0" w:line="240" w:lineRule="auto"/>
      <w:jc w:val="center"/>
    </w:pPr>
    <w:rPr>
      <w:rFonts w:ascii="TimesNewRoman" w:eastAsia="Times New Roman" w:hAnsi="TimesNewRoman" w:cs="TimesNewRoman"/>
      <w:b/>
      <w:i/>
      <w:iCs/>
      <w:color w:val="000000"/>
      <w:sz w:val="28"/>
      <w:szCs w:val="28"/>
      <w:lang w:val="en-US" w:eastAsia="ar-SA"/>
    </w:rPr>
  </w:style>
  <w:style w:type="character" w:customStyle="1" w:styleId="PaantratDiagrama1">
    <w:name w:val="Paantraštė Diagrama1"/>
    <w:basedOn w:val="Numatytasispastraiposriftas"/>
    <w:link w:val="Paantrat"/>
    <w:rsid w:val="00ED7DC3"/>
    <w:rPr>
      <w:rFonts w:ascii="TimesNewRoman" w:eastAsia="Times New Roman" w:hAnsi="TimesNewRoman" w:cs="TimesNewRoman"/>
      <w:b/>
      <w:i/>
      <w:iCs/>
      <w:color w:val="000000"/>
      <w:sz w:val="28"/>
      <w:szCs w:val="28"/>
      <w:lang w:val="en-US" w:eastAsia="ar-SA"/>
    </w:rPr>
  </w:style>
  <w:style w:type="paragraph" w:styleId="Antrats">
    <w:name w:val="header"/>
    <w:basedOn w:val="prastasis"/>
    <w:link w:val="AntratsDiagrama1"/>
    <w:rsid w:val="00ED7DC3"/>
    <w:pPr>
      <w:suppressLineNumbers/>
      <w:tabs>
        <w:tab w:val="center" w:pos="4153"/>
        <w:tab w:val="right" w:pos="8306"/>
      </w:tabs>
      <w:suppressAutoHyphens/>
      <w:spacing w:after="0" w:line="240" w:lineRule="auto"/>
    </w:pPr>
    <w:rPr>
      <w:rFonts w:ascii="Times New Roman" w:eastAsia="Times New Roman" w:hAnsi="Times New Roman" w:cs="Times New Roman"/>
      <w:color w:val="000000"/>
      <w:sz w:val="24"/>
      <w:szCs w:val="24"/>
      <w:lang w:val="sl-SI" w:eastAsia="ar-SA"/>
    </w:rPr>
  </w:style>
  <w:style w:type="character" w:customStyle="1" w:styleId="AntratsDiagrama1">
    <w:name w:val="Antraštės Diagrama1"/>
    <w:basedOn w:val="Numatytasispastraiposriftas"/>
    <w:link w:val="Antrats"/>
    <w:rsid w:val="00ED7DC3"/>
    <w:rPr>
      <w:rFonts w:ascii="Times New Roman" w:eastAsia="Times New Roman" w:hAnsi="Times New Roman" w:cs="Times New Roman"/>
      <w:color w:val="000000"/>
      <w:sz w:val="24"/>
      <w:szCs w:val="24"/>
      <w:lang w:val="sl-SI" w:eastAsia="ar-SA"/>
    </w:rPr>
  </w:style>
  <w:style w:type="paragraph" w:customStyle="1" w:styleId="BT-EMEASMCA">
    <w:name w:val="BT- EMEA_SMCA"/>
    <w:basedOn w:val="prastasis"/>
    <w:rsid w:val="00ED7DC3"/>
    <w:pPr>
      <w:tabs>
        <w:tab w:val="left" w:pos="567"/>
      </w:tabs>
      <w:suppressAutoHyphens/>
      <w:spacing w:after="0" w:line="240" w:lineRule="auto"/>
      <w:ind w:left="567" w:hanging="567"/>
    </w:pPr>
    <w:rPr>
      <w:rFonts w:ascii="Times New Roman" w:eastAsia="Times New Roman" w:hAnsi="Times New Roman" w:cs="Times New Roman"/>
      <w:color w:val="000000"/>
      <w:sz w:val="24"/>
      <w:szCs w:val="24"/>
      <w:lang w:val="sl-SI" w:eastAsia="ar-SA"/>
    </w:rPr>
  </w:style>
  <w:style w:type="paragraph" w:customStyle="1" w:styleId="PI-3EMEASMCA">
    <w:name w:val="PI-3 EMEA_SMCA"/>
    <w:basedOn w:val="prastasis"/>
    <w:rsid w:val="00ED7DC3"/>
    <w:pPr>
      <w:suppressAutoHyphens/>
      <w:spacing w:after="0" w:line="220" w:lineRule="exact"/>
    </w:pPr>
    <w:rPr>
      <w:rFonts w:ascii="Times New Roman" w:eastAsia="Times New Roman" w:hAnsi="Times New Roman" w:cs="Times New Roman"/>
      <w:b/>
      <w:bCs/>
      <w:color w:val="000000"/>
      <w:sz w:val="24"/>
      <w:lang w:val="sl-SI" w:eastAsia="ar-SA"/>
    </w:rPr>
  </w:style>
  <w:style w:type="paragraph" w:customStyle="1" w:styleId="PI-1EMEASMCA">
    <w:name w:val="PI-1 EMEA_SMCA"/>
    <w:basedOn w:val="Antrat2"/>
    <w:rsid w:val="00ED7DC3"/>
    <w:pPr>
      <w:numPr>
        <w:ilvl w:val="0"/>
        <w:numId w:val="0"/>
      </w:numPr>
      <w:tabs>
        <w:tab w:val="clear" w:pos="540"/>
        <w:tab w:val="left" w:pos="567"/>
      </w:tabs>
    </w:pPr>
    <w:rPr>
      <w:szCs w:val="22"/>
    </w:rPr>
  </w:style>
  <w:style w:type="paragraph" w:customStyle="1" w:styleId="PI-2EMEASMCA">
    <w:name w:val="PI-2 EMEA_SMCA"/>
    <w:basedOn w:val="prastasis"/>
    <w:rsid w:val="00ED7DC3"/>
    <w:pPr>
      <w:keepLines/>
      <w:tabs>
        <w:tab w:val="left" w:pos="567"/>
      </w:tabs>
      <w:suppressAutoHyphens/>
      <w:spacing w:after="0" w:line="240" w:lineRule="auto"/>
    </w:pPr>
    <w:rPr>
      <w:rFonts w:ascii="Times New Roman" w:eastAsia="Times New Roman" w:hAnsi="Times New Roman" w:cs="Times New Roman"/>
      <w:color w:val="000000"/>
      <w:kern w:val="1"/>
      <w:sz w:val="24"/>
      <w:lang w:val="sl-SI" w:eastAsia="ar-SA"/>
    </w:rPr>
  </w:style>
  <w:style w:type="paragraph" w:customStyle="1" w:styleId="TTEMEASMCA">
    <w:name w:val="TT EMEA_SMCA"/>
    <w:basedOn w:val="prastasis"/>
    <w:rsid w:val="00ED7DC3"/>
    <w:pPr>
      <w:tabs>
        <w:tab w:val="left" w:pos="567"/>
      </w:tabs>
      <w:suppressAutoHyphens/>
      <w:spacing w:after="0" w:line="240" w:lineRule="auto"/>
      <w:ind w:left="567" w:hanging="567"/>
    </w:pPr>
    <w:rPr>
      <w:rFonts w:ascii="Times New Roman" w:eastAsia="Times New Roman" w:hAnsi="Times New Roman" w:cs="Times New Roman"/>
      <w:b/>
      <w:caps/>
      <w:color w:val="000000"/>
      <w:sz w:val="24"/>
      <w:lang w:val="en-US" w:eastAsia="ar-SA"/>
    </w:rPr>
  </w:style>
  <w:style w:type="paragraph" w:customStyle="1" w:styleId="BTAnIIEMEASMCA">
    <w:name w:val="BT(AnII) EMEA_SMCA"/>
    <w:rsid w:val="00ED7DC3"/>
    <w:pPr>
      <w:widowControl w:val="0"/>
      <w:tabs>
        <w:tab w:val="left" w:pos="1701"/>
      </w:tabs>
      <w:suppressAutoHyphens/>
      <w:spacing w:after="0" w:line="240" w:lineRule="auto"/>
      <w:ind w:left="1701" w:hanging="567"/>
    </w:pPr>
    <w:rPr>
      <w:rFonts w:ascii="Times New Roman" w:eastAsia="Times New Roman" w:hAnsi="Times New Roman" w:cs="Times New Roman"/>
      <w:b/>
      <w:lang w:val="en-GB" w:eastAsia="ar-SA"/>
    </w:rPr>
  </w:style>
  <w:style w:type="paragraph" w:styleId="Debesliotekstas">
    <w:name w:val="Balloon Text"/>
    <w:basedOn w:val="prastasis"/>
    <w:link w:val="DebesliotekstasDiagrama1"/>
    <w:rsid w:val="00ED7DC3"/>
    <w:pPr>
      <w:suppressAutoHyphens/>
      <w:spacing w:after="0" w:line="240" w:lineRule="auto"/>
    </w:pPr>
    <w:rPr>
      <w:rFonts w:ascii="Tahoma" w:eastAsia="Times New Roman" w:hAnsi="Tahoma" w:cs="Tahoma"/>
      <w:color w:val="000000"/>
      <w:sz w:val="16"/>
      <w:szCs w:val="16"/>
      <w:lang w:val="sl-SI" w:eastAsia="ar-SA"/>
    </w:rPr>
  </w:style>
  <w:style w:type="character" w:customStyle="1" w:styleId="DebesliotekstasDiagrama1">
    <w:name w:val="Debesėlio tekstas Diagrama1"/>
    <w:basedOn w:val="Numatytasispastraiposriftas"/>
    <w:link w:val="Debesliotekstas"/>
    <w:rsid w:val="00ED7DC3"/>
    <w:rPr>
      <w:rFonts w:ascii="Tahoma" w:eastAsia="Times New Roman" w:hAnsi="Tahoma" w:cs="Tahoma"/>
      <w:color w:val="000000"/>
      <w:sz w:val="16"/>
      <w:szCs w:val="16"/>
      <w:lang w:val="sl-SI" w:eastAsia="ar-SA"/>
    </w:rPr>
  </w:style>
  <w:style w:type="paragraph" w:customStyle="1" w:styleId="BTgEMEASMCA">
    <w:name w:val="BT(g) EMEA_SMCA"/>
    <w:basedOn w:val="prastasis"/>
    <w:rsid w:val="00ED7DC3"/>
    <w:pPr>
      <w:suppressAutoHyphens/>
      <w:spacing w:after="0" w:line="240" w:lineRule="auto"/>
    </w:pPr>
    <w:rPr>
      <w:rFonts w:ascii="Times New Roman" w:eastAsia="Times New Roman" w:hAnsi="Times New Roman" w:cs="Times New Roman"/>
      <w:i/>
      <w:color w:val="008000"/>
      <w:sz w:val="24"/>
      <w:lang w:val="sl-SI" w:eastAsia="ar-SA"/>
    </w:rPr>
  </w:style>
  <w:style w:type="paragraph" w:customStyle="1" w:styleId="BTuEMEASMCA">
    <w:name w:val="BT(u) EMEA_SMCA"/>
    <w:basedOn w:val="prastasis"/>
    <w:rsid w:val="00ED7DC3"/>
    <w:pPr>
      <w:suppressAutoHyphens/>
      <w:spacing w:after="0" w:line="240" w:lineRule="auto"/>
    </w:pPr>
    <w:rPr>
      <w:rFonts w:ascii="Times New Roman" w:eastAsia="Times New Roman" w:hAnsi="Times New Roman" w:cs="Times New Roman"/>
      <w:color w:val="000000"/>
      <w:sz w:val="24"/>
      <w:szCs w:val="24"/>
      <w:u w:val="single"/>
      <w:lang w:val="sl-SI" w:eastAsia="ar-SA"/>
    </w:rPr>
  </w:style>
  <w:style w:type="paragraph" w:customStyle="1" w:styleId="PI-1labEMEASMCA">
    <w:name w:val="PI-1_lab EMEA_SMCA"/>
    <w:basedOn w:val="prastasis"/>
    <w:rsid w:val="00ED7DC3"/>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color w:val="000000"/>
      <w:sz w:val="24"/>
      <w:lang w:val="sl-SI" w:eastAsia="ar-SA"/>
    </w:rPr>
  </w:style>
  <w:style w:type="paragraph" w:styleId="prastasiniatinklio">
    <w:name w:val="Normal (Web)"/>
    <w:basedOn w:val="prastasis"/>
    <w:rsid w:val="00ED7DC3"/>
    <w:pPr>
      <w:suppressAutoHyphens/>
      <w:spacing w:before="100" w:after="100" w:line="240" w:lineRule="auto"/>
    </w:pPr>
    <w:rPr>
      <w:rFonts w:ascii="Times New Roman" w:eastAsia="Times New Roman" w:hAnsi="Times New Roman" w:cs="Times New Roman"/>
      <w:color w:val="000000"/>
      <w:sz w:val="24"/>
      <w:szCs w:val="24"/>
      <w:lang w:val="en-US" w:eastAsia="ar-SA"/>
    </w:rPr>
  </w:style>
  <w:style w:type="paragraph" w:styleId="Pagrindinistekstas2">
    <w:name w:val="Body Text 2"/>
    <w:basedOn w:val="prastasis"/>
    <w:link w:val="Pagrindinistekstas2Diagrama1"/>
    <w:rsid w:val="00ED7DC3"/>
    <w:pPr>
      <w:suppressAutoHyphens/>
      <w:spacing w:after="120" w:line="480" w:lineRule="auto"/>
    </w:pPr>
    <w:rPr>
      <w:rFonts w:ascii="Times New Roman" w:eastAsia="Times New Roman" w:hAnsi="Times New Roman" w:cs="Times New Roman"/>
      <w:color w:val="000000"/>
      <w:sz w:val="24"/>
      <w:szCs w:val="24"/>
      <w:lang w:val="sl-SI" w:eastAsia="ar-SA"/>
    </w:rPr>
  </w:style>
  <w:style w:type="character" w:customStyle="1" w:styleId="Pagrindinistekstas2Diagrama1">
    <w:name w:val="Pagrindinis tekstas 2 Diagrama1"/>
    <w:basedOn w:val="Numatytasispastraiposriftas"/>
    <w:link w:val="Pagrindinistekstas2"/>
    <w:rsid w:val="00ED7DC3"/>
    <w:rPr>
      <w:rFonts w:ascii="Times New Roman" w:eastAsia="Times New Roman" w:hAnsi="Times New Roman" w:cs="Times New Roman"/>
      <w:color w:val="000000"/>
      <w:sz w:val="24"/>
      <w:szCs w:val="24"/>
      <w:lang w:val="sl-SI" w:eastAsia="ar-SA"/>
    </w:rPr>
  </w:style>
  <w:style w:type="paragraph" w:styleId="Pagrindiniotekstotrauka2">
    <w:name w:val="Body Text Indent 2"/>
    <w:basedOn w:val="prastasis"/>
    <w:link w:val="Pagrindiniotekstotrauka2Diagrama1"/>
    <w:rsid w:val="00ED7DC3"/>
    <w:pPr>
      <w:suppressAutoHyphens/>
      <w:spacing w:after="120" w:line="480" w:lineRule="auto"/>
      <w:ind w:left="283"/>
    </w:pPr>
    <w:rPr>
      <w:rFonts w:ascii="Times New Roman" w:eastAsia="Times New Roman" w:hAnsi="Times New Roman" w:cs="Times New Roman"/>
      <w:color w:val="000000"/>
      <w:sz w:val="24"/>
      <w:szCs w:val="24"/>
      <w:lang w:val="sl-SI" w:eastAsia="ar-SA"/>
    </w:rPr>
  </w:style>
  <w:style w:type="character" w:customStyle="1" w:styleId="Pagrindiniotekstotrauka2Diagrama1">
    <w:name w:val="Pagrindinio teksto įtrauka 2 Diagrama1"/>
    <w:basedOn w:val="Numatytasispastraiposriftas"/>
    <w:link w:val="Pagrindiniotekstotrauka2"/>
    <w:rsid w:val="00ED7DC3"/>
    <w:rPr>
      <w:rFonts w:ascii="Times New Roman" w:eastAsia="Times New Roman" w:hAnsi="Times New Roman" w:cs="Times New Roman"/>
      <w:color w:val="000000"/>
      <w:sz w:val="24"/>
      <w:szCs w:val="24"/>
      <w:lang w:val="sl-SI" w:eastAsia="ar-SA"/>
    </w:rPr>
  </w:style>
  <w:style w:type="paragraph" w:styleId="Pagrindinistekstas3">
    <w:name w:val="Body Text 3"/>
    <w:basedOn w:val="prastasis"/>
    <w:link w:val="Pagrindinistekstas3Diagrama1"/>
    <w:rsid w:val="00ED7DC3"/>
    <w:pPr>
      <w:suppressAutoHyphens/>
      <w:spacing w:after="120" w:line="240" w:lineRule="auto"/>
    </w:pPr>
    <w:rPr>
      <w:rFonts w:ascii="Times New Roman" w:eastAsia="Times New Roman" w:hAnsi="Times New Roman" w:cs="Times New Roman"/>
      <w:color w:val="000000"/>
      <w:sz w:val="16"/>
      <w:szCs w:val="16"/>
      <w:lang w:val="sl-SI" w:eastAsia="ar-SA"/>
    </w:rPr>
  </w:style>
  <w:style w:type="character" w:customStyle="1" w:styleId="Pagrindinistekstas3Diagrama1">
    <w:name w:val="Pagrindinis tekstas 3 Diagrama1"/>
    <w:basedOn w:val="Numatytasispastraiposriftas"/>
    <w:link w:val="Pagrindinistekstas3"/>
    <w:rsid w:val="00ED7DC3"/>
    <w:rPr>
      <w:rFonts w:ascii="Times New Roman" w:eastAsia="Times New Roman" w:hAnsi="Times New Roman" w:cs="Times New Roman"/>
      <w:color w:val="000000"/>
      <w:sz w:val="16"/>
      <w:szCs w:val="16"/>
      <w:lang w:val="sl-SI" w:eastAsia="ar-SA"/>
    </w:rPr>
  </w:style>
  <w:style w:type="paragraph" w:customStyle="1" w:styleId="BTbEMEASMCA">
    <w:name w:val="BT(b) EMEA_SMCA"/>
    <w:basedOn w:val="prastasis"/>
    <w:rsid w:val="00ED7DC3"/>
    <w:pPr>
      <w:suppressAutoHyphens/>
      <w:spacing w:after="0" w:line="240" w:lineRule="auto"/>
    </w:pPr>
    <w:rPr>
      <w:rFonts w:ascii="Times New Roman" w:eastAsia="Times New Roman" w:hAnsi="Times New Roman" w:cs="Times New Roman"/>
      <w:b/>
      <w:color w:val="000000"/>
      <w:sz w:val="24"/>
      <w:lang w:val="sl-SI" w:eastAsia="ar-SA"/>
    </w:rPr>
  </w:style>
  <w:style w:type="paragraph" w:customStyle="1" w:styleId="TableText">
    <w:name w:val="Table Text"/>
    <w:basedOn w:val="prastasis"/>
    <w:rsid w:val="00ED7DC3"/>
    <w:pPr>
      <w:suppressAutoHyphens/>
      <w:spacing w:after="0" w:line="240" w:lineRule="auto"/>
    </w:pPr>
    <w:rPr>
      <w:rFonts w:ascii="CG Times (W1)" w:eastAsia="Times New Roman" w:hAnsi="CG Times (W1)" w:cs="CG Times (W1)"/>
      <w:color w:val="000000"/>
      <w:sz w:val="20"/>
      <w:szCs w:val="24"/>
      <w:lang w:val="en-GB" w:eastAsia="ar-SA"/>
    </w:rPr>
  </w:style>
  <w:style w:type="paragraph" w:customStyle="1" w:styleId="Normal11pt">
    <w:name w:val="Normal + 11pt"/>
    <w:basedOn w:val="prastasis"/>
    <w:rsid w:val="00ED7DC3"/>
    <w:pPr>
      <w:suppressAutoHyphens/>
      <w:spacing w:after="0" w:line="240" w:lineRule="auto"/>
    </w:pPr>
    <w:rPr>
      <w:rFonts w:ascii="Times New Roman" w:eastAsia="Times New Roman" w:hAnsi="Times New Roman" w:cs="Times New Roman"/>
      <w:color w:val="000000"/>
      <w:sz w:val="24"/>
      <w:lang w:val="en-GB" w:eastAsia="ar-SA"/>
    </w:rPr>
  </w:style>
  <w:style w:type="paragraph" w:customStyle="1" w:styleId="NormaLT">
    <w:name w:val="NormaLT"/>
    <w:basedOn w:val="prastasis"/>
    <w:rsid w:val="00ED7DC3"/>
    <w:pPr>
      <w:tabs>
        <w:tab w:val="left" w:pos="425"/>
      </w:tabs>
      <w:suppressAutoHyphens/>
      <w:spacing w:after="0" w:line="240" w:lineRule="auto"/>
      <w:jc w:val="both"/>
    </w:pPr>
    <w:rPr>
      <w:rFonts w:ascii="Arial" w:eastAsia="Times New Roman" w:hAnsi="Arial" w:cs="Arial"/>
      <w:color w:val="000000"/>
      <w:sz w:val="24"/>
      <w:szCs w:val="24"/>
      <w:lang w:val="sl-SI" w:eastAsia="ar-SA"/>
    </w:rPr>
  </w:style>
  <w:style w:type="paragraph" w:customStyle="1" w:styleId="EMEAEnBodyText">
    <w:name w:val="EMEA En Body Text"/>
    <w:basedOn w:val="prastasis"/>
    <w:rsid w:val="00ED7DC3"/>
    <w:pPr>
      <w:suppressAutoHyphens/>
      <w:spacing w:before="120" w:after="120" w:line="240" w:lineRule="auto"/>
      <w:jc w:val="both"/>
    </w:pPr>
    <w:rPr>
      <w:rFonts w:ascii="Times New Roman" w:eastAsia="Times New Roman" w:hAnsi="Times New Roman" w:cs="Times New Roman"/>
      <w:color w:val="000000"/>
      <w:sz w:val="24"/>
      <w:szCs w:val="24"/>
      <w:lang w:val="en-US" w:eastAsia="ar-SA"/>
    </w:rPr>
  </w:style>
  <w:style w:type="paragraph" w:customStyle="1" w:styleId="AHeader1">
    <w:name w:val="AHeader 1"/>
    <w:basedOn w:val="prastasis"/>
    <w:rsid w:val="00ED7DC3"/>
    <w:pPr>
      <w:tabs>
        <w:tab w:val="left" w:pos="720"/>
      </w:tabs>
      <w:suppressAutoHyphens/>
      <w:spacing w:after="120" w:line="240" w:lineRule="auto"/>
      <w:ind w:left="284" w:hanging="284"/>
    </w:pPr>
    <w:rPr>
      <w:rFonts w:ascii="Arial" w:eastAsia="Times New Roman" w:hAnsi="Arial" w:cs="Arial"/>
      <w:b/>
      <w:bCs/>
      <w:color w:val="000000"/>
      <w:sz w:val="24"/>
      <w:szCs w:val="24"/>
      <w:lang w:val="en-GB" w:eastAsia="ar-SA"/>
    </w:rPr>
  </w:style>
  <w:style w:type="paragraph" w:customStyle="1" w:styleId="AHeader2">
    <w:name w:val="AHeader 2"/>
    <w:basedOn w:val="AHeader1"/>
    <w:rsid w:val="00ED7DC3"/>
    <w:pPr>
      <w:tabs>
        <w:tab w:val="left" w:pos="360"/>
      </w:tabs>
      <w:ind w:left="360" w:hanging="360"/>
    </w:pPr>
    <w:rPr>
      <w:sz w:val="22"/>
    </w:rPr>
  </w:style>
  <w:style w:type="paragraph" w:customStyle="1" w:styleId="AHeader3">
    <w:name w:val="AHeader 3"/>
    <w:basedOn w:val="AHeader2"/>
    <w:rsid w:val="00ED7DC3"/>
    <w:pPr>
      <w:tabs>
        <w:tab w:val="clear" w:pos="720"/>
      </w:tabs>
    </w:pPr>
  </w:style>
  <w:style w:type="paragraph" w:customStyle="1" w:styleId="AHeader2abc">
    <w:name w:val="AHeader 2 abc"/>
    <w:basedOn w:val="AHeader3"/>
    <w:rsid w:val="00ED7DC3"/>
    <w:pPr>
      <w:jc w:val="both"/>
    </w:pPr>
    <w:rPr>
      <w:b w:val="0"/>
      <w:bCs w:val="0"/>
    </w:rPr>
  </w:style>
  <w:style w:type="paragraph" w:customStyle="1" w:styleId="AHeader3abc">
    <w:name w:val="AHeader 3 abc"/>
    <w:basedOn w:val="AHeader2abc"/>
    <w:rsid w:val="00ED7DC3"/>
  </w:style>
  <w:style w:type="paragraph" w:customStyle="1" w:styleId="Komentarotekstas1">
    <w:name w:val="Komentaro tekstas1"/>
    <w:basedOn w:val="prastasis"/>
    <w:rsid w:val="00ED7DC3"/>
    <w:pPr>
      <w:suppressAutoHyphens/>
      <w:spacing w:after="0" w:line="240" w:lineRule="auto"/>
    </w:pPr>
    <w:rPr>
      <w:rFonts w:ascii="Times New Roman" w:eastAsia="Times New Roman" w:hAnsi="Times New Roman" w:cs="Times New Roman"/>
      <w:b/>
      <w:bCs/>
      <w:color w:val="000000"/>
      <w:sz w:val="20"/>
      <w:szCs w:val="24"/>
      <w:lang w:val="sl-SI" w:eastAsia="ar-SA"/>
    </w:rPr>
  </w:style>
  <w:style w:type="paragraph" w:customStyle="1" w:styleId="Komentarotema1">
    <w:name w:val="Komentaro tema1"/>
    <w:basedOn w:val="Komentarotekstas1"/>
    <w:rsid w:val="00ED7DC3"/>
  </w:style>
  <w:style w:type="paragraph" w:customStyle="1" w:styleId="BTEMEASMCA">
    <w:name w:val="BT EMEA_SMCA"/>
    <w:basedOn w:val="prastasis"/>
    <w:rsid w:val="00ED7DC3"/>
    <w:pPr>
      <w:suppressAutoHyphens/>
      <w:spacing w:after="0" w:line="240" w:lineRule="auto"/>
    </w:pPr>
    <w:rPr>
      <w:rFonts w:ascii="Times New Roman" w:eastAsia="Times New Roman" w:hAnsi="Times New Roman" w:cs="Times New Roman"/>
      <w:color w:val="000000"/>
      <w:sz w:val="24"/>
      <w:szCs w:val="24"/>
      <w:lang w:val="en-US" w:eastAsia="ar-SA"/>
    </w:rPr>
  </w:style>
  <w:style w:type="paragraph" w:customStyle="1" w:styleId="Normal11pt0">
    <w:name w:val="Normal + 11 pt"/>
    <w:basedOn w:val="Pagrindinistekstas"/>
    <w:rsid w:val="00ED7DC3"/>
    <w:pPr>
      <w:widowControl w:val="0"/>
      <w:spacing w:after="0" w:line="312" w:lineRule="auto"/>
    </w:pPr>
    <w:rPr>
      <w:rFonts w:ascii="TimesLT" w:hAnsi="TimesLT" w:cs="TimesLT"/>
      <w:szCs w:val="22"/>
      <w:lang w:val="en-US"/>
    </w:rPr>
  </w:style>
  <w:style w:type="paragraph" w:customStyle="1" w:styleId="A-TableText">
    <w:name w:val="A-TableText"/>
    <w:basedOn w:val="prastasis"/>
    <w:rsid w:val="00ED7DC3"/>
    <w:pPr>
      <w:suppressAutoHyphens/>
      <w:spacing w:before="60" w:after="60" w:line="240" w:lineRule="auto"/>
    </w:pPr>
    <w:rPr>
      <w:rFonts w:ascii="Times New Roman" w:eastAsia="Calibri" w:hAnsi="Times New Roman" w:cs="Times New Roman"/>
      <w:color w:val="000000"/>
      <w:sz w:val="20"/>
      <w:szCs w:val="24"/>
      <w:lang w:val="en-GB" w:eastAsia="ar-SA"/>
    </w:rPr>
  </w:style>
  <w:style w:type="paragraph" w:customStyle="1" w:styleId="BodytextAgency">
    <w:name w:val="Body text (Agency)"/>
    <w:basedOn w:val="prastasis"/>
    <w:rsid w:val="00ED7DC3"/>
    <w:pPr>
      <w:suppressAutoHyphens/>
      <w:spacing w:after="140" w:line="280" w:lineRule="atLeast"/>
    </w:pPr>
    <w:rPr>
      <w:rFonts w:ascii="Verdana" w:eastAsia="Calibri" w:hAnsi="Verdana" w:cs="Verdana"/>
      <w:color w:val="000000"/>
      <w:sz w:val="18"/>
      <w:szCs w:val="24"/>
      <w:lang w:val="en-GB" w:eastAsia="ar-SA"/>
    </w:rPr>
  </w:style>
  <w:style w:type="paragraph" w:customStyle="1" w:styleId="NormalAgency">
    <w:name w:val="Normal (Agency)"/>
    <w:rsid w:val="00ED7DC3"/>
    <w:pPr>
      <w:suppressAutoHyphens/>
      <w:spacing w:after="0" w:line="240" w:lineRule="auto"/>
    </w:pPr>
    <w:rPr>
      <w:rFonts w:ascii="Verdana" w:eastAsia="Calibri" w:hAnsi="Verdana" w:cs="Times New Roman"/>
      <w:sz w:val="18"/>
      <w:lang w:val="en-GB" w:eastAsia="ar-SA"/>
    </w:rPr>
  </w:style>
  <w:style w:type="paragraph" w:customStyle="1" w:styleId="TabletextrowsAgency">
    <w:name w:val="Table text rows (Agency)"/>
    <w:basedOn w:val="prastasis"/>
    <w:rsid w:val="00ED7DC3"/>
    <w:pPr>
      <w:suppressAutoHyphens/>
      <w:spacing w:after="0" w:line="280" w:lineRule="exact"/>
    </w:pPr>
    <w:rPr>
      <w:rFonts w:ascii="Verdana" w:eastAsia="Calibri" w:hAnsi="Verdana" w:cs="Verdana"/>
      <w:color w:val="000000"/>
      <w:sz w:val="18"/>
      <w:szCs w:val="24"/>
      <w:lang w:val="en-GB" w:eastAsia="ar-SA"/>
    </w:rPr>
  </w:style>
  <w:style w:type="paragraph" w:styleId="Pataisymai">
    <w:name w:val="Revision"/>
    <w:rsid w:val="00ED7DC3"/>
    <w:pPr>
      <w:suppressAutoHyphens/>
      <w:spacing w:after="0" w:line="240" w:lineRule="auto"/>
    </w:pPr>
    <w:rPr>
      <w:rFonts w:ascii="Times New Roman" w:eastAsia="Calibri" w:hAnsi="Times New Roman" w:cs="Times New Roman"/>
      <w:szCs w:val="20"/>
      <w:lang w:val="en-GB" w:eastAsia="ar-SA"/>
    </w:rPr>
  </w:style>
  <w:style w:type="paragraph" w:styleId="Dokumentostruktra">
    <w:name w:val="Document Map"/>
    <w:basedOn w:val="prastasis"/>
    <w:link w:val="DokumentostruktraDiagrama1"/>
    <w:rsid w:val="00ED7DC3"/>
    <w:pPr>
      <w:shd w:val="clear" w:color="auto" w:fill="000080"/>
      <w:tabs>
        <w:tab w:val="left" w:pos="567"/>
      </w:tabs>
      <w:suppressAutoHyphens/>
      <w:spacing w:after="0" w:line="260" w:lineRule="exact"/>
    </w:pPr>
    <w:rPr>
      <w:rFonts w:ascii="Tahoma" w:eastAsia="SimSun" w:hAnsi="Tahoma" w:cs="Tahoma"/>
      <w:color w:val="000000"/>
      <w:sz w:val="20"/>
      <w:szCs w:val="24"/>
      <w:lang w:val="en-GB" w:eastAsia="ar-SA"/>
    </w:rPr>
  </w:style>
  <w:style w:type="character" w:customStyle="1" w:styleId="DokumentostruktraDiagrama1">
    <w:name w:val="Dokumento struktūra Diagrama1"/>
    <w:basedOn w:val="Numatytasispastraiposriftas"/>
    <w:link w:val="Dokumentostruktra"/>
    <w:rsid w:val="00ED7DC3"/>
    <w:rPr>
      <w:rFonts w:ascii="Tahoma" w:eastAsia="SimSun" w:hAnsi="Tahoma" w:cs="Tahoma"/>
      <w:color w:val="000000"/>
      <w:sz w:val="20"/>
      <w:szCs w:val="24"/>
      <w:shd w:val="clear" w:color="auto" w:fill="000080"/>
      <w:lang w:val="en-GB" w:eastAsia="ar-SA"/>
    </w:rPr>
  </w:style>
  <w:style w:type="paragraph" w:styleId="Pagrindiniotekstotrauka">
    <w:name w:val="Body Text Indent"/>
    <w:basedOn w:val="prastasis"/>
    <w:link w:val="PagrindiniotekstotraukaDiagrama1"/>
    <w:rsid w:val="00ED7DC3"/>
    <w:pPr>
      <w:suppressAutoHyphens/>
      <w:spacing w:after="0" w:line="240" w:lineRule="auto"/>
      <w:ind w:left="720"/>
      <w:jc w:val="both"/>
    </w:pPr>
    <w:rPr>
      <w:rFonts w:ascii="Times New Roman" w:eastAsia="SimSun" w:hAnsi="Times New Roman" w:cs="Times New Roman"/>
      <w:color w:val="000000"/>
      <w:sz w:val="20"/>
      <w:szCs w:val="24"/>
      <w:lang w:val="en-GB" w:eastAsia="ar-SA"/>
    </w:rPr>
  </w:style>
  <w:style w:type="character" w:customStyle="1" w:styleId="PagrindiniotekstotraukaDiagrama1">
    <w:name w:val="Pagrindinio teksto įtrauka Diagrama1"/>
    <w:basedOn w:val="Numatytasispastraiposriftas"/>
    <w:link w:val="Pagrindiniotekstotrauka"/>
    <w:rsid w:val="00ED7DC3"/>
    <w:rPr>
      <w:rFonts w:ascii="Times New Roman" w:eastAsia="SimSun" w:hAnsi="Times New Roman" w:cs="Times New Roman"/>
      <w:color w:val="000000"/>
      <w:sz w:val="20"/>
      <w:szCs w:val="24"/>
      <w:lang w:val="en-GB" w:eastAsia="ar-SA"/>
    </w:rPr>
  </w:style>
  <w:style w:type="paragraph" w:styleId="Pagrindiniotekstotrauka3">
    <w:name w:val="Body Text Indent 3"/>
    <w:basedOn w:val="prastasis"/>
    <w:link w:val="Pagrindiniotekstotrauka3Diagrama1"/>
    <w:rsid w:val="00ED7DC3"/>
    <w:pPr>
      <w:tabs>
        <w:tab w:val="left" w:pos="567"/>
        <w:tab w:val="left" w:pos="1134"/>
      </w:tabs>
      <w:suppressAutoHyphens/>
      <w:spacing w:after="0" w:line="260" w:lineRule="exact"/>
      <w:ind w:left="633"/>
      <w:jc w:val="both"/>
    </w:pPr>
    <w:rPr>
      <w:rFonts w:ascii="Times New Roman" w:eastAsia="SimSun" w:hAnsi="Times New Roman" w:cs="Times New Roman"/>
      <w:color w:val="000000"/>
      <w:sz w:val="20"/>
      <w:szCs w:val="21"/>
      <w:lang w:val="en-GB" w:eastAsia="ar-SA"/>
    </w:rPr>
  </w:style>
  <w:style w:type="character" w:customStyle="1" w:styleId="Pagrindiniotekstotrauka3Diagrama1">
    <w:name w:val="Pagrindinio teksto įtrauka 3 Diagrama1"/>
    <w:basedOn w:val="Numatytasispastraiposriftas"/>
    <w:link w:val="Pagrindiniotekstotrauka3"/>
    <w:rsid w:val="00ED7DC3"/>
    <w:rPr>
      <w:rFonts w:ascii="Times New Roman" w:eastAsia="SimSun" w:hAnsi="Times New Roman" w:cs="Times New Roman"/>
      <w:color w:val="000000"/>
      <w:sz w:val="20"/>
      <w:szCs w:val="21"/>
      <w:lang w:val="en-GB" w:eastAsia="ar-SA"/>
    </w:rPr>
  </w:style>
  <w:style w:type="paragraph" w:customStyle="1" w:styleId="TableheadingrowsAgency">
    <w:name w:val="Table heading rows (Agency)"/>
    <w:basedOn w:val="BodytextAgency"/>
    <w:rsid w:val="00ED7DC3"/>
    <w:pPr>
      <w:keepNext/>
    </w:pPr>
    <w:rPr>
      <w:rFonts w:eastAsia="SimSun"/>
      <w:b/>
      <w:szCs w:val="18"/>
    </w:rPr>
  </w:style>
  <w:style w:type="paragraph" w:styleId="Paprastasistekstas">
    <w:name w:val="Plain Text"/>
    <w:basedOn w:val="prastasis"/>
    <w:link w:val="PaprastasistekstasDiagrama1"/>
    <w:rsid w:val="00ED7DC3"/>
    <w:pPr>
      <w:suppressAutoHyphens/>
      <w:spacing w:after="0" w:line="240" w:lineRule="auto"/>
    </w:pPr>
    <w:rPr>
      <w:rFonts w:ascii="Courier New" w:eastAsia="SimSun" w:hAnsi="Courier New" w:cs="Courier New"/>
      <w:color w:val="000000"/>
      <w:sz w:val="20"/>
      <w:szCs w:val="24"/>
      <w:lang w:val="en-US" w:eastAsia="ar-SA"/>
    </w:rPr>
  </w:style>
  <w:style w:type="character" w:customStyle="1" w:styleId="PaprastasistekstasDiagrama1">
    <w:name w:val="Paprastasis tekstas Diagrama1"/>
    <w:basedOn w:val="Numatytasispastraiposriftas"/>
    <w:link w:val="Paprastasistekstas"/>
    <w:rsid w:val="00ED7DC3"/>
    <w:rPr>
      <w:rFonts w:ascii="Courier New" w:eastAsia="SimSun" w:hAnsi="Courier New" w:cs="Courier New"/>
      <w:color w:val="000000"/>
      <w:sz w:val="20"/>
      <w:szCs w:val="24"/>
      <w:lang w:val="en-US" w:eastAsia="ar-SA"/>
    </w:rPr>
  </w:style>
  <w:style w:type="paragraph" w:customStyle="1" w:styleId="Dokumentoinaostekstas1">
    <w:name w:val="Dokumento išnašos tekstas1"/>
    <w:basedOn w:val="prastasis"/>
    <w:rsid w:val="00ED7DC3"/>
    <w:pPr>
      <w:tabs>
        <w:tab w:val="left" w:pos="567"/>
      </w:tabs>
      <w:suppressAutoHyphens/>
      <w:spacing w:after="0" w:line="240" w:lineRule="auto"/>
    </w:pPr>
    <w:rPr>
      <w:rFonts w:ascii="Times New Roman" w:eastAsia="SimSun" w:hAnsi="Times New Roman" w:cs="Times New Roman"/>
      <w:color w:val="000000"/>
      <w:sz w:val="20"/>
      <w:szCs w:val="24"/>
      <w:lang w:val="en-GB" w:eastAsia="ar-SA"/>
    </w:rPr>
  </w:style>
  <w:style w:type="paragraph" w:customStyle="1" w:styleId="Sraopastraipa2">
    <w:name w:val="Sąrašo pastraipa2"/>
    <w:basedOn w:val="prastasis"/>
    <w:rsid w:val="00ED7DC3"/>
    <w:pPr>
      <w:tabs>
        <w:tab w:val="left" w:pos="567"/>
      </w:tabs>
      <w:suppressAutoHyphens/>
      <w:spacing w:after="0" w:line="260" w:lineRule="exact"/>
      <w:ind w:left="1296"/>
    </w:pPr>
    <w:rPr>
      <w:rFonts w:ascii="Times New Roman" w:eastAsia="Times New Roman" w:hAnsi="Times New Roman" w:cs="Times New Roman"/>
      <w:color w:val="000000"/>
      <w:sz w:val="24"/>
      <w:szCs w:val="24"/>
      <w:lang w:val="en-GB" w:eastAsia="ar-SA"/>
    </w:rPr>
  </w:style>
  <w:style w:type="paragraph" w:customStyle="1" w:styleId="CM14">
    <w:name w:val="CM14"/>
    <w:basedOn w:val="prastasis"/>
    <w:rsid w:val="00ED7DC3"/>
    <w:pPr>
      <w:widowControl w:val="0"/>
      <w:suppressAutoHyphens/>
      <w:spacing w:after="268" w:line="240" w:lineRule="auto"/>
    </w:pPr>
    <w:rPr>
      <w:rFonts w:ascii="Times New Roman" w:eastAsia="Times New Roman" w:hAnsi="Times New Roman" w:cs="Times New Roman"/>
      <w:color w:val="00000A"/>
      <w:sz w:val="24"/>
      <w:szCs w:val="24"/>
      <w:lang w:val="el-GR" w:eastAsia="ar-SA"/>
    </w:rPr>
  </w:style>
  <w:style w:type="paragraph" w:customStyle="1" w:styleId="CM4">
    <w:name w:val="CM4"/>
    <w:basedOn w:val="prastasis"/>
    <w:rsid w:val="00ED7DC3"/>
    <w:pPr>
      <w:widowControl w:val="0"/>
      <w:suppressAutoHyphens/>
      <w:spacing w:after="0" w:line="276" w:lineRule="atLeast"/>
    </w:pPr>
    <w:rPr>
      <w:rFonts w:ascii="Times New Roman" w:eastAsia="Times New Roman" w:hAnsi="Times New Roman" w:cs="Times New Roman"/>
      <w:color w:val="00000A"/>
      <w:sz w:val="24"/>
      <w:szCs w:val="24"/>
      <w:lang w:val="el-GR" w:eastAsia="ar-SA"/>
    </w:rPr>
  </w:style>
  <w:style w:type="paragraph" w:styleId="Turinys1">
    <w:name w:val="toc 1"/>
    <w:basedOn w:val="prastasis"/>
    <w:rsid w:val="00ED7DC3"/>
    <w:pPr>
      <w:tabs>
        <w:tab w:val="right" w:leader="dot" w:pos="9638"/>
      </w:tabs>
      <w:suppressAutoHyphens/>
      <w:spacing w:after="0" w:line="240" w:lineRule="auto"/>
    </w:pPr>
    <w:rPr>
      <w:rFonts w:ascii="Times New Roman" w:eastAsia="Times New Roman" w:hAnsi="Times New Roman" w:cs="Times New Roman"/>
      <w:color w:val="000000"/>
      <w:sz w:val="24"/>
      <w:szCs w:val="24"/>
      <w:lang w:val="en-GB" w:eastAsia="ar-SA"/>
    </w:rPr>
  </w:style>
  <w:style w:type="paragraph" w:customStyle="1" w:styleId="leipa">
    <w:name w:val="leipa"/>
    <w:basedOn w:val="prastasis"/>
    <w:rsid w:val="00ED7DC3"/>
    <w:pPr>
      <w:suppressAutoHyphens/>
      <w:spacing w:before="100" w:after="100" w:line="240" w:lineRule="auto"/>
    </w:pPr>
    <w:rPr>
      <w:rFonts w:ascii="Arial Unicode MS" w:eastAsia="Arial Unicode MS" w:hAnsi="Arial Unicode MS" w:cs="Arial Unicode MS"/>
      <w:color w:val="000000"/>
      <w:sz w:val="24"/>
      <w:szCs w:val="24"/>
      <w:lang w:val="de-DE" w:eastAsia="ar-SA"/>
    </w:rPr>
  </w:style>
  <w:style w:type="paragraph" w:customStyle="1" w:styleId="CM1">
    <w:name w:val="CM1"/>
    <w:basedOn w:val="prastasis"/>
    <w:rsid w:val="00ED7DC3"/>
    <w:pPr>
      <w:widowControl w:val="0"/>
      <w:suppressAutoHyphens/>
      <w:spacing w:after="0" w:line="240" w:lineRule="auto"/>
    </w:pPr>
    <w:rPr>
      <w:rFonts w:ascii="Courier" w:eastAsia="Times New Roman" w:hAnsi="Courier" w:cs="Courier"/>
      <w:color w:val="00000A"/>
      <w:sz w:val="24"/>
      <w:szCs w:val="24"/>
      <w:lang w:val="el-GR" w:eastAsia="ar-SA"/>
    </w:rPr>
  </w:style>
  <w:style w:type="paragraph" w:customStyle="1" w:styleId="CM50">
    <w:name w:val="CM50"/>
    <w:basedOn w:val="prastasis"/>
    <w:rsid w:val="00ED7DC3"/>
    <w:pPr>
      <w:widowControl w:val="0"/>
      <w:suppressAutoHyphens/>
      <w:spacing w:after="350" w:line="240" w:lineRule="auto"/>
    </w:pPr>
    <w:rPr>
      <w:rFonts w:ascii="Times New Roman" w:eastAsia="Times New Roman" w:hAnsi="Times New Roman" w:cs="Times New Roman"/>
      <w:color w:val="00000A"/>
      <w:sz w:val="24"/>
      <w:szCs w:val="24"/>
      <w:lang w:val="en-US" w:eastAsia="ar-SA"/>
    </w:rPr>
  </w:style>
  <w:style w:type="paragraph" w:customStyle="1" w:styleId="CM48">
    <w:name w:val="CM48"/>
    <w:basedOn w:val="prastasis"/>
    <w:rsid w:val="00ED7DC3"/>
    <w:pPr>
      <w:widowControl w:val="0"/>
      <w:suppressAutoHyphens/>
      <w:spacing w:after="258" w:line="240" w:lineRule="auto"/>
    </w:pPr>
    <w:rPr>
      <w:rFonts w:ascii="Times New Roman" w:eastAsia="Times New Roman" w:hAnsi="Times New Roman" w:cs="Times New Roman"/>
      <w:color w:val="00000A"/>
      <w:sz w:val="24"/>
      <w:szCs w:val="24"/>
      <w:lang w:val="en-US" w:eastAsia="ar-SA"/>
    </w:rPr>
  </w:style>
  <w:style w:type="paragraph" w:styleId="Sraopastraipa">
    <w:name w:val="List Paragraph"/>
    <w:basedOn w:val="prastasis"/>
    <w:qFormat/>
    <w:rsid w:val="00ED7DC3"/>
    <w:pPr>
      <w:suppressAutoHyphens/>
      <w:spacing w:after="0" w:line="240" w:lineRule="auto"/>
      <w:ind w:left="720"/>
    </w:pPr>
    <w:rPr>
      <w:rFonts w:ascii="Times New Roman" w:eastAsia="Times New Roman" w:hAnsi="Times New Roman" w:cs="Times New Roman"/>
      <w:color w:val="000000"/>
      <w:sz w:val="24"/>
      <w:szCs w:val="24"/>
      <w:lang w:val="en-GB" w:eastAsia="ar-SA"/>
    </w:rPr>
  </w:style>
  <w:style w:type="paragraph" w:customStyle="1" w:styleId="Text">
    <w:name w:val="Text"/>
    <w:basedOn w:val="prastasis"/>
    <w:rsid w:val="00ED7DC3"/>
    <w:pPr>
      <w:suppressAutoHyphens/>
      <w:spacing w:before="120" w:after="0" w:line="240" w:lineRule="auto"/>
      <w:jc w:val="both"/>
    </w:pPr>
    <w:rPr>
      <w:rFonts w:ascii="Times New Roman" w:eastAsia="Times New Roman" w:hAnsi="Times New Roman" w:cs="Times New Roman"/>
      <w:color w:val="000000"/>
      <w:sz w:val="24"/>
      <w:szCs w:val="24"/>
      <w:lang w:val="en-US" w:eastAsia="ar-SA"/>
    </w:rPr>
  </w:style>
  <w:style w:type="paragraph" w:customStyle="1" w:styleId="Authors">
    <w:name w:val="Authors"/>
    <w:basedOn w:val="prastasis"/>
    <w:rsid w:val="00ED7DC3"/>
    <w:pPr>
      <w:keepNext/>
      <w:tabs>
        <w:tab w:val="left" w:pos="2268"/>
      </w:tabs>
      <w:suppressAutoHyphens/>
      <w:spacing w:before="240" w:after="0" w:line="240" w:lineRule="auto"/>
    </w:pPr>
    <w:rPr>
      <w:rFonts w:ascii="Arial" w:eastAsia="Times New Roman" w:hAnsi="Arial" w:cs="Arial"/>
      <w:color w:val="000000"/>
      <w:sz w:val="24"/>
      <w:szCs w:val="24"/>
      <w:lang w:val="en-US" w:eastAsia="ar-SA"/>
    </w:rPr>
  </w:style>
  <w:style w:type="paragraph" w:customStyle="1" w:styleId="Listlevel1">
    <w:name w:val="List level 1"/>
    <w:basedOn w:val="prastasis"/>
    <w:rsid w:val="00ED7DC3"/>
    <w:pPr>
      <w:suppressAutoHyphens/>
      <w:spacing w:before="40" w:after="20" w:line="240" w:lineRule="auto"/>
      <w:ind w:left="425" w:hanging="425"/>
    </w:pPr>
    <w:rPr>
      <w:rFonts w:ascii="Times New Roman" w:eastAsia="Times New Roman" w:hAnsi="Times New Roman" w:cs="Times New Roman"/>
      <w:color w:val="000000"/>
      <w:sz w:val="24"/>
      <w:szCs w:val="24"/>
      <w:lang w:val="en-US" w:eastAsia="ar-SA"/>
    </w:rPr>
  </w:style>
  <w:style w:type="paragraph" w:styleId="Turinys6">
    <w:name w:val="toc 6"/>
    <w:basedOn w:val="prastasis"/>
    <w:rsid w:val="00ED7DC3"/>
    <w:pPr>
      <w:tabs>
        <w:tab w:val="right" w:leader="dot" w:pos="9061"/>
      </w:tabs>
      <w:suppressAutoHyphens/>
      <w:spacing w:after="72" w:line="240" w:lineRule="auto"/>
      <w:ind w:left="992" w:right="227" w:hanging="992"/>
    </w:pPr>
    <w:rPr>
      <w:rFonts w:ascii="Times New Roman" w:eastAsia="Times New Roman" w:hAnsi="Times New Roman" w:cs="Times New Roman"/>
      <w:color w:val="000000"/>
      <w:sz w:val="24"/>
      <w:szCs w:val="24"/>
      <w:lang w:val="en-US" w:eastAsia="ar-SA"/>
    </w:rPr>
  </w:style>
  <w:style w:type="paragraph" w:styleId="Turinys7">
    <w:name w:val="toc 7"/>
    <w:basedOn w:val="prastasis"/>
    <w:rsid w:val="00ED7DC3"/>
    <w:pPr>
      <w:tabs>
        <w:tab w:val="right" w:leader="dot" w:pos="9061"/>
      </w:tabs>
      <w:suppressAutoHyphens/>
      <w:spacing w:after="72" w:line="240" w:lineRule="auto"/>
      <w:ind w:left="992" w:right="227" w:hanging="992"/>
    </w:pPr>
    <w:rPr>
      <w:rFonts w:ascii="Times New Roman" w:eastAsia="Times New Roman" w:hAnsi="Times New Roman" w:cs="Times New Roman"/>
      <w:color w:val="000000"/>
      <w:sz w:val="24"/>
      <w:szCs w:val="24"/>
      <w:lang w:val="en-US" w:eastAsia="ar-SA"/>
    </w:rPr>
  </w:style>
  <w:style w:type="paragraph" w:customStyle="1" w:styleId="Comment">
    <w:name w:val="Comment"/>
    <w:basedOn w:val="prastasis"/>
    <w:rsid w:val="00ED7DC3"/>
    <w:pPr>
      <w:keepLines/>
      <w:suppressAutoHyphens/>
      <w:spacing w:before="120" w:after="0" w:line="240" w:lineRule="auto"/>
      <w:jc w:val="both"/>
    </w:pPr>
    <w:rPr>
      <w:rFonts w:ascii="Times New Roman" w:eastAsia="Times New Roman" w:hAnsi="Times New Roman" w:cs="Times New Roman"/>
      <w:i/>
      <w:color w:val="0000FF"/>
      <w:sz w:val="24"/>
      <w:szCs w:val="24"/>
      <w:lang w:val="en-US" w:eastAsia="ar-SA"/>
    </w:rPr>
  </w:style>
  <w:style w:type="paragraph" w:customStyle="1" w:styleId="Compound">
    <w:name w:val="Compound"/>
    <w:basedOn w:val="prastasis"/>
    <w:rsid w:val="00ED7DC3"/>
    <w:pPr>
      <w:keepNext/>
      <w:suppressAutoHyphens/>
      <w:spacing w:before="720" w:after="0" w:line="240" w:lineRule="auto"/>
      <w:jc w:val="center"/>
    </w:pPr>
    <w:rPr>
      <w:rFonts w:ascii="Arial" w:eastAsia="Times New Roman" w:hAnsi="Arial" w:cs="Arial"/>
      <w:color w:val="000000"/>
      <w:sz w:val="32"/>
      <w:szCs w:val="24"/>
      <w:lang w:val="en-US" w:eastAsia="ar-SA"/>
    </w:rPr>
  </w:style>
  <w:style w:type="paragraph" w:customStyle="1" w:styleId="Dedicatednumber">
    <w:name w:val="Dedicatednumber"/>
    <w:basedOn w:val="prastasis"/>
    <w:rsid w:val="00ED7DC3"/>
    <w:pPr>
      <w:keepNext/>
      <w:suppressAutoHyphens/>
      <w:spacing w:before="720" w:after="0" w:line="240" w:lineRule="auto"/>
      <w:jc w:val="center"/>
    </w:pPr>
    <w:rPr>
      <w:rFonts w:ascii="Arial" w:eastAsia="Times New Roman" w:hAnsi="Arial" w:cs="Arial"/>
      <w:color w:val="000000"/>
      <w:sz w:val="28"/>
      <w:szCs w:val="24"/>
      <w:lang w:val="en-US" w:eastAsia="ar-SA"/>
    </w:rPr>
  </w:style>
  <w:style w:type="paragraph" w:customStyle="1" w:styleId="Department">
    <w:name w:val="Department"/>
    <w:basedOn w:val="prastasis"/>
    <w:rsid w:val="00ED7DC3"/>
    <w:pPr>
      <w:keepNext/>
      <w:suppressAutoHyphens/>
      <w:spacing w:before="360" w:after="0" w:line="240" w:lineRule="auto"/>
      <w:jc w:val="center"/>
    </w:pPr>
    <w:rPr>
      <w:rFonts w:ascii="Arial" w:eastAsia="Times New Roman" w:hAnsi="Arial" w:cs="Arial"/>
      <w:color w:val="000000"/>
      <w:sz w:val="28"/>
      <w:szCs w:val="24"/>
      <w:lang w:val="en-US" w:eastAsia="ar-SA"/>
    </w:rPr>
  </w:style>
  <w:style w:type="paragraph" w:customStyle="1" w:styleId="Docstatus">
    <w:name w:val="Docstatus"/>
    <w:basedOn w:val="prastasis"/>
    <w:rsid w:val="00ED7DC3"/>
    <w:pPr>
      <w:keepNext/>
      <w:tabs>
        <w:tab w:val="left" w:pos="2268"/>
      </w:tabs>
      <w:suppressAutoHyphens/>
      <w:spacing w:before="240" w:after="0" w:line="240" w:lineRule="auto"/>
    </w:pPr>
    <w:rPr>
      <w:rFonts w:ascii="Arial" w:eastAsia="Times New Roman" w:hAnsi="Arial" w:cs="Arial"/>
      <w:color w:val="000000"/>
      <w:sz w:val="24"/>
      <w:szCs w:val="24"/>
      <w:lang w:val="en-US" w:eastAsia="ar-SA"/>
    </w:rPr>
  </w:style>
  <w:style w:type="paragraph" w:customStyle="1" w:styleId="Doctype">
    <w:name w:val="Doctype"/>
    <w:basedOn w:val="Dedicatednumber"/>
    <w:rsid w:val="00ED7DC3"/>
    <w:pPr>
      <w:tabs>
        <w:tab w:val="left" w:pos="2268"/>
      </w:tabs>
      <w:spacing w:before="240"/>
      <w:jc w:val="left"/>
    </w:pPr>
    <w:rPr>
      <w:sz w:val="22"/>
    </w:rPr>
  </w:style>
  <w:style w:type="paragraph" w:customStyle="1" w:styleId="Non-proportional">
    <w:name w:val="Non-proportional"/>
    <w:basedOn w:val="prastasis"/>
    <w:rsid w:val="00ED7DC3"/>
    <w:pPr>
      <w:suppressAutoHyphens/>
      <w:spacing w:after="0" w:line="240" w:lineRule="atLeast"/>
      <w:jc w:val="both"/>
    </w:pPr>
    <w:rPr>
      <w:rFonts w:ascii="Courier New" w:eastAsia="Times New Roman" w:hAnsi="Courier New" w:cs="Courier New"/>
      <w:color w:val="000000"/>
      <w:spacing w:val="-10"/>
      <w:sz w:val="18"/>
      <w:szCs w:val="24"/>
      <w:lang w:val="en-US" w:eastAsia="ar-SA"/>
    </w:rPr>
  </w:style>
  <w:style w:type="paragraph" w:customStyle="1" w:styleId="Nottoc-headings">
    <w:name w:val="Not toc-headings"/>
    <w:basedOn w:val="prastasis"/>
    <w:rsid w:val="00ED7DC3"/>
    <w:pPr>
      <w:keepNext/>
      <w:keepLines/>
      <w:suppressAutoHyphens/>
      <w:spacing w:before="240" w:after="60" w:line="240" w:lineRule="auto"/>
      <w:ind w:left="1701" w:hanging="1701"/>
    </w:pPr>
    <w:rPr>
      <w:rFonts w:ascii="Arial" w:eastAsia="Times New Roman" w:hAnsi="Arial" w:cs="Arial"/>
      <w:b/>
      <w:color w:val="000000"/>
      <w:sz w:val="24"/>
      <w:szCs w:val="24"/>
      <w:lang w:val="en-US" w:eastAsia="ar-SA"/>
    </w:rPr>
  </w:style>
  <w:style w:type="paragraph" w:customStyle="1" w:styleId="Numberofpages">
    <w:name w:val="Numberofpages"/>
    <w:basedOn w:val="prastasis"/>
    <w:rsid w:val="00ED7DC3"/>
    <w:pPr>
      <w:keepNext/>
      <w:tabs>
        <w:tab w:val="left" w:pos="2268"/>
      </w:tabs>
      <w:suppressAutoHyphens/>
      <w:spacing w:before="240" w:after="0" w:line="240" w:lineRule="auto"/>
    </w:pPr>
    <w:rPr>
      <w:rFonts w:ascii="Arial" w:eastAsia="Times New Roman" w:hAnsi="Arial" w:cs="Arial"/>
      <w:color w:val="000000"/>
      <w:sz w:val="24"/>
      <w:szCs w:val="24"/>
      <w:lang w:val="en-US" w:eastAsia="ar-SA"/>
    </w:rPr>
  </w:style>
  <w:style w:type="paragraph" w:customStyle="1" w:styleId="Propertystatement">
    <w:name w:val="Propertystatement"/>
    <w:basedOn w:val="Numberofpages"/>
    <w:rsid w:val="00ED7DC3"/>
    <w:pPr>
      <w:keepNext w:val="0"/>
      <w:spacing w:before="1200"/>
      <w:jc w:val="center"/>
    </w:pPr>
    <w:rPr>
      <w:sz w:val="20"/>
    </w:rPr>
  </w:style>
  <w:style w:type="paragraph" w:customStyle="1" w:styleId="Reference">
    <w:name w:val="Reference"/>
    <w:basedOn w:val="prastasis"/>
    <w:rsid w:val="00ED7DC3"/>
    <w:pPr>
      <w:suppressAutoHyphens/>
      <w:spacing w:before="80" w:after="60" w:line="240" w:lineRule="auto"/>
      <w:ind w:left="425" w:hanging="425"/>
    </w:pPr>
    <w:rPr>
      <w:rFonts w:ascii="Times New Roman" w:eastAsia="Times New Roman" w:hAnsi="Times New Roman" w:cs="Times New Roman"/>
      <w:color w:val="000000"/>
      <w:sz w:val="24"/>
      <w:szCs w:val="24"/>
      <w:lang w:val="en-US" w:eastAsia="ar-SA"/>
    </w:rPr>
  </w:style>
  <w:style w:type="paragraph" w:customStyle="1" w:styleId="Releasedate">
    <w:name w:val="Releasedate"/>
    <w:basedOn w:val="Docstatus"/>
    <w:rsid w:val="00ED7DC3"/>
  </w:style>
  <w:style w:type="paragraph" w:customStyle="1" w:styleId="Table">
    <w:name w:val="Table"/>
    <w:basedOn w:val="Nottoc-headings"/>
    <w:rsid w:val="00ED7DC3"/>
    <w:pPr>
      <w:tabs>
        <w:tab w:val="left" w:pos="284"/>
      </w:tabs>
      <w:spacing w:before="40" w:after="20"/>
      <w:ind w:left="0" w:firstLine="0"/>
    </w:pPr>
    <w:rPr>
      <w:b w:val="0"/>
      <w:sz w:val="20"/>
    </w:rPr>
  </w:style>
  <w:style w:type="paragraph" w:styleId="Turinys2">
    <w:name w:val="toc 2"/>
    <w:basedOn w:val="Turinys1"/>
    <w:rsid w:val="00ED7DC3"/>
    <w:pPr>
      <w:tabs>
        <w:tab w:val="clear" w:pos="9638"/>
        <w:tab w:val="right" w:leader="dot" w:pos="9061"/>
      </w:tabs>
      <w:spacing w:after="72"/>
      <w:ind w:left="1134" w:right="227" w:hanging="709"/>
    </w:pPr>
    <w:rPr>
      <w:szCs w:val="20"/>
      <w:lang w:val="en-US"/>
    </w:rPr>
  </w:style>
  <w:style w:type="paragraph" w:styleId="Turinys3">
    <w:name w:val="toc 3"/>
    <w:basedOn w:val="Turinys2"/>
    <w:rsid w:val="00ED7DC3"/>
    <w:pPr>
      <w:tabs>
        <w:tab w:val="clear" w:pos="9061"/>
        <w:tab w:val="right" w:leader="dot" w:pos="9072"/>
      </w:tabs>
      <w:ind w:left="2127" w:right="0" w:hanging="993"/>
    </w:pPr>
  </w:style>
  <w:style w:type="paragraph" w:customStyle="1" w:styleId="Listlevel2">
    <w:name w:val="List level 2"/>
    <w:basedOn w:val="Listlevel1"/>
    <w:rsid w:val="00ED7DC3"/>
    <w:pPr>
      <w:ind w:left="850"/>
    </w:pPr>
  </w:style>
  <w:style w:type="paragraph" w:customStyle="1" w:styleId="Firstpageinfo">
    <w:name w:val="Firstpageinfo"/>
    <w:basedOn w:val="Antrat5"/>
    <w:rsid w:val="00ED7DC3"/>
    <w:pPr>
      <w:keepNext/>
      <w:keepLines/>
      <w:numPr>
        <w:ilvl w:val="0"/>
        <w:numId w:val="0"/>
      </w:numPr>
      <w:spacing w:after="0"/>
    </w:pPr>
    <w:rPr>
      <w:rFonts w:ascii="Arial" w:hAnsi="Arial" w:cs="Arial"/>
      <w:b w:val="0"/>
      <w:bCs w:val="0"/>
      <w:i w:val="0"/>
      <w:iCs w:val="0"/>
      <w:sz w:val="22"/>
      <w:szCs w:val="20"/>
      <w:lang w:val="en-US"/>
    </w:rPr>
  </w:style>
  <w:style w:type="paragraph" w:customStyle="1" w:styleId="StrengthDosageForm">
    <w:name w:val="StrengthDosageForm"/>
    <w:basedOn w:val="Compound"/>
    <w:rsid w:val="00ED7DC3"/>
    <w:pPr>
      <w:spacing w:before="0"/>
    </w:pPr>
  </w:style>
  <w:style w:type="paragraph" w:customStyle="1" w:styleId="Antrat10">
    <w:name w:val="Antraštė1"/>
    <w:basedOn w:val="prastasis"/>
    <w:rsid w:val="00ED7DC3"/>
    <w:pPr>
      <w:suppressAutoHyphens/>
      <w:spacing w:before="120" w:after="120" w:line="240" w:lineRule="auto"/>
    </w:pPr>
    <w:rPr>
      <w:rFonts w:ascii="Times New Roman" w:eastAsia="Times New Roman" w:hAnsi="Times New Roman" w:cs="Times New Roman"/>
      <w:b/>
      <w:color w:val="000000"/>
      <w:sz w:val="24"/>
      <w:szCs w:val="24"/>
      <w:lang w:val="en-US" w:eastAsia="ar-SA"/>
    </w:rPr>
  </w:style>
  <w:style w:type="paragraph" w:customStyle="1" w:styleId="TextIndent">
    <w:name w:val="Text Indent"/>
    <w:basedOn w:val="prastasis"/>
    <w:rsid w:val="00ED7DC3"/>
    <w:pPr>
      <w:suppressAutoHyphens/>
      <w:spacing w:after="0" w:line="240" w:lineRule="auto"/>
      <w:ind w:left="851"/>
    </w:pPr>
    <w:rPr>
      <w:rFonts w:ascii="Times New Roman" w:eastAsia="Times New Roman" w:hAnsi="Times New Roman" w:cs="Times New Roman"/>
      <w:color w:val="000000"/>
      <w:sz w:val="24"/>
      <w:szCs w:val="24"/>
      <w:lang w:val="en-US" w:eastAsia="ar-SA"/>
    </w:rPr>
  </w:style>
  <w:style w:type="paragraph" w:customStyle="1" w:styleId="ParagraphIndent">
    <w:name w:val="Paragraph Indent"/>
    <w:basedOn w:val="prastasis"/>
    <w:rsid w:val="00ED7DC3"/>
    <w:pPr>
      <w:suppressAutoHyphens/>
      <w:spacing w:before="120" w:after="120" w:line="240" w:lineRule="auto"/>
      <w:ind w:left="851"/>
    </w:pPr>
    <w:rPr>
      <w:rFonts w:ascii="Times New Roman" w:eastAsia="Times New Roman" w:hAnsi="Times New Roman" w:cs="Times New Roman"/>
      <w:color w:val="000000"/>
      <w:sz w:val="24"/>
      <w:szCs w:val="24"/>
      <w:lang w:val="en-US" w:eastAsia="ar-SA"/>
    </w:rPr>
  </w:style>
  <w:style w:type="paragraph" w:customStyle="1" w:styleId="Heading11">
    <w:name w:val="Heading 11"/>
    <w:basedOn w:val="prastasis"/>
    <w:rsid w:val="00ED7DC3"/>
    <w:pPr>
      <w:keepNext/>
      <w:keepLines/>
      <w:widowControl w:val="0"/>
      <w:suppressAutoHyphens/>
      <w:spacing w:before="480" w:after="0" w:line="276" w:lineRule="auto"/>
    </w:pPr>
    <w:rPr>
      <w:rFonts w:ascii="Cambria" w:eastAsia="Times New Roman" w:hAnsi="Cambria" w:cs="Cambria"/>
      <w:b/>
      <w:bCs/>
      <w:color w:val="365F91"/>
      <w:sz w:val="28"/>
      <w:szCs w:val="28"/>
      <w:lang w:val="en-US" w:eastAsia="ar-SA"/>
    </w:rPr>
  </w:style>
  <w:style w:type="paragraph" w:styleId="Tekstoblokas">
    <w:name w:val="Block Text"/>
    <w:basedOn w:val="prastasis"/>
    <w:rsid w:val="00ED7DC3"/>
    <w:pPr>
      <w:suppressAutoHyphens/>
      <w:spacing w:after="0" w:line="240" w:lineRule="auto"/>
    </w:pPr>
    <w:rPr>
      <w:rFonts w:ascii="Times New Roman" w:eastAsia="Times New Roman" w:hAnsi="Times New Roman" w:cs="Times New Roman"/>
      <w:color w:val="00000A"/>
      <w:sz w:val="24"/>
      <w:szCs w:val="24"/>
      <w:lang w:val="en-US" w:eastAsia="ar-SA"/>
    </w:rPr>
  </w:style>
  <w:style w:type="paragraph" w:customStyle="1" w:styleId="BTbeEMEASMCA">
    <w:name w:val="BT(be) EMEA_SMCA"/>
    <w:basedOn w:val="BTEMEASMCA"/>
    <w:rsid w:val="00ED7DC3"/>
    <w:pPr>
      <w:jc w:val="center"/>
    </w:pPr>
    <w:rPr>
      <w:b/>
      <w:szCs w:val="22"/>
      <w:lang w:val="lt-LT"/>
    </w:rPr>
  </w:style>
  <w:style w:type="paragraph" w:customStyle="1" w:styleId="BTeEMEASMCA">
    <w:name w:val="BT(e) EMEA_SMCA"/>
    <w:basedOn w:val="BTEMEASMCA"/>
    <w:rsid w:val="00ED7DC3"/>
    <w:pPr>
      <w:jc w:val="center"/>
    </w:pPr>
    <w:rPr>
      <w:szCs w:val="22"/>
      <w:lang w:val="lt-LT"/>
    </w:rPr>
  </w:style>
  <w:style w:type="paragraph" w:customStyle="1" w:styleId="ammlistepuces1">
    <w:name w:val="ammlistepuces1"/>
    <w:basedOn w:val="prastasis"/>
    <w:rsid w:val="00ED7DC3"/>
    <w:pPr>
      <w:suppressAutoHyphens/>
      <w:spacing w:before="100" w:after="100" w:line="240" w:lineRule="auto"/>
    </w:pPr>
    <w:rPr>
      <w:rFonts w:ascii="Arial" w:eastAsia="Times New Roman" w:hAnsi="Arial" w:cs="Arial"/>
      <w:color w:val="000000"/>
      <w:sz w:val="24"/>
      <w:szCs w:val="24"/>
      <w:lang w:val="sl-SI" w:eastAsia="ar-SA"/>
    </w:rPr>
  </w:style>
  <w:style w:type="paragraph" w:customStyle="1" w:styleId="Naslov1">
    <w:name w:val="Naslov1"/>
    <w:basedOn w:val="Antrat1"/>
    <w:rsid w:val="00ED7DC3"/>
    <w:pPr>
      <w:numPr>
        <w:numId w:val="0"/>
      </w:numPr>
      <w:spacing w:before="0" w:after="0"/>
    </w:pPr>
    <w:rPr>
      <w:rFonts w:ascii="Times New Roman" w:hAnsi="Times New Roman" w:cs="Times New Roman"/>
      <w:bCs w:val="0"/>
      <w:sz w:val="22"/>
      <w:szCs w:val="20"/>
      <w:u w:val="single"/>
    </w:rPr>
  </w:style>
  <w:style w:type="paragraph" w:styleId="Betarp">
    <w:name w:val="No Spacing"/>
    <w:qFormat/>
    <w:rsid w:val="00ED7DC3"/>
    <w:pPr>
      <w:suppressAutoHyphens/>
      <w:spacing w:after="0" w:line="240" w:lineRule="auto"/>
    </w:pPr>
    <w:rPr>
      <w:rFonts w:ascii="Times New Roman" w:eastAsia="Times New Roman" w:hAnsi="Times New Roman" w:cs="Times New Roman"/>
      <w:szCs w:val="20"/>
      <w:lang w:eastAsia="ar-SA"/>
    </w:rPr>
  </w:style>
  <w:style w:type="paragraph" w:customStyle="1" w:styleId="Sraopastraipa1">
    <w:name w:val="Sąrašo pastraipa1"/>
    <w:basedOn w:val="prastasis"/>
    <w:rsid w:val="00ED7DC3"/>
    <w:pPr>
      <w:tabs>
        <w:tab w:val="left" w:pos="567"/>
      </w:tabs>
      <w:suppressAutoHyphens/>
      <w:spacing w:after="0" w:line="260" w:lineRule="exact"/>
      <w:ind w:left="1296"/>
    </w:pPr>
    <w:rPr>
      <w:rFonts w:ascii="Times New Roman" w:eastAsia="Times New Roman" w:hAnsi="Times New Roman" w:cs="Times New Roman"/>
      <w:color w:val="000000"/>
      <w:sz w:val="24"/>
      <w:szCs w:val="24"/>
      <w:lang w:val="en-GB" w:eastAsia="ar-SA"/>
    </w:rPr>
  </w:style>
  <w:style w:type="paragraph" w:customStyle="1" w:styleId="ListParagraph1">
    <w:name w:val="List Paragraph1"/>
    <w:basedOn w:val="prastasis"/>
    <w:rsid w:val="00ED7DC3"/>
    <w:pPr>
      <w:suppressAutoHyphens/>
      <w:spacing w:after="0" w:line="240" w:lineRule="auto"/>
      <w:ind w:left="720"/>
    </w:pPr>
    <w:rPr>
      <w:rFonts w:ascii="Times New Roman" w:eastAsia="SimSun" w:hAnsi="Times New Roman" w:cs="Times New Roman"/>
      <w:color w:val="000000"/>
      <w:sz w:val="24"/>
      <w:szCs w:val="24"/>
      <w:lang w:val="en-GB" w:eastAsia="ar-SA"/>
    </w:rPr>
  </w:style>
  <w:style w:type="paragraph" w:customStyle="1" w:styleId="Revision1">
    <w:name w:val="Revision1"/>
    <w:rsid w:val="00ED7DC3"/>
    <w:pPr>
      <w:suppressAutoHyphens/>
      <w:spacing w:after="0" w:line="240" w:lineRule="auto"/>
    </w:pPr>
    <w:rPr>
      <w:rFonts w:ascii="Times New Roman" w:eastAsia="SimSun" w:hAnsi="Times New Roman" w:cs="Times New Roman"/>
      <w:szCs w:val="20"/>
      <w:lang w:val="en-GB" w:eastAsia="ar-SA"/>
    </w:rPr>
  </w:style>
  <w:style w:type="paragraph" w:customStyle="1" w:styleId="Sraopastraipa10">
    <w:name w:val="Sąrao pastraipa1"/>
    <w:basedOn w:val="prastasis"/>
    <w:rsid w:val="00ED7DC3"/>
    <w:pPr>
      <w:suppressAutoHyphens/>
      <w:spacing w:after="0" w:line="240" w:lineRule="auto"/>
      <w:ind w:left="720"/>
    </w:pPr>
    <w:rPr>
      <w:rFonts w:ascii="Times New Roman" w:eastAsia="SimSun" w:hAnsi="Times New Roman" w:cs="Times New Roman"/>
      <w:color w:val="000000"/>
      <w:sz w:val="24"/>
      <w:szCs w:val="24"/>
      <w:lang w:val="en-GB" w:eastAsia="ar-SA"/>
    </w:rPr>
  </w:style>
  <w:style w:type="paragraph" w:customStyle="1" w:styleId="Pataisymai1">
    <w:name w:val="Pataisymai1"/>
    <w:rsid w:val="00ED7DC3"/>
    <w:pPr>
      <w:suppressAutoHyphens/>
      <w:spacing w:after="0" w:line="240" w:lineRule="auto"/>
    </w:pPr>
    <w:rPr>
      <w:rFonts w:ascii="Times New Roman" w:eastAsia="SimSun" w:hAnsi="Times New Roman" w:cs="Times New Roman"/>
      <w:szCs w:val="20"/>
      <w:lang w:val="en-GB" w:eastAsia="ar-SA"/>
    </w:rPr>
  </w:style>
  <w:style w:type="paragraph" w:styleId="Sraassuenkleliais2">
    <w:name w:val="List Bullet 2"/>
    <w:rsid w:val="00ED7DC3"/>
    <w:pPr>
      <w:widowControl w:val="0"/>
      <w:tabs>
        <w:tab w:val="left" w:pos="720"/>
        <w:tab w:val="left" w:pos="850"/>
      </w:tabs>
      <w:suppressAutoHyphens/>
      <w:spacing w:after="0" w:line="260" w:lineRule="exact"/>
      <w:ind w:left="284" w:hanging="284"/>
      <w:jc w:val="both"/>
    </w:pPr>
    <w:rPr>
      <w:rFonts w:ascii="Times New Roman" w:eastAsia="Times New Roman" w:hAnsi="Times New Roman" w:cs="Times New Roman"/>
      <w:sz w:val="24"/>
      <w:szCs w:val="24"/>
      <w:lang w:val="en-GB" w:eastAsia="ar-SA"/>
    </w:rPr>
  </w:style>
  <w:style w:type="paragraph" w:styleId="Sraassuenkleliais">
    <w:name w:val="List Bullet"/>
    <w:basedOn w:val="prastasis"/>
    <w:rsid w:val="00ED7DC3"/>
    <w:pPr>
      <w:tabs>
        <w:tab w:val="left" w:pos="360"/>
      </w:tabs>
      <w:suppressAutoHyphens/>
      <w:spacing w:after="200" w:line="276" w:lineRule="auto"/>
    </w:pPr>
    <w:rPr>
      <w:rFonts w:ascii="Calibri" w:eastAsia="Calibri" w:hAnsi="Calibri" w:cs="Calibri"/>
      <w:color w:val="000000"/>
      <w:sz w:val="24"/>
      <w:lang w:val="sl-SI" w:eastAsia="ar-SA"/>
    </w:rPr>
  </w:style>
  <w:style w:type="paragraph" w:customStyle="1" w:styleId="TableContents">
    <w:name w:val="Table Contents"/>
    <w:basedOn w:val="prastasis"/>
    <w:rsid w:val="00ED7DC3"/>
    <w:pPr>
      <w:suppressLineNumbers/>
      <w:suppressAutoHyphens/>
      <w:spacing w:after="0" w:line="240" w:lineRule="auto"/>
    </w:pPr>
    <w:rPr>
      <w:rFonts w:ascii="Times New Roman" w:eastAsia="Times New Roman" w:hAnsi="Times New Roman" w:cs="Times New Roman"/>
      <w:color w:val="000000"/>
      <w:sz w:val="24"/>
      <w:szCs w:val="24"/>
      <w:lang w:val="sl-SI" w:eastAsia="ar-SA"/>
    </w:rPr>
  </w:style>
  <w:style w:type="paragraph" w:customStyle="1" w:styleId="TableHeading">
    <w:name w:val="Table Heading"/>
    <w:basedOn w:val="TableContents"/>
    <w:rsid w:val="00ED7DC3"/>
    <w:pPr>
      <w:jc w:val="center"/>
    </w:pPr>
    <w:rPr>
      <w:b/>
      <w:bCs/>
    </w:rPr>
  </w:style>
  <w:style w:type="character" w:styleId="Komentaronuoroda">
    <w:name w:val="annotation reference"/>
    <w:uiPriority w:val="99"/>
    <w:semiHidden/>
    <w:unhideWhenUsed/>
    <w:rsid w:val="00ED7DC3"/>
    <w:rPr>
      <w:sz w:val="16"/>
      <w:szCs w:val="16"/>
    </w:rPr>
  </w:style>
  <w:style w:type="paragraph" w:styleId="Komentarotekstas">
    <w:name w:val="annotation text"/>
    <w:basedOn w:val="prastasis"/>
    <w:link w:val="KomentarotekstasDiagrama1"/>
    <w:uiPriority w:val="99"/>
    <w:unhideWhenUsed/>
    <w:rsid w:val="00ED7DC3"/>
    <w:pPr>
      <w:suppressAutoHyphens/>
      <w:spacing w:after="0" w:line="240" w:lineRule="auto"/>
    </w:pPr>
    <w:rPr>
      <w:rFonts w:ascii="Times New Roman" w:eastAsia="Times New Roman" w:hAnsi="Times New Roman" w:cs="Times New Roman"/>
      <w:color w:val="000000"/>
      <w:sz w:val="20"/>
      <w:szCs w:val="20"/>
      <w:lang w:val="sl-SI" w:eastAsia="ar-SA"/>
    </w:rPr>
  </w:style>
  <w:style w:type="character" w:customStyle="1" w:styleId="KomentarotekstasDiagrama1">
    <w:name w:val="Komentaro tekstas Diagrama1"/>
    <w:basedOn w:val="Numatytasispastraiposriftas"/>
    <w:link w:val="Komentarotekstas"/>
    <w:uiPriority w:val="99"/>
    <w:rsid w:val="00ED7DC3"/>
    <w:rPr>
      <w:rFonts w:ascii="Times New Roman" w:eastAsia="Times New Roman" w:hAnsi="Times New Roman" w:cs="Times New Roman"/>
      <w:color w:val="000000"/>
      <w:sz w:val="20"/>
      <w:szCs w:val="20"/>
      <w:lang w:val="sl-SI" w:eastAsia="ar-SA"/>
    </w:rPr>
  </w:style>
  <w:style w:type="paragraph" w:styleId="Komentarotema">
    <w:name w:val="annotation subject"/>
    <w:basedOn w:val="Komentarotekstas"/>
    <w:next w:val="Komentarotekstas"/>
    <w:link w:val="KomentarotemaDiagrama1"/>
    <w:uiPriority w:val="99"/>
    <w:semiHidden/>
    <w:unhideWhenUsed/>
    <w:rsid w:val="00ED7DC3"/>
    <w:rPr>
      <w:b/>
      <w:bCs/>
    </w:rPr>
  </w:style>
  <w:style w:type="character" w:customStyle="1" w:styleId="KomentarotemaDiagrama1">
    <w:name w:val="Komentaro tema Diagrama1"/>
    <w:basedOn w:val="KomentarotekstasDiagrama1"/>
    <w:link w:val="Komentarotema"/>
    <w:uiPriority w:val="99"/>
    <w:semiHidden/>
    <w:rsid w:val="00ED7DC3"/>
    <w:rPr>
      <w:rFonts w:ascii="Times New Roman" w:eastAsia="Times New Roman" w:hAnsi="Times New Roman" w:cs="Times New Roman"/>
      <w:b/>
      <w:bCs/>
      <w:color w:val="000000"/>
      <w:sz w:val="20"/>
      <w:szCs w:val="20"/>
      <w:lang w:val="sl-SI" w:eastAsia="ar-SA"/>
    </w:rPr>
  </w:style>
  <w:style w:type="table" w:styleId="Lentelstinklelis">
    <w:name w:val="Table Grid"/>
    <w:basedOn w:val="prastojilentel"/>
    <w:uiPriority w:val="39"/>
    <w:rsid w:val="00D7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hyperlink" Target="https://www.vvkt.lt/index.php?1399030386" TargetMode="External"/><Relationship Id="rId19"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4D64F-C9D1-42F2-952B-231CD08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36C29-4EDF-4CAA-916F-3E2393FD6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95724</Words>
  <Characters>54563</Characters>
  <Application>Microsoft Office Word</Application>
  <DocSecurity>4</DocSecurity>
  <Lines>454</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2</cp:revision>
  <dcterms:created xsi:type="dcterms:W3CDTF">2023-07-25T05:44:00Z</dcterms:created>
  <dcterms:modified xsi:type="dcterms:W3CDTF">2023-07-25T05:44:00Z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2021-01-25T13:49:11Z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46f57e8d-179d-4851-9c1c-c53ca3157565</vt:lpwstr>
  </property>
  <property fmtid="{D5CDD505-2E9C-101B-9397-08002B2CF9AE}" pid="8" name="MSIP_Label_4929bff8-5b33-42aa-95d2-28f72e792cb0_ContentBits">
    <vt:lpwstr>0</vt:lpwstr>
  </property>
</Properties>
</file>