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B0E3" w14:textId="77777777" w:rsidR="00006930" w:rsidRPr="00B0468F" w:rsidRDefault="00006930" w:rsidP="00B0468F">
      <w:pPr>
        <w:widowControl w:val="0"/>
        <w:spacing w:line="240" w:lineRule="auto"/>
        <w:outlineLvl w:val="0"/>
        <w:rPr>
          <w:b/>
          <w:lang w:val="lt-LT"/>
        </w:rPr>
      </w:pPr>
      <w:bookmarkStart w:id="0" w:name="Tab"/>
      <w:bookmarkEnd w:id="0"/>
    </w:p>
    <w:p w14:paraId="1598A5EC" w14:textId="77777777" w:rsidR="00006930" w:rsidRPr="00B0468F" w:rsidRDefault="00006930" w:rsidP="00B0468F">
      <w:pPr>
        <w:widowControl w:val="0"/>
        <w:spacing w:line="240" w:lineRule="auto"/>
        <w:outlineLvl w:val="0"/>
        <w:rPr>
          <w:b/>
          <w:lang w:val="lt-LT"/>
        </w:rPr>
      </w:pPr>
    </w:p>
    <w:p w14:paraId="1C21FDB8" w14:textId="77777777" w:rsidR="00006930" w:rsidRPr="00B0468F" w:rsidRDefault="00006930" w:rsidP="00B0468F">
      <w:pPr>
        <w:widowControl w:val="0"/>
        <w:spacing w:line="240" w:lineRule="auto"/>
        <w:outlineLvl w:val="0"/>
        <w:rPr>
          <w:b/>
          <w:lang w:val="lt-LT"/>
        </w:rPr>
      </w:pPr>
    </w:p>
    <w:p w14:paraId="5F0F2B0C" w14:textId="77777777" w:rsidR="00006930" w:rsidRPr="00B0468F" w:rsidRDefault="00006930" w:rsidP="00B0468F">
      <w:pPr>
        <w:widowControl w:val="0"/>
        <w:spacing w:line="240" w:lineRule="auto"/>
        <w:outlineLvl w:val="0"/>
        <w:rPr>
          <w:b/>
          <w:lang w:val="lt-LT"/>
        </w:rPr>
      </w:pPr>
    </w:p>
    <w:p w14:paraId="63F355D5" w14:textId="77777777" w:rsidR="00006930" w:rsidRPr="00B0468F" w:rsidRDefault="00006930" w:rsidP="00B0468F">
      <w:pPr>
        <w:widowControl w:val="0"/>
        <w:tabs>
          <w:tab w:val="left" w:pos="-1440"/>
          <w:tab w:val="left" w:pos="-720"/>
        </w:tabs>
        <w:spacing w:line="240" w:lineRule="auto"/>
        <w:rPr>
          <w:b/>
          <w:lang w:val="lt-LT"/>
        </w:rPr>
      </w:pPr>
    </w:p>
    <w:p w14:paraId="0930AA7E" w14:textId="77777777" w:rsidR="00006930" w:rsidRPr="00B0468F" w:rsidRDefault="00006930" w:rsidP="00B0468F">
      <w:pPr>
        <w:widowControl w:val="0"/>
        <w:tabs>
          <w:tab w:val="left" w:pos="-1440"/>
          <w:tab w:val="left" w:pos="-720"/>
        </w:tabs>
        <w:spacing w:line="240" w:lineRule="auto"/>
        <w:rPr>
          <w:b/>
          <w:lang w:val="lt-LT"/>
        </w:rPr>
      </w:pPr>
    </w:p>
    <w:p w14:paraId="2B095CA5" w14:textId="77777777" w:rsidR="00006930" w:rsidRPr="00B0468F" w:rsidRDefault="00006930" w:rsidP="00B0468F">
      <w:pPr>
        <w:widowControl w:val="0"/>
        <w:tabs>
          <w:tab w:val="left" w:pos="-1440"/>
          <w:tab w:val="left" w:pos="-720"/>
        </w:tabs>
        <w:spacing w:line="240" w:lineRule="auto"/>
        <w:rPr>
          <w:b/>
          <w:lang w:val="lt-LT"/>
        </w:rPr>
      </w:pPr>
    </w:p>
    <w:p w14:paraId="2133FA9D" w14:textId="77777777" w:rsidR="00006930" w:rsidRPr="00B0468F" w:rsidRDefault="00006930" w:rsidP="00B0468F">
      <w:pPr>
        <w:widowControl w:val="0"/>
        <w:tabs>
          <w:tab w:val="left" w:pos="-1440"/>
          <w:tab w:val="left" w:pos="-720"/>
        </w:tabs>
        <w:spacing w:line="240" w:lineRule="auto"/>
        <w:rPr>
          <w:b/>
          <w:lang w:val="lt-LT"/>
        </w:rPr>
      </w:pPr>
    </w:p>
    <w:p w14:paraId="62221640" w14:textId="77777777" w:rsidR="00006930" w:rsidRPr="00B0468F" w:rsidRDefault="00006930" w:rsidP="00B0468F">
      <w:pPr>
        <w:widowControl w:val="0"/>
        <w:tabs>
          <w:tab w:val="left" w:pos="-1440"/>
          <w:tab w:val="left" w:pos="-720"/>
        </w:tabs>
        <w:spacing w:line="240" w:lineRule="auto"/>
        <w:rPr>
          <w:b/>
          <w:lang w:val="lt-LT"/>
        </w:rPr>
      </w:pPr>
    </w:p>
    <w:p w14:paraId="50BC7E73" w14:textId="77777777" w:rsidR="00006930" w:rsidRPr="00B0468F" w:rsidRDefault="00006930" w:rsidP="00B0468F">
      <w:pPr>
        <w:widowControl w:val="0"/>
        <w:tabs>
          <w:tab w:val="left" w:pos="-1440"/>
          <w:tab w:val="left" w:pos="-720"/>
        </w:tabs>
        <w:spacing w:line="240" w:lineRule="auto"/>
        <w:rPr>
          <w:b/>
          <w:lang w:val="lt-LT"/>
        </w:rPr>
      </w:pPr>
    </w:p>
    <w:p w14:paraId="6A4BDC83" w14:textId="77777777" w:rsidR="00006930" w:rsidRPr="00B0468F" w:rsidRDefault="00006930" w:rsidP="00B0468F">
      <w:pPr>
        <w:widowControl w:val="0"/>
        <w:tabs>
          <w:tab w:val="left" w:pos="-1440"/>
          <w:tab w:val="left" w:pos="-720"/>
        </w:tabs>
        <w:spacing w:line="240" w:lineRule="auto"/>
        <w:rPr>
          <w:b/>
          <w:lang w:val="lt-LT"/>
        </w:rPr>
      </w:pPr>
    </w:p>
    <w:p w14:paraId="7B578C84" w14:textId="77777777" w:rsidR="00006930" w:rsidRPr="00B0468F" w:rsidRDefault="00006930" w:rsidP="00B0468F">
      <w:pPr>
        <w:widowControl w:val="0"/>
        <w:tabs>
          <w:tab w:val="left" w:pos="-1440"/>
          <w:tab w:val="left" w:pos="-720"/>
        </w:tabs>
        <w:spacing w:line="240" w:lineRule="auto"/>
        <w:rPr>
          <w:b/>
          <w:lang w:val="lt-LT"/>
        </w:rPr>
      </w:pPr>
    </w:p>
    <w:p w14:paraId="68B6989D" w14:textId="77777777" w:rsidR="00006930" w:rsidRPr="00B0468F" w:rsidRDefault="00006930" w:rsidP="00B0468F">
      <w:pPr>
        <w:widowControl w:val="0"/>
        <w:tabs>
          <w:tab w:val="left" w:pos="-1440"/>
          <w:tab w:val="left" w:pos="-720"/>
        </w:tabs>
        <w:spacing w:line="240" w:lineRule="auto"/>
        <w:rPr>
          <w:b/>
          <w:lang w:val="lt-LT"/>
        </w:rPr>
      </w:pPr>
    </w:p>
    <w:p w14:paraId="4009B832" w14:textId="77777777" w:rsidR="00006930" w:rsidRPr="00B0468F" w:rsidRDefault="00006930" w:rsidP="00B0468F">
      <w:pPr>
        <w:widowControl w:val="0"/>
        <w:tabs>
          <w:tab w:val="left" w:pos="-1440"/>
          <w:tab w:val="left" w:pos="-720"/>
        </w:tabs>
        <w:spacing w:line="240" w:lineRule="auto"/>
        <w:rPr>
          <w:b/>
          <w:lang w:val="lt-LT"/>
        </w:rPr>
      </w:pPr>
    </w:p>
    <w:p w14:paraId="4FEC24FD" w14:textId="77777777" w:rsidR="00006930" w:rsidRPr="00B0468F" w:rsidRDefault="00006930" w:rsidP="00B0468F">
      <w:pPr>
        <w:widowControl w:val="0"/>
        <w:tabs>
          <w:tab w:val="left" w:pos="-1440"/>
          <w:tab w:val="left" w:pos="-720"/>
        </w:tabs>
        <w:spacing w:line="240" w:lineRule="auto"/>
        <w:rPr>
          <w:b/>
          <w:lang w:val="lt-LT"/>
        </w:rPr>
      </w:pPr>
    </w:p>
    <w:p w14:paraId="3153DB0C" w14:textId="77777777" w:rsidR="00006930" w:rsidRPr="00B0468F" w:rsidRDefault="00006930" w:rsidP="00B0468F">
      <w:pPr>
        <w:widowControl w:val="0"/>
        <w:tabs>
          <w:tab w:val="left" w:pos="-1440"/>
          <w:tab w:val="left" w:pos="-720"/>
        </w:tabs>
        <w:spacing w:line="240" w:lineRule="auto"/>
        <w:rPr>
          <w:b/>
          <w:lang w:val="lt-LT"/>
        </w:rPr>
      </w:pPr>
    </w:p>
    <w:p w14:paraId="79072CBA" w14:textId="77777777" w:rsidR="00006930" w:rsidRPr="00B0468F" w:rsidRDefault="00006930" w:rsidP="00B0468F">
      <w:pPr>
        <w:widowControl w:val="0"/>
        <w:tabs>
          <w:tab w:val="left" w:pos="-1440"/>
          <w:tab w:val="left" w:pos="-720"/>
        </w:tabs>
        <w:spacing w:line="240" w:lineRule="auto"/>
        <w:rPr>
          <w:b/>
          <w:lang w:val="lt-LT"/>
        </w:rPr>
      </w:pPr>
    </w:p>
    <w:p w14:paraId="234BE5D1" w14:textId="77777777" w:rsidR="00006930" w:rsidRPr="00B0468F" w:rsidRDefault="00006930" w:rsidP="00B0468F">
      <w:pPr>
        <w:widowControl w:val="0"/>
        <w:tabs>
          <w:tab w:val="left" w:pos="-1440"/>
          <w:tab w:val="left" w:pos="-720"/>
        </w:tabs>
        <w:spacing w:line="240" w:lineRule="auto"/>
        <w:rPr>
          <w:b/>
          <w:lang w:val="lt-LT"/>
        </w:rPr>
      </w:pPr>
    </w:p>
    <w:p w14:paraId="31BC3B59" w14:textId="77777777" w:rsidR="00006930" w:rsidRPr="00B0468F" w:rsidRDefault="00006930" w:rsidP="00B0468F">
      <w:pPr>
        <w:widowControl w:val="0"/>
        <w:tabs>
          <w:tab w:val="left" w:pos="-1440"/>
          <w:tab w:val="left" w:pos="-720"/>
        </w:tabs>
        <w:spacing w:line="240" w:lineRule="auto"/>
        <w:rPr>
          <w:b/>
          <w:lang w:val="lt-LT"/>
        </w:rPr>
      </w:pPr>
    </w:p>
    <w:p w14:paraId="1D3D968F" w14:textId="77777777" w:rsidR="00006930" w:rsidRPr="00B0468F" w:rsidRDefault="00006930" w:rsidP="00B0468F">
      <w:pPr>
        <w:widowControl w:val="0"/>
        <w:tabs>
          <w:tab w:val="left" w:pos="-1440"/>
          <w:tab w:val="left" w:pos="-720"/>
        </w:tabs>
        <w:spacing w:line="240" w:lineRule="auto"/>
        <w:rPr>
          <w:b/>
          <w:lang w:val="lt-LT"/>
        </w:rPr>
      </w:pPr>
    </w:p>
    <w:p w14:paraId="5EC59B87" w14:textId="77777777" w:rsidR="00006930" w:rsidRPr="00B0468F" w:rsidRDefault="00006930" w:rsidP="00B0468F">
      <w:pPr>
        <w:widowControl w:val="0"/>
        <w:tabs>
          <w:tab w:val="left" w:pos="-1440"/>
          <w:tab w:val="left" w:pos="-720"/>
        </w:tabs>
        <w:spacing w:line="240" w:lineRule="auto"/>
        <w:rPr>
          <w:b/>
          <w:lang w:val="lt-LT"/>
        </w:rPr>
      </w:pPr>
    </w:p>
    <w:p w14:paraId="5DEC70FE" w14:textId="77777777" w:rsidR="00006930" w:rsidRPr="00B0468F" w:rsidRDefault="00006930" w:rsidP="00B0468F">
      <w:pPr>
        <w:widowControl w:val="0"/>
        <w:tabs>
          <w:tab w:val="left" w:pos="-1440"/>
          <w:tab w:val="left" w:pos="-720"/>
        </w:tabs>
        <w:spacing w:line="240" w:lineRule="auto"/>
        <w:rPr>
          <w:b/>
          <w:lang w:val="lt-LT"/>
        </w:rPr>
      </w:pPr>
    </w:p>
    <w:p w14:paraId="52B7B024" w14:textId="77777777" w:rsidR="00006930" w:rsidRPr="00B0468F" w:rsidRDefault="00006930" w:rsidP="00B0468F">
      <w:pPr>
        <w:widowControl w:val="0"/>
        <w:spacing w:line="240" w:lineRule="auto"/>
        <w:jc w:val="center"/>
        <w:outlineLvl w:val="1"/>
        <w:rPr>
          <w:b/>
          <w:lang w:val="lt-LT"/>
        </w:rPr>
      </w:pPr>
    </w:p>
    <w:p w14:paraId="6BED362F" w14:textId="77777777" w:rsidR="00006930" w:rsidRPr="00B0468F" w:rsidRDefault="00006930" w:rsidP="00B0468F">
      <w:pPr>
        <w:widowControl w:val="0"/>
        <w:spacing w:line="240" w:lineRule="auto"/>
        <w:jc w:val="center"/>
        <w:outlineLvl w:val="1"/>
        <w:rPr>
          <w:b/>
          <w:lang w:val="lt-LT"/>
        </w:rPr>
      </w:pPr>
      <w:r w:rsidRPr="00B0468F">
        <w:rPr>
          <w:b/>
          <w:lang w:val="lt-LT"/>
        </w:rPr>
        <w:t>I PRIEDAS</w:t>
      </w:r>
    </w:p>
    <w:p w14:paraId="06449281" w14:textId="77777777" w:rsidR="00006930" w:rsidRPr="00B0468F" w:rsidRDefault="00006930" w:rsidP="00B0468F">
      <w:pPr>
        <w:widowControl w:val="0"/>
        <w:spacing w:line="240" w:lineRule="auto"/>
        <w:rPr>
          <w:lang w:val="lt-LT"/>
        </w:rPr>
      </w:pPr>
    </w:p>
    <w:p w14:paraId="0FB501DC" w14:textId="77777777" w:rsidR="00006930" w:rsidRPr="00B0468F" w:rsidRDefault="00006930" w:rsidP="00B0468F">
      <w:pPr>
        <w:widowControl w:val="0"/>
        <w:tabs>
          <w:tab w:val="left" w:pos="-1440"/>
          <w:tab w:val="left" w:pos="-720"/>
        </w:tabs>
        <w:spacing w:line="240" w:lineRule="auto"/>
        <w:jc w:val="center"/>
        <w:rPr>
          <w:b/>
          <w:lang w:val="lt-LT"/>
        </w:rPr>
      </w:pPr>
      <w:r w:rsidRPr="00B0468F">
        <w:rPr>
          <w:b/>
          <w:lang w:val="lt-LT"/>
        </w:rPr>
        <w:t>PREPARATO CHARAKTERISTIKŲ SANTRAUKA</w:t>
      </w:r>
    </w:p>
    <w:p w14:paraId="2E1501BB" w14:textId="77777777" w:rsidR="00F34163" w:rsidRPr="00B0468F" w:rsidRDefault="00006930"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br w:type="page"/>
      </w:r>
      <w:r w:rsidR="00F34163" w:rsidRPr="00B0468F">
        <w:rPr>
          <w:rFonts w:ascii="Times New Roman" w:hAnsi="Times New Roman"/>
          <w:sz w:val="22"/>
          <w:lang w:val="lt-LT"/>
        </w:rPr>
        <w:lastRenderedPageBreak/>
        <w:t>1.</w:t>
      </w:r>
      <w:r w:rsidR="00F34163" w:rsidRPr="00B0468F">
        <w:rPr>
          <w:rFonts w:ascii="Times New Roman" w:hAnsi="Times New Roman"/>
          <w:sz w:val="22"/>
          <w:lang w:val="lt-LT"/>
        </w:rPr>
        <w:tab/>
        <w:t>VAISTINIO PREPARATO PAVADINIMAS</w:t>
      </w:r>
    </w:p>
    <w:p w14:paraId="76F02E3C" w14:textId="77777777" w:rsidR="00F34163" w:rsidRPr="00B0468F" w:rsidRDefault="00F34163" w:rsidP="00B0468F">
      <w:pPr>
        <w:widowControl w:val="0"/>
        <w:spacing w:line="240" w:lineRule="auto"/>
        <w:ind w:right="566"/>
        <w:rPr>
          <w:lang w:val="lt-LT"/>
        </w:rPr>
      </w:pPr>
    </w:p>
    <w:p w14:paraId="772AA2B0" w14:textId="77777777" w:rsidR="003B2210" w:rsidRPr="00B0468F" w:rsidRDefault="007A4AF7" w:rsidP="00B0468F">
      <w:pPr>
        <w:widowControl w:val="0"/>
        <w:spacing w:line="240" w:lineRule="auto"/>
        <w:ind w:right="566"/>
        <w:rPr>
          <w:lang w:val="lt-LT"/>
        </w:rPr>
      </w:pPr>
      <w:r w:rsidRPr="00B0468F">
        <w:rPr>
          <w:lang w:val="lt-LT"/>
        </w:rPr>
        <w:t>Eliskardia 5</w:t>
      </w:r>
      <w:r w:rsidR="003B2210" w:rsidRPr="00B0468F">
        <w:rPr>
          <w:lang w:val="lt-LT"/>
        </w:rPr>
        <w:t> mg plėvele dengtos tabletės</w:t>
      </w:r>
    </w:p>
    <w:p w14:paraId="39B0338C" w14:textId="77777777" w:rsidR="00F34163" w:rsidRPr="00B0468F" w:rsidRDefault="007A4AF7" w:rsidP="00B0468F">
      <w:pPr>
        <w:widowControl w:val="0"/>
        <w:spacing w:line="240" w:lineRule="auto"/>
        <w:ind w:right="566"/>
        <w:rPr>
          <w:lang w:val="lt-LT"/>
        </w:rPr>
      </w:pPr>
      <w:r w:rsidRPr="00B0468F">
        <w:rPr>
          <w:lang w:val="lt-LT"/>
        </w:rPr>
        <w:t>Eliskardia 10</w:t>
      </w:r>
      <w:r w:rsidR="003B2210" w:rsidRPr="00B0468F">
        <w:rPr>
          <w:lang w:val="lt-LT"/>
        </w:rPr>
        <w:t> mg plėvele dengtos tabletės</w:t>
      </w:r>
      <w:r w:rsidR="00C17BDC" w:rsidRPr="00B0468F">
        <w:rPr>
          <w:lang w:val="lt-LT"/>
        </w:rPr>
        <w:cr/>
      </w:r>
    </w:p>
    <w:p w14:paraId="37B65435" w14:textId="77777777" w:rsidR="00F34163" w:rsidRPr="00B0468F" w:rsidRDefault="00F34163" w:rsidP="00B0468F">
      <w:pPr>
        <w:widowControl w:val="0"/>
        <w:spacing w:line="240" w:lineRule="auto"/>
        <w:ind w:right="566"/>
        <w:rPr>
          <w:lang w:val="lt-LT"/>
        </w:rPr>
      </w:pPr>
    </w:p>
    <w:p w14:paraId="68C940A1"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2.</w:t>
      </w:r>
      <w:r w:rsidRPr="00B0468F">
        <w:rPr>
          <w:rFonts w:ascii="Times New Roman" w:hAnsi="Times New Roman"/>
          <w:sz w:val="22"/>
          <w:lang w:val="lt-LT"/>
        </w:rPr>
        <w:tab/>
        <w:t>KOKYBINĖ IR KIEKYBINĖ SUDĖTIS</w:t>
      </w:r>
    </w:p>
    <w:p w14:paraId="0BC1565B" w14:textId="77777777" w:rsidR="00F34163" w:rsidRPr="00B0468F" w:rsidRDefault="00F34163" w:rsidP="00B0468F">
      <w:pPr>
        <w:widowControl w:val="0"/>
        <w:spacing w:line="240" w:lineRule="auto"/>
        <w:ind w:right="566"/>
        <w:rPr>
          <w:lang w:val="lt-LT"/>
        </w:rPr>
      </w:pPr>
    </w:p>
    <w:p w14:paraId="131A89D3" w14:textId="77777777" w:rsidR="00C17BDC" w:rsidRPr="00B0468F" w:rsidRDefault="004461D3" w:rsidP="00B0468F">
      <w:pPr>
        <w:widowControl w:val="0"/>
        <w:spacing w:line="240" w:lineRule="auto"/>
        <w:ind w:right="566"/>
        <w:rPr>
          <w:lang w:val="lt-LT"/>
        </w:rPr>
      </w:pPr>
      <w:r w:rsidRPr="00B0468F">
        <w:rPr>
          <w:lang w:val="lt-LT"/>
        </w:rPr>
        <w:t xml:space="preserve">Kiekvienoje </w:t>
      </w:r>
      <w:r w:rsidR="007E12B3" w:rsidRPr="00B0468F">
        <w:rPr>
          <w:lang w:val="lt-LT"/>
        </w:rPr>
        <w:t xml:space="preserve">plėvele dengtoje </w:t>
      </w:r>
      <w:r w:rsidRPr="00B0468F">
        <w:rPr>
          <w:lang w:val="lt-LT"/>
        </w:rPr>
        <w:t>t</w:t>
      </w:r>
      <w:r w:rsidR="003B2210" w:rsidRPr="00B0468F">
        <w:rPr>
          <w:lang w:val="lt-LT"/>
        </w:rPr>
        <w:t xml:space="preserve">abletėje yra </w:t>
      </w:r>
      <w:r w:rsidR="007E12B3" w:rsidRPr="00B0468F">
        <w:rPr>
          <w:lang w:val="lt-LT"/>
        </w:rPr>
        <w:t>5</w:t>
      </w:r>
      <w:r w:rsidR="00404FF5" w:rsidRPr="00B0468F">
        <w:rPr>
          <w:lang w:val="lt-LT"/>
        </w:rPr>
        <w:t> mg</w:t>
      </w:r>
      <w:r w:rsidR="003B2210" w:rsidRPr="00B0468F">
        <w:rPr>
          <w:lang w:val="lt-LT"/>
        </w:rPr>
        <w:t xml:space="preserve"> arba 10 mg prazugrelio.</w:t>
      </w:r>
    </w:p>
    <w:p w14:paraId="7C260FEE" w14:textId="77777777" w:rsidR="00C17BDC" w:rsidRPr="00B0468F" w:rsidRDefault="00C17BDC" w:rsidP="00B0468F">
      <w:pPr>
        <w:widowControl w:val="0"/>
        <w:spacing w:line="240" w:lineRule="auto"/>
        <w:ind w:right="566"/>
        <w:rPr>
          <w:lang w:val="lt-LT"/>
        </w:rPr>
      </w:pPr>
    </w:p>
    <w:p w14:paraId="5B3E2B13" w14:textId="77777777" w:rsidR="00F34163" w:rsidRPr="00B0468F" w:rsidRDefault="00F34163" w:rsidP="00B0468F">
      <w:pPr>
        <w:widowControl w:val="0"/>
        <w:spacing w:line="240" w:lineRule="auto"/>
        <w:ind w:right="566"/>
        <w:rPr>
          <w:u w:val="single"/>
          <w:lang w:val="lt-LT"/>
        </w:rPr>
      </w:pPr>
      <w:r w:rsidRPr="00B0468F">
        <w:rPr>
          <w:u w:val="single"/>
          <w:lang w:val="lt-LT"/>
        </w:rPr>
        <w:t>Pagalbinė</w:t>
      </w:r>
      <w:r w:rsidR="004461D3" w:rsidRPr="00B0468F">
        <w:rPr>
          <w:u w:val="single"/>
          <w:lang w:val="lt-LT"/>
        </w:rPr>
        <w:t xml:space="preserve">s </w:t>
      </w:r>
      <w:r w:rsidRPr="00B0468F">
        <w:rPr>
          <w:u w:val="single"/>
          <w:lang w:val="lt-LT"/>
        </w:rPr>
        <w:t>medžiag</w:t>
      </w:r>
      <w:r w:rsidR="004461D3" w:rsidRPr="00B0468F">
        <w:rPr>
          <w:u w:val="single"/>
          <w:lang w:val="lt-LT"/>
        </w:rPr>
        <w:t>os</w:t>
      </w:r>
      <w:r w:rsidRPr="00B0468F">
        <w:rPr>
          <w:u w:val="single"/>
          <w:lang w:val="lt-LT"/>
        </w:rPr>
        <w:t>, kurių poveikis žinomas</w:t>
      </w:r>
    </w:p>
    <w:p w14:paraId="7B075D6D" w14:textId="77777777" w:rsidR="007A4AF7" w:rsidRPr="00B0468F" w:rsidRDefault="007A4AF7" w:rsidP="00B0468F">
      <w:pPr>
        <w:widowControl w:val="0"/>
        <w:spacing w:line="240" w:lineRule="auto"/>
        <w:ind w:right="566"/>
        <w:rPr>
          <w:lang w:val="lt-LT"/>
        </w:rPr>
      </w:pPr>
      <w:r w:rsidRPr="00B0468F">
        <w:rPr>
          <w:lang w:val="lt-LT"/>
        </w:rPr>
        <w:t>Kiekvienoje 5 mg plėvele dengtoje tabletėje yra 1,5 mg laktozės.</w:t>
      </w:r>
    </w:p>
    <w:p w14:paraId="3B978826" w14:textId="77777777" w:rsidR="007A4AF7" w:rsidRPr="00B0468F" w:rsidRDefault="007A4AF7" w:rsidP="00B0468F">
      <w:pPr>
        <w:widowControl w:val="0"/>
        <w:spacing w:line="240" w:lineRule="auto"/>
        <w:ind w:right="566"/>
        <w:rPr>
          <w:lang w:val="lt-LT"/>
        </w:rPr>
      </w:pPr>
    </w:p>
    <w:p w14:paraId="3F4EE3AF" w14:textId="77777777" w:rsidR="00AF4716" w:rsidRPr="00B0468F" w:rsidRDefault="00AF4716" w:rsidP="00B0468F">
      <w:pPr>
        <w:widowControl w:val="0"/>
        <w:spacing w:line="240" w:lineRule="auto"/>
        <w:ind w:right="566"/>
        <w:rPr>
          <w:lang w:val="lt-LT"/>
        </w:rPr>
      </w:pPr>
      <w:r w:rsidRPr="00B0468F">
        <w:rPr>
          <w:lang w:val="lt-LT"/>
        </w:rPr>
        <w:t xml:space="preserve">Kiekvienoje </w:t>
      </w:r>
      <w:r w:rsidR="007E12B3" w:rsidRPr="00B0468F">
        <w:rPr>
          <w:lang w:val="lt-LT"/>
        </w:rPr>
        <w:t>10</w:t>
      </w:r>
      <w:r w:rsidRPr="00B0468F">
        <w:rPr>
          <w:lang w:val="lt-LT"/>
        </w:rPr>
        <w:t> mg plėvele dengtoje tabletėje yra 3,0 mg laktozės.</w:t>
      </w:r>
    </w:p>
    <w:p w14:paraId="15378FB7" w14:textId="77777777" w:rsidR="004461D3" w:rsidRPr="00B0468F" w:rsidRDefault="004461D3" w:rsidP="00B0468F">
      <w:pPr>
        <w:widowControl w:val="0"/>
        <w:spacing w:line="240" w:lineRule="auto"/>
        <w:ind w:right="566"/>
        <w:rPr>
          <w:lang w:val="lt-LT"/>
        </w:rPr>
      </w:pPr>
    </w:p>
    <w:p w14:paraId="0F912AA3" w14:textId="77777777" w:rsidR="00F34163" w:rsidRPr="00B0468F" w:rsidRDefault="00F34163" w:rsidP="00B0468F">
      <w:pPr>
        <w:widowControl w:val="0"/>
        <w:spacing w:line="240" w:lineRule="auto"/>
        <w:ind w:right="566"/>
        <w:rPr>
          <w:lang w:val="lt-LT"/>
        </w:rPr>
      </w:pPr>
      <w:r w:rsidRPr="00B0468F">
        <w:rPr>
          <w:lang w:val="lt-LT"/>
        </w:rPr>
        <w:t>Visos pagalbinės medžiagos išvardytos 6.1</w:t>
      </w:r>
      <w:r w:rsidR="00404FF5" w:rsidRPr="00B0468F">
        <w:rPr>
          <w:lang w:val="lt-LT"/>
        </w:rPr>
        <w:t> skyri</w:t>
      </w:r>
      <w:r w:rsidRPr="00B0468F">
        <w:rPr>
          <w:lang w:val="lt-LT"/>
        </w:rPr>
        <w:t>uje.</w:t>
      </w:r>
    </w:p>
    <w:p w14:paraId="4F1D69CF" w14:textId="77777777" w:rsidR="00F34163" w:rsidRPr="00B0468F" w:rsidRDefault="00F34163" w:rsidP="00B0468F">
      <w:pPr>
        <w:widowControl w:val="0"/>
        <w:spacing w:line="240" w:lineRule="auto"/>
        <w:ind w:right="566"/>
        <w:rPr>
          <w:lang w:val="lt-LT"/>
        </w:rPr>
      </w:pPr>
    </w:p>
    <w:p w14:paraId="367105B0" w14:textId="77777777" w:rsidR="00F34163" w:rsidRPr="00B0468F" w:rsidRDefault="00F34163" w:rsidP="00B0468F">
      <w:pPr>
        <w:widowControl w:val="0"/>
        <w:spacing w:line="240" w:lineRule="auto"/>
        <w:ind w:right="566"/>
        <w:rPr>
          <w:lang w:val="lt-LT"/>
        </w:rPr>
      </w:pPr>
    </w:p>
    <w:p w14:paraId="28F40276"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3.</w:t>
      </w:r>
      <w:r w:rsidRPr="00B0468F">
        <w:rPr>
          <w:rFonts w:ascii="Times New Roman" w:hAnsi="Times New Roman"/>
          <w:sz w:val="22"/>
          <w:lang w:val="lt-LT"/>
        </w:rPr>
        <w:tab/>
        <w:t>FARMACINĖ FORMA</w:t>
      </w:r>
    </w:p>
    <w:p w14:paraId="340F3452" w14:textId="77777777" w:rsidR="00F34163" w:rsidRPr="00B0468F" w:rsidRDefault="00F34163" w:rsidP="00B0468F">
      <w:pPr>
        <w:widowControl w:val="0"/>
        <w:spacing w:line="240" w:lineRule="auto"/>
        <w:ind w:right="566"/>
        <w:rPr>
          <w:lang w:val="lt-LT"/>
        </w:rPr>
      </w:pPr>
    </w:p>
    <w:p w14:paraId="46570442" w14:textId="77777777" w:rsidR="00DC45D4" w:rsidRPr="00B0468F" w:rsidRDefault="00D25601" w:rsidP="00B0468F">
      <w:pPr>
        <w:widowControl w:val="0"/>
        <w:spacing w:line="240" w:lineRule="auto"/>
        <w:ind w:right="566"/>
        <w:rPr>
          <w:lang w:val="lt-LT"/>
        </w:rPr>
      </w:pPr>
      <w:r w:rsidRPr="00B0468F">
        <w:rPr>
          <w:lang w:val="lt-LT"/>
        </w:rPr>
        <w:t>Plėvele dengta tabletė</w:t>
      </w:r>
      <w:r w:rsidR="00403C3C" w:rsidRPr="00B0468F">
        <w:rPr>
          <w:lang w:val="lt-LT"/>
        </w:rPr>
        <w:t xml:space="preserve"> (tabletė)</w:t>
      </w:r>
      <w:r w:rsidRPr="00B0468F">
        <w:rPr>
          <w:lang w:val="lt-LT"/>
        </w:rPr>
        <w:t>.</w:t>
      </w:r>
    </w:p>
    <w:p w14:paraId="134B22FC" w14:textId="77777777" w:rsidR="00853543" w:rsidRPr="00B0468F" w:rsidRDefault="00853543" w:rsidP="00B0468F">
      <w:pPr>
        <w:widowControl w:val="0"/>
        <w:spacing w:line="240" w:lineRule="auto"/>
        <w:ind w:right="566"/>
        <w:rPr>
          <w:lang w:val="lt-LT"/>
        </w:rPr>
      </w:pPr>
    </w:p>
    <w:p w14:paraId="4489CA34" w14:textId="57CF8F62" w:rsidR="00403C3C" w:rsidRPr="00B0468F" w:rsidRDefault="00403C3C" w:rsidP="00B0468F">
      <w:pPr>
        <w:widowControl w:val="0"/>
        <w:spacing w:line="240" w:lineRule="auto"/>
        <w:ind w:right="566"/>
        <w:rPr>
          <w:lang w:val="lt-LT"/>
        </w:rPr>
      </w:pPr>
      <w:r w:rsidRPr="00B0468F">
        <w:rPr>
          <w:lang w:val="lt-LT"/>
        </w:rPr>
        <w:t>5 mg plėvele dengtos tabletės:</w:t>
      </w:r>
      <w:r w:rsidR="00217AE9" w:rsidRPr="00B0468F">
        <w:rPr>
          <w:lang w:val="lt-LT"/>
        </w:rPr>
        <w:t xml:space="preserve"> </w:t>
      </w:r>
      <w:r w:rsidRPr="00B0468F">
        <w:rPr>
          <w:lang w:val="lt-LT"/>
        </w:rPr>
        <w:t xml:space="preserve">rusvai </w:t>
      </w:r>
      <w:r w:rsidR="007E12B3" w:rsidRPr="00B0468F">
        <w:rPr>
          <w:lang w:val="lt-LT"/>
        </w:rPr>
        <w:t>geltonos</w:t>
      </w:r>
      <w:r w:rsidRPr="00B0468F">
        <w:rPr>
          <w:lang w:val="lt-LT"/>
        </w:rPr>
        <w:t>, ovalios, abipus išgaubtos, plėvele dengtos tabletės, kurių matmenys yra 8,5</w:t>
      </w:r>
      <w:r w:rsidR="007E12B3" w:rsidRPr="00B0468F">
        <w:rPr>
          <w:lang w:val="lt-LT"/>
        </w:rPr>
        <w:t> </w:t>
      </w:r>
      <w:r w:rsidRPr="00B0468F">
        <w:rPr>
          <w:lang w:val="lt-LT"/>
        </w:rPr>
        <w:t xml:space="preserve">mm </w:t>
      </w:r>
      <w:r w:rsidR="00B2160A" w:rsidRPr="00FD696A">
        <w:rPr>
          <w:snapToGrid/>
          <w:lang w:val="lt-LT" w:eastAsia="sl-SI"/>
        </w:rPr>
        <w:t>×</w:t>
      </w:r>
      <w:r w:rsidRPr="00B0468F">
        <w:rPr>
          <w:lang w:val="lt-LT"/>
        </w:rPr>
        <w:t xml:space="preserve"> 4,5</w:t>
      </w:r>
      <w:r w:rsidR="007E12B3" w:rsidRPr="00B0468F">
        <w:rPr>
          <w:lang w:val="lt-LT"/>
        </w:rPr>
        <w:t> </w:t>
      </w:r>
      <w:r w:rsidRPr="00B0468F">
        <w:rPr>
          <w:lang w:val="lt-LT"/>
        </w:rPr>
        <w:t>mm.</w:t>
      </w:r>
    </w:p>
    <w:p w14:paraId="751F109E" w14:textId="50BC91DF" w:rsidR="00403C3C" w:rsidRPr="00B0468F" w:rsidRDefault="00403C3C" w:rsidP="00B0468F">
      <w:pPr>
        <w:widowControl w:val="0"/>
        <w:spacing w:line="240" w:lineRule="auto"/>
        <w:ind w:right="566"/>
        <w:rPr>
          <w:lang w:val="lt-LT"/>
        </w:rPr>
      </w:pPr>
      <w:r w:rsidRPr="00B0468F">
        <w:rPr>
          <w:lang w:val="lt-LT"/>
        </w:rPr>
        <w:t>10 mg plėvele dengtos tabletės: rožinės, ovalios, lengvai abipus išgaubtos, plėvele dengtos tabletės</w:t>
      </w:r>
      <w:r w:rsidR="00A1076B" w:rsidRPr="00B0468F">
        <w:rPr>
          <w:lang w:val="lt-LT"/>
        </w:rPr>
        <w:t xml:space="preserve">, kurių matmenys yra </w:t>
      </w:r>
      <w:r w:rsidR="001559F5" w:rsidRPr="00B0468F">
        <w:rPr>
          <w:lang w:val="lt-LT"/>
        </w:rPr>
        <w:t>10,5</w:t>
      </w:r>
      <w:r w:rsidR="007E12B3" w:rsidRPr="00B0468F">
        <w:rPr>
          <w:lang w:val="lt-LT"/>
        </w:rPr>
        <w:t> </w:t>
      </w:r>
      <w:r w:rsidR="00A1076B" w:rsidRPr="00B0468F">
        <w:rPr>
          <w:lang w:val="lt-LT"/>
        </w:rPr>
        <w:t xml:space="preserve">mm </w:t>
      </w:r>
      <w:r w:rsidR="00B2160A" w:rsidRPr="00FD696A">
        <w:rPr>
          <w:snapToGrid/>
          <w:lang w:val="lt-LT" w:eastAsia="sl-SI"/>
        </w:rPr>
        <w:t>×</w:t>
      </w:r>
      <w:r w:rsidR="00A1076B" w:rsidRPr="00B0468F">
        <w:rPr>
          <w:lang w:val="lt-LT"/>
        </w:rPr>
        <w:t xml:space="preserve"> </w:t>
      </w:r>
      <w:r w:rsidR="001559F5" w:rsidRPr="00B0468F">
        <w:rPr>
          <w:lang w:val="lt-LT"/>
        </w:rPr>
        <w:t>5</w:t>
      </w:r>
      <w:r w:rsidR="00A1076B" w:rsidRPr="00B0468F">
        <w:rPr>
          <w:lang w:val="lt-LT"/>
        </w:rPr>
        <w:t>,5</w:t>
      </w:r>
      <w:r w:rsidR="007E12B3" w:rsidRPr="00B0468F">
        <w:rPr>
          <w:lang w:val="lt-LT"/>
        </w:rPr>
        <w:t> </w:t>
      </w:r>
      <w:r w:rsidR="00A1076B" w:rsidRPr="00B0468F">
        <w:rPr>
          <w:lang w:val="lt-LT"/>
        </w:rPr>
        <w:t>mm.</w:t>
      </w:r>
    </w:p>
    <w:p w14:paraId="43CD7489" w14:textId="77777777" w:rsidR="00F34163" w:rsidRPr="00B0468F" w:rsidRDefault="00F34163" w:rsidP="00B0468F">
      <w:pPr>
        <w:widowControl w:val="0"/>
        <w:spacing w:line="240" w:lineRule="auto"/>
        <w:ind w:right="566"/>
        <w:rPr>
          <w:lang w:val="lt-LT"/>
        </w:rPr>
      </w:pPr>
    </w:p>
    <w:p w14:paraId="3BFC7E6A" w14:textId="77777777" w:rsidR="00F34163" w:rsidRPr="00B0468F" w:rsidRDefault="00F34163" w:rsidP="00B0468F">
      <w:pPr>
        <w:widowControl w:val="0"/>
        <w:spacing w:line="240" w:lineRule="auto"/>
        <w:ind w:right="566"/>
        <w:rPr>
          <w:lang w:val="lt-LT"/>
        </w:rPr>
      </w:pPr>
    </w:p>
    <w:p w14:paraId="608A8FC2"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4.</w:t>
      </w:r>
      <w:r w:rsidRPr="00B0468F">
        <w:rPr>
          <w:rFonts w:ascii="Times New Roman" w:hAnsi="Times New Roman"/>
          <w:sz w:val="22"/>
          <w:lang w:val="lt-LT"/>
        </w:rPr>
        <w:tab/>
        <w:t>KLINIKINĖ INFORMACIJA</w:t>
      </w:r>
    </w:p>
    <w:p w14:paraId="3EB9EADB" w14:textId="77777777" w:rsidR="00F34163" w:rsidRPr="00B0468F" w:rsidRDefault="00F34163" w:rsidP="00B0468F">
      <w:pPr>
        <w:widowControl w:val="0"/>
        <w:spacing w:line="240" w:lineRule="auto"/>
        <w:ind w:right="566"/>
        <w:rPr>
          <w:lang w:val="lt-LT"/>
        </w:rPr>
      </w:pPr>
    </w:p>
    <w:p w14:paraId="7D73A42E"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4.1</w:t>
      </w:r>
      <w:r w:rsidRPr="00B0468F">
        <w:rPr>
          <w:rFonts w:ascii="Times New Roman" w:hAnsi="Times New Roman"/>
          <w:sz w:val="22"/>
          <w:lang w:val="lt-LT"/>
        </w:rPr>
        <w:tab/>
        <w:t>Terapinės indikacijos</w:t>
      </w:r>
    </w:p>
    <w:p w14:paraId="586E63A2" w14:textId="77777777" w:rsidR="00F34163" w:rsidRPr="00B0468F" w:rsidRDefault="00F34163" w:rsidP="00B0468F">
      <w:pPr>
        <w:widowControl w:val="0"/>
        <w:spacing w:line="240" w:lineRule="auto"/>
        <w:ind w:right="566"/>
        <w:rPr>
          <w:lang w:val="lt-LT"/>
        </w:rPr>
      </w:pPr>
    </w:p>
    <w:p w14:paraId="1DF11F7C" w14:textId="77777777" w:rsidR="00396487" w:rsidRPr="00B0468F" w:rsidRDefault="00396487" w:rsidP="00B0468F">
      <w:pPr>
        <w:widowControl w:val="0"/>
        <w:tabs>
          <w:tab w:val="clear" w:pos="567"/>
        </w:tabs>
        <w:autoSpaceDE w:val="0"/>
        <w:autoSpaceDN w:val="0"/>
        <w:adjustRightInd w:val="0"/>
        <w:spacing w:line="240" w:lineRule="auto"/>
        <w:ind w:right="-2"/>
        <w:rPr>
          <w:rFonts w:eastAsia="Calibri"/>
          <w:color w:val="000000"/>
          <w:lang w:val="lt-LT"/>
        </w:rPr>
      </w:pPr>
      <w:r w:rsidRPr="00B0468F">
        <w:rPr>
          <w:lang w:val="lt-LT"/>
        </w:rPr>
        <w:t>Eliskardia</w:t>
      </w:r>
      <w:r w:rsidRPr="00B0468F">
        <w:rPr>
          <w:rFonts w:eastAsia="Calibri"/>
          <w:color w:val="000000"/>
          <w:lang w:val="lt-LT"/>
        </w:rPr>
        <w:t xml:space="preserve"> kartu su acetilsalicilo rūgštimi (ASR) </w:t>
      </w:r>
      <w:r w:rsidR="007E12B3" w:rsidRPr="00B0468F">
        <w:rPr>
          <w:rFonts w:eastAsia="Calibri"/>
          <w:color w:val="000000"/>
          <w:lang w:val="lt-LT"/>
        </w:rPr>
        <w:t>skirta</w:t>
      </w:r>
      <w:r w:rsidRPr="00B0468F">
        <w:rPr>
          <w:rFonts w:eastAsia="Calibri"/>
          <w:color w:val="000000"/>
          <w:lang w:val="lt-LT"/>
        </w:rPr>
        <w:t xml:space="preserve"> arterijų trombozės reiškinių profilaktikai suaugusiems pacientams, kuriems yra ūminis koronarinis sindromas (t. y. </w:t>
      </w:r>
      <w:r w:rsidR="007E12B3" w:rsidRPr="00B0468F">
        <w:rPr>
          <w:rFonts w:eastAsia="Calibri"/>
          <w:color w:val="000000"/>
          <w:lang w:val="lt-LT"/>
        </w:rPr>
        <w:t>nestabilioji</w:t>
      </w:r>
      <w:r w:rsidRPr="00B0468F">
        <w:rPr>
          <w:rFonts w:eastAsia="Calibri"/>
          <w:color w:val="000000"/>
          <w:lang w:val="lt-LT"/>
        </w:rPr>
        <w:t xml:space="preserve"> krūtinės angina, miokardo infarktas, kai nėra ST segmento pakilimo [angl</w:t>
      </w:r>
      <w:r w:rsidR="007E12B3" w:rsidRPr="00B0468F">
        <w:rPr>
          <w:rFonts w:eastAsia="Calibri"/>
          <w:color w:val="000000"/>
          <w:lang w:val="lt-LT"/>
        </w:rPr>
        <w:t>.</w:t>
      </w:r>
      <w:r w:rsidRPr="00B0468F">
        <w:rPr>
          <w:rFonts w:eastAsia="Calibri"/>
          <w:color w:val="000000"/>
          <w:lang w:val="lt-LT"/>
        </w:rPr>
        <w:t xml:space="preserve"> </w:t>
      </w:r>
      <w:r w:rsidRPr="00B0468F">
        <w:rPr>
          <w:rFonts w:eastAsia="Calibri"/>
          <w:i/>
          <w:color w:val="000000"/>
          <w:lang w:val="lt-LT"/>
        </w:rPr>
        <w:t>Unstable angina, non-ST segment elevation myocardial infarction</w:t>
      </w:r>
      <w:r w:rsidR="007E12B3" w:rsidRPr="00B0468F">
        <w:rPr>
          <w:rFonts w:eastAsia="Calibri"/>
          <w:i/>
          <w:color w:val="000000"/>
          <w:lang w:val="lt-LT"/>
        </w:rPr>
        <w:t xml:space="preserve">, </w:t>
      </w:r>
      <w:r w:rsidRPr="00B0468F">
        <w:rPr>
          <w:rFonts w:eastAsia="Calibri"/>
          <w:i/>
          <w:color w:val="000000"/>
          <w:lang w:val="lt-LT"/>
        </w:rPr>
        <w:t>UA/NSTEMI</w:t>
      </w:r>
      <w:r w:rsidR="007E12B3" w:rsidRPr="00B0468F">
        <w:rPr>
          <w:rFonts w:eastAsia="Calibri"/>
          <w:color w:val="000000"/>
          <w:lang w:val="lt-LT"/>
        </w:rPr>
        <w:t>]</w:t>
      </w:r>
      <w:r w:rsidRPr="00B0468F">
        <w:rPr>
          <w:rFonts w:eastAsia="Calibri"/>
          <w:i/>
          <w:color w:val="000000"/>
          <w:lang w:val="lt-LT"/>
        </w:rPr>
        <w:t xml:space="preserve"> </w:t>
      </w:r>
      <w:r w:rsidRPr="00B0468F">
        <w:rPr>
          <w:rFonts w:eastAsia="Calibri"/>
          <w:color w:val="000000"/>
          <w:lang w:val="lt-LT"/>
        </w:rPr>
        <w:t>arba miokardo infarktas su ST segmento pakilimu [angl</w:t>
      </w:r>
      <w:r w:rsidR="007E12B3" w:rsidRPr="00B0468F">
        <w:rPr>
          <w:rFonts w:eastAsia="Calibri"/>
          <w:color w:val="000000"/>
          <w:lang w:val="lt-LT"/>
        </w:rPr>
        <w:t>.</w:t>
      </w:r>
      <w:r w:rsidRPr="00B0468F">
        <w:rPr>
          <w:rFonts w:eastAsia="Calibri"/>
          <w:color w:val="000000"/>
          <w:lang w:val="lt-LT"/>
        </w:rPr>
        <w:t xml:space="preserve"> </w:t>
      </w:r>
      <w:r w:rsidRPr="00B0468F">
        <w:rPr>
          <w:rFonts w:eastAsia="Calibri"/>
          <w:i/>
          <w:color w:val="000000"/>
          <w:lang w:val="lt-LT"/>
        </w:rPr>
        <w:t>ST-segment elevation myocardial infarction</w:t>
      </w:r>
      <w:r w:rsidR="007E12B3" w:rsidRPr="00B0468F">
        <w:rPr>
          <w:rFonts w:eastAsia="Calibri"/>
          <w:i/>
          <w:color w:val="000000"/>
          <w:lang w:val="lt-LT"/>
        </w:rPr>
        <w:t xml:space="preserve">, </w:t>
      </w:r>
      <w:r w:rsidRPr="00B0468F">
        <w:rPr>
          <w:rFonts w:eastAsia="Calibri"/>
          <w:i/>
          <w:color w:val="000000"/>
          <w:lang w:val="lt-LT"/>
        </w:rPr>
        <w:t>STEMI</w:t>
      </w:r>
      <w:r w:rsidR="007E12B3" w:rsidRPr="00B0468F">
        <w:rPr>
          <w:rFonts w:eastAsia="Calibri"/>
          <w:color w:val="000000"/>
          <w:lang w:val="lt-LT"/>
        </w:rPr>
        <w:t>]),</w:t>
      </w:r>
      <w:r w:rsidRPr="00B0468F">
        <w:rPr>
          <w:rFonts w:eastAsia="Calibri"/>
          <w:color w:val="000000"/>
          <w:lang w:val="lt-LT"/>
        </w:rPr>
        <w:t xml:space="preserve"> kuriems atliekama pirmaeilė arba uždelsta perkutaninė vainikinių arterijų procedūra (PVAP).</w:t>
      </w:r>
    </w:p>
    <w:p w14:paraId="4651A586" w14:textId="77777777" w:rsidR="00396487" w:rsidRPr="00B0468F" w:rsidRDefault="00396487" w:rsidP="00B0468F">
      <w:pPr>
        <w:widowControl w:val="0"/>
        <w:tabs>
          <w:tab w:val="clear" w:pos="567"/>
        </w:tabs>
        <w:autoSpaceDE w:val="0"/>
        <w:autoSpaceDN w:val="0"/>
        <w:adjustRightInd w:val="0"/>
        <w:spacing w:line="240" w:lineRule="auto"/>
        <w:ind w:right="-2"/>
        <w:rPr>
          <w:rFonts w:eastAsia="Calibri"/>
          <w:color w:val="000000"/>
          <w:lang w:val="lt-LT"/>
        </w:rPr>
      </w:pPr>
    </w:p>
    <w:p w14:paraId="4547D87A" w14:textId="77777777" w:rsidR="00F34163" w:rsidRPr="00B0468F" w:rsidRDefault="00396487" w:rsidP="00B0468F">
      <w:pPr>
        <w:widowControl w:val="0"/>
        <w:spacing w:line="240" w:lineRule="auto"/>
        <w:ind w:right="-2"/>
        <w:rPr>
          <w:rFonts w:eastAsia="Calibri"/>
          <w:color w:val="000000"/>
          <w:lang w:val="lt-LT"/>
        </w:rPr>
      </w:pPr>
      <w:r w:rsidRPr="00B0468F">
        <w:rPr>
          <w:rFonts w:eastAsia="Calibri"/>
          <w:color w:val="000000"/>
          <w:lang w:val="lt-LT"/>
        </w:rPr>
        <w:t>Daugiau informacijos žr. 5.1 skyriuje.</w:t>
      </w:r>
    </w:p>
    <w:p w14:paraId="70488F24" w14:textId="77777777" w:rsidR="00396487" w:rsidRPr="00B0468F" w:rsidRDefault="00396487" w:rsidP="00B0468F">
      <w:pPr>
        <w:widowControl w:val="0"/>
        <w:spacing w:line="240" w:lineRule="auto"/>
        <w:ind w:right="566"/>
        <w:rPr>
          <w:lang w:val="lt-LT"/>
        </w:rPr>
      </w:pPr>
    </w:p>
    <w:p w14:paraId="2AA85B94"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4.2</w:t>
      </w:r>
      <w:r w:rsidRPr="00B0468F">
        <w:rPr>
          <w:rFonts w:ascii="Times New Roman" w:hAnsi="Times New Roman"/>
          <w:sz w:val="22"/>
          <w:lang w:val="lt-LT"/>
        </w:rPr>
        <w:tab/>
        <w:t>Dozavimas ir vartojimo metodas</w:t>
      </w:r>
    </w:p>
    <w:p w14:paraId="17CE0E37" w14:textId="77777777" w:rsidR="009827D7" w:rsidRPr="00B0468F" w:rsidRDefault="009827D7" w:rsidP="00B0468F">
      <w:pPr>
        <w:widowControl w:val="0"/>
        <w:spacing w:line="240" w:lineRule="auto"/>
        <w:ind w:right="566"/>
        <w:rPr>
          <w:lang w:val="lt-LT"/>
        </w:rPr>
      </w:pPr>
    </w:p>
    <w:p w14:paraId="57041877" w14:textId="77777777" w:rsidR="009827D7" w:rsidRPr="00B0468F" w:rsidRDefault="009827D7" w:rsidP="00B0468F">
      <w:pPr>
        <w:widowControl w:val="0"/>
        <w:spacing w:line="240" w:lineRule="auto"/>
        <w:ind w:right="566"/>
        <w:rPr>
          <w:u w:val="single"/>
          <w:lang w:val="lt-LT"/>
        </w:rPr>
      </w:pPr>
      <w:r w:rsidRPr="00B0468F">
        <w:rPr>
          <w:u w:val="single"/>
          <w:lang w:val="lt-LT"/>
        </w:rPr>
        <w:t>Dozavimas</w:t>
      </w:r>
    </w:p>
    <w:p w14:paraId="532B67D1" w14:textId="77777777" w:rsidR="007E12B3" w:rsidRPr="00B0468F" w:rsidRDefault="007E12B3" w:rsidP="00B0468F">
      <w:pPr>
        <w:widowControl w:val="0"/>
        <w:spacing w:line="240" w:lineRule="auto"/>
        <w:ind w:right="566"/>
        <w:rPr>
          <w:i/>
          <w:u w:val="single"/>
          <w:lang w:val="lt-LT"/>
        </w:rPr>
      </w:pPr>
      <w:r w:rsidRPr="00B0468F">
        <w:rPr>
          <w:i/>
          <w:u w:val="single"/>
          <w:lang w:val="lt-LT"/>
        </w:rPr>
        <w:t>Suaugusiesiems</w:t>
      </w:r>
    </w:p>
    <w:p w14:paraId="433AADEB" w14:textId="77777777" w:rsidR="00AA3FD8" w:rsidRPr="00B0468F" w:rsidRDefault="00AA3FD8" w:rsidP="00B0468F">
      <w:pPr>
        <w:pStyle w:val="Default"/>
        <w:widowControl w:val="0"/>
        <w:ind w:right="566"/>
        <w:rPr>
          <w:lang w:val="lt-LT"/>
        </w:rPr>
      </w:pPr>
      <w:r w:rsidRPr="00B0468F">
        <w:rPr>
          <w:sz w:val="22"/>
          <w:lang w:val="lt-LT"/>
        </w:rPr>
        <w:t xml:space="preserve">Iš pradžių reikia vartoti vienkartinę įsotinamąją </w:t>
      </w:r>
      <w:r w:rsidR="00DA5C15" w:rsidRPr="00B0468F">
        <w:rPr>
          <w:sz w:val="22"/>
          <w:lang w:val="lt-LT"/>
        </w:rPr>
        <w:t>Eliskardia</w:t>
      </w:r>
      <w:r w:rsidRPr="00B0468F">
        <w:rPr>
          <w:sz w:val="22"/>
          <w:lang w:val="lt-LT"/>
        </w:rPr>
        <w:t xml:space="preserve"> 60 mg dozę ir toliau tęsti, vartojant po 10</w:t>
      </w:r>
      <w:r w:rsidR="007E12B3" w:rsidRPr="00B0468F">
        <w:rPr>
          <w:sz w:val="22"/>
          <w:lang w:val="lt-LT"/>
        </w:rPr>
        <w:t> </w:t>
      </w:r>
      <w:r w:rsidRPr="00B0468F">
        <w:rPr>
          <w:sz w:val="22"/>
          <w:lang w:val="lt-LT"/>
        </w:rPr>
        <w:t xml:space="preserve">mg vieną kartą per parą. Pacientams, sergantiems </w:t>
      </w:r>
      <w:r w:rsidR="007E12B3" w:rsidRPr="00B0468F">
        <w:rPr>
          <w:i/>
          <w:sz w:val="22"/>
          <w:lang w:val="lt-LT"/>
        </w:rPr>
        <w:t>UA/NSTEMI</w:t>
      </w:r>
      <w:r w:rsidRPr="00B0468F">
        <w:rPr>
          <w:sz w:val="22"/>
          <w:lang w:val="lt-LT"/>
        </w:rPr>
        <w:t xml:space="preserve">, kuriems per 48 valandas po patekimo į gydymo įstaigą atliekama vainikinių kraujagyslių angiografija, įsotinamąją dozę reikia vartoti tik PVAP metu (žr. 4.4, 4.8 ir 5.1 skyrius). </w:t>
      </w:r>
      <w:r w:rsidR="00DA5C15" w:rsidRPr="00B0468F">
        <w:rPr>
          <w:sz w:val="22"/>
          <w:lang w:val="lt-LT"/>
        </w:rPr>
        <w:t>Eliskardia</w:t>
      </w:r>
      <w:r w:rsidRPr="00B0468F">
        <w:rPr>
          <w:sz w:val="22"/>
          <w:lang w:val="lt-LT"/>
        </w:rPr>
        <w:t xml:space="preserve"> vartojantys pacientai turi kiekvieną dieną gerti ASR (nuo 75</w:t>
      </w:r>
      <w:r w:rsidR="007E12B3" w:rsidRPr="00B0468F">
        <w:rPr>
          <w:sz w:val="22"/>
          <w:lang w:val="lt-LT"/>
        </w:rPr>
        <w:t> </w:t>
      </w:r>
      <w:r w:rsidRPr="00B0468F">
        <w:rPr>
          <w:sz w:val="22"/>
          <w:lang w:val="lt-LT"/>
        </w:rPr>
        <w:t>mg iki 325</w:t>
      </w:r>
      <w:r w:rsidR="007E12B3" w:rsidRPr="00B0468F">
        <w:rPr>
          <w:sz w:val="22"/>
          <w:lang w:val="lt-LT"/>
        </w:rPr>
        <w:t> </w:t>
      </w:r>
      <w:r w:rsidRPr="00B0468F">
        <w:rPr>
          <w:sz w:val="22"/>
          <w:lang w:val="lt-LT"/>
        </w:rPr>
        <w:t>mg).</w:t>
      </w:r>
    </w:p>
    <w:p w14:paraId="3D2EE6EA" w14:textId="77777777" w:rsidR="00AA3FD8" w:rsidRPr="00B0468F" w:rsidRDefault="00AA3FD8" w:rsidP="00B0468F">
      <w:pPr>
        <w:pStyle w:val="Default"/>
        <w:widowControl w:val="0"/>
        <w:ind w:right="566"/>
        <w:rPr>
          <w:lang w:val="lt-LT"/>
        </w:rPr>
      </w:pPr>
    </w:p>
    <w:p w14:paraId="4B5D70FB" w14:textId="77777777" w:rsidR="00262BA6" w:rsidRPr="00B0468F" w:rsidRDefault="00AA3FD8" w:rsidP="00B0468F">
      <w:pPr>
        <w:widowControl w:val="0"/>
        <w:spacing w:line="240" w:lineRule="auto"/>
        <w:ind w:right="566"/>
        <w:rPr>
          <w:rFonts w:eastAsia="Calibri"/>
          <w:color w:val="000000"/>
          <w:lang w:val="lt-LT"/>
        </w:rPr>
      </w:pPr>
      <w:r w:rsidRPr="00B0468F">
        <w:rPr>
          <w:rFonts w:eastAsia="Calibri"/>
          <w:color w:val="000000"/>
          <w:lang w:val="lt-LT"/>
        </w:rPr>
        <w:t xml:space="preserve">Pacientams, kuriems yra ūminis koronarinis sindromas (ŪKS), kuriems atliekama PVAP, priešlaikinis trombocitų funkciją slopinančių vaistinių preparatų, įskaitant </w:t>
      </w:r>
      <w:r w:rsidR="00DA5C15" w:rsidRPr="00B0468F">
        <w:rPr>
          <w:lang w:val="lt-LT"/>
        </w:rPr>
        <w:t>Eliskardia</w:t>
      </w:r>
      <w:r w:rsidRPr="00B0468F">
        <w:rPr>
          <w:rFonts w:eastAsia="Calibri"/>
          <w:color w:val="000000"/>
          <w:lang w:val="lt-LT"/>
        </w:rPr>
        <w:t xml:space="preserve">, vartojimo nutraukimas gali didinti trombozės, miokardo infarkto ar mirties dėl gretutinės ligos riziką. Rekomenduojama tęsti gydymą iki 12 mėnesių, išskyrus atvejus, kai yra klinikinių indikacijų nutraukti </w:t>
      </w:r>
      <w:r w:rsidR="00DA5C15" w:rsidRPr="00B0468F">
        <w:rPr>
          <w:lang w:val="lt-LT"/>
        </w:rPr>
        <w:t>Eliskardia</w:t>
      </w:r>
      <w:r w:rsidRPr="00B0468F">
        <w:rPr>
          <w:rFonts w:eastAsia="Calibri"/>
          <w:color w:val="000000"/>
          <w:lang w:val="lt-LT"/>
        </w:rPr>
        <w:t xml:space="preserve"> vartojimą (žr. 4.4 ir 5.1 skyrius).</w:t>
      </w:r>
    </w:p>
    <w:p w14:paraId="5AC41C15"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i/>
          <w:color w:val="000000"/>
          <w:lang w:val="lt-LT"/>
        </w:rPr>
      </w:pPr>
    </w:p>
    <w:p w14:paraId="307635BC"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lastRenderedPageBreak/>
        <w:t>75 metų</w:t>
      </w:r>
      <w:r w:rsidR="007E12B3" w:rsidRPr="00B0468F">
        <w:rPr>
          <w:rFonts w:eastAsia="Calibri"/>
          <w:i/>
          <w:color w:val="000000"/>
          <w:u w:val="single"/>
          <w:lang w:val="lt-LT"/>
        </w:rPr>
        <w:t xml:space="preserve"> ir vyresniems pacientams</w:t>
      </w:r>
    </w:p>
    <w:p w14:paraId="41F83A8C"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lang w:val="lt-LT"/>
        </w:rPr>
        <w:t>Eliskardia</w:t>
      </w:r>
      <w:r w:rsidRPr="00B0468F">
        <w:rPr>
          <w:rFonts w:eastAsia="Calibri"/>
          <w:color w:val="000000"/>
          <w:lang w:val="lt-LT"/>
        </w:rPr>
        <w:t xml:space="preserve"> paprastai nerekomenduojama vartoti 75 metų ir vyresniems pacientams. Jeigu prieš skiriant šį vaistinį preparatą gydytojas (žr.4.4 skyrius), atidžiai įvertinęs individualų naudos ir rizikos santykį, nusprendžia, kad 75 metų ar vyresnį pacientą gydyti būtina, tokia</w:t>
      </w:r>
      <w:r w:rsidR="00A34C1E" w:rsidRPr="00B0468F">
        <w:rPr>
          <w:rFonts w:eastAsia="Calibri"/>
          <w:color w:val="000000"/>
          <w:lang w:val="lt-LT"/>
        </w:rPr>
        <w:t>m pacientui po įsotinamosios 60 </w:t>
      </w:r>
      <w:r w:rsidRPr="00B0468F">
        <w:rPr>
          <w:rFonts w:eastAsia="Calibri"/>
          <w:color w:val="000000"/>
          <w:lang w:val="lt-LT"/>
        </w:rPr>
        <w:t xml:space="preserve">mg dozės </w:t>
      </w:r>
      <w:r w:rsidR="00A34C1E" w:rsidRPr="00B0468F">
        <w:rPr>
          <w:rFonts w:eastAsia="Calibri"/>
          <w:color w:val="000000"/>
          <w:lang w:val="lt-LT"/>
        </w:rPr>
        <w:t>reikia skirti vartoti mažesnę 5 </w:t>
      </w:r>
      <w:r w:rsidRPr="00B0468F">
        <w:rPr>
          <w:rFonts w:eastAsia="Calibri"/>
          <w:color w:val="000000"/>
          <w:lang w:val="lt-LT"/>
        </w:rPr>
        <w:t>mg palaikomąją dozę. 75 metų ir vyresni pacientai yra jautresni kraujavimui ir jų organizme esančiai didesnei aktyvaus prazugrelio metabolito ekspozicijai (žr. 4.4, 4.8, 5.1 ir 5.2 skyrius).</w:t>
      </w:r>
    </w:p>
    <w:p w14:paraId="6AEAF11C"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i/>
          <w:color w:val="000000"/>
          <w:lang w:val="lt-LT"/>
        </w:rPr>
      </w:pPr>
    </w:p>
    <w:p w14:paraId="5230C0B9" w14:textId="77777777" w:rsidR="00750358" w:rsidRPr="00B0468F" w:rsidRDefault="007E12B3"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Pacientams</w:t>
      </w:r>
      <w:r w:rsidR="001C500B" w:rsidRPr="00B0468F">
        <w:rPr>
          <w:rFonts w:eastAsia="Calibri"/>
          <w:i/>
          <w:color w:val="000000"/>
          <w:u w:val="single"/>
          <w:lang w:val="lt-LT"/>
        </w:rPr>
        <w:t>, kurių kūno masė &lt; 60 </w:t>
      </w:r>
      <w:r w:rsidR="00750358" w:rsidRPr="00B0468F">
        <w:rPr>
          <w:rFonts w:eastAsia="Calibri"/>
          <w:i/>
          <w:color w:val="000000"/>
          <w:u w:val="single"/>
          <w:lang w:val="lt-LT"/>
        </w:rPr>
        <w:t>kg</w:t>
      </w:r>
    </w:p>
    <w:p w14:paraId="335E554C"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lang w:val="lt-LT"/>
        </w:rPr>
        <w:t>Eliskardia</w:t>
      </w:r>
      <w:r w:rsidRPr="00B0468F">
        <w:rPr>
          <w:rFonts w:eastAsia="Calibri"/>
          <w:color w:val="000000"/>
          <w:lang w:val="lt-LT"/>
        </w:rPr>
        <w:t xml:space="preserve"> reikia vartoti kaip </w:t>
      </w:r>
      <w:r w:rsidR="00A34C1E" w:rsidRPr="00B0468F">
        <w:rPr>
          <w:rFonts w:eastAsia="Calibri"/>
          <w:color w:val="000000"/>
          <w:lang w:val="lt-LT"/>
        </w:rPr>
        <w:t>vienkartinę įsotinamąją 60 </w:t>
      </w:r>
      <w:r w:rsidRPr="00B0468F">
        <w:rPr>
          <w:rFonts w:eastAsia="Calibri"/>
          <w:color w:val="000000"/>
          <w:lang w:val="lt-LT"/>
        </w:rPr>
        <w:t>mg dozę ir toliau tęsti, vartojant 5</w:t>
      </w:r>
      <w:r w:rsidR="007E12B3" w:rsidRPr="00B0468F">
        <w:rPr>
          <w:rFonts w:eastAsia="Calibri"/>
          <w:color w:val="000000"/>
          <w:lang w:val="lt-LT"/>
        </w:rPr>
        <w:t> </w:t>
      </w:r>
      <w:r w:rsidRPr="00B0468F">
        <w:rPr>
          <w:rFonts w:eastAsia="Calibri"/>
          <w:color w:val="000000"/>
          <w:lang w:val="lt-LT"/>
        </w:rPr>
        <w:t>mg dozę vieną kartą per parą.</w:t>
      </w:r>
    </w:p>
    <w:p w14:paraId="44FB0127"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Vartoti 10</w:t>
      </w:r>
      <w:r w:rsidR="007E12B3" w:rsidRPr="00B0468F">
        <w:rPr>
          <w:rFonts w:eastAsia="Calibri"/>
          <w:color w:val="000000"/>
          <w:lang w:val="lt-LT"/>
        </w:rPr>
        <w:t> </w:t>
      </w:r>
      <w:r w:rsidRPr="00B0468F">
        <w:rPr>
          <w:rFonts w:eastAsia="Calibri"/>
          <w:color w:val="000000"/>
          <w:lang w:val="lt-LT"/>
        </w:rPr>
        <w:t>mg palaikomąją dozę nerekomenduojama. Tai susiję su aktyvaus prazugrelio metabolito ekspozicijos padidėjimu ir kraujavimo rizikos padidėjimu p</w:t>
      </w:r>
      <w:r w:rsidR="00A34C1E" w:rsidRPr="00B0468F">
        <w:rPr>
          <w:rFonts w:eastAsia="Calibri"/>
          <w:color w:val="000000"/>
          <w:lang w:val="lt-LT"/>
        </w:rPr>
        <w:t>acientams, kurių kūno masė &lt;</w:t>
      </w:r>
      <w:r w:rsidR="00A34C1E" w:rsidRPr="00B0468F">
        <w:rPr>
          <w:rFonts w:eastAsia="Calibri"/>
          <w:lang w:val="lt-LT"/>
        </w:rPr>
        <w:t> </w:t>
      </w:r>
      <w:r w:rsidR="00A34C1E" w:rsidRPr="00B0468F">
        <w:rPr>
          <w:rFonts w:eastAsia="Calibri"/>
          <w:color w:val="000000"/>
          <w:lang w:val="lt-LT"/>
        </w:rPr>
        <w:t>60 kg, vartojant 10 </w:t>
      </w:r>
      <w:r w:rsidRPr="00B0468F">
        <w:rPr>
          <w:rFonts w:eastAsia="Calibri"/>
          <w:color w:val="000000"/>
          <w:lang w:val="lt-LT"/>
        </w:rPr>
        <w:t>mg dozę vieną kartą per parą, palyginti s</w:t>
      </w:r>
      <w:r w:rsidR="00A34C1E" w:rsidRPr="00B0468F">
        <w:rPr>
          <w:rFonts w:eastAsia="Calibri"/>
          <w:color w:val="000000"/>
          <w:lang w:val="lt-LT"/>
        </w:rPr>
        <w:t>u pacientais, kurių kūno masė ≥ 60 </w:t>
      </w:r>
      <w:r w:rsidRPr="00B0468F">
        <w:rPr>
          <w:rFonts w:eastAsia="Calibri"/>
          <w:color w:val="000000"/>
          <w:lang w:val="lt-LT"/>
        </w:rPr>
        <w:t>kg (žr. 4.4, 4.8 ir 5.2 skyrius).</w:t>
      </w:r>
    </w:p>
    <w:p w14:paraId="6C680603" w14:textId="77777777" w:rsidR="00750358" w:rsidRPr="00B0468F" w:rsidRDefault="00750358" w:rsidP="00B0468F">
      <w:pPr>
        <w:widowControl w:val="0"/>
        <w:tabs>
          <w:tab w:val="clear" w:pos="567"/>
        </w:tabs>
        <w:autoSpaceDE w:val="0"/>
        <w:autoSpaceDN w:val="0"/>
        <w:adjustRightInd w:val="0"/>
        <w:spacing w:line="240" w:lineRule="auto"/>
        <w:ind w:right="566"/>
        <w:rPr>
          <w:rFonts w:eastAsia="Calibri"/>
          <w:i/>
          <w:color w:val="000000"/>
          <w:lang w:val="lt-LT"/>
        </w:rPr>
      </w:pPr>
    </w:p>
    <w:p w14:paraId="6DBBA0EA" w14:textId="4A70A065" w:rsidR="00217AE9" w:rsidRPr="00FD696A" w:rsidRDefault="007E12B3" w:rsidP="00B0468F">
      <w:pPr>
        <w:widowControl w:val="0"/>
        <w:tabs>
          <w:tab w:val="clear" w:pos="567"/>
        </w:tabs>
        <w:autoSpaceDE w:val="0"/>
        <w:autoSpaceDN w:val="0"/>
        <w:adjustRightInd w:val="0"/>
        <w:spacing w:line="240" w:lineRule="auto"/>
        <w:ind w:right="566"/>
        <w:rPr>
          <w:i/>
          <w:color w:val="000000"/>
          <w:u w:val="single"/>
          <w:lang w:val="lt-LT"/>
        </w:rPr>
      </w:pPr>
      <w:r w:rsidRPr="00B0468F">
        <w:rPr>
          <w:rFonts w:eastAsia="Calibri"/>
          <w:i/>
          <w:color w:val="000000"/>
          <w:u w:val="single"/>
          <w:lang w:val="lt-LT"/>
        </w:rPr>
        <w:t>Sutrikusi inkstų funkcija</w:t>
      </w:r>
    </w:p>
    <w:p w14:paraId="52192CB7" w14:textId="77777777" w:rsidR="0064777C" w:rsidRPr="00B0468F" w:rsidRDefault="00750358" w:rsidP="00B0468F">
      <w:pPr>
        <w:pStyle w:val="Default"/>
        <w:widowControl w:val="0"/>
        <w:ind w:right="566"/>
        <w:rPr>
          <w:lang w:val="lt-LT"/>
        </w:rPr>
      </w:pPr>
      <w:r w:rsidRPr="00B0468F">
        <w:rPr>
          <w:sz w:val="22"/>
          <w:lang w:val="lt-LT"/>
        </w:rPr>
        <w:t>Pacientams, kurie serga inkstų funkcijos sutrikimu, įskaitant pacientus, kurie serga galutinės stadijos inkstų liga, dozės keisti nebūtina (žr. 5.2</w:t>
      </w:r>
      <w:r w:rsidR="0064777C" w:rsidRPr="00B0468F">
        <w:rPr>
          <w:sz w:val="22"/>
          <w:lang w:val="lt-LT"/>
        </w:rPr>
        <w:t xml:space="preserve"> skyrių). Pacientų, kurie serga inkstų funkcijos sutrikimu, gydymo patirtis ribota (žr. 4.4 skyrių).</w:t>
      </w:r>
    </w:p>
    <w:p w14:paraId="2AD53E20" w14:textId="77777777" w:rsidR="0064777C" w:rsidRPr="00B0468F" w:rsidRDefault="0064777C" w:rsidP="00B0468F">
      <w:pPr>
        <w:pStyle w:val="Default"/>
        <w:widowControl w:val="0"/>
        <w:ind w:right="566"/>
        <w:rPr>
          <w:lang w:val="lt-LT"/>
        </w:rPr>
      </w:pPr>
    </w:p>
    <w:p w14:paraId="51BD1CB4" w14:textId="5DC61809" w:rsidR="00217AE9" w:rsidRPr="00FD696A" w:rsidRDefault="007E12B3" w:rsidP="00B0468F">
      <w:pPr>
        <w:widowControl w:val="0"/>
        <w:tabs>
          <w:tab w:val="clear" w:pos="567"/>
        </w:tabs>
        <w:autoSpaceDE w:val="0"/>
        <w:autoSpaceDN w:val="0"/>
        <w:adjustRightInd w:val="0"/>
        <w:spacing w:line="240" w:lineRule="auto"/>
        <w:ind w:right="566"/>
        <w:rPr>
          <w:i/>
          <w:color w:val="000000"/>
          <w:u w:val="single"/>
          <w:lang w:val="lt-LT"/>
        </w:rPr>
      </w:pPr>
      <w:r w:rsidRPr="00B0468F">
        <w:rPr>
          <w:rFonts w:eastAsia="Calibri"/>
          <w:i/>
          <w:color w:val="000000"/>
          <w:u w:val="single"/>
          <w:lang w:val="lt-LT"/>
        </w:rPr>
        <w:t>Sutrikusi kepenų funkcija</w:t>
      </w:r>
    </w:p>
    <w:p w14:paraId="5F02FF61" w14:textId="77777777" w:rsidR="0064777C" w:rsidRPr="00B0468F" w:rsidRDefault="0064777C" w:rsidP="00B0468F">
      <w:pPr>
        <w:widowControl w:val="0"/>
        <w:tabs>
          <w:tab w:val="clear" w:pos="567"/>
        </w:tabs>
        <w:autoSpaceDE w:val="0"/>
        <w:autoSpaceDN w:val="0"/>
        <w:adjustRightInd w:val="0"/>
        <w:spacing w:line="240" w:lineRule="auto"/>
        <w:ind w:right="566"/>
        <w:rPr>
          <w:rFonts w:eastAsia="Calibri"/>
          <w:i/>
          <w:color w:val="000000"/>
          <w:lang w:val="lt-LT"/>
        </w:rPr>
      </w:pPr>
      <w:r w:rsidRPr="00B0468F">
        <w:rPr>
          <w:rFonts w:eastAsia="Calibri"/>
          <w:color w:val="000000"/>
          <w:lang w:val="lt-LT"/>
        </w:rPr>
        <w:t xml:space="preserve">Asmenims, kurie serga lengvu ar vidutinio sunkumo kepenų funkcijos sutrikimu (A ir B klasės pagal </w:t>
      </w:r>
      <w:r w:rsidRPr="00B0468F">
        <w:rPr>
          <w:rFonts w:eastAsia="Calibri"/>
          <w:i/>
          <w:color w:val="000000"/>
          <w:lang w:val="lt-LT"/>
        </w:rPr>
        <w:t>Child Pugh</w:t>
      </w:r>
      <w:r w:rsidRPr="00B0468F">
        <w:rPr>
          <w:rFonts w:eastAsia="Calibri"/>
          <w:color w:val="000000"/>
          <w:lang w:val="lt-LT"/>
        </w:rPr>
        <w:t xml:space="preserve">), dozės keisti nebūtina (žr. 5.2 skyrių). Pacientų, kurie serga lengvu ir vidutinio sunkumo kepenų funkcijos sutrikimu, gydymo patirtis ribota (žr. 4.4 skyrių). </w:t>
      </w:r>
      <w:r w:rsidR="00506286" w:rsidRPr="00B0468F">
        <w:rPr>
          <w:lang w:val="lt-LT"/>
        </w:rPr>
        <w:t>Prazugrelis</w:t>
      </w:r>
      <w:r w:rsidRPr="00B0468F">
        <w:rPr>
          <w:rFonts w:eastAsia="Calibri"/>
          <w:color w:val="000000"/>
          <w:lang w:val="lt-LT"/>
        </w:rPr>
        <w:t xml:space="preserve"> yra kontraindikuotinas pacientams, kuriems kepenys sunkiai pažeistos </w:t>
      </w:r>
      <w:r w:rsidRPr="00B0468F">
        <w:rPr>
          <w:rFonts w:eastAsia="Calibri"/>
          <w:i/>
          <w:color w:val="000000"/>
          <w:lang w:val="lt-LT"/>
        </w:rPr>
        <w:t>(</w:t>
      </w:r>
      <w:r w:rsidRPr="00B0468F">
        <w:rPr>
          <w:rFonts w:eastAsia="Calibri"/>
          <w:color w:val="000000"/>
          <w:lang w:val="lt-LT"/>
        </w:rPr>
        <w:t>C klasė pagal</w:t>
      </w:r>
      <w:r w:rsidRPr="00B0468F">
        <w:rPr>
          <w:rFonts w:eastAsia="Calibri"/>
          <w:i/>
          <w:color w:val="000000"/>
          <w:lang w:val="lt-LT"/>
        </w:rPr>
        <w:t xml:space="preserve"> Child-Pugh</w:t>
      </w:r>
      <w:r w:rsidRPr="00B0468F">
        <w:rPr>
          <w:rFonts w:eastAsia="Calibri"/>
          <w:color w:val="000000"/>
          <w:lang w:val="lt-LT"/>
        </w:rPr>
        <w:t>)</w:t>
      </w:r>
      <w:r w:rsidRPr="00B0468F">
        <w:rPr>
          <w:rFonts w:eastAsia="Calibri"/>
          <w:i/>
          <w:color w:val="000000"/>
          <w:lang w:val="lt-LT"/>
        </w:rPr>
        <w:t>.</w:t>
      </w:r>
    </w:p>
    <w:p w14:paraId="110C0BDA" w14:textId="77777777" w:rsidR="0064777C" w:rsidRPr="00B0468F" w:rsidRDefault="0064777C" w:rsidP="00B0468F">
      <w:pPr>
        <w:widowControl w:val="0"/>
        <w:tabs>
          <w:tab w:val="clear" w:pos="567"/>
        </w:tabs>
        <w:autoSpaceDE w:val="0"/>
        <w:autoSpaceDN w:val="0"/>
        <w:adjustRightInd w:val="0"/>
        <w:spacing w:line="240" w:lineRule="auto"/>
        <w:ind w:right="566"/>
        <w:rPr>
          <w:rFonts w:eastAsia="Calibri"/>
          <w:color w:val="000000"/>
          <w:lang w:val="lt-LT"/>
        </w:rPr>
      </w:pPr>
    </w:p>
    <w:p w14:paraId="162F54FB" w14:textId="77777777" w:rsidR="0064777C" w:rsidRPr="00B0468F" w:rsidRDefault="0064777C"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Vaikų populiacija</w:t>
      </w:r>
    </w:p>
    <w:p w14:paraId="30DBF029" w14:textId="77777777" w:rsidR="0064777C" w:rsidRPr="00B0468F" w:rsidRDefault="00506286"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Prazugrelio</w:t>
      </w:r>
      <w:r w:rsidR="0064777C" w:rsidRPr="00B0468F">
        <w:rPr>
          <w:rFonts w:eastAsia="Calibri"/>
          <w:color w:val="000000"/>
          <w:lang w:val="lt-LT"/>
        </w:rPr>
        <w:t xml:space="preserve"> saugumas ir veiksmingumas vaikams jaunesniems kaip 18 metų neištirtas. Vaikams sergantiems pjautuvo pavidalo ląstelių anemija duomenų yra nepakankamai (žr. 5.1 skyrių).</w:t>
      </w:r>
    </w:p>
    <w:p w14:paraId="0099199C" w14:textId="77777777" w:rsidR="0064777C" w:rsidRPr="00B0468F" w:rsidRDefault="0064777C" w:rsidP="00B0468F">
      <w:pPr>
        <w:widowControl w:val="0"/>
        <w:tabs>
          <w:tab w:val="clear" w:pos="567"/>
        </w:tabs>
        <w:autoSpaceDE w:val="0"/>
        <w:autoSpaceDN w:val="0"/>
        <w:adjustRightInd w:val="0"/>
        <w:spacing w:line="240" w:lineRule="auto"/>
        <w:ind w:right="566"/>
        <w:rPr>
          <w:rFonts w:eastAsia="Calibri"/>
          <w:color w:val="000000"/>
          <w:lang w:val="lt-LT"/>
        </w:rPr>
      </w:pPr>
    </w:p>
    <w:p w14:paraId="0C781871" w14:textId="77777777" w:rsidR="0064777C" w:rsidRPr="00B0468F" w:rsidRDefault="0064777C"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color w:val="000000"/>
          <w:u w:val="single"/>
          <w:lang w:val="lt-LT"/>
        </w:rPr>
        <w:t>Vartojimo metodas</w:t>
      </w:r>
    </w:p>
    <w:p w14:paraId="764E6550" w14:textId="77777777" w:rsidR="00AA3FD8" w:rsidRPr="00B0468F" w:rsidRDefault="0064777C" w:rsidP="00B0468F">
      <w:pPr>
        <w:widowControl w:val="0"/>
        <w:spacing w:line="240" w:lineRule="auto"/>
        <w:ind w:right="566"/>
        <w:rPr>
          <w:lang w:val="lt-LT"/>
        </w:rPr>
      </w:pPr>
      <w:r w:rsidRPr="00B0468F">
        <w:rPr>
          <w:rFonts w:eastAsia="Calibri"/>
          <w:color w:val="000000"/>
          <w:lang w:val="lt-LT"/>
        </w:rPr>
        <w:t xml:space="preserve">Vartoti per burną. </w:t>
      </w:r>
      <w:r w:rsidR="0021283C" w:rsidRPr="00B0468F">
        <w:rPr>
          <w:lang w:val="lt-LT"/>
        </w:rPr>
        <w:t>Eliskardia</w:t>
      </w:r>
      <w:r w:rsidRPr="00B0468F">
        <w:rPr>
          <w:rFonts w:eastAsia="Calibri"/>
          <w:color w:val="000000"/>
          <w:lang w:val="lt-LT"/>
        </w:rPr>
        <w:t xml:space="preserve"> galima vartoti valgant arba be maisto. P</w:t>
      </w:r>
      <w:r w:rsidR="00A34C1E" w:rsidRPr="00B0468F">
        <w:rPr>
          <w:rFonts w:eastAsia="Calibri"/>
          <w:color w:val="000000"/>
          <w:lang w:val="lt-LT"/>
        </w:rPr>
        <w:t>avartojus įsotinamąją 60 </w:t>
      </w:r>
      <w:r w:rsidR="002E0D60" w:rsidRPr="00B0468F">
        <w:rPr>
          <w:rFonts w:eastAsia="Calibri"/>
          <w:color w:val="000000"/>
          <w:lang w:val="lt-LT"/>
        </w:rPr>
        <w:t>mg praz</w:t>
      </w:r>
      <w:r w:rsidRPr="00B0468F">
        <w:rPr>
          <w:rFonts w:eastAsia="Calibri"/>
          <w:color w:val="000000"/>
          <w:lang w:val="lt-LT"/>
        </w:rPr>
        <w:t>ugrelio dozę nevalgius, vaistinis preparatas gali pradėti veikti greičiau (žr. 5.2 skyrių). Tabletės traiškyti ar laužyti negalima.</w:t>
      </w:r>
    </w:p>
    <w:p w14:paraId="3891B798" w14:textId="77777777" w:rsidR="00750358" w:rsidRPr="00B0468F" w:rsidRDefault="00750358" w:rsidP="00B0468F">
      <w:pPr>
        <w:pStyle w:val="Antrat4"/>
        <w:keepNext w:val="0"/>
        <w:widowControl w:val="0"/>
        <w:spacing w:line="240" w:lineRule="auto"/>
        <w:ind w:right="566"/>
        <w:rPr>
          <w:b w:val="0"/>
          <w:lang w:val="lt-LT"/>
        </w:rPr>
      </w:pPr>
    </w:p>
    <w:p w14:paraId="493D1850"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4.3</w:t>
      </w:r>
      <w:r w:rsidRPr="00B0468F">
        <w:rPr>
          <w:rFonts w:ascii="Times New Roman" w:hAnsi="Times New Roman"/>
          <w:sz w:val="22"/>
          <w:lang w:val="lt-LT"/>
        </w:rPr>
        <w:tab/>
        <w:t>Kontraindikacijos</w:t>
      </w:r>
    </w:p>
    <w:p w14:paraId="47DA8396" w14:textId="77777777" w:rsidR="00F34163" w:rsidRPr="00B0468F" w:rsidRDefault="00F34163" w:rsidP="00B0468F">
      <w:pPr>
        <w:widowControl w:val="0"/>
        <w:spacing w:line="240" w:lineRule="auto"/>
        <w:ind w:right="566"/>
        <w:rPr>
          <w:lang w:val="lt-LT"/>
        </w:rPr>
      </w:pPr>
    </w:p>
    <w:p w14:paraId="24F6F91F" w14:textId="77777777" w:rsidR="00E71345" w:rsidRPr="00B0468F" w:rsidRDefault="00E71345"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Padidėjęs jautrumas veikliajai arba bet kuriai 6.1 skyriuje nurodytai pagalbinei medžiagai.</w:t>
      </w:r>
    </w:p>
    <w:p w14:paraId="31BFD5C2" w14:textId="77777777" w:rsidR="00E71345" w:rsidRPr="00B0468F" w:rsidRDefault="00E71345"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Aktyvus patologinis kraujavimas.</w:t>
      </w:r>
    </w:p>
    <w:p w14:paraId="27782F7F" w14:textId="77777777" w:rsidR="00E71345" w:rsidRPr="00B0468F" w:rsidRDefault="00E71345"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Anksčiau patirtas insultas ar praeinantysis smegenų išemijos priepuolis (PSIP).</w:t>
      </w:r>
    </w:p>
    <w:p w14:paraId="48C2E192" w14:textId="77777777" w:rsidR="00F34163" w:rsidRPr="00B0468F" w:rsidRDefault="00E71345" w:rsidP="00B0468F">
      <w:pPr>
        <w:widowControl w:val="0"/>
        <w:spacing w:line="240" w:lineRule="auto"/>
        <w:ind w:right="566"/>
        <w:rPr>
          <w:rFonts w:eastAsia="Calibri"/>
          <w:color w:val="000000"/>
          <w:lang w:val="lt-LT"/>
        </w:rPr>
      </w:pPr>
      <w:r w:rsidRPr="00B0468F">
        <w:rPr>
          <w:rFonts w:eastAsia="Calibri"/>
          <w:color w:val="000000"/>
          <w:lang w:val="lt-LT"/>
        </w:rPr>
        <w:t xml:space="preserve">Sunkus kepenų funkcijos sutrikimas (C klasės pagal </w:t>
      </w:r>
      <w:r w:rsidRPr="00B0468F">
        <w:rPr>
          <w:rFonts w:eastAsia="Calibri"/>
          <w:i/>
          <w:color w:val="000000"/>
          <w:lang w:val="lt-LT"/>
        </w:rPr>
        <w:t>Child Pugh</w:t>
      </w:r>
      <w:r w:rsidRPr="00B0468F">
        <w:rPr>
          <w:rFonts w:eastAsia="Calibri"/>
          <w:color w:val="000000"/>
          <w:lang w:val="lt-LT"/>
        </w:rPr>
        <w:t>).</w:t>
      </w:r>
    </w:p>
    <w:p w14:paraId="77546DFC" w14:textId="77777777" w:rsidR="00E71345" w:rsidRPr="00B0468F" w:rsidRDefault="00E71345" w:rsidP="00B0468F">
      <w:pPr>
        <w:widowControl w:val="0"/>
        <w:spacing w:line="240" w:lineRule="auto"/>
        <w:ind w:right="566"/>
        <w:rPr>
          <w:lang w:val="lt-LT"/>
        </w:rPr>
      </w:pPr>
    </w:p>
    <w:p w14:paraId="7D0C557A"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4.4</w:t>
      </w:r>
      <w:r w:rsidRPr="00B0468F">
        <w:rPr>
          <w:rFonts w:ascii="Times New Roman" w:hAnsi="Times New Roman"/>
          <w:sz w:val="22"/>
          <w:lang w:val="lt-LT"/>
        </w:rPr>
        <w:tab/>
        <w:t>Specialūs įspėjimai ir atsargumo priemonės</w:t>
      </w:r>
    </w:p>
    <w:p w14:paraId="5D38301D" w14:textId="77777777" w:rsidR="00F34163" w:rsidRPr="00B0468F" w:rsidRDefault="00F34163" w:rsidP="00B0468F">
      <w:pPr>
        <w:widowControl w:val="0"/>
        <w:spacing w:line="240" w:lineRule="auto"/>
        <w:ind w:right="566"/>
        <w:rPr>
          <w:lang w:val="lt-LT"/>
        </w:rPr>
      </w:pPr>
    </w:p>
    <w:p w14:paraId="4F9AC00C" w14:textId="77777777" w:rsidR="00E87276" w:rsidRPr="00B0468F" w:rsidRDefault="00E87276"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Kraujavimo rizika</w:t>
      </w:r>
    </w:p>
    <w:p w14:paraId="7EC65B55" w14:textId="77777777" w:rsidR="00E87276" w:rsidRPr="00B0468F" w:rsidRDefault="00E87276" w:rsidP="00B0468F">
      <w:pPr>
        <w:pStyle w:val="Default"/>
        <w:widowControl w:val="0"/>
        <w:ind w:right="566"/>
        <w:rPr>
          <w:lang w:val="lt-LT"/>
        </w:rPr>
      </w:pPr>
      <w:r w:rsidRPr="00B0468F">
        <w:rPr>
          <w:sz w:val="22"/>
          <w:lang w:val="lt-LT"/>
        </w:rPr>
        <w:t xml:space="preserve">Svarbiausi pašalinimo iš 3 fazės klinikinių tyrimų (TRITON) kriterijai buvo kraujavimo rizikos padidėjimas, anemija, trombocitopenija, anksčiau diagnozuota intrakranijinė patologija. Pacientai, kuriems pasireiškia ūminis koronarinis sindromas (ŪKS), kuriems </w:t>
      </w:r>
      <w:r w:rsidR="004A1083" w:rsidRPr="00B0468F">
        <w:rPr>
          <w:sz w:val="22"/>
          <w:lang w:val="lt-LT"/>
        </w:rPr>
        <w:t>atliekama PVAP, vartojant prazugrelį</w:t>
      </w:r>
      <w:r w:rsidRPr="00B0468F">
        <w:rPr>
          <w:sz w:val="22"/>
          <w:lang w:val="lt-LT"/>
        </w:rPr>
        <w:t xml:space="preserve"> ir ASR, padidėjo nedidelio ir masyvaus kraujavimo pagal TIMI </w:t>
      </w:r>
      <w:r w:rsidR="007E12B3" w:rsidRPr="00B0468F">
        <w:rPr>
          <w:sz w:val="22"/>
          <w:lang w:val="lt-LT"/>
        </w:rPr>
        <w:t>(angl.</w:t>
      </w:r>
      <w:r w:rsidR="007E12B3" w:rsidRPr="00B0468F">
        <w:rPr>
          <w:i/>
          <w:sz w:val="22"/>
          <w:lang w:val="lt-LT"/>
        </w:rPr>
        <w:t xml:space="preserve"> the Thrombolysis in Myocardial Infarction</w:t>
      </w:r>
      <w:r w:rsidR="007E12B3" w:rsidRPr="00B0468F">
        <w:rPr>
          <w:sz w:val="22"/>
          <w:lang w:val="lt-LT"/>
        </w:rPr>
        <w:t xml:space="preserve">) </w:t>
      </w:r>
      <w:r w:rsidRPr="00B0468F">
        <w:rPr>
          <w:sz w:val="22"/>
          <w:lang w:val="lt-LT"/>
        </w:rPr>
        <w:t>klasifikaciją rizika. Dėl to pacientams, kuriems yra padidėjusi k</w:t>
      </w:r>
      <w:r w:rsidR="004A1083" w:rsidRPr="00B0468F">
        <w:rPr>
          <w:sz w:val="22"/>
          <w:lang w:val="lt-LT"/>
        </w:rPr>
        <w:t>raujavimo rizika, vartoti prazugrelį</w:t>
      </w:r>
      <w:r w:rsidRPr="00B0468F">
        <w:rPr>
          <w:sz w:val="22"/>
          <w:lang w:val="lt-LT"/>
        </w:rPr>
        <w:t xml:space="preserve"> galima tik tada, kai išeminių reiškinių profilaktikos nauda persveria sunkaus kraujavimo riziką. Ši aplinkybė labai svarbi š</w:t>
      </w:r>
      <w:r w:rsidR="00B7578B" w:rsidRPr="00B0468F">
        <w:rPr>
          <w:sz w:val="22"/>
          <w:lang w:val="lt-LT"/>
        </w:rPr>
        <w:t>iems pacientams:</w:t>
      </w:r>
    </w:p>
    <w:p w14:paraId="1AAAB6F4" w14:textId="77777777" w:rsidR="00E87276" w:rsidRPr="00B0468F" w:rsidRDefault="00E87276" w:rsidP="00B0468F">
      <w:pPr>
        <w:widowControl w:val="0"/>
        <w:numPr>
          <w:ilvl w:val="0"/>
          <w:numId w:val="12"/>
        </w:numPr>
        <w:tabs>
          <w:tab w:val="clear" w:pos="567"/>
        </w:tabs>
        <w:autoSpaceDE w:val="0"/>
        <w:autoSpaceDN w:val="0"/>
        <w:adjustRightInd w:val="0"/>
        <w:spacing w:line="240" w:lineRule="auto"/>
        <w:ind w:left="567" w:right="566" w:hanging="567"/>
        <w:rPr>
          <w:rFonts w:eastAsia="Calibri"/>
          <w:color w:val="000000"/>
          <w:lang w:val="lt-LT"/>
        </w:rPr>
      </w:pPr>
      <w:r w:rsidRPr="00B0468F">
        <w:rPr>
          <w:rFonts w:eastAsia="Calibri"/>
          <w:color w:val="000000"/>
          <w:lang w:val="lt-LT"/>
        </w:rPr>
        <w:t>75 m</w:t>
      </w:r>
      <w:r w:rsidR="00B7578B" w:rsidRPr="00B0468F">
        <w:rPr>
          <w:rFonts w:eastAsia="Calibri"/>
          <w:color w:val="000000"/>
          <w:lang w:val="lt-LT"/>
        </w:rPr>
        <w:t>etų ir vyresniems (žr. toliau);</w:t>
      </w:r>
    </w:p>
    <w:p w14:paraId="223977D9" w14:textId="77777777" w:rsidR="00E87276" w:rsidRPr="00B0468F" w:rsidRDefault="00E87276" w:rsidP="00B0468F">
      <w:pPr>
        <w:widowControl w:val="0"/>
        <w:numPr>
          <w:ilvl w:val="0"/>
          <w:numId w:val="12"/>
        </w:numPr>
        <w:tabs>
          <w:tab w:val="clear" w:pos="567"/>
        </w:tabs>
        <w:autoSpaceDE w:val="0"/>
        <w:autoSpaceDN w:val="0"/>
        <w:adjustRightInd w:val="0"/>
        <w:spacing w:line="240" w:lineRule="auto"/>
        <w:ind w:left="567" w:right="566" w:hanging="567"/>
        <w:rPr>
          <w:rFonts w:eastAsia="Calibri"/>
          <w:color w:val="000000"/>
          <w:lang w:val="lt-LT"/>
        </w:rPr>
      </w:pPr>
      <w:r w:rsidRPr="00B0468F">
        <w:rPr>
          <w:rFonts w:eastAsia="Calibri"/>
          <w:color w:val="000000"/>
          <w:lang w:val="lt-LT"/>
        </w:rPr>
        <w:t xml:space="preserve">kurie turi polinkį kraujuoti (pvz., dėl neseniai patirtos traumos, neseniai atliktos </w:t>
      </w:r>
      <w:r w:rsidRPr="00B0468F">
        <w:rPr>
          <w:rFonts w:eastAsia="Calibri"/>
          <w:color w:val="000000"/>
          <w:lang w:val="lt-LT"/>
        </w:rPr>
        <w:lastRenderedPageBreak/>
        <w:t>chirurginės operacijos, neseniai pasireiškusio arba pasikartojančio kraujavimo iš virškinimo trakt</w:t>
      </w:r>
      <w:r w:rsidR="00B7578B" w:rsidRPr="00B0468F">
        <w:rPr>
          <w:rFonts w:eastAsia="Calibri"/>
          <w:color w:val="000000"/>
          <w:lang w:val="lt-LT"/>
        </w:rPr>
        <w:t>o arba aktyvios pepsinės opos);</w:t>
      </w:r>
    </w:p>
    <w:p w14:paraId="11B78512" w14:textId="77777777" w:rsidR="00E87276" w:rsidRPr="00B0468F" w:rsidRDefault="00A34C1E" w:rsidP="00B0468F">
      <w:pPr>
        <w:widowControl w:val="0"/>
        <w:numPr>
          <w:ilvl w:val="0"/>
          <w:numId w:val="12"/>
        </w:numPr>
        <w:tabs>
          <w:tab w:val="clear" w:pos="567"/>
        </w:tabs>
        <w:autoSpaceDE w:val="0"/>
        <w:autoSpaceDN w:val="0"/>
        <w:adjustRightInd w:val="0"/>
        <w:spacing w:line="240" w:lineRule="auto"/>
        <w:ind w:left="567" w:right="566" w:hanging="567"/>
        <w:rPr>
          <w:rFonts w:eastAsia="Calibri"/>
          <w:color w:val="000000"/>
          <w:lang w:val="lt-LT"/>
        </w:rPr>
      </w:pPr>
      <w:r w:rsidRPr="00B0468F">
        <w:rPr>
          <w:rFonts w:eastAsia="Calibri"/>
          <w:color w:val="000000"/>
          <w:lang w:val="lt-LT"/>
        </w:rPr>
        <w:t>kurių kūno masė &lt; 60 </w:t>
      </w:r>
      <w:r w:rsidR="00E87276" w:rsidRPr="00B0468F">
        <w:rPr>
          <w:rFonts w:eastAsia="Calibri"/>
          <w:color w:val="000000"/>
          <w:lang w:val="lt-LT"/>
        </w:rPr>
        <w:t>kg (žr. 4.2 ir 4.8 skyrius)</w:t>
      </w:r>
      <w:r w:rsidR="0046483A" w:rsidRPr="00B0468F">
        <w:rPr>
          <w:rFonts w:eastAsia="Calibri"/>
          <w:color w:val="000000"/>
          <w:lang w:val="lt-LT"/>
        </w:rPr>
        <w:t>. Tokiems pacientams vartoti 10 </w:t>
      </w:r>
      <w:r w:rsidR="00E87276" w:rsidRPr="00B0468F">
        <w:rPr>
          <w:rFonts w:eastAsia="Calibri"/>
          <w:color w:val="000000"/>
          <w:lang w:val="lt-LT"/>
        </w:rPr>
        <w:t>mg palaikomąją dozę ner</w:t>
      </w:r>
      <w:r w:rsidR="0046483A" w:rsidRPr="00B0468F">
        <w:rPr>
          <w:rFonts w:eastAsia="Calibri"/>
          <w:color w:val="000000"/>
          <w:lang w:val="lt-LT"/>
        </w:rPr>
        <w:t>ekomenduojama. Reikia vartoti 5 </w:t>
      </w:r>
      <w:r w:rsidR="00B7578B" w:rsidRPr="00B0468F">
        <w:rPr>
          <w:rFonts w:eastAsia="Calibri"/>
          <w:color w:val="000000"/>
          <w:lang w:val="lt-LT"/>
        </w:rPr>
        <w:t>mg palaikomąją dozę;</w:t>
      </w:r>
    </w:p>
    <w:p w14:paraId="4878B0B8" w14:textId="77777777" w:rsidR="002A0BC8" w:rsidRPr="00B0468F" w:rsidRDefault="00E87276" w:rsidP="00B0468F">
      <w:pPr>
        <w:widowControl w:val="0"/>
        <w:numPr>
          <w:ilvl w:val="0"/>
          <w:numId w:val="12"/>
        </w:numPr>
        <w:spacing w:line="240" w:lineRule="auto"/>
        <w:ind w:left="567" w:right="566" w:hanging="567"/>
        <w:rPr>
          <w:rFonts w:eastAsia="Calibri"/>
          <w:color w:val="000000"/>
          <w:lang w:val="lt-LT"/>
        </w:rPr>
      </w:pPr>
      <w:r w:rsidRPr="00B0468F">
        <w:rPr>
          <w:rFonts w:eastAsia="Calibri"/>
          <w:color w:val="000000"/>
          <w:lang w:val="lt-LT"/>
        </w:rPr>
        <w:t>kurie kartu vartoja kitų vaistinių preparatų, kurie gali didinti kraujavimo riziką, įskaitant per burną vartojamus antikoaguliantus, klopidogrelį, nesteroidinius vaistus nuo uždegimo (NVNU) ir fibrinolitikus.</w:t>
      </w:r>
    </w:p>
    <w:p w14:paraId="592070FD" w14:textId="77777777" w:rsidR="0046483A" w:rsidRPr="00B0468F" w:rsidRDefault="0046483A" w:rsidP="00B0468F">
      <w:pPr>
        <w:widowControl w:val="0"/>
        <w:spacing w:line="240" w:lineRule="auto"/>
        <w:ind w:right="566"/>
        <w:rPr>
          <w:rFonts w:eastAsia="Calibri"/>
          <w:color w:val="000000"/>
          <w:lang w:val="lt-LT"/>
        </w:rPr>
      </w:pPr>
    </w:p>
    <w:p w14:paraId="4C9B7433" w14:textId="77777777" w:rsidR="0046483A" w:rsidRPr="00B0468F" w:rsidRDefault="0046483A" w:rsidP="00B0468F">
      <w:pPr>
        <w:widowControl w:val="0"/>
        <w:spacing w:line="240" w:lineRule="auto"/>
        <w:ind w:right="566"/>
        <w:rPr>
          <w:lang w:val="lt-LT"/>
        </w:rPr>
      </w:pPr>
      <w:r w:rsidRPr="00B0468F">
        <w:rPr>
          <w:lang w:val="lt-LT"/>
        </w:rPr>
        <w:t>Pacientams, kuriems pasireiškia aktyvus krauja</w:t>
      </w:r>
      <w:r w:rsidR="00C277EB" w:rsidRPr="00B0468F">
        <w:rPr>
          <w:lang w:val="lt-LT"/>
        </w:rPr>
        <w:t>vimas ir būtina panaikinti prazugrelio</w:t>
      </w:r>
      <w:r w:rsidRPr="00B0468F">
        <w:rPr>
          <w:lang w:val="lt-LT"/>
        </w:rPr>
        <w:t xml:space="preserve"> farmakologinį veikimą, gali tikti trombocitų masės perpylimas.</w:t>
      </w:r>
    </w:p>
    <w:p w14:paraId="02C59DA6" w14:textId="77777777" w:rsidR="0046483A" w:rsidRPr="00B0468F" w:rsidRDefault="0046483A" w:rsidP="00B0468F">
      <w:pPr>
        <w:widowControl w:val="0"/>
        <w:spacing w:line="240" w:lineRule="auto"/>
        <w:ind w:right="566"/>
        <w:rPr>
          <w:lang w:val="lt-LT"/>
        </w:rPr>
      </w:pPr>
    </w:p>
    <w:p w14:paraId="723DA9F7" w14:textId="77777777" w:rsidR="0046483A" w:rsidRPr="00B0468F" w:rsidRDefault="0032794F" w:rsidP="00B0468F">
      <w:pPr>
        <w:widowControl w:val="0"/>
        <w:spacing w:line="240" w:lineRule="auto"/>
        <w:ind w:right="566"/>
        <w:rPr>
          <w:lang w:val="lt-LT"/>
        </w:rPr>
      </w:pPr>
      <w:r w:rsidRPr="00B0468F">
        <w:rPr>
          <w:lang w:val="lt-LT"/>
        </w:rPr>
        <w:t>Eliskardia</w:t>
      </w:r>
      <w:r w:rsidR="00CC1974" w:rsidRPr="00B0468F">
        <w:rPr>
          <w:lang w:val="lt-LT"/>
        </w:rPr>
        <w:t xml:space="preserve"> vartoti 75 </w:t>
      </w:r>
      <w:r w:rsidR="0046483A" w:rsidRPr="00B0468F">
        <w:rPr>
          <w:lang w:val="lt-LT"/>
        </w:rPr>
        <w:t>metų ir vyresniems pacientams paprastai nerekomenduojama. Tuo atveju vaistinį preparatą reikia vartoti atsargiai, skiriančiam gydytojui atidžiai įvertinus individualų naudos ir rizikos santykį, kuris rodo, kad išemijos reiškinių profilaktikos nauda persveria sunkaus kraujavimo riziką. 3 fazės klinikinių tyrimų duomenimis, kraujavimo rizika tokiems pacientams buvo didesnė, įskaitant mirtiną kraujavimą, p</w:t>
      </w:r>
      <w:r w:rsidR="00CC1974" w:rsidRPr="00B0468F">
        <w:rPr>
          <w:lang w:val="lt-LT"/>
        </w:rPr>
        <w:t>alyginti su jaunesniais kaip 75 </w:t>
      </w:r>
      <w:r w:rsidR="0046483A" w:rsidRPr="00B0468F">
        <w:rPr>
          <w:lang w:val="lt-LT"/>
        </w:rPr>
        <w:t>metų pacientais. Jeigu vaistinis preparatas skiriamas vartoti, reikia vartoti mažesnę pa</w:t>
      </w:r>
      <w:r w:rsidR="00CC1974" w:rsidRPr="00B0468F">
        <w:rPr>
          <w:lang w:val="lt-LT"/>
        </w:rPr>
        <w:t>laikomąją 5 mg dozę. Vartoti 10 </w:t>
      </w:r>
      <w:r w:rsidR="0046483A" w:rsidRPr="00B0468F">
        <w:rPr>
          <w:lang w:val="lt-LT"/>
        </w:rPr>
        <w:t>mg palaikomąją dozę nerekomenduojama (žr. 4.2 ir 4.8 skyrius).</w:t>
      </w:r>
    </w:p>
    <w:p w14:paraId="42AE5F92" w14:textId="77777777" w:rsidR="0046483A" w:rsidRPr="00B0468F" w:rsidRDefault="0046483A" w:rsidP="00B0468F">
      <w:pPr>
        <w:widowControl w:val="0"/>
        <w:spacing w:line="240" w:lineRule="auto"/>
        <w:ind w:right="566"/>
        <w:rPr>
          <w:lang w:val="lt-LT"/>
        </w:rPr>
      </w:pPr>
    </w:p>
    <w:p w14:paraId="369531BE" w14:textId="77777777" w:rsidR="0046483A" w:rsidRPr="00B0468F" w:rsidRDefault="0046483A" w:rsidP="00B0468F">
      <w:pPr>
        <w:widowControl w:val="0"/>
        <w:spacing w:line="240" w:lineRule="auto"/>
        <w:ind w:right="566"/>
        <w:rPr>
          <w:lang w:val="lt-LT"/>
        </w:rPr>
      </w:pPr>
      <w:r w:rsidRPr="00B0468F">
        <w:rPr>
          <w:lang w:val="lt-LT"/>
        </w:rPr>
        <w:t xml:space="preserve">Pacientų, kurie serga inkstų funkcijos sutrikimu (įskaitant galutinės stadijos inkstų liga [GSIL]), ir pacientų, kurie serga vidutinio sunkumo kepenų </w:t>
      </w:r>
      <w:r w:rsidR="0032794F" w:rsidRPr="00B0468F">
        <w:rPr>
          <w:lang w:val="lt-LT"/>
        </w:rPr>
        <w:t>funkcijos sutrikimu, gydymo praz</w:t>
      </w:r>
      <w:r w:rsidRPr="00B0468F">
        <w:rPr>
          <w:lang w:val="lt-LT"/>
        </w:rPr>
        <w:t>ugreliu patirtis ribota. Tokiems pacientams gali būti didesnė kraujavimo rizika. Dėl to</w:t>
      </w:r>
      <w:r w:rsidR="0032794F" w:rsidRPr="00B0468F">
        <w:rPr>
          <w:lang w:val="lt-LT"/>
        </w:rPr>
        <w:t xml:space="preserve"> tokiems pacientams vartoti praz</w:t>
      </w:r>
      <w:r w:rsidRPr="00B0468F">
        <w:rPr>
          <w:lang w:val="lt-LT"/>
        </w:rPr>
        <w:t>ugrelį reikia atsargiai.</w:t>
      </w:r>
    </w:p>
    <w:p w14:paraId="14A2075D" w14:textId="77777777" w:rsidR="0046483A" w:rsidRPr="00B0468F" w:rsidRDefault="0046483A" w:rsidP="00B0468F">
      <w:pPr>
        <w:widowControl w:val="0"/>
        <w:spacing w:line="240" w:lineRule="auto"/>
        <w:ind w:right="566"/>
        <w:rPr>
          <w:lang w:val="lt-LT"/>
        </w:rPr>
      </w:pPr>
    </w:p>
    <w:p w14:paraId="27013D40" w14:textId="77777777" w:rsidR="00E87276" w:rsidRPr="00B0468F" w:rsidRDefault="0046483A" w:rsidP="00B0468F">
      <w:pPr>
        <w:widowControl w:val="0"/>
        <w:spacing w:line="240" w:lineRule="auto"/>
        <w:ind w:right="566"/>
        <w:rPr>
          <w:lang w:val="lt-LT"/>
        </w:rPr>
      </w:pPr>
      <w:r w:rsidRPr="00B0468F">
        <w:rPr>
          <w:lang w:val="lt-LT"/>
        </w:rPr>
        <w:t>Pacientams reikia pa</w:t>
      </w:r>
      <w:r w:rsidR="0032794F" w:rsidRPr="00B0468F">
        <w:rPr>
          <w:lang w:val="lt-LT"/>
        </w:rPr>
        <w:t>sakyti, kad vartojant praz</w:t>
      </w:r>
      <w:r w:rsidRPr="00B0468F">
        <w:rPr>
          <w:lang w:val="lt-LT"/>
        </w:rPr>
        <w:t>ugrelį (kartu su ASR), gali pailgėti kraujavimas, ir kad jie turi pranešti gydytojui apie bet kokį neįprastą kraujavimą (iš neįprastos vietos ar neįprastos trukmės).</w:t>
      </w:r>
    </w:p>
    <w:p w14:paraId="75977825" w14:textId="77777777" w:rsidR="00FE0B89" w:rsidRPr="00B0468F" w:rsidRDefault="00FE0B89" w:rsidP="00B0468F">
      <w:pPr>
        <w:widowControl w:val="0"/>
        <w:tabs>
          <w:tab w:val="clear" w:pos="567"/>
        </w:tabs>
        <w:autoSpaceDE w:val="0"/>
        <w:autoSpaceDN w:val="0"/>
        <w:adjustRightInd w:val="0"/>
        <w:spacing w:line="240" w:lineRule="auto"/>
        <w:ind w:right="566"/>
        <w:rPr>
          <w:rFonts w:eastAsia="Calibri"/>
          <w:i/>
          <w:color w:val="000000"/>
          <w:lang w:val="lt-LT"/>
        </w:rPr>
      </w:pPr>
    </w:p>
    <w:p w14:paraId="4EE9109D" w14:textId="77777777" w:rsidR="00FE0B89" w:rsidRPr="00B0468F" w:rsidRDefault="00FE0B89"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Kraujavimo rizika, susijusi su įsotinamosios dozės pavartojimo laiku MI be ST pakilimo atveju</w:t>
      </w:r>
    </w:p>
    <w:p w14:paraId="5E2F2389" w14:textId="77777777" w:rsidR="00FE0B89" w:rsidRPr="00B0468F" w:rsidRDefault="00FE0B89"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Klinikinio tyrimo, kuriame dalyvavusiems pacientams, sergantiems MI be ST pakilimo (ACCOAST</w:t>
      </w:r>
      <w:r w:rsidRPr="00B0468F">
        <w:rPr>
          <w:rFonts w:eastAsia="Calibri"/>
          <w:i/>
          <w:color w:val="000000"/>
          <w:lang w:val="lt-LT"/>
        </w:rPr>
        <w:t xml:space="preserve"> </w:t>
      </w:r>
      <w:r w:rsidRPr="00B0468F">
        <w:rPr>
          <w:rFonts w:eastAsia="Calibri"/>
          <w:color w:val="000000"/>
          <w:lang w:val="lt-LT"/>
        </w:rPr>
        <w:t>tyrimas), buvo planuojama atlikti vainikinių kraujagyslių angiografiją per 2-48 valandas po suskirstymo į grupes atsitiktiniu būdu</w:t>
      </w:r>
      <w:r w:rsidR="00CC4D73" w:rsidRPr="00B0468F">
        <w:rPr>
          <w:rFonts w:eastAsia="Calibri"/>
          <w:color w:val="000000"/>
          <w:lang w:val="lt-LT"/>
        </w:rPr>
        <w:t>, duomenimis, įsotinamosios praz</w:t>
      </w:r>
      <w:r w:rsidRPr="00B0468F">
        <w:rPr>
          <w:rFonts w:eastAsia="Calibri"/>
          <w:color w:val="000000"/>
          <w:lang w:val="lt-LT"/>
        </w:rPr>
        <w:t>ugrelio dozės skyrimas likus vidutiniškai 4 valandoms iki vainikinių kraujagyslių angiografijos didino masyvaus ir nežymaus kraujavimo procedūros metu riziką,</w:t>
      </w:r>
      <w:r w:rsidR="00CC4D73" w:rsidRPr="00B0468F">
        <w:rPr>
          <w:rFonts w:eastAsia="Calibri"/>
          <w:color w:val="000000"/>
          <w:lang w:val="lt-LT"/>
        </w:rPr>
        <w:t xml:space="preserve"> palyginti su įsotinamosios praz</w:t>
      </w:r>
      <w:r w:rsidRPr="00B0468F">
        <w:rPr>
          <w:rFonts w:eastAsia="Calibri"/>
          <w:color w:val="000000"/>
          <w:lang w:val="lt-LT"/>
        </w:rPr>
        <w:t>ugrelio dozės skyrimu PVAP metu. Todėl pacientams, kuriems pasireiškia NKA/MI be ST pakilimo, kai vainikinių kraujagyslių angiografija atliekama per 48 valandas po patekimo į gydymo įstaigą, įsotinamąją dozę reikia vartoti PVAP metu (žr. 4.2, 4.8 ir 5.1 skyrius).</w:t>
      </w:r>
    </w:p>
    <w:p w14:paraId="51732A11" w14:textId="77777777" w:rsidR="00FE0B89" w:rsidRPr="00B0468F" w:rsidRDefault="00FE0B89" w:rsidP="00B0468F">
      <w:pPr>
        <w:widowControl w:val="0"/>
        <w:tabs>
          <w:tab w:val="clear" w:pos="567"/>
        </w:tabs>
        <w:autoSpaceDE w:val="0"/>
        <w:autoSpaceDN w:val="0"/>
        <w:adjustRightInd w:val="0"/>
        <w:spacing w:line="240" w:lineRule="auto"/>
        <w:ind w:right="566"/>
        <w:rPr>
          <w:rFonts w:eastAsia="Calibri"/>
          <w:color w:val="000000"/>
          <w:lang w:val="lt-LT"/>
        </w:rPr>
      </w:pPr>
    </w:p>
    <w:p w14:paraId="4A21AC36" w14:textId="77777777" w:rsidR="00FE0B89" w:rsidRPr="00B0468F" w:rsidRDefault="00FE0B89"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Chirurginė operacija</w:t>
      </w:r>
    </w:p>
    <w:p w14:paraId="08D86BE3" w14:textId="77777777" w:rsidR="00044C40" w:rsidRPr="00B0468F" w:rsidRDefault="00FE0B89" w:rsidP="00B0468F">
      <w:pPr>
        <w:widowControl w:val="0"/>
        <w:spacing w:line="240" w:lineRule="auto"/>
        <w:ind w:right="566"/>
        <w:rPr>
          <w:rFonts w:eastAsia="Calibri"/>
          <w:color w:val="000000"/>
          <w:lang w:val="lt-LT"/>
        </w:rPr>
      </w:pPr>
      <w:r w:rsidRPr="00B0468F">
        <w:rPr>
          <w:rFonts w:eastAsia="Calibri"/>
          <w:color w:val="000000"/>
          <w:lang w:val="lt-LT"/>
        </w:rPr>
        <w:t>Pacientams reikia nurodyti, kad prieš bet kurią planuojamą operaciją arba pradedant vartoti bet kurį naują vaistinį preparatą, pasakytų gydytojams i</w:t>
      </w:r>
      <w:r w:rsidR="00CC4D73" w:rsidRPr="00B0468F">
        <w:rPr>
          <w:rFonts w:eastAsia="Calibri"/>
          <w:color w:val="000000"/>
          <w:lang w:val="lt-LT"/>
        </w:rPr>
        <w:t>r odontologams, kad vartoja praz</w:t>
      </w:r>
      <w:r w:rsidRPr="00B0468F">
        <w:rPr>
          <w:rFonts w:eastAsia="Calibri"/>
          <w:color w:val="000000"/>
          <w:lang w:val="lt-LT"/>
        </w:rPr>
        <w:t xml:space="preserve">ugrelį. Jeigu pacientui bus atliekama planinė chirurginė operacija ir trombocitų funkciją slopinančių vaistinių preparatų </w:t>
      </w:r>
      <w:r w:rsidR="00CC4D73" w:rsidRPr="00B0468F">
        <w:rPr>
          <w:rFonts w:eastAsia="Calibri"/>
          <w:color w:val="000000"/>
          <w:lang w:val="lt-LT"/>
        </w:rPr>
        <w:t>poveikis nepageidautinas, prazugrelio</w:t>
      </w:r>
      <w:r w:rsidRPr="00B0468F">
        <w:rPr>
          <w:rFonts w:eastAsia="Calibri"/>
          <w:color w:val="000000"/>
          <w:lang w:val="lt-LT"/>
        </w:rPr>
        <w:t xml:space="preserve"> vartojimą reikia nutraukti ne vėliau kaip likus 7 paroms iki operacijos. Kraujavimas gali pa</w:t>
      </w:r>
      <w:r w:rsidR="00CC4D73" w:rsidRPr="00B0468F">
        <w:rPr>
          <w:rFonts w:eastAsia="Calibri"/>
          <w:color w:val="000000"/>
          <w:lang w:val="lt-LT"/>
        </w:rPr>
        <w:t>s</w:t>
      </w:r>
      <w:r w:rsidRPr="00B0468F">
        <w:rPr>
          <w:rFonts w:eastAsia="Calibri"/>
          <w:color w:val="000000"/>
          <w:lang w:val="lt-LT"/>
        </w:rPr>
        <w:t>ireikšti dažniau (3 kartus) ir būti sunkesnis pacientams, kuriems atliekama transplantacija vainikinės arterijos šuntavimui (TVAŠ) per 7 pa</w:t>
      </w:r>
      <w:r w:rsidR="00CC4D73" w:rsidRPr="00B0468F">
        <w:rPr>
          <w:rFonts w:eastAsia="Calibri"/>
          <w:color w:val="000000"/>
          <w:lang w:val="lt-LT"/>
        </w:rPr>
        <w:t>ras po to, kai nutraukiamas praz</w:t>
      </w:r>
      <w:r w:rsidRPr="00B0468F">
        <w:rPr>
          <w:rFonts w:eastAsia="Calibri"/>
          <w:color w:val="000000"/>
          <w:lang w:val="lt-LT"/>
        </w:rPr>
        <w:t>ugrelio vartojimas (žr. 4.8 skyrių). Reikia atidžiai į</w:t>
      </w:r>
      <w:r w:rsidR="00CC4D73" w:rsidRPr="00B0468F">
        <w:rPr>
          <w:rFonts w:eastAsia="Calibri"/>
          <w:color w:val="000000"/>
          <w:lang w:val="lt-LT"/>
        </w:rPr>
        <w:t>vertinti praz</w:t>
      </w:r>
      <w:r w:rsidRPr="00B0468F">
        <w:rPr>
          <w:rFonts w:eastAsia="Calibri"/>
          <w:color w:val="000000"/>
          <w:lang w:val="lt-LT"/>
        </w:rPr>
        <w:t>ugrelio vartojimo naudą ir riziką pacientams, kurių vainikinių arterijų anatomija nenustatyta ir gali prireikti skubiai atlikti TVAŠ.</w:t>
      </w:r>
    </w:p>
    <w:p w14:paraId="71AF95E4" w14:textId="77777777" w:rsidR="00044C40" w:rsidRPr="00B0468F" w:rsidRDefault="00044C40" w:rsidP="00B0468F">
      <w:pPr>
        <w:widowControl w:val="0"/>
        <w:tabs>
          <w:tab w:val="clear" w:pos="567"/>
        </w:tabs>
        <w:autoSpaceDE w:val="0"/>
        <w:autoSpaceDN w:val="0"/>
        <w:adjustRightInd w:val="0"/>
        <w:spacing w:line="240" w:lineRule="auto"/>
        <w:ind w:right="566"/>
        <w:rPr>
          <w:rFonts w:eastAsia="Calibri"/>
          <w:i/>
          <w:color w:val="000000"/>
          <w:lang w:val="lt-LT"/>
        </w:rPr>
      </w:pPr>
    </w:p>
    <w:p w14:paraId="78162F08" w14:textId="77777777" w:rsidR="00044C40" w:rsidRPr="00B0468F" w:rsidRDefault="00044C40"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Padidėjęs jautrumas,</w:t>
      </w:r>
      <w:r w:rsidR="002C3A0A" w:rsidRPr="00B0468F">
        <w:rPr>
          <w:rFonts w:eastAsia="Calibri"/>
          <w:i/>
          <w:color w:val="000000"/>
          <w:u w:val="single"/>
          <w:lang w:val="lt-LT"/>
        </w:rPr>
        <w:t xml:space="preserve"> įskaitant angioneurozinę edemą</w:t>
      </w:r>
    </w:p>
    <w:p w14:paraId="061732A2" w14:textId="77777777" w:rsidR="00044C40" w:rsidRPr="00B0468F" w:rsidRDefault="002C3A0A"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Praz</w:t>
      </w:r>
      <w:r w:rsidR="00044C40" w:rsidRPr="00B0468F">
        <w:rPr>
          <w:rFonts w:eastAsia="Calibri"/>
          <w:color w:val="000000"/>
          <w:lang w:val="lt-LT"/>
        </w:rPr>
        <w:t>ugreliu gydomiems pacientams, įskaitant pacientus, kuriems anksčiau buvo padidėjusio jautrumo reakcijų klopidogreliui, buvo padidėjusio jautrumo reakcijų, įskaitant angioneurozinę edemą, atvejų. Patariama stebėti, ar pacientams, kurie yra alergiški tienopiridinams, neatsiranda padidėjusio jau</w:t>
      </w:r>
      <w:r w:rsidRPr="00B0468F">
        <w:rPr>
          <w:rFonts w:eastAsia="Calibri"/>
          <w:color w:val="000000"/>
          <w:lang w:val="lt-LT"/>
        </w:rPr>
        <w:t>trumo požymių (žr. 4.8 skyrių).</w:t>
      </w:r>
    </w:p>
    <w:p w14:paraId="42FE138B" w14:textId="77777777" w:rsidR="002C3A0A" w:rsidRPr="00B0468F" w:rsidRDefault="002C3A0A" w:rsidP="00B0468F">
      <w:pPr>
        <w:widowControl w:val="0"/>
        <w:tabs>
          <w:tab w:val="clear" w:pos="567"/>
        </w:tabs>
        <w:autoSpaceDE w:val="0"/>
        <w:autoSpaceDN w:val="0"/>
        <w:adjustRightInd w:val="0"/>
        <w:spacing w:line="240" w:lineRule="auto"/>
        <w:ind w:right="566"/>
        <w:rPr>
          <w:rFonts w:eastAsia="Calibri"/>
          <w:color w:val="000000"/>
          <w:lang w:val="lt-LT"/>
        </w:rPr>
      </w:pPr>
    </w:p>
    <w:p w14:paraId="28409929" w14:textId="77777777" w:rsidR="00044C40" w:rsidRPr="00B0468F" w:rsidRDefault="00044C40"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i/>
          <w:color w:val="000000"/>
          <w:u w:val="single"/>
          <w:lang w:val="lt-LT"/>
        </w:rPr>
        <w:t>Trombinė trombocitopeninė</w:t>
      </w:r>
      <w:r w:rsidR="002C3A0A" w:rsidRPr="00B0468F">
        <w:rPr>
          <w:rFonts w:eastAsia="Calibri"/>
          <w:i/>
          <w:color w:val="000000"/>
          <w:u w:val="single"/>
          <w:lang w:val="lt-LT"/>
        </w:rPr>
        <w:t xml:space="preserve"> purpura (TTP)</w:t>
      </w:r>
    </w:p>
    <w:p w14:paraId="51406F51" w14:textId="77777777" w:rsidR="00044C40" w:rsidRPr="00B0468F" w:rsidRDefault="002C3A0A"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Vartojant praz</w:t>
      </w:r>
      <w:r w:rsidR="00044C40" w:rsidRPr="00B0468F">
        <w:rPr>
          <w:rFonts w:eastAsia="Calibri"/>
          <w:color w:val="000000"/>
          <w:lang w:val="lt-LT"/>
        </w:rPr>
        <w:t xml:space="preserve">ugrelio, buvo pranešimų apie TTP. TTP yra sunki būklė, </w:t>
      </w:r>
      <w:r w:rsidRPr="00B0468F">
        <w:rPr>
          <w:rFonts w:eastAsia="Calibri"/>
          <w:color w:val="000000"/>
          <w:lang w:val="lt-LT"/>
        </w:rPr>
        <w:t xml:space="preserve">kurią reikia nedelsiant </w:t>
      </w:r>
      <w:r w:rsidRPr="00B0468F">
        <w:rPr>
          <w:rFonts w:eastAsia="Calibri"/>
          <w:color w:val="000000"/>
          <w:lang w:val="lt-LT"/>
        </w:rPr>
        <w:lastRenderedPageBreak/>
        <w:t>gydyti.</w:t>
      </w:r>
    </w:p>
    <w:p w14:paraId="2FFB63D3" w14:textId="77777777" w:rsidR="002C3A0A" w:rsidRPr="00B0468F" w:rsidRDefault="002C3A0A" w:rsidP="00B0468F">
      <w:pPr>
        <w:widowControl w:val="0"/>
        <w:spacing w:line="240" w:lineRule="auto"/>
        <w:ind w:right="566"/>
        <w:rPr>
          <w:rFonts w:eastAsia="Calibri"/>
          <w:color w:val="000000"/>
          <w:lang w:val="lt-LT"/>
        </w:rPr>
      </w:pPr>
    </w:p>
    <w:p w14:paraId="5A31509F" w14:textId="77777777" w:rsidR="003517D0" w:rsidRPr="00FD696A" w:rsidRDefault="003517D0" w:rsidP="00B0468F">
      <w:pPr>
        <w:widowControl w:val="0"/>
        <w:autoSpaceDE w:val="0"/>
        <w:autoSpaceDN w:val="0"/>
        <w:adjustRightInd w:val="0"/>
        <w:spacing w:line="240" w:lineRule="auto"/>
        <w:rPr>
          <w:i/>
          <w:color w:val="000000"/>
          <w:u w:val="single"/>
          <w:lang w:val="lt-LT"/>
        </w:rPr>
      </w:pPr>
      <w:r w:rsidRPr="00FD696A">
        <w:rPr>
          <w:i/>
          <w:color w:val="000000"/>
          <w:u w:val="single"/>
          <w:lang w:val="lt-LT"/>
        </w:rPr>
        <w:t>Morfinas ir kiti opioidai</w:t>
      </w:r>
    </w:p>
    <w:p w14:paraId="30EEBBBB" w14:textId="77777777" w:rsidR="006B1C8A" w:rsidRPr="00FD696A" w:rsidRDefault="003517D0" w:rsidP="00B0468F">
      <w:pPr>
        <w:widowControl w:val="0"/>
        <w:spacing w:line="240" w:lineRule="auto"/>
        <w:ind w:right="566"/>
        <w:rPr>
          <w:color w:val="000000"/>
          <w:lang w:val="lt-LT"/>
        </w:rPr>
      </w:pPr>
      <w:r w:rsidRPr="00FD696A">
        <w:rPr>
          <w:color w:val="000000"/>
          <w:lang w:val="lt-LT"/>
        </w:rPr>
        <w:t>Buvo stebėtas prazugrelio veiksmingumo sumažėjimas pacientams, prazugrelį vartojantiems kartu su morfinu (žr. 4.5 skyrių).</w:t>
      </w:r>
    </w:p>
    <w:p w14:paraId="51A4B1D9" w14:textId="77777777" w:rsidR="003517D0" w:rsidRPr="00FD696A" w:rsidRDefault="003517D0" w:rsidP="00B0468F">
      <w:pPr>
        <w:widowControl w:val="0"/>
        <w:spacing w:line="240" w:lineRule="auto"/>
        <w:ind w:right="566"/>
        <w:rPr>
          <w:rFonts w:eastAsia="Calibri"/>
          <w:color w:val="000000"/>
          <w:lang w:val="lt-LT"/>
        </w:rPr>
      </w:pPr>
    </w:p>
    <w:p w14:paraId="3647C586" w14:textId="77777777" w:rsidR="00FE0B89" w:rsidRPr="00B0468F" w:rsidRDefault="00676889" w:rsidP="00B0468F">
      <w:pPr>
        <w:widowControl w:val="0"/>
        <w:spacing w:line="240" w:lineRule="auto"/>
        <w:ind w:right="566"/>
        <w:rPr>
          <w:rFonts w:eastAsia="Calibri"/>
          <w:color w:val="000000"/>
          <w:lang w:val="lt-LT"/>
        </w:rPr>
      </w:pPr>
      <w:r w:rsidRPr="00B0468F">
        <w:rPr>
          <w:lang w:val="lt-LT"/>
        </w:rPr>
        <w:t>Eliskardia sudėtyje yra laktozės. Šio vaistinio preparato</w:t>
      </w:r>
      <w:r w:rsidR="00044C40" w:rsidRPr="00B0468F">
        <w:rPr>
          <w:rFonts w:eastAsia="Calibri"/>
          <w:color w:val="000000"/>
          <w:lang w:val="lt-LT"/>
        </w:rPr>
        <w:t xml:space="preserve"> negalima vartoti pacientams, kuriems nustatytas retas paveldimas sutrikimas – galaktozės netoleravimas, </w:t>
      </w:r>
      <w:r w:rsidR="009F7957" w:rsidRPr="00B0468F">
        <w:rPr>
          <w:rFonts w:eastAsia="Calibri"/>
          <w:color w:val="000000"/>
          <w:lang w:val="lt-LT"/>
        </w:rPr>
        <w:t>visiškas</w:t>
      </w:r>
      <w:r w:rsidR="00044C40" w:rsidRPr="00B0468F">
        <w:rPr>
          <w:rFonts w:eastAsia="Calibri"/>
          <w:i/>
          <w:color w:val="000000"/>
          <w:lang w:val="lt-LT"/>
        </w:rPr>
        <w:t xml:space="preserve"> </w:t>
      </w:r>
      <w:r w:rsidR="00044C40" w:rsidRPr="00B0468F">
        <w:rPr>
          <w:rFonts w:eastAsia="Calibri"/>
          <w:color w:val="000000"/>
          <w:lang w:val="lt-LT"/>
        </w:rPr>
        <w:t>laktazės stygius arba gliukozės ir galaktozės malabsorbcija.</w:t>
      </w:r>
    </w:p>
    <w:p w14:paraId="7A716A89" w14:textId="77777777" w:rsidR="002C3A0A" w:rsidRPr="00B0468F" w:rsidRDefault="002C3A0A" w:rsidP="00B0468F">
      <w:pPr>
        <w:widowControl w:val="0"/>
        <w:spacing w:line="240" w:lineRule="auto"/>
        <w:ind w:right="566"/>
        <w:rPr>
          <w:lang w:val="lt-LT"/>
        </w:rPr>
      </w:pPr>
    </w:p>
    <w:p w14:paraId="6C110732" w14:textId="77777777" w:rsidR="009F7957" w:rsidRPr="00B0468F" w:rsidRDefault="002E0D60" w:rsidP="00B0468F">
      <w:pPr>
        <w:widowControl w:val="0"/>
        <w:spacing w:line="240" w:lineRule="auto"/>
        <w:ind w:right="566"/>
        <w:rPr>
          <w:lang w:val="lt-LT"/>
        </w:rPr>
      </w:pPr>
      <w:r w:rsidRPr="00B0468F">
        <w:rPr>
          <w:lang w:val="lt-LT"/>
        </w:rPr>
        <w:t>Eliskardia</w:t>
      </w:r>
      <w:r w:rsidR="009F7957" w:rsidRPr="00B0468F">
        <w:rPr>
          <w:lang w:val="lt-LT"/>
        </w:rPr>
        <w:t xml:space="preserve"> </w:t>
      </w:r>
      <w:r w:rsidR="006F0AFC" w:rsidRPr="00B0468F">
        <w:rPr>
          <w:lang w:val="lt-LT"/>
        </w:rPr>
        <w:t>dozėje yra mažiau nei 1 mmol (23</w:t>
      </w:r>
      <w:r w:rsidR="007E12B3" w:rsidRPr="00B0468F">
        <w:rPr>
          <w:lang w:val="lt-LT"/>
        </w:rPr>
        <w:t> </w:t>
      </w:r>
      <w:r w:rsidR="006F0AFC" w:rsidRPr="00B0468F">
        <w:rPr>
          <w:lang w:val="lt-LT"/>
        </w:rPr>
        <w:t>mg) natrio</w:t>
      </w:r>
      <w:r w:rsidR="007C63D5" w:rsidRPr="00B0468F">
        <w:rPr>
          <w:lang w:val="lt-LT"/>
        </w:rPr>
        <w:t>, t.y. jis beveik neturi reikšmės.</w:t>
      </w:r>
    </w:p>
    <w:p w14:paraId="644E0C10" w14:textId="77777777" w:rsidR="007C63D5" w:rsidRPr="00B0468F" w:rsidRDefault="007C63D5" w:rsidP="00B0468F">
      <w:pPr>
        <w:widowControl w:val="0"/>
        <w:spacing w:line="240" w:lineRule="auto"/>
        <w:ind w:right="566"/>
        <w:rPr>
          <w:lang w:val="lt-LT"/>
        </w:rPr>
      </w:pPr>
    </w:p>
    <w:p w14:paraId="2131A83E"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4.5</w:t>
      </w:r>
      <w:r w:rsidRPr="00B0468F">
        <w:rPr>
          <w:rFonts w:ascii="Times New Roman" w:hAnsi="Times New Roman"/>
          <w:sz w:val="22"/>
          <w:lang w:val="lt-LT"/>
        </w:rPr>
        <w:tab/>
        <w:t>Sąveika su kitais vaistiniais preparatais ir kitokia sąveika</w:t>
      </w:r>
    </w:p>
    <w:p w14:paraId="0910119E" w14:textId="77777777" w:rsidR="00F34163" w:rsidRPr="00B0468F" w:rsidRDefault="00F34163" w:rsidP="00B0468F">
      <w:pPr>
        <w:widowControl w:val="0"/>
        <w:spacing w:line="240" w:lineRule="auto"/>
        <w:ind w:right="566"/>
        <w:rPr>
          <w:lang w:val="lt-LT"/>
        </w:rPr>
      </w:pPr>
    </w:p>
    <w:p w14:paraId="48808BA0"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Varfarinas</w:t>
      </w:r>
      <w:r w:rsidR="007E12B3" w:rsidRPr="00B0468F">
        <w:rPr>
          <w:rFonts w:eastAsia="Calibri"/>
          <w:i/>
          <w:color w:val="000000"/>
          <w:lang w:val="lt-LT"/>
        </w:rPr>
        <w:t>.</w:t>
      </w:r>
      <w:r w:rsidR="007E12B3" w:rsidRPr="00B0468F">
        <w:rPr>
          <w:rFonts w:eastAsia="Calibri"/>
          <w:color w:val="000000"/>
          <w:lang w:val="lt-LT"/>
        </w:rPr>
        <w:t xml:space="preserve"> Prazugrelio</w:t>
      </w:r>
      <w:r w:rsidRPr="00B0468F">
        <w:rPr>
          <w:rFonts w:eastAsia="Calibri"/>
          <w:color w:val="000000"/>
          <w:lang w:val="lt-LT"/>
        </w:rPr>
        <w:t xml:space="preserve"> vartojimas kartu su kumarino dariniais, kitokiais nei varfarinas, netirtas. Dėl galimo kraujavimo rizikos padidėjimo, varfariną (ar kitokius kumarino</w:t>
      </w:r>
      <w:r w:rsidR="00307E7A" w:rsidRPr="00B0468F">
        <w:rPr>
          <w:rFonts w:eastAsia="Calibri"/>
          <w:color w:val="000000"/>
          <w:lang w:val="lt-LT"/>
        </w:rPr>
        <w:t xml:space="preserve"> darinius) vartoti kartu su praz</w:t>
      </w:r>
      <w:r w:rsidRPr="00B0468F">
        <w:rPr>
          <w:rFonts w:eastAsia="Calibri"/>
          <w:color w:val="000000"/>
          <w:lang w:val="lt-LT"/>
        </w:rPr>
        <w:t>ugreliu reikia atsargiai (žr. 4.4 skyrių).</w:t>
      </w:r>
    </w:p>
    <w:p w14:paraId="06795FEE"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p>
    <w:p w14:paraId="7961E907"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Nesteroidiniai vaistai nuo uždegimo (NVNU</w:t>
      </w:r>
      <w:r w:rsidR="007E12B3" w:rsidRPr="00B0468F">
        <w:rPr>
          <w:rFonts w:eastAsia="Calibri"/>
          <w:i/>
          <w:color w:val="000000"/>
          <w:lang w:val="lt-LT"/>
        </w:rPr>
        <w:t>).</w:t>
      </w:r>
      <w:r w:rsidR="00FB5C88" w:rsidRPr="00B0468F">
        <w:rPr>
          <w:rFonts w:eastAsia="Calibri"/>
          <w:color w:val="000000"/>
          <w:lang w:val="lt-LT"/>
        </w:rPr>
        <w:t xml:space="preserve"> </w:t>
      </w:r>
      <w:r w:rsidRPr="00B0468F">
        <w:rPr>
          <w:rFonts w:eastAsia="Calibri"/>
          <w:color w:val="000000"/>
          <w:lang w:val="lt-LT"/>
        </w:rPr>
        <w:t xml:space="preserve">Vartojimas kartu su NVNU, kuriais gydoma ilgą laiką, netirtas. Dėl galimo kraujavimo rizikos padidėjimo, ilgą laiką vartoti NVNU (įskaitant </w:t>
      </w:r>
      <w:r w:rsidRPr="00B0468F">
        <w:rPr>
          <w:rFonts w:eastAsia="Calibri"/>
          <w:i/>
          <w:color w:val="000000"/>
          <w:lang w:val="lt-LT"/>
        </w:rPr>
        <w:t xml:space="preserve">COX-2 </w:t>
      </w:r>
      <w:r w:rsidRPr="00B0468F">
        <w:rPr>
          <w:rFonts w:eastAsia="Calibri"/>
          <w:color w:val="000000"/>
          <w:lang w:val="lt-LT"/>
        </w:rPr>
        <w:t xml:space="preserve">inhibitorius) kartu su </w:t>
      </w:r>
      <w:r w:rsidR="00FB5C88" w:rsidRPr="00B0468F">
        <w:rPr>
          <w:lang w:val="lt-LT"/>
        </w:rPr>
        <w:t>Eliskardia</w:t>
      </w:r>
      <w:r w:rsidRPr="00B0468F">
        <w:rPr>
          <w:rFonts w:eastAsia="Calibri"/>
          <w:color w:val="000000"/>
          <w:lang w:val="lt-LT"/>
        </w:rPr>
        <w:t xml:space="preserve"> rei</w:t>
      </w:r>
      <w:r w:rsidR="00FB5C88" w:rsidRPr="00B0468F">
        <w:rPr>
          <w:rFonts w:eastAsia="Calibri"/>
          <w:color w:val="000000"/>
          <w:lang w:val="lt-LT"/>
        </w:rPr>
        <w:t>kia atsargiai (žr. 4.4 skyrių).</w:t>
      </w:r>
    </w:p>
    <w:p w14:paraId="3C359AE5" w14:textId="77777777" w:rsidR="00FB5C88" w:rsidRPr="00B0468F" w:rsidRDefault="00FB5C88" w:rsidP="00B0468F">
      <w:pPr>
        <w:widowControl w:val="0"/>
        <w:tabs>
          <w:tab w:val="clear" w:pos="567"/>
        </w:tabs>
        <w:autoSpaceDE w:val="0"/>
        <w:autoSpaceDN w:val="0"/>
        <w:adjustRightInd w:val="0"/>
        <w:spacing w:line="240" w:lineRule="auto"/>
        <w:ind w:right="566"/>
        <w:rPr>
          <w:rFonts w:eastAsia="Calibri"/>
          <w:color w:val="000000"/>
          <w:lang w:val="lt-LT"/>
        </w:rPr>
      </w:pPr>
    </w:p>
    <w:p w14:paraId="6F8405A6" w14:textId="0ACB6D69" w:rsidR="0035778E" w:rsidRPr="00B0468F" w:rsidRDefault="00FB5C88"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lang w:val="lt-LT"/>
        </w:rPr>
        <w:t>Eliskardia</w:t>
      </w:r>
      <w:r w:rsidR="0035778E" w:rsidRPr="00B0468F">
        <w:rPr>
          <w:rFonts w:eastAsia="Calibri"/>
          <w:color w:val="000000"/>
          <w:lang w:val="lt-LT"/>
        </w:rPr>
        <w:t xml:space="preserve"> galima vartoti kartu su vaistiniais preparatais, kurių metabolizmą veikia citochromo P450 izofermentai (įskaitant statinus), ar vaistiniais preparatais, kurie sužadina arba slopina citochromo P450 izofermentus. Be to, </w:t>
      </w:r>
      <w:r w:rsidR="00FA0ED5" w:rsidRPr="00B0468F">
        <w:rPr>
          <w:lang w:val="lt-LT"/>
        </w:rPr>
        <w:t>Eliskardia</w:t>
      </w:r>
      <w:r w:rsidR="0035778E" w:rsidRPr="00B0468F">
        <w:rPr>
          <w:rFonts w:eastAsia="Calibri"/>
          <w:color w:val="000000"/>
          <w:lang w:val="lt-LT"/>
        </w:rPr>
        <w:t xml:space="preserve"> galima vartoti kartu su ASR, heparinu, digoksinu ir kitais vaistiniais preparatais, kurie didina skrandžio </w:t>
      </w:r>
      <w:r w:rsidR="0035778E" w:rsidRPr="00B0468F">
        <w:rPr>
          <w:rFonts w:eastAsia="Calibri"/>
          <w:i/>
          <w:color w:val="000000"/>
          <w:lang w:val="lt-LT"/>
        </w:rPr>
        <w:t>pH</w:t>
      </w:r>
      <w:r w:rsidR="0035778E" w:rsidRPr="00B0468F">
        <w:rPr>
          <w:rFonts w:eastAsia="Calibri"/>
          <w:color w:val="000000"/>
          <w:lang w:val="lt-LT"/>
        </w:rPr>
        <w:t>, įskaitant protonų siurblio inhibitorius ir H2 receptorių blokatorius. Specialių sąveikos tyrimų neatlikta, vis dėlto klini</w:t>
      </w:r>
      <w:r w:rsidR="00B120BB" w:rsidRPr="00B0468F">
        <w:rPr>
          <w:rFonts w:eastAsia="Calibri"/>
          <w:color w:val="000000"/>
          <w:lang w:val="lt-LT"/>
        </w:rPr>
        <w:t>kinių 3 fazės tyrimų metu p</w:t>
      </w:r>
      <w:r w:rsidR="009C586B">
        <w:rPr>
          <w:rFonts w:eastAsia="Calibri"/>
          <w:color w:val="000000"/>
          <w:lang w:val="lt-LT"/>
        </w:rPr>
        <w:t>r</w:t>
      </w:r>
      <w:r w:rsidR="00B120BB" w:rsidRPr="00B0468F">
        <w:rPr>
          <w:rFonts w:eastAsia="Calibri"/>
          <w:color w:val="000000"/>
          <w:lang w:val="lt-LT"/>
        </w:rPr>
        <w:t>azugrelio</w:t>
      </w:r>
      <w:r w:rsidR="0035778E" w:rsidRPr="00B0468F">
        <w:rPr>
          <w:rFonts w:eastAsia="Calibri"/>
          <w:color w:val="000000"/>
          <w:lang w:val="lt-LT"/>
        </w:rPr>
        <w:t xml:space="preserve"> vartojant kartu su mažo molekulinio masės heparinu, bivalirudinu ir glikoproteino (GP) IIb/IIIa inhibitoriais (informacijos apie tai, kokių GP IIb/IIIa inhibitorių buvo vartota, nėra), nėra duomenų apie pasireiškusią kliniškai reikšmingą nepageidaujamą sąveiką.</w:t>
      </w:r>
    </w:p>
    <w:p w14:paraId="36D9B5EE"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p>
    <w:p w14:paraId="5925326B"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 xml:space="preserve">Kitų vaistinių preparatų poveikis </w:t>
      </w:r>
      <w:r w:rsidR="008D4087" w:rsidRPr="00B0468F">
        <w:rPr>
          <w:i/>
          <w:u w:val="single"/>
          <w:lang w:val="lt-LT"/>
        </w:rPr>
        <w:t>Eliskardia</w:t>
      </w:r>
    </w:p>
    <w:p w14:paraId="030C0D3D"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Acetilsalicilo rūgštis</w:t>
      </w:r>
      <w:r w:rsidR="007E12B3" w:rsidRPr="00B0468F">
        <w:rPr>
          <w:rFonts w:eastAsia="Calibri"/>
          <w:i/>
          <w:color w:val="000000"/>
          <w:lang w:val="lt-LT"/>
        </w:rPr>
        <w:t>.</w:t>
      </w:r>
      <w:r w:rsidR="008D4087" w:rsidRPr="00B0468F">
        <w:rPr>
          <w:rFonts w:eastAsia="Calibri"/>
          <w:color w:val="000000"/>
          <w:lang w:val="lt-LT"/>
        </w:rPr>
        <w:t xml:space="preserve"> </w:t>
      </w:r>
      <w:r w:rsidR="008D4087" w:rsidRPr="00B0468F">
        <w:rPr>
          <w:lang w:val="lt-LT"/>
        </w:rPr>
        <w:t>Eliskardia</w:t>
      </w:r>
      <w:r w:rsidRPr="00B0468F">
        <w:rPr>
          <w:rFonts w:eastAsia="Calibri"/>
          <w:color w:val="000000"/>
          <w:lang w:val="lt-LT"/>
        </w:rPr>
        <w:t xml:space="preserve"> buvo vartotas kartu su acetilsalicilo rūgštimi (ASR). Nors dėl farmakodinaminės sąveikos su ASR gali padidėti kraujavimo rizika, vis dėlto tyrimai par</w:t>
      </w:r>
      <w:r w:rsidR="002E0D60" w:rsidRPr="00B0468F">
        <w:rPr>
          <w:rFonts w:eastAsia="Calibri"/>
          <w:color w:val="000000"/>
          <w:lang w:val="lt-LT"/>
        </w:rPr>
        <w:t>odė, kad praz</w:t>
      </w:r>
      <w:r w:rsidRPr="00B0468F">
        <w:rPr>
          <w:rFonts w:eastAsia="Calibri"/>
          <w:color w:val="000000"/>
          <w:lang w:val="lt-LT"/>
        </w:rPr>
        <w:t>ugrelį vartoti kartu su ASR yra veiksminga ir saugu.</w:t>
      </w:r>
    </w:p>
    <w:p w14:paraId="006492E3"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p>
    <w:p w14:paraId="2D63CB03"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Heparinas</w:t>
      </w:r>
      <w:r w:rsidR="007E12B3" w:rsidRPr="00B0468F">
        <w:rPr>
          <w:rFonts w:eastAsia="Calibri"/>
          <w:i/>
          <w:color w:val="000000"/>
          <w:lang w:val="lt-LT"/>
        </w:rPr>
        <w:t>.</w:t>
      </w:r>
      <w:r w:rsidR="00CC1974" w:rsidRPr="00B0468F">
        <w:rPr>
          <w:rFonts w:eastAsia="Calibri"/>
          <w:color w:val="000000"/>
          <w:lang w:val="lt-LT"/>
        </w:rPr>
        <w:t xml:space="preserve"> </w:t>
      </w:r>
      <w:r w:rsidRPr="00B0468F">
        <w:rPr>
          <w:rFonts w:eastAsia="Calibri"/>
          <w:color w:val="000000"/>
          <w:lang w:val="lt-LT"/>
        </w:rPr>
        <w:t>Vienkartinė boliusu sušvirkš</w:t>
      </w:r>
      <w:r w:rsidR="00CC1974" w:rsidRPr="00B0468F">
        <w:rPr>
          <w:rFonts w:eastAsia="Calibri"/>
          <w:color w:val="000000"/>
          <w:lang w:val="lt-LT"/>
        </w:rPr>
        <w:t>ta nefrakcionuoto heparino (100 </w:t>
      </w:r>
      <w:r w:rsidRPr="00B0468F">
        <w:rPr>
          <w:rFonts w:eastAsia="Calibri"/>
          <w:color w:val="000000"/>
          <w:lang w:val="lt-LT"/>
        </w:rPr>
        <w:t>V/</w:t>
      </w:r>
      <w:r w:rsidR="002E0D60" w:rsidRPr="00B0468F">
        <w:rPr>
          <w:rFonts w:eastAsia="Calibri"/>
          <w:color w:val="000000"/>
          <w:lang w:val="lt-LT"/>
        </w:rPr>
        <w:t>kg) dozė reikšmingos įtakos praz</w:t>
      </w:r>
      <w:r w:rsidRPr="00B0468F">
        <w:rPr>
          <w:rFonts w:eastAsia="Calibri"/>
          <w:color w:val="000000"/>
          <w:lang w:val="lt-LT"/>
        </w:rPr>
        <w:t>ugrelio veikiamam trombocitų agregacijos slopi</w:t>
      </w:r>
      <w:r w:rsidR="002E0D60" w:rsidRPr="00B0468F">
        <w:rPr>
          <w:rFonts w:eastAsia="Calibri"/>
          <w:color w:val="000000"/>
          <w:lang w:val="lt-LT"/>
        </w:rPr>
        <w:t>nimui neturėjo. Panašiai ir praz</w:t>
      </w:r>
      <w:r w:rsidRPr="00B0468F">
        <w:rPr>
          <w:rFonts w:eastAsia="Calibri"/>
          <w:color w:val="000000"/>
          <w:lang w:val="lt-LT"/>
        </w:rPr>
        <w:t xml:space="preserve">ugrelis nedarė žymios įtakos heparino poveikiui kraujo krešėjimui. Dėl to abu vaistinius preparatus galima vartoti kartu. </w:t>
      </w:r>
      <w:r w:rsidR="00FA0ED5" w:rsidRPr="00B0468F">
        <w:rPr>
          <w:lang w:val="lt-LT"/>
        </w:rPr>
        <w:t>Eliskardia</w:t>
      </w:r>
      <w:r w:rsidR="00FA0ED5" w:rsidRPr="00B0468F">
        <w:rPr>
          <w:rFonts w:eastAsia="Calibri"/>
          <w:color w:val="000000"/>
          <w:lang w:val="lt-LT"/>
        </w:rPr>
        <w:t xml:space="preserve"> </w:t>
      </w:r>
      <w:r w:rsidRPr="00B0468F">
        <w:rPr>
          <w:rFonts w:eastAsia="Calibri"/>
          <w:color w:val="000000"/>
          <w:lang w:val="lt-LT"/>
        </w:rPr>
        <w:t>vartojant kartu su heparinu, kraujavimo rizika gali padidėti.</w:t>
      </w:r>
    </w:p>
    <w:p w14:paraId="686FF392"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p>
    <w:p w14:paraId="29E00E8B"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Statinai</w:t>
      </w:r>
      <w:r w:rsidR="007E12B3" w:rsidRPr="00B0468F">
        <w:rPr>
          <w:rFonts w:eastAsia="Calibri"/>
          <w:i/>
          <w:color w:val="000000"/>
          <w:lang w:val="lt-LT"/>
        </w:rPr>
        <w:t>.</w:t>
      </w:r>
      <w:r w:rsidR="00CC1974" w:rsidRPr="00B0468F">
        <w:rPr>
          <w:rFonts w:eastAsia="Calibri"/>
          <w:color w:val="000000"/>
          <w:lang w:val="lt-LT"/>
        </w:rPr>
        <w:t xml:space="preserve"> </w:t>
      </w:r>
      <w:r w:rsidRPr="00B0468F">
        <w:rPr>
          <w:rFonts w:eastAsia="Calibri"/>
          <w:color w:val="000000"/>
          <w:lang w:val="lt-LT"/>
        </w:rPr>
        <w:t>Atorvastatin</w:t>
      </w:r>
      <w:r w:rsidR="00CC1974" w:rsidRPr="00B0468F">
        <w:rPr>
          <w:rFonts w:eastAsia="Calibri"/>
          <w:color w:val="000000"/>
          <w:lang w:val="lt-LT"/>
        </w:rPr>
        <w:t>as (80 </w:t>
      </w:r>
      <w:r w:rsidR="002E0D60" w:rsidRPr="00B0468F">
        <w:rPr>
          <w:rFonts w:eastAsia="Calibri"/>
          <w:color w:val="000000"/>
          <w:lang w:val="lt-LT"/>
        </w:rPr>
        <w:t>mg per parą) nekeitė praz</w:t>
      </w:r>
      <w:r w:rsidRPr="00B0468F">
        <w:rPr>
          <w:rFonts w:eastAsia="Calibri"/>
          <w:color w:val="000000"/>
          <w:lang w:val="lt-LT"/>
        </w:rPr>
        <w:t>ugrelio farmakokinetikos ir jo sukeliamo trombocitų agregacijos slopinimo. Taigi nesitikima, kad statinai, kurie yra CYP3</w:t>
      </w:r>
      <w:r w:rsidR="002E0D60" w:rsidRPr="00B0468F">
        <w:rPr>
          <w:rFonts w:eastAsia="Calibri"/>
          <w:color w:val="000000"/>
          <w:lang w:val="lt-LT"/>
        </w:rPr>
        <w:t>A substratas, turėtų įtakos praz</w:t>
      </w:r>
      <w:r w:rsidRPr="00B0468F">
        <w:rPr>
          <w:rFonts w:eastAsia="Calibri"/>
          <w:color w:val="000000"/>
          <w:lang w:val="lt-LT"/>
        </w:rPr>
        <w:t>ugrelio farmakokinetikai ar jo sukeliamam trombocitų agregacijos slopinimui.</w:t>
      </w:r>
    </w:p>
    <w:p w14:paraId="139AB08F" w14:textId="77777777" w:rsidR="0035778E"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p>
    <w:p w14:paraId="30740B0F" w14:textId="65F5BD70" w:rsidR="00D60562" w:rsidRPr="00B0468F" w:rsidRDefault="0035778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Vaistiniai preparatai, kurie didina skrandžio pH</w:t>
      </w:r>
      <w:r w:rsidR="007E12B3" w:rsidRPr="00B0468F">
        <w:rPr>
          <w:rFonts w:eastAsia="Calibri"/>
          <w:i/>
          <w:color w:val="000000"/>
          <w:lang w:val="lt-LT"/>
        </w:rPr>
        <w:t>.</w:t>
      </w:r>
      <w:r w:rsidR="00D60562" w:rsidRPr="00B0468F">
        <w:rPr>
          <w:rFonts w:eastAsia="Calibri"/>
          <w:color w:val="000000"/>
          <w:lang w:val="lt-LT"/>
        </w:rPr>
        <w:t xml:space="preserve"> </w:t>
      </w:r>
      <w:r w:rsidRPr="00B0468F">
        <w:rPr>
          <w:rFonts w:eastAsia="Calibri"/>
          <w:color w:val="000000"/>
          <w:lang w:val="lt-LT"/>
        </w:rPr>
        <w:t>Kasdien vartojamas ranitidinas (H2 receptorių blokatorius) ar lansoprazolas (protonų siu</w:t>
      </w:r>
      <w:r w:rsidR="00D60562" w:rsidRPr="00B0468F">
        <w:rPr>
          <w:rFonts w:eastAsia="Calibri"/>
          <w:color w:val="000000"/>
          <w:lang w:val="lt-LT"/>
        </w:rPr>
        <w:t>rblio inhibitorius) nekeitė praz</w:t>
      </w:r>
      <w:r w:rsidRPr="00B0468F">
        <w:rPr>
          <w:rFonts w:eastAsia="Calibri"/>
          <w:color w:val="000000"/>
          <w:lang w:val="lt-LT"/>
        </w:rPr>
        <w:t xml:space="preserve">ugrelio aktyvaus metabolito </w:t>
      </w:r>
      <w:r w:rsidRPr="00FD696A">
        <w:rPr>
          <w:rFonts w:eastAsia="Calibri"/>
          <w:color w:val="000000"/>
          <w:lang w:val="lt-LT"/>
        </w:rPr>
        <w:t>AUC</w:t>
      </w:r>
      <w:r w:rsidRPr="00B0468F">
        <w:rPr>
          <w:rFonts w:eastAsia="Calibri"/>
          <w:i/>
          <w:color w:val="000000"/>
          <w:lang w:val="lt-LT"/>
        </w:rPr>
        <w:t xml:space="preserve"> </w:t>
      </w:r>
      <w:r w:rsidRPr="00B0468F">
        <w:rPr>
          <w:rFonts w:eastAsia="Calibri"/>
          <w:color w:val="000000"/>
          <w:lang w:val="lt-LT"/>
        </w:rPr>
        <w:t xml:space="preserve">ir </w:t>
      </w:r>
      <w:r w:rsidR="00FA0D99">
        <w:rPr>
          <w:rFonts w:eastAsia="Calibri"/>
          <w:iCs/>
          <w:color w:val="000000"/>
          <w:lang w:val="lt-LT"/>
        </w:rPr>
        <w:t>t</w:t>
      </w:r>
      <w:r w:rsidRPr="00FD696A">
        <w:rPr>
          <w:rFonts w:eastAsia="Calibri"/>
          <w:iCs/>
          <w:color w:val="000000"/>
          <w:lang w:val="lt-LT"/>
        </w:rPr>
        <w:t>max</w:t>
      </w:r>
      <w:r w:rsidRPr="00B0468F">
        <w:rPr>
          <w:rFonts w:eastAsia="Calibri"/>
          <w:color w:val="000000"/>
          <w:lang w:val="lt-LT"/>
        </w:rPr>
        <w:t xml:space="preserve">, bet atitinkamai 14% ir 29% sumažino </w:t>
      </w:r>
      <w:r w:rsidRPr="00B0468F">
        <w:rPr>
          <w:rFonts w:eastAsia="Calibri"/>
          <w:i/>
          <w:color w:val="000000"/>
          <w:lang w:val="lt-LT"/>
        </w:rPr>
        <w:t>Cmax</w:t>
      </w:r>
      <w:r w:rsidRPr="00B0468F">
        <w:rPr>
          <w:rFonts w:eastAsia="Calibri"/>
          <w:color w:val="000000"/>
          <w:lang w:val="lt-LT"/>
        </w:rPr>
        <w:t>. Klinikinių 3</w:t>
      </w:r>
      <w:r w:rsidR="00FA0ED5" w:rsidRPr="00B0468F">
        <w:rPr>
          <w:rFonts w:eastAsia="Calibri"/>
          <w:color w:val="000000"/>
          <w:lang w:val="lt-LT"/>
        </w:rPr>
        <w:t xml:space="preserve"> fazės tyrimų duomenimis, prazugrelis</w:t>
      </w:r>
      <w:r w:rsidRPr="00B0468F">
        <w:rPr>
          <w:rFonts w:eastAsia="Calibri"/>
          <w:color w:val="000000"/>
          <w:lang w:val="lt-LT"/>
        </w:rPr>
        <w:t xml:space="preserve"> buvo vartotas neatsižvelgiant į </w:t>
      </w:r>
      <w:r w:rsidR="007E12B3" w:rsidRPr="00B0468F">
        <w:rPr>
          <w:rFonts w:eastAsia="Calibri"/>
          <w:color w:val="000000"/>
          <w:lang w:val="lt-LT"/>
        </w:rPr>
        <w:t>protonų siurblio</w:t>
      </w:r>
      <w:r w:rsidR="00D60562" w:rsidRPr="00B0468F">
        <w:rPr>
          <w:rFonts w:eastAsia="Calibri"/>
          <w:color w:val="000000"/>
          <w:lang w:val="lt-LT"/>
        </w:rPr>
        <w:t xml:space="preserve"> inhibitorių ar H2 receptorių blokatorių vartojimą kartu. </w:t>
      </w:r>
      <w:r w:rsidR="00CC1974" w:rsidRPr="00B0468F">
        <w:rPr>
          <w:rFonts w:eastAsia="Calibri"/>
          <w:color w:val="000000"/>
          <w:lang w:val="lt-LT"/>
        </w:rPr>
        <w:t>Vartojant įsotinamąją 60 </w:t>
      </w:r>
      <w:r w:rsidR="00D60562" w:rsidRPr="00B0468F">
        <w:rPr>
          <w:rFonts w:eastAsia="Calibri"/>
          <w:color w:val="000000"/>
          <w:lang w:val="lt-LT"/>
        </w:rPr>
        <w:t>mg prazugrelio dozę ir kartu nevartojant protonų siurblio inhibitorių, poveikis gali pasireikšti greičiau.</w:t>
      </w:r>
    </w:p>
    <w:p w14:paraId="6ED8FF42" w14:textId="77777777" w:rsidR="00D60562" w:rsidRPr="00B0468F" w:rsidRDefault="00D60562" w:rsidP="00B0468F">
      <w:pPr>
        <w:widowControl w:val="0"/>
        <w:tabs>
          <w:tab w:val="clear" w:pos="567"/>
        </w:tabs>
        <w:autoSpaceDE w:val="0"/>
        <w:autoSpaceDN w:val="0"/>
        <w:adjustRightInd w:val="0"/>
        <w:spacing w:line="240" w:lineRule="auto"/>
        <w:ind w:right="566"/>
        <w:rPr>
          <w:rFonts w:eastAsia="Calibri"/>
          <w:color w:val="000000"/>
          <w:lang w:val="lt-LT"/>
        </w:rPr>
      </w:pPr>
    </w:p>
    <w:p w14:paraId="15C58BC1" w14:textId="1F7151AC" w:rsidR="00D60562" w:rsidRPr="00B0468F" w:rsidRDefault="00D60562" w:rsidP="00B0468F">
      <w:pPr>
        <w:widowControl w:val="0"/>
        <w:spacing w:line="240" w:lineRule="auto"/>
        <w:ind w:right="566"/>
        <w:rPr>
          <w:rFonts w:eastAsia="Calibri"/>
          <w:color w:val="000000"/>
          <w:lang w:val="lt-LT"/>
        </w:rPr>
      </w:pPr>
      <w:r w:rsidRPr="00B0468F">
        <w:rPr>
          <w:rFonts w:eastAsia="Calibri"/>
          <w:i/>
          <w:color w:val="000000"/>
          <w:lang w:val="lt-LT"/>
        </w:rPr>
        <w:t>CYP3A inhibitoriai</w:t>
      </w:r>
      <w:r w:rsidR="007E12B3" w:rsidRPr="00B0468F">
        <w:rPr>
          <w:rFonts w:eastAsia="Calibri"/>
          <w:i/>
          <w:color w:val="000000"/>
          <w:lang w:val="lt-LT"/>
        </w:rPr>
        <w:t>.</w:t>
      </w:r>
      <w:r w:rsidRPr="00B0468F">
        <w:rPr>
          <w:rFonts w:eastAsia="Calibri"/>
          <w:i/>
          <w:color w:val="000000"/>
          <w:lang w:val="lt-LT"/>
        </w:rPr>
        <w:t xml:space="preserve"> </w:t>
      </w:r>
      <w:r w:rsidRPr="00B0468F">
        <w:rPr>
          <w:rFonts w:eastAsia="Calibri"/>
          <w:color w:val="000000"/>
          <w:lang w:val="lt-LT"/>
        </w:rPr>
        <w:t xml:space="preserve">Selektyvaus poveikio stiprus CYP3A4 ir CYP3A5 </w:t>
      </w:r>
      <w:r w:rsidR="00CC1974" w:rsidRPr="00B0468F">
        <w:rPr>
          <w:rFonts w:eastAsia="Calibri"/>
          <w:color w:val="000000"/>
          <w:lang w:val="lt-LT"/>
        </w:rPr>
        <w:t>inhibitorius ketokonazolas (400 </w:t>
      </w:r>
      <w:r w:rsidRPr="00B0468F">
        <w:rPr>
          <w:rFonts w:eastAsia="Calibri"/>
          <w:color w:val="000000"/>
          <w:lang w:val="lt-LT"/>
        </w:rPr>
        <w:t>mg per parą) neveikė pra</w:t>
      </w:r>
      <w:r w:rsidR="00F04288" w:rsidRPr="00B0468F">
        <w:rPr>
          <w:rFonts w:eastAsia="Calibri"/>
          <w:color w:val="000000"/>
          <w:lang w:val="lt-LT"/>
        </w:rPr>
        <w:t>z</w:t>
      </w:r>
      <w:r w:rsidRPr="00B0468F">
        <w:rPr>
          <w:rFonts w:eastAsia="Calibri"/>
          <w:color w:val="000000"/>
          <w:lang w:val="lt-LT"/>
        </w:rPr>
        <w:t>ugrelio sukelto tromboci</w:t>
      </w:r>
      <w:r w:rsidR="00F04288" w:rsidRPr="00B0468F">
        <w:rPr>
          <w:rFonts w:eastAsia="Calibri"/>
          <w:color w:val="000000"/>
          <w:lang w:val="lt-LT"/>
        </w:rPr>
        <w:t>tų agregacijos slopinimo ar praz</w:t>
      </w:r>
      <w:r w:rsidRPr="00B0468F">
        <w:rPr>
          <w:rFonts w:eastAsia="Calibri"/>
          <w:color w:val="000000"/>
          <w:lang w:val="lt-LT"/>
        </w:rPr>
        <w:t xml:space="preserve">ugrelio aktyvaus metabolito AUC ir </w:t>
      </w:r>
      <w:r w:rsidR="00FA0D99">
        <w:rPr>
          <w:rFonts w:eastAsia="Calibri"/>
          <w:color w:val="000000"/>
          <w:lang w:val="lt-LT"/>
        </w:rPr>
        <w:t>t</w:t>
      </w:r>
      <w:r w:rsidRPr="00B0468F">
        <w:rPr>
          <w:rFonts w:eastAsia="Calibri"/>
          <w:color w:val="000000"/>
          <w:lang w:val="lt-LT"/>
        </w:rPr>
        <w:t xml:space="preserve">max, bet sumažino Cmax nuo 34% iki 46%. Taigi </w:t>
      </w:r>
      <w:r w:rsidRPr="00B0468F">
        <w:rPr>
          <w:rFonts w:eastAsia="Calibri"/>
          <w:color w:val="000000"/>
          <w:lang w:val="lt-LT"/>
        </w:rPr>
        <w:lastRenderedPageBreak/>
        <w:t>nesitikima, kad CYP3A inhibitoriai, pavyzdžiui, azolo grupės priešgrybeliniai preparatai, ŽIV proteazės inhibitoriai, klaritromicinas, telitromicinas, verapamilis, diltiazemas, indinaviras, ciprofloksacinas ir greipfrutų sultys turėtų žymios įtakos aktyvaus metabolito farmakokinetikai.</w:t>
      </w:r>
    </w:p>
    <w:p w14:paraId="568F197E" w14:textId="77777777" w:rsidR="00F04288" w:rsidRPr="00B0468F" w:rsidRDefault="00F04288" w:rsidP="00B0468F">
      <w:pPr>
        <w:widowControl w:val="0"/>
        <w:spacing w:line="240" w:lineRule="auto"/>
        <w:ind w:right="566"/>
        <w:rPr>
          <w:rFonts w:eastAsia="Calibri"/>
          <w:i/>
          <w:color w:val="000000"/>
          <w:lang w:val="lt-LT"/>
        </w:rPr>
      </w:pPr>
    </w:p>
    <w:p w14:paraId="4AD1E152" w14:textId="77777777" w:rsidR="00D60562" w:rsidRPr="00B0468F" w:rsidRDefault="00D60562" w:rsidP="00B0468F">
      <w:pPr>
        <w:widowControl w:val="0"/>
        <w:spacing w:line="240" w:lineRule="auto"/>
        <w:ind w:right="566"/>
        <w:rPr>
          <w:rFonts w:eastAsia="Calibri"/>
          <w:color w:val="000000"/>
          <w:lang w:val="lt-LT"/>
        </w:rPr>
      </w:pPr>
      <w:r w:rsidRPr="00B0468F">
        <w:rPr>
          <w:rFonts w:eastAsia="Calibri"/>
          <w:i/>
          <w:color w:val="000000"/>
          <w:lang w:val="lt-LT"/>
        </w:rPr>
        <w:t>Citochromo P450 izofermentus suža</w:t>
      </w:r>
      <w:r w:rsidR="00F04288" w:rsidRPr="00B0468F">
        <w:rPr>
          <w:rFonts w:eastAsia="Calibri"/>
          <w:i/>
          <w:color w:val="000000"/>
          <w:lang w:val="lt-LT"/>
        </w:rPr>
        <w:t>dinantys vaistiniai preparatai</w:t>
      </w:r>
      <w:r w:rsidR="007E12B3" w:rsidRPr="00B0468F">
        <w:rPr>
          <w:rFonts w:eastAsia="Calibri"/>
          <w:i/>
          <w:color w:val="000000"/>
          <w:lang w:val="lt-LT"/>
        </w:rPr>
        <w:t>.</w:t>
      </w:r>
      <w:r w:rsidR="00F04288" w:rsidRPr="00B0468F">
        <w:rPr>
          <w:rFonts w:eastAsia="Calibri"/>
          <w:i/>
          <w:color w:val="000000"/>
          <w:lang w:val="lt-LT"/>
        </w:rPr>
        <w:t xml:space="preserve"> </w:t>
      </w:r>
      <w:r w:rsidR="000961A5" w:rsidRPr="00B0468F">
        <w:rPr>
          <w:rFonts w:eastAsia="Calibri"/>
          <w:color w:val="000000"/>
          <w:lang w:val="lt-LT"/>
        </w:rPr>
        <w:t>Rifampicinas (600 </w:t>
      </w:r>
      <w:r w:rsidRPr="00B0468F">
        <w:rPr>
          <w:rFonts w:eastAsia="Calibri"/>
          <w:color w:val="000000"/>
          <w:lang w:val="lt-LT"/>
        </w:rPr>
        <w:t>mg per parą), kuris stipriai sužadina CYP3A ir CYP2B6 bei sužadina CYP2C9, CY</w:t>
      </w:r>
      <w:r w:rsidR="00F04288" w:rsidRPr="00B0468F">
        <w:rPr>
          <w:rFonts w:eastAsia="Calibri"/>
          <w:color w:val="000000"/>
          <w:lang w:val="lt-LT"/>
        </w:rPr>
        <w:t>P2C19 ir CYP2C8, reikšmingų praz</w:t>
      </w:r>
      <w:r w:rsidRPr="00B0468F">
        <w:rPr>
          <w:rFonts w:eastAsia="Calibri"/>
          <w:color w:val="000000"/>
          <w:lang w:val="lt-LT"/>
        </w:rPr>
        <w:t>ugrelio farmakokinetikos pokyčių nesukėlė. Todėl nesitikima, kad žinomi CYP3A izofermentus sužadinantys vaistiniai preparatai, pavyzdžiui, rifampicinas, karbamazepinas ir kiti citochromo P450 izofermentus sužadinantys vaistiniai preparatai sukeltų žymų poveikį aktyvaus metabolito farmakokinetikai.</w:t>
      </w:r>
    </w:p>
    <w:p w14:paraId="70BDEBDD" w14:textId="77777777" w:rsidR="00F04288" w:rsidRPr="00B0468F" w:rsidRDefault="00F04288" w:rsidP="00B0468F">
      <w:pPr>
        <w:widowControl w:val="0"/>
        <w:spacing w:line="240" w:lineRule="auto"/>
        <w:ind w:right="566"/>
        <w:rPr>
          <w:rFonts w:eastAsia="Calibri"/>
          <w:color w:val="000000"/>
          <w:lang w:val="lt-LT"/>
        </w:rPr>
      </w:pPr>
    </w:p>
    <w:p w14:paraId="410E7EC3" w14:textId="77777777" w:rsidR="00244365" w:rsidRPr="00FD696A" w:rsidRDefault="00244365" w:rsidP="00B0468F">
      <w:pPr>
        <w:widowControl w:val="0"/>
        <w:autoSpaceDE w:val="0"/>
        <w:autoSpaceDN w:val="0"/>
        <w:adjustRightInd w:val="0"/>
        <w:spacing w:line="240" w:lineRule="auto"/>
        <w:rPr>
          <w:color w:val="000000"/>
          <w:u w:val="single"/>
          <w:lang w:val="lt-LT"/>
        </w:rPr>
      </w:pPr>
      <w:r w:rsidRPr="00FD696A">
        <w:rPr>
          <w:i/>
          <w:color w:val="000000"/>
          <w:u w:val="single"/>
          <w:lang w:val="lt-LT"/>
        </w:rPr>
        <w:t>Morfinas ir kiti opioidai</w:t>
      </w:r>
    </w:p>
    <w:p w14:paraId="6421D3E2" w14:textId="77777777" w:rsidR="00244365" w:rsidRPr="00FD696A" w:rsidRDefault="00244365" w:rsidP="00B0468F">
      <w:pPr>
        <w:widowControl w:val="0"/>
        <w:spacing w:line="240" w:lineRule="auto"/>
        <w:ind w:right="566"/>
        <w:rPr>
          <w:rFonts w:eastAsia="Calibri"/>
          <w:color w:val="000000"/>
          <w:lang w:val="lt-LT"/>
        </w:rPr>
      </w:pPr>
      <w:r w:rsidRPr="00FD696A">
        <w:rPr>
          <w:color w:val="000000"/>
          <w:lang w:val="lt-LT"/>
        </w:rPr>
        <w:t>Buvo stebėtas išgertų P2Y12 inhibitorių, įskaitant prazugrelį ir veiklųjį jo metabolitą, ekspozicijos pailgėjimas ir sumažėjimas pacientų, kuriems pasireiškia ūmus koronarinis sindromas, gydomų morfinu, organizme. Tokia sąveika gali būti susijusi su sumažėjusia virškinimo trakto peristaltika bei taikoma ir kitiems opioidams. Klinikinė šio reiškinio reikšmė nežinoma, bet duomenys rodo, kad prazugrelį vartojant kartu su morfinu, prazugrelio veiksmingumas sumažėja. Pacientams, kuriems pasireiškia ūmus koronarinis sindromas ir negalima neskirti morfino bei būtina greitai sukelti P2Y12 slopinimą, P2Y12 inhibitorių reikia apgalvotai skirti parenteriniu būdu.</w:t>
      </w:r>
    </w:p>
    <w:p w14:paraId="00CA652A" w14:textId="77777777" w:rsidR="00244365" w:rsidRPr="00FD696A" w:rsidRDefault="00244365" w:rsidP="00B0468F">
      <w:pPr>
        <w:widowControl w:val="0"/>
        <w:spacing w:line="240" w:lineRule="auto"/>
        <w:ind w:right="566"/>
        <w:rPr>
          <w:rFonts w:eastAsia="Calibri"/>
          <w:color w:val="000000"/>
          <w:lang w:val="lt-LT"/>
        </w:rPr>
      </w:pPr>
    </w:p>
    <w:p w14:paraId="6F97AA7C" w14:textId="77777777" w:rsidR="00D60562" w:rsidRPr="00B0468F" w:rsidRDefault="00F04288" w:rsidP="00B0468F">
      <w:pPr>
        <w:widowControl w:val="0"/>
        <w:spacing w:line="240" w:lineRule="auto"/>
        <w:ind w:right="566"/>
        <w:rPr>
          <w:rFonts w:eastAsia="Calibri"/>
          <w:i/>
          <w:color w:val="000000"/>
          <w:u w:val="single"/>
          <w:lang w:val="lt-LT"/>
        </w:rPr>
      </w:pPr>
      <w:r w:rsidRPr="00B0468F">
        <w:rPr>
          <w:i/>
          <w:u w:val="single"/>
          <w:lang w:val="lt-LT"/>
        </w:rPr>
        <w:t>Eliskardia</w:t>
      </w:r>
      <w:r w:rsidR="00D60562" w:rsidRPr="00B0468F">
        <w:rPr>
          <w:rFonts w:eastAsia="Calibri"/>
          <w:i/>
          <w:color w:val="000000"/>
          <w:u w:val="single"/>
          <w:lang w:val="lt-LT"/>
        </w:rPr>
        <w:t xml:space="preserve"> poveikis kitiems vaistiniams preparatams</w:t>
      </w:r>
    </w:p>
    <w:p w14:paraId="28745A06" w14:textId="77777777" w:rsidR="00D60562" w:rsidRPr="00B0468F" w:rsidRDefault="00F04288" w:rsidP="00B0468F">
      <w:pPr>
        <w:widowControl w:val="0"/>
        <w:spacing w:line="240" w:lineRule="auto"/>
        <w:ind w:right="566"/>
        <w:rPr>
          <w:rFonts w:eastAsia="Calibri"/>
          <w:color w:val="000000"/>
          <w:lang w:val="lt-LT"/>
        </w:rPr>
      </w:pPr>
      <w:r w:rsidRPr="00B0468F">
        <w:rPr>
          <w:rFonts w:eastAsia="Calibri"/>
          <w:i/>
          <w:color w:val="000000"/>
          <w:lang w:val="lt-LT"/>
        </w:rPr>
        <w:t>Digoksinas</w:t>
      </w:r>
      <w:r w:rsidR="007E12B3" w:rsidRPr="00B0468F">
        <w:rPr>
          <w:rFonts w:eastAsia="Calibri"/>
          <w:i/>
          <w:color w:val="000000"/>
          <w:lang w:val="lt-LT"/>
        </w:rPr>
        <w:t>.</w:t>
      </w:r>
      <w:r w:rsidRPr="00B0468F">
        <w:rPr>
          <w:rFonts w:eastAsia="Calibri"/>
          <w:color w:val="000000"/>
          <w:lang w:val="lt-LT"/>
        </w:rPr>
        <w:t xml:space="preserve"> </w:t>
      </w:r>
      <w:r w:rsidR="002E0D60" w:rsidRPr="00B0468F">
        <w:rPr>
          <w:rFonts w:eastAsia="Calibri"/>
          <w:color w:val="000000"/>
          <w:lang w:val="lt-LT"/>
        </w:rPr>
        <w:t>Praz</w:t>
      </w:r>
      <w:r w:rsidR="00D60562" w:rsidRPr="00B0468F">
        <w:rPr>
          <w:rFonts w:eastAsia="Calibri"/>
          <w:color w:val="000000"/>
          <w:lang w:val="lt-LT"/>
        </w:rPr>
        <w:t>ugrelis kliniškai reikšmingo poveikio digoksino farmakokinetikai nedaro.</w:t>
      </w:r>
    </w:p>
    <w:p w14:paraId="12AE6AAE" w14:textId="77777777" w:rsidR="00F04288" w:rsidRPr="00B0468F" w:rsidRDefault="00F04288" w:rsidP="00B0468F">
      <w:pPr>
        <w:widowControl w:val="0"/>
        <w:spacing w:line="240" w:lineRule="auto"/>
        <w:ind w:right="566"/>
        <w:rPr>
          <w:rFonts w:eastAsia="Calibri"/>
          <w:color w:val="000000"/>
          <w:lang w:val="lt-LT"/>
        </w:rPr>
      </w:pPr>
    </w:p>
    <w:p w14:paraId="483F4829" w14:textId="77777777" w:rsidR="00D60562" w:rsidRPr="00B0468F" w:rsidRDefault="00D60562" w:rsidP="00B0468F">
      <w:pPr>
        <w:widowControl w:val="0"/>
        <w:spacing w:line="240" w:lineRule="auto"/>
        <w:ind w:right="566"/>
        <w:rPr>
          <w:rFonts w:eastAsia="Calibri"/>
          <w:color w:val="000000"/>
          <w:lang w:val="lt-LT"/>
        </w:rPr>
      </w:pPr>
      <w:r w:rsidRPr="00B0468F">
        <w:rPr>
          <w:rFonts w:eastAsia="Calibri"/>
          <w:i/>
          <w:color w:val="000000"/>
          <w:lang w:val="lt-LT"/>
        </w:rPr>
        <w:t>Vaistiniai preparatai, k</w:t>
      </w:r>
      <w:r w:rsidR="00F04288" w:rsidRPr="00B0468F">
        <w:rPr>
          <w:rFonts w:eastAsia="Calibri"/>
          <w:i/>
          <w:color w:val="000000"/>
          <w:lang w:val="lt-LT"/>
        </w:rPr>
        <w:t>urių metabolizmą veikia CYP2C9</w:t>
      </w:r>
      <w:r w:rsidR="007E12B3" w:rsidRPr="00B0468F">
        <w:rPr>
          <w:rFonts w:eastAsia="Calibri"/>
          <w:i/>
          <w:color w:val="000000"/>
          <w:lang w:val="lt-LT"/>
        </w:rPr>
        <w:t>.</w:t>
      </w:r>
      <w:r w:rsidR="00F04288" w:rsidRPr="00B0468F">
        <w:rPr>
          <w:rFonts w:eastAsia="Calibri"/>
          <w:i/>
          <w:color w:val="000000"/>
          <w:lang w:val="lt-LT"/>
        </w:rPr>
        <w:t xml:space="preserve"> </w:t>
      </w:r>
      <w:r w:rsidR="00F04288" w:rsidRPr="00B0468F">
        <w:rPr>
          <w:rFonts w:eastAsia="Calibri"/>
          <w:color w:val="000000"/>
          <w:lang w:val="lt-LT"/>
        </w:rPr>
        <w:t>Praz</w:t>
      </w:r>
      <w:r w:rsidRPr="00B0468F">
        <w:rPr>
          <w:rFonts w:eastAsia="Calibri"/>
          <w:color w:val="000000"/>
          <w:lang w:val="lt-LT"/>
        </w:rPr>
        <w:t>ugrelis neslopina CYP2C9 ir neveikia S-varfarino farmakokinetikos. Varfarinas gali didinti k</w:t>
      </w:r>
      <w:r w:rsidR="00CA3E01" w:rsidRPr="00B0468F">
        <w:rPr>
          <w:rFonts w:eastAsia="Calibri"/>
          <w:color w:val="000000"/>
          <w:lang w:val="lt-LT"/>
        </w:rPr>
        <w:t>raujavimo riziką, dėl prazugrelį</w:t>
      </w:r>
      <w:r w:rsidRPr="00B0468F">
        <w:rPr>
          <w:rFonts w:eastAsia="Calibri"/>
          <w:color w:val="000000"/>
          <w:lang w:val="lt-LT"/>
        </w:rPr>
        <w:t xml:space="preserve"> vartoti kartu su varfarinu reikia atsargiai (žr. 4.4 skyrių).</w:t>
      </w:r>
    </w:p>
    <w:p w14:paraId="3EC03A84" w14:textId="77777777" w:rsidR="002566AE" w:rsidRPr="00B0468F" w:rsidRDefault="002566AE" w:rsidP="00B0468F">
      <w:pPr>
        <w:widowControl w:val="0"/>
        <w:spacing w:line="240" w:lineRule="auto"/>
        <w:ind w:right="566"/>
        <w:rPr>
          <w:rFonts w:eastAsia="Calibri"/>
          <w:i/>
          <w:color w:val="000000"/>
          <w:lang w:val="lt-LT"/>
        </w:rPr>
      </w:pPr>
    </w:p>
    <w:p w14:paraId="6F91A9D3" w14:textId="77777777" w:rsidR="001200BE" w:rsidRPr="00B0468F" w:rsidRDefault="00D60562" w:rsidP="00B0468F">
      <w:pPr>
        <w:widowControl w:val="0"/>
        <w:spacing w:line="240" w:lineRule="auto"/>
        <w:ind w:right="566"/>
        <w:rPr>
          <w:rFonts w:eastAsia="Calibri"/>
          <w:color w:val="000000"/>
          <w:lang w:val="lt-LT"/>
        </w:rPr>
      </w:pPr>
      <w:r w:rsidRPr="00B0468F">
        <w:rPr>
          <w:rFonts w:eastAsia="Calibri"/>
          <w:i/>
          <w:color w:val="000000"/>
          <w:lang w:val="lt-LT"/>
        </w:rPr>
        <w:t>Vaistiniai preparatai, k</w:t>
      </w:r>
      <w:r w:rsidR="002566AE" w:rsidRPr="00B0468F">
        <w:rPr>
          <w:rFonts w:eastAsia="Calibri"/>
          <w:i/>
          <w:color w:val="000000"/>
          <w:lang w:val="lt-LT"/>
        </w:rPr>
        <w:t>urių metabolizmą veikia CYP2B6</w:t>
      </w:r>
      <w:r w:rsidR="007E12B3" w:rsidRPr="00B0468F">
        <w:rPr>
          <w:rFonts w:eastAsia="Calibri"/>
          <w:i/>
          <w:color w:val="000000"/>
          <w:lang w:val="lt-LT"/>
        </w:rPr>
        <w:t>.</w:t>
      </w:r>
      <w:r w:rsidR="002566AE" w:rsidRPr="00B0468F">
        <w:rPr>
          <w:rFonts w:eastAsia="Calibri"/>
          <w:i/>
          <w:color w:val="000000"/>
          <w:lang w:val="lt-LT"/>
        </w:rPr>
        <w:t xml:space="preserve"> </w:t>
      </w:r>
      <w:r w:rsidR="002566AE" w:rsidRPr="00B0468F">
        <w:rPr>
          <w:rFonts w:eastAsia="Calibri"/>
          <w:color w:val="000000"/>
          <w:lang w:val="lt-LT"/>
        </w:rPr>
        <w:t>Praz</w:t>
      </w:r>
      <w:r w:rsidRPr="00B0468F">
        <w:rPr>
          <w:rFonts w:eastAsia="Calibri"/>
          <w:color w:val="000000"/>
          <w:lang w:val="lt-LT"/>
        </w:rPr>
        <w:t>ugrelis yra s</w:t>
      </w:r>
      <w:r w:rsidR="002566AE" w:rsidRPr="00B0468F">
        <w:rPr>
          <w:rFonts w:eastAsia="Calibri"/>
          <w:color w:val="000000"/>
          <w:lang w:val="lt-LT"/>
        </w:rPr>
        <w:t>ilpnas CYP2B6 inhibitorius. Praz</w:t>
      </w:r>
      <w:r w:rsidRPr="00B0468F">
        <w:rPr>
          <w:rFonts w:eastAsia="Calibri"/>
          <w:color w:val="000000"/>
          <w:lang w:val="lt-LT"/>
        </w:rPr>
        <w:t>ugrelis 23% sumažina bupropriono metabolito hidroksibupropiono, kuris atsiranda veikiant CYP2B6, ekspoziciją sveikų asmenų organizme. Toks poveikis turi klin</w:t>
      </w:r>
      <w:r w:rsidR="002566AE" w:rsidRPr="00B0468F">
        <w:rPr>
          <w:rFonts w:eastAsia="Calibri"/>
          <w:color w:val="000000"/>
          <w:lang w:val="lt-LT"/>
        </w:rPr>
        <w:t>ikinę reikšmę tik tada, kai praz</w:t>
      </w:r>
      <w:r w:rsidRPr="00B0468F">
        <w:rPr>
          <w:rFonts w:eastAsia="Calibri"/>
          <w:color w:val="000000"/>
          <w:lang w:val="lt-LT"/>
        </w:rPr>
        <w:t>ugrelis vartojamas kartu su vaistiniais preparatais, kurių metabolizmą veikia vien tik</w:t>
      </w:r>
      <w:r w:rsidR="002566AE" w:rsidRPr="00B0468F">
        <w:rPr>
          <w:lang w:val="lt-LT"/>
        </w:rPr>
        <w:t xml:space="preserve"> </w:t>
      </w:r>
      <w:r w:rsidR="002566AE" w:rsidRPr="00B0468F">
        <w:rPr>
          <w:rFonts w:eastAsia="Calibri"/>
          <w:color w:val="000000"/>
          <w:lang w:val="lt-LT"/>
        </w:rPr>
        <w:t>CYP2B6 ir kurių siaura terapinė veikimo platuma (pvz., ciklofosfamidu, efavirenziu).</w:t>
      </w:r>
    </w:p>
    <w:p w14:paraId="422CF59E" w14:textId="77777777" w:rsidR="002566AE" w:rsidRPr="00B0468F" w:rsidRDefault="002566AE" w:rsidP="00B0468F">
      <w:pPr>
        <w:widowControl w:val="0"/>
        <w:spacing w:line="240" w:lineRule="auto"/>
        <w:ind w:right="566"/>
        <w:rPr>
          <w:rFonts w:eastAsia="Calibri"/>
          <w:i/>
          <w:color w:val="000000"/>
          <w:lang w:val="lt-LT"/>
        </w:rPr>
      </w:pPr>
    </w:p>
    <w:p w14:paraId="51D792E0"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4.6</w:t>
      </w:r>
      <w:r w:rsidRPr="00B0468F">
        <w:rPr>
          <w:rFonts w:ascii="Times New Roman" w:hAnsi="Times New Roman"/>
          <w:sz w:val="22"/>
          <w:lang w:val="lt-LT"/>
        </w:rPr>
        <w:tab/>
        <w:t>Vaisingumas, nėštumo ir žindymo laikotarpis</w:t>
      </w:r>
    </w:p>
    <w:p w14:paraId="562A8B77" w14:textId="77777777" w:rsidR="00F34163" w:rsidRPr="00B0468F" w:rsidRDefault="00F34163" w:rsidP="00B0468F">
      <w:pPr>
        <w:widowControl w:val="0"/>
        <w:spacing w:line="240" w:lineRule="auto"/>
        <w:ind w:right="566"/>
        <w:rPr>
          <w:lang w:val="lt-LT"/>
        </w:rPr>
      </w:pPr>
    </w:p>
    <w:p w14:paraId="39354A3E"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Klinikinių tyrimų su moterimis nėštumo metu ar žindymo laikotarpiu neatlikta.</w:t>
      </w:r>
    </w:p>
    <w:p w14:paraId="4C6E0995"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color w:val="000000"/>
          <w:lang w:val="lt-LT"/>
        </w:rPr>
      </w:pPr>
    </w:p>
    <w:p w14:paraId="347289E6"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i/>
          <w:color w:val="000000"/>
          <w:lang w:val="lt-LT"/>
        </w:rPr>
      </w:pPr>
      <w:r w:rsidRPr="00B0468F">
        <w:rPr>
          <w:rFonts w:eastAsia="Calibri"/>
          <w:i/>
          <w:color w:val="000000"/>
          <w:lang w:val="lt-LT"/>
        </w:rPr>
        <w:t>Nėštumas</w:t>
      </w:r>
    </w:p>
    <w:p w14:paraId="2920FE32"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Tyrimai su gyvūnais tiesioginio kenksmingo poveikio nėštumo eigai, embriono ar vaisiaus vystymuisi, gimdymui ar postnataliniam vystymuisi neparodė (žr. 5.3 skyrių). Remiantis reprodukcijos tyrimų su gyvūnais duomenimis ne visada galima numatyti atsaką</w:t>
      </w:r>
      <w:r w:rsidR="00C502B4" w:rsidRPr="00B0468F">
        <w:rPr>
          <w:rFonts w:eastAsia="Calibri"/>
          <w:color w:val="000000"/>
          <w:lang w:val="lt-LT"/>
        </w:rPr>
        <w:t xml:space="preserve"> žmogaus organizme, taigi prazugrelio</w:t>
      </w:r>
      <w:r w:rsidRPr="00B0468F">
        <w:rPr>
          <w:rFonts w:eastAsia="Calibri"/>
          <w:color w:val="000000"/>
          <w:lang w:val="lt-LT"/>
        </w:rPr>
        <w:t xml:space="preserve"> nėštumo metu vartoti negalima, išskyrus atvejus, kai laukiama nauda motinai persveria galimą riziką vaisiui.</w:t>
      </w:r>
    </w:p>
    <w:p w14:paraId="71C47C22"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color w:val="000000"/>
          <w:lang w:val="lt-LT"/>
        </w:rPr>
      </w:pPr>
    </w:p>
    <w:p w14:paraId="19DB187E"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i/>
          <w:color w:val="000000"/>
          <w:lang w:val="lt-LT"/>
        </w:rPr>
      </w:pPr>
      <w:r w:rsidRPr="00B0468F">
        <w:rPr>
          <w:rFonts w:eastAsia="Calibri"/>
          <w:i/>
          <w:color w:val="000000"/>
          <w:lang w:val="lt-LT"/>
        </w:rPr>
        <w:t>Žindymas</w:t>
      </w:r>
    </w:p>
    <w:p w14:paraId="0547623C"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A</w:t>
      </w:r>
      <w:r w:rsidR="0057370D" w:rsidRPr="00B0468F">
        <w:rPr>
          <w:rFonts w:eastAsia="Calibri"/>
          <w:color w:val="000000"/>
          <w:lang w:val="lt-LT"/>
        </w:rPr>
        <w:t>r praz</w:t>
      </w:r>
      <w:r w:rsidRPr="00B0468F">
        <w:rPr>
          <w:rFonts w:eastAsia="Calibri"/>
          <w:color w:val="000000"/>
          <w:lang w:val="lt-LT"/>
        </w:rPr>
        <w:t xml:space="preserve">ugrelio prasiskverbia į motinos pieną, nežinoma. Su gyvūnais </w:t>
      </w:r>
      <w:r w:rsidR="0057370D" w:rsidRPr="00B0468F">
        <w:rPr>
          <w:rFonts w:eastAsia="Calibri"/>
          <w:color w:val="000000"/>
          <w:lang w:val="lt-LT"/>
        </w:rPr>
        <w:t>atlikti tyrimai parodė, kad praz</w:t>
      </w:r>
      <w:r w:rsidRPr="00B0468F">
        <w:rPr>
          <w:rFonts w:eastAsia="Calibri"/>
          <w:color w:val="000000"/>
          <w:lang w:val="lt-LT"/>
        </w:rPr>
        <w:t>ugrelio pra</w:t>
      </w:r>
      <w:r w:rsidR="0057370D" w:rsidRPr="00B0468F">
        <w:rPr>
          <w:rFonts w:eastAsia="Calibri"/>
          <w:color w:val="000000"/>
          <w:lang w:val="lt-LT"/>
        </w:rPr>
        <w:t>siskverbia į patelių pieną. Praz</w:t>
      </w:r>
      <w:r w:rsidRPr="00B0468F">
        <w:rPr>
          <w:rFonts w:eastAsia="Calibri"/>
          <w:color w:val="000000"/>
          <w:lang w:val="lt-LT"/>
        </w:rPr>
        <w:t>ugrelį vartoti žindym</w:t>
      </w:r>
      <w:r w:rsidR="00373705" w:rsidRPr="00B0468F">
        <w:rPr>
          <w:rFonts w:eastAsia="Calibri"/>
          <w:color w:val="000000"/>
          <w:lang w:val="lt-LT"/>
        </w:rPr>
        <w:t>o laikotarpiu nerekomenduojama.</w:t>
      </w:r>
    </w:p>
    <w:p w14:paraId="1E903DB7"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color w:val="000000"/>
          <w:lang w:val="lt-LT"/>
        </w:rPr>
      </w:pPr>
    </w:p>
    <w:p w14:paraId="1E9C4583" w14:textId="77777777" w:rsidR="002566AE" w:rsidRPr="00B0468F" w:rsidRDefault="002566AE" w:rsidP="00B0468F">
      <w:pPr>
        <w:widowControl w:val="0"/>
        <w:tabs>
          <w:tab w:val="clear" w:pos="567"/>
        </w:tabs>
        <w:autoSpaceDE w:val="0"/>
        <w:autoSpaceDN w:val="0"/>
        <w:adjustRightInd w:val="0"/>
        <w:spacing w:line="240" w:lineRule="auto"/>
        <w:ind w:right="566"/>
        <w:rPr>
          <w:rFonts w:eastAsia="Calibri"/>
          <w:i/>
          <w:color w:val="000000"/>
          <w:lang w:val="lt-LT"/>
        </w:rPr>
      </w:pPr>
      <w:r w:rsidRPr="00B0468F">
        <w:rPr>
          <w:rFonts w:eastAsia="Calibri"/>
          <w:i/>
          <w:color w:val="000000"/>
          <w:lang w:val="lt-LT"/>
        </w:rPr>
        <w:t>Vaisingumas</w:t>
      </w:r>
    </w:p>
    <w:p w14:paraId="6C23769F" w14:textId="77777777" w:rsidR="00113C28" w:rsidRPr="00B0468F" w:rsidRDefault="0057370D" w:rsidP="00B0468F">
      <w:pPr>
        <w:widowControl w:val="0"/>
        <w:spacing w:line="240" w:lineRule="auto"/>
        <w:ind w:right="566"/>
        <w:rPr>
          <w:rFonts w:eastAsia="Calibri"/>
          <w:color w:val="000000"/>
          <w:lang w:val="lt-LT"/>
        </w:rPr>
      </w:pPr>
      <w:r w:rsidRPr="00B0468F">
        <w:rPr>
          <w:rFonts w:eastAsia="Calibri"/>
          <w:color w:val="000000"/>
          <w:lang w:val="lt-LT"/>
        </w:rPr>
        <w:t>Girdant praz</w:t>
      </w:r>
      <w:r w:rsidR="002566AE" w:rsidRPr="00B0468F">
        <w:rPr>
          <w:rFonts w:eastAsia="Calibri"/>
          <w:color w:val="000000"/>
          <w:lang w:val="lt-LT"/>
        </w:rPr>
        <w:t xml:space="preserve">ugrelio dozes, kurias vartojant, ekspozicija buvo iki 240 kartų didesnė nei rekomenduojamą palaikomąją dozę vartojančio </w:t>
      </w:r>
      <w:r w:rsidR="00642B37" w:rsidRPr="00B0468F">
        <w:rPr>
          <w:rFonts w:eastAsia="Calibri"/>
          <w:color w:val="000000"/>
          <w:lang w:val="lt-LT"/>
        </w:rPr>
        <w:t>žmogaus organizme (apskaičiuota </w:t>
      </w:r>
      <w:r w:rsidR="002566AE" w:rsidRPr="00B0468F">
        <w:rPr>
          <w:rFonts w:eastAsia="Calibri"/>
          <w:color w:val="000000"/>
          <w:lang w:val="lt-LT"/>
        </w:rPr>
        <w:t>mg/m</w:t>
      </w:r>
      <w:r w:rsidR="002566AE" w:rsidRPr="00B0468F">
        <w:rPr>
          <w:rFonts w:eastAsia="Calibri"/>
          <w:color w:val="000000"/>
          <w:vertAlign w:val="superscript"/>
          <w:lang w:val="lt-LT"/>
        </w:rPr>
        <w:t>2</w:t>
      </w:r>
      <w:r w:rsidR="002566AE" w:rsidRPr="00B0468F">
        <w:rPr>
          <w:rFonts w:eastAsia="Calibri"/>
          <w:color w:val="000000"/>
          <w:lang w:val="lt-LT"/>
        </w:rPr>
        <w:t>), poveikio žiurkių patinų ar patelių vislumui nepasireiškė.</w:t>
      </w:r>
    </w:p>
    <w:p w14:paraId="278AAF45" w14:textId="77777777" w:rsidR="002566AE" w:rsidRPr="00B0468F" w:rsidRDefault="002566AE" w:rsidP="00B0468F">
      <w:pPr>
        <w:widowControl w:val="0"/>
        <w:spacing w:line="240" w:lineRule="auto"/>
        <w:ind w:right="566"/>
        <w:rPr>
          <w:lang w:val="lt-LT"/>
        </w:rPr>
      </w:pPr>
    </w:p>
    <w:p w14:paraId="0E72A723"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4.7</w:t>
      </w:r>
      <w:r w:rsidRPr="00B0468F">
        <w:rPr>
          <w:rFonts w:ascii="Times New Roman" w:hAnsi="Times New Roman"/>
          <w:sz w:val="22"/>
          <w:lang w:val="lt-LT"/>
        </w:rPr>
        <w:tab/>
        <w:t>Poveikis gebėjimui vairuoti ir valdyti mechanizmus</w:t>
      </w:r>
    </w:p>
    <w:p w14:paraId="5F829E9D" w14:textId="77777777" w:rsidR="00F34163" w:rsidRPr="00B0468F" w:rsidRDefault="00F34163" w:rsidP="00B0468F">
      <w:pPr>
        <w:widowControl w:val="0"/>
        <w:spacing w:line="240" w:lineRule="auto"/>
        <w:ind w:right="566"/>
        <w:rPr>
          <w:lang w:val="lt-LT"/>
        </w:rPr>
      </w:pPr>
    </w:p>
    <w:p w14:paraId="310BD004" w14:textId="77777777" w:rsidR="00F34163" w:rsidRPr="00B0468F" w:rsidRDefault="00734F6D" w:rsidP="00B0468F">
      <w:pPr>
        <w:widowControl w:val="0"/>
        <w:spacing w:line="240" w:lineRule="auto"/>
        <w:ind w:right="566"/>
        <w:rPr>
          <w:lang w:val="lt-LT"/>
        </w:rPr>
      </w:pPr>
      <w:r w:rsidRPr="00B0468F">
        <w:rPr>
          <w:lang w:val="lt-LT"/>
        </w:rPr>
        <w:t>Manoma, kad prazugrelis gebėjimo vairuoti ir valdyti mechanizmus neveikia arba veikia nereikšmingai.</w:t>
      </w:r>
    </w:p>
    <w:p w14:paraId="2D380145" w14:textId="77777777" w:rsidR="00F34163" w:rsidRPr="00B0468F" w:rsidRDefault="00F34163" w:rsidP="00B0468F">
      <w:pPr>
        <w:widowControl w:val="0"/>
        <w:spacing w:line="240" w:lineRule="auto"/>
        <w:ind w:right="566"/>
        <w:rPr>
          <w:lang w:val="lt-LT"/>
        </w:rPr>
      </w:pPr>
    </w:p>
    <w:p w14:paraId="58958969" w14:textId="77777777" w:rsidR="00F34163" w:rsidRPr="00B0468F" w:rsidRDefault="00F34163" w:rsidP="00B0468F">
      <w:pPr>
        <w:widowControl w:val="0"/>
        <w:spacing w:line="240" w:lineRule="auto"/>
        <w:ind w:right="566"/>
        <w:outlineLvl w:val="0"/>
        <w:rPr>
          <w:lang w:val="lt-LT"/>
        </w:rPr>
      </w:pPr>
      <w:r w:rsidRPr="00B0468F">
        <w:rPr>
          <w:b/>
          <w:lang w:val="lt-LT"/>
        </w:rPr>
        <w:t>4.8</w:t>
      </w:r>
      <w:r w:rsidRPr="00B0468F">
        <w:rPr>
          <w:b/>
          <w:lang w:val="lt-LT"/>
        </w:rPr>
        <w:tab/>
        <w:t>Nepageidaujamas poveikis</w:t>
      </w:r>
    </w:p>
    <w:p w14:paraId="7BC556B6" w14:textId="77777777" w:rsidR="00F34163" w:rsidRPr="00B0468F" w:rsidRDefault="00F34163" w:rsidP="00B0468F">
      <w:pPr>
        <w:widowControl w:val="0"/>
        <w:spacing w:line="240" w:lineRule="auto"/>
        <w:ind w:right="566"/>
        <w:rPr>
          <w:u w:val="single"/>
          <w:lang w:val="lt-LT"/>
        </w:rPr>
      </w:pPr>
    </w:p>
    <w:p w14:paraId="5C9C6E97" w14:textId="77777777" w:rsidR="002E0283" w:rsidRPr="00B0468F" w:rsidRDefault="002E0283" w:rsidP="005350AF">
      <w:pPr>
        <w:widowControl w:val="0"/>
        <w:tabs>
          <w:tab w:val="clear" w:pos="567"/>
        </w:tabs>
        <w:autoSpaceDE w:val="0"/>
        <w:spacing w:line="240" w:lineRule="auto"/>
        <w:ind w:right="566"/>
        <w:contextualSpacing/>
        <w:rPr>
          <w:b/>
          <w:i/>
          <w:lang w:val="lt-LT"/>
        </w:rPr>
      </w:pPr>
      <w:r w:rsidRPr="00B0468F">
        <w:rPr>
          <w:b/>
          <w:i/>
          <w:lang w:val="lt-LT"/>
        </w:rPr>
        <w:t>Saugumo duomenų suvestinė</w:t>
      </w:r>
    </w:p>
    <w:p w14:paraId="784B750A" w14:textId="77777777" w:rsidR="002E0283" w:rsidRPr="00B0468F" w:rsidRDefault="002E0283" w:rsidP="005350AF">
      <w:pPr>
        <w:widowControl w:val="0"/>
        <w:tabs>
          <w:tab w:val="clear" w:pos="567"/>
        </w:tabs>
        <w:autoSpaceDE w:val="0"/>
        <w:spacing w:line="240" w:lineRule="auto"/>
        <w:ind w:right="566"/>
        <w:contextualSpacing/>
        <w:rPr>
          <w:lang w:val="lt-LT"/>
        </w:rPr>
      </w:pPr>
      <w:r w:rsidRPr="00B0468F">
        <w:rPr>
          <w:lang w:val="lt-LT"/>
        </w:rPr>
        <w:t>Vaistinio preparato saugumas pacientams, kuriems pasireiškia ūminis koronarinis sindromas ir atliekama PVAP, įvertinas vienu klopidogreliu kontroliuojamuoju tyrimu (TRITON), kurio metu 6741 pacientas buvo gydytas praz</w:t>
      </w:r>
      <w:r w:rsidR="00B37CAC" w:rsidRPr="00B0468F">
        <w:rPr>
          <w:lang w:val="lt-LT"/>
        </w:rPr>
        <w:t>ugreliu (įsotinamąja 60 </w:t>
      </w:r>
      <w:r w:rsidRPr="00B0468F">
        <w:rPr>
          <w:lang w:val="lt-LT"/>
        </w:rPr>
        <w:t>mg doz</w:t>
      </w:r>
      <w:r w:rsidR="00B37CAC" w:rsidRPr="00B0468F">
        <w:rPr>
          <w:lang w:val="lt-LT"/>
        </w:rPr>
        <w:t>e ir palaikomąja 10 </w:t>
      </w:r>
      <w:r w:rsidRPr="00B0468F">
        <w:rPr>
          <w:lang w:val="lt-LT"/>
        </w:rPr>
        <w:t>mg doze vieną kartą per parą) vidutiniškai 14,5 mėnesių (5802 pacientai buvo gydyti ilgiau kaip 6 mėnesius, 4136 pacientai buvo gydyti ilgiau kaip vienerius metus). Tiriamojo vaistinio preparato vartojimo nutraukimo dėl nepageidaujamų reiškinių dažnis buvo 7,2% prazugrelio ir 6,3% klopidogrelio grupėje. Iš jų dažniausia nepageidaujama reakcija, dėl kurios tiriamojo vaistinio preparato vartojimas buvo nutrauktas, abiejų vaistinių preparatų grupėse buvo kraujavimas (2,5% prazugrelio ir 1,4% klopidogrelio grupėje).</w:t>
      </w:r>
    </w:p>
    <w:p w14:paraId="01D5E6D7" w14:textId="77777777" w:rsidR="002E0283" w:rsidRPr="00B0468F" w:rsidRDefault="002E0283" w:rsidP="005350AF">
      <w:pPr>
        <w:widowControl w:val="0"/>
        <w:tabs>
          <w:tab w:val="clear" w:pos="567"/>
        </w:tabs>
        <w:autoSpaceDE w:val="0"/>
        <w:spacing w:line="240" w:lineRule="auto"/>
        <w:ind w:right="566"/>
        <w:contextualSpacing/>
        <w:rPr>
          <w:lang w:val="lt-LT"/>
        </w:rPr>
      </w:pPr>
    </w:p>
    <w:p w14:paraId="0605704B" w14:textId="77777777" w:rsidR="002E0283" w:rsidRPr="00B0468F" w:rsidRDefault="002E0283" w:rsidP="005350AF">
      <w:pPr>
        <w:widowControl w:val="0"/>
        <w:tabs>
          <w:tab w:val="clear" w:pos="567"/>
        </w:tabs>
        <w:autoSpaceDE w:val="0"/>
        <w:spacing w:line="240" w:lineRule="auto"/>
        <w:ind w:right="566"/>
        <w:contextualSpacing/>
        <w:rPr>
          <w:i/>
          <w:u w:val="single"/>
          <w:lang w:val="lt-LT"/>
        </w:rPr>
      </w:pPr>
      <w:r w:rsidRPr="00B0468F">
        <w:rPr>
          <w:i/>
          <w:u w:val="single"/>
          <w:lang w:val="lt-LT"/>
        </w:rPr>
        <w:t>Kraujavimas</w:t>
      </w:r>
    </w:p>
    <w:p w14:paraId="19B1AAD8" w14:textId="77777777" w:rsidR="002E0283" w:rsidRPr="00B0468F" w:rsidRDefault="002E0283" w:rsidP="005350AF">
      <w:pPr>
        <w:widowControl w:val="0"/>
        <w:tabs>
          <w:tab w:val="clear" w:pos="567"/>
        </w:tabs>
        <w:autoSpaceDE w:val="0"/>
        <w:spacing w:line="240" w:lineRule="auto"/>
        <w:ind w:right="566"/>
        <w:contextualSpacing/>
        <w:rPr>
          <w:i/>
          <w:lang w:val="lt-LT"/>
        </w:rPr>
      </w:pPr>
      <w:r w:rsidRPr="00B0468F">
        <w:rPr>
          <w:i/>
          <w:lang w:val="lt-LT"/>
        </w:rPr>
        <w:t>Kraujavimas, kuris nesusijęs su transplantacija vainikinės arterijos šuntavimui (TVAŠ)</w:t>
      </w:r>
    </w:p>
    <w:p w14:paraId="4FF3D06A" w14:textId="77777777" w:rsidR="00C13CC5" w:rsidRPr="00B0468F" w:rsidRDefault="002E0283" w:rsidP="005350AF">
      <w:pPr>
        <w:widowControl w:val="0"/>
        <w:tabs>
          <w:tab w:val="clear" w:pos="567"/>
        </w:tabs>
        <w:autoSpaceDE w:val="0"/>
        <w:spacing w:line="240" w:lineRule="auto"/>
        <w:ind w:right="566"/>
        <w:contextualSpacing/>
        <w:rPr>
          <w:lang w:val="lt-LT"/>
        </w:rPr>
      </w:pPr>
      <w:r w:rsidRPr="00B0468F">
        <w:rPr>
          <w:lang w:val="lt-LT"/>
        </w:rPr>
        <w:t xml:space="preserve">TRITON tyrimo duomenys apie kraujavimo reiškinius, nesusijusius su TVAŠ, parodyti lentelėje nr. 1. Su TVAŠ nesusijęs masyvus, įskaitant gyvybei pavojingą ir mirtiną, ir nedidelis kraujavimas pagal TIMI buvo statistiškai reikšmingai dažnesnis asmenims, kurie buvo gydyti prazugreliu, palyginti su klopidogrelio grupės </w:t>
      </w:r>
      <w:r w:rsidRPr="00B0468F">
        <w:rPr>
          <w:i/>
          <w:lang w:val="lt-LT"/>
        </w:rPr>
        <w:t>UA/NSTEMI</w:t>
      </w:r>
      <w:r w:rsidRPr="00B0468F">
        <w:rPr>
          <w:lang w:val="lt-LT"/>
        </w:rPr>
        <w:t xml:space="preserve"> ir visais ŪKS pacientais. STEMI grupėje reikšmingo skirtumo nebuvo. Dažniausia vieta, iš kurios pasireiškė savaiminis kraujavimas, buvo virškinimo traktas (1,7% prazugrelio ir 1,3% klopidogrelio grupėje). Dažniausia vieta, iš kurios dažniausiai pasireiškė išprovokuotas kraujavimas, buvo arterijos pradūrimo vieta (1,3% prazugrelio ir 1,2% klopidogrelio grupėje).</w:t>
      </w:r>
    </w:p>
    <w:p w14:paraId="578F46B0" w14:textId="77777777" w:rsidR="002E0283" w:rsidRPr="00B0468F" w:rsidRDefault="002E0283" w:rsidP="005350AF">
      <w:pPr>
        <w:widowControl w:val="0"/>
        <w:tabs>
          <w:tab w:val="clear" w:pos="567"/>
        </w:tabs>
        <w:autoSpaceDE w:val="0"/>
        <w:spacing w:line="240" w:lineRule="auto"/>
        <w:ind w:right="566"/>
        <w:contextualSpacing/>
        <w:rPr>
          <w:lang w:val="lt-LT"/>
        </w:rPr>
      </w:pPr>
    </w:p>
    <w:p w14:paraId="2E97BDBB" w14:textId="77777777" w:rsidR="004E2681" w:rsidRPr="00B0468F" w:rsidRDefault="002E0283" w:rsidP="005350AF">
      <w:pPr>
        <w:widowControl w:val="0"/>
        <w:tabs>
          <w:tab w:val="clear" w:pos="567"/>
        </w:tabs>
        <w:autoSpaceDE w:val="0"/>
        <w:spacing w:line="240" w:lineRule="auto"/>
        <w:ind w:right="566"/>
        <w:contextualSpacing/>
        <w:rPr>
          <w:b/>
          <w:lang w:val="lt-LT"/>
        </w:rPr>
      </w:pPr>
      <w:r w:rsidRPr="00B0468F">
        <w:rPr>
          <w:b/>
          <w:lang w:val="lt-LT"/>
        </w:rPr>
        <w:t>Lentelė nr. 1. Kraujavimo, nesusijusio su TVAŠ, dažnis a (pacientų dalis %)</w:t>
      </w:r>
    </w:p>
    <w:p w14:paraId="0E568913" w14:textId="77777777" w:rsidR="002E0283" w:rsidRPr="00B0468F" w:rsidRDefault="002E0283" w:rsidP="005350AF">
      <w:pPr>
        <w:widowControl w:val="0"/>
        <w:tabs>
          <w:tab w:val="clear" w:pos="567"/>
        </w:tabs>
        <w:autoSpaceDE w:val="0"/>
        <w:spacing w:line="240" w:lineRule="auto"/>
        <w:ind w:right="566"/>
        <w:contextualSpacing/>
        <w:rPr>
          <w:b/>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212"/>
        <w:gridCol w:w="1275"/>
        <w:gridCol w:w="1275"/>
        <w:gridCol w:w="1417"/>
        <w:gridCol w:w="1417"/>
        <w:gridCol w:w="1417"/>
      </w:tblGrid>
      <w:tr w:rsidR="001A2179" w:rsidRPr="00217AE9" w14:paraId="0E1707F0" w14:textId="77777777" w:rsidTr="00B0468F">
        <w:trPr>
          <w:trHeight w:val="259"/>
        </w:trPr>
        <w:tc>
          <w:tcPr>
            <w:tcW w:w="702" w:type="pct"/>
            <w:vMerge w:val="restart"/>
            <w:shd w:val="clear" w:color="auto" w:fill="auto"/>
            <w:hideMark/>
          </w:tcPr>
          <w:p w14:paraId="28D56516" w14:textId="77777777" w:rsidR="002E0283" w:rsidRPr="005350AF" w:rsidRDefault="002E0283" w:rsidP="00B0468F">
            <w:pPr>
              <w:widowControl w:val="0"/>
              <w:tabs>
                <w:tab w:val="clear" w:pos="567"/>
                <w:tab w:val="left" w:pos="1093"/>
              </w:tabs>
              <w:spacing w:line="240" w:lineRule="auto"/>
              <w:rPr>
                <w:color w:val="000000"/>
                <w:lang w:val="en-US"/>
              </w:rPr>
            </w:pPr>
            <w:r w:rsidRPr="005350AF">
              <w:rPr>
                <w:b/>
                <w:color w:val="000000"/>
                <w:lang w:val="en-US"/>
              </w:rPr>
              <w:t>Reiškinys</w:t>
            </w:r>
          </w:p>
        </w:tc>
        <w:tc>
          <w:tcPr>
            <w:tcW w:w="1334" w:type="pct"/>
            <w:gridSpan w:val="2"/>
            <w:shd w:val="clear" w:color="auto" w:fill="auto"/>
            <w:hideMark/>
          </w:tcPr>
          <w:p w14:paraId="1D93C5E6" w14:textId="77777777" w:rsidR="002E0283" w:rsidRPr="005350AF" w:rsidRDefault="002E0283" w:rsidP="00B0468F">
            <w:pPr>
              <w:widowControl w:val="0"/>
              <w:tabs>
                <w:tab w:val="clear" w:pos="567"/>
              </w:tabs>
              <w:spacing w:line="240" w:lineRule="auto"/>
              <w:ind w:right="566"/>
              <w:jc w:val="center"/>
              <w:rPr>
                <w:color w:val="000000"/>
                <w:lang w:val="en-US"/>
              </w:rPr>
            </w:pPr>
            <w:r w:rsidRPr="005350AF">
              <w:rPr>
                <w:b/>
                <w:color w:val="000000"/>
                <w:lang w:val="en-US"/>
              </w:rPr>
              <w:t>Visi ŪKS</w:t>
            </w:r>
          </w:p>
        </w:tc>
        <w:tc>
          <w:tcPr>
            <w:tcW w:w="1444" w:type="pct"/>
            <w:gridSpan w:val="2"/>
            <w:shd w:val="clear" w:color="auto" w:fill="auto"/>
            <w:hideMark/>
          </w:tcPr>
          <w:p w14:paraId="491BD847" w14:textId="77777777" w:rsidR="002E0283" w:rsidRPr="005350AF" w:rsidRDefault="002E0283" w:rsidP="00B0468F">
            <w:pPr>
              <w:widowControl w:val="0"/>
              <w:tabs>
                <w:tab w:val="clear" w:pos="567"/>
              </w:tabs>
              <w:spacing w:line="240" w:lineRule="auto"/>
              <w:ind w:right="566"/>
              <w:jc w:val="center"/>
              <w:rPr>
                <w:color w:val="000000"/>
                <w:lang w:val="en-US"/>
              </w:rPr>
            </w:pPr>
            <w:r w:rsidRPr="005350AF">
              <w:rPr>
                <w:b/>
                <w:color w:val="000000"/>
                <w:lang w:val="en-US"/>
              </w:rPr>
              <w:t>UA/NSTEMI</w:t>
            </w:r>
          </w:p>
        </w:tc>
        <w:tc>
          <w:tcPr>
            <w:tcW w:w="1520" w:type="pct"/>
            <w:gridSpan w:val="2"/>
            <w:shd w:val="clear" w:color="auto" w:fill="auto"/>
            <w:hideMark/>
          </w:tcPr>
          <w:p w14:paraId="4C44FFD2" w14:textId="77777777" w:rsidR="002E0283" w:rsidRPr="005350AF" w:rsidRDefault="002E0283" w:rsidP="00B0468F">
            <w:pPr>
              <w:widowControl w:val="0"/>
              <w:tabs>
                <w:tab w:val="clear" w:pos="567"/>
              </w:tabs>
              <w:spacing w:line="240" w:lineRule="auto"/>
              <w:ind w:right="566"/>
              <w:jc w:val="center"/>
              <w:rPr>
                <w:color w:val="000000"/>
                <w:lang w:val="en-US"/>
              </w:rPr>
            </w:pPr>
            <w:r w:rsidRPr="005350AF">
              <w:rPr>
                <w:b/>
                <w:color w:val="000000"/>
                <w:lang w:val="en-US"/>
              </w:rPr>
              <w:t>STEMI</w:t>
            </w:r>
          </w:p>
        </w:tc>
      </w:tr>
      <w:tr w:rsidR="001A2179" w:rsidRPr="00217AE9" w14:paraId="493B2795" w14:textId="77777777" w:rsidTr="00B0468F">
        <w:trPr>
          <w:trHeight w:val="146"/>
        </w:trPr>
        <w:tc>
          <w:tcPr>
            <w:tcW w:w="702" w:type="pct"/>
            <w:vMerge/>
            <w:shd w:val="clear" w:color="auto" w:fill="auto"/>
            <w:hideMark/>
          </w:tcPr>
          <w:p w14:paraId="24984434" w14:textId="77777777" w:rsidR="002E0283" w:rsidRPr="005350AF" w:rsidRDefault="002E0283" w:rsidP="00B0468F">
            <w:pPr>
              <w:widowControl w:val="0"/>
              <w:tabs>
                <w:tab w:val="clear" w:pos="567"/>
              </w:tabs>
              <w:spacing w:line="240" w:lineRule="auto"/>
              <w:ind w:right="566"/>
              <w:rPr>
                <w:color w:val="000000"/>
                <w:lang w:val="en-US"/>
              </w:rPr>
            </w:pPr>
          </w:p>
        </w:tc>
        <w:tc>
          <w:tcPr>
            <w:tcW w:w="650" w:type="pct"/>
            <w:shd w:val="clear" w:color="auto" w:fill="auto"/>
            <w:hideMark/>
          </w:tcPr>
          <w:p w14:paraId="007D3358" w14:textId="77777777" w:rsidR="002E0283" w:rsidRPr="005350AF" w:rsidRDefault="002E0283" w:rsidP="00B0468F">
            <w:pPr>
              <w:widowControl w:val="0"/>
              <w:tabs>
                <w:tab w:val="clear" w:pos="567"/>
              </w:tabs>
              <w:spacing w:line="240" w:lineRule="auto"/>
              <w:ind w:right="-105"/>
              <w:jc w:val="center"/>
              <w:rPr>
                <w:color w:val="000000"/>
                <w:lang w:val="en-US"/>
              </w:rPr>
            </w:pPr>
            <w:r w:rsidRPr="005350AF">
              <w:rPr>
                <w:b/>
                <w:color w:val="000000"/>
                <w:lang w:val="en-US"/>
              </w:rPr>
              <w:t>Prazugrelis</w:t>
            </w:r>
            <w:r w:rsidRPr="005350AF">
              <w:rPr>
                <w:b/>
                <w:color w:val="000000"/>
                <w:vertAlign w:val="superscript"/>
                <w:lang w:val="en-US"/>
              </w:rPr>
              <w:t>b</w:t>
            </w:r>
            <w:r w:rsidRPr="005350AF">
              <w:rPr>
                <w:b/>
                <w:color w:val="000000"/>
                <w:lang w:val="en-US"/>
              </w:rPr>
              <w:t xml:space="preserve"> +ASR</w:t>
            </w:r>
          </w:p>
          <w:p w14:paraId="5E277023" w14:textId="08ED969A" w:rsidR="002E0283" w:rsidRPr="005350AF" w:rsidRDefault="002E0283" w:rsidP="00B0468F">
            <w:pPr>
              <w:widowControl w:val="0"/>
              <w:tabs>
                <w:tab w:val="clear" w:pos="567"/>
              </w:tabs>
              <w:spacing w:line="240" w:lineRule="auto"/>
              <w:ind w:right="37"/>
              <w:jc w:val="center"/>
              <w:rPr>
                <w:color w:val="000000"/>
                <w:lang w:val="en-US"/>
              </w:rPr>
            </w:pPr>
            <w:r w:rsidRPr="005350AF">
              <w:rPr>
                <w:b/>
                <w:color w:val="000000"/>
                <w:lang w:val="en-US"/>
              </w:rPr>
              <w:t>(N</w:t>
            </w:r>
            <w:r w:rsidR="00A95A04">
              <w:rPr>
                <w:b/>
                <w:color w:val="000000"/>
                <w:lang w:val="en-US"/>
              </w:rPr>
              <w:t> </w:t>
            </w:r>
            <w:r w:rsidRPr="005350AF">
              <w:rPr>
                <w:b/>
                <w:color w:val="000000"/>
                <w:lang w:val="en-US"/>
              </w:rPr>
              <w:t>=</w:t>
            </w:r>
            <w:r w:rsidR="00A95A04">
              <w:rPr>
                <w:b/>
                <w:color w:val="000000"/>
                <w:lang w:val="en-US"/>
              </w:rPr>
              <w:t> </w:t>
            </w:r>
            <w:r w:rsidRPr="005350AF">
              <w:rPr>
                <w:b/>
                <w:color w:val="000000"/>
                <w:lang w:val="en-US"/>
              </w:rPr>
              <w:t>6741)</w:t>
            </w:r>
          </w:p>
        </w:tc>
        <w:tc>
          <w:tcPr>
            <w:tcW w:w="684" w:type="pct"/>
            <w:shd w:val="clear" w:color="auto" w:fill="auto"/>
            <w:hideMark/>
          </w:tcPr>
          <w:p w14:paraId="2A05DF43" w14:textId="77777777" w:rsidR="002E0283" w:rsidRPr="005350AF" w:rsidRDefault="002E0283" w:rsidP="00B0468F">
            <w:pPr>
              <w:widowControl w:val="0"/>
              <w:tabs>
                <w:tab w:val="clear" w:pos="567"/>
              </w:tabs>
              <w:spacing w:line="240" w:lineRule="auto"/>
              <w:ind w:right="-106"/>
              <w:jc w:val="center"/>
              <w:rPr>
                <w:color w:val="000000"/>
                <w:lang w:val="en-US"/>
              </w:rPr>
            </w:pPr>
            <w:r w:rsidRPr="005350AF">
              <w:rPr>
                <w:b/>
                <w:color w:val="000000"/>
                <w:lang w:val="en-US"/>
              </w:rPr>
              <w:t>Klopidogrelis</w:t>
            </w:r>
            <w:r w:rsidRPr="005350AF">
              <w:rPr>
                <w:b/>
                <w:color w:val="000000"/>
                <w:vertAlign w:val="superscript"/>
                <w:lang w:val="en-US"/>
              </w:rPr>
              <w:t>b</w:t>
            </w:r>
            <w:r w:rsidRPr="005350AF">
              <w:rPr>
                <w:b/>
                <w:color w:val="000000"/>
                <w:lang w:val="en-US"/>
              </w:rPr>
              <w:t xml:space="preserve"> +ASR</w:t>
            </w:r>
          </w:p>
          <w:p w14:paraId="3E52C589" w14:textId="1DB74E44" w:rsidR="002E0283" w:rsidRPr="005350AF" w:rsidRDefault="002E0283" w:rsidP="00B0468F">
            <w:pPr>
              <w:widowControl w:val="0"/>
              <w:tabs>
                <w:tab w:val="clear" w:pos="567"/>
              </w:tabs>
              <w:spacing w:line="240" w:lineRule="auto"/>
              <w:jc w:val="center"/>
              <w:rPr>
                <w:color w:val="000000"/>
                <w:lang w:val="en-US"/>
              </w:rPr>
            </w:pPr>
            <w:r w:rsidRPr="005350AF">
              <w:rPr>
                <w:b/>
                <w:color w:val="000000"/>
                <w:lang w:val="en-US"/>
              </w:rPr>
              <w:t>(N</w:t>
            </w:r>
            <w:r w:rsidR="00A95A04">
              <w:rPr>
                <w:b/>
                <w:color w:val="000000"/>
                <w:lang w:val="en-US"/>
              </w:rPr>
              <w:t> </w:t>
            </w:r>
            <w:r w:rsidRPr="005350AF">
              <w:rPr>
                <w:b/>
                <w:color w:val="000000"/>
                <w:lang w:val="en-US"/>
              </w:rPr>
              <w:t>=</w:t>
            </w:r>
            <w:r w:rsidR="00A95A04">
              <w:rPr>
                <w:b/>
                <w:color w:val="000000"/>
                <w:lang w:val="en-US"/>
              </w:rPr>
              <w:t> </w:t>
            </w:r>
            <w:r w:rsidRPr="005350AF">
              <w:rPr>
                <w:b/>
                <w:color w:val="000000"/>
                <w:lang w:val="en-US"/>
              </w:rPr>
              <w:t>6716)</w:t>
            </w:r>
          </w:p>
        </w:tc>
        <w:tc>
          <w:tcPr>
            <w:tcW w:w="684" w:type="pct"/>
            <w:shd w:val="clear" w:color="auto" w:fill="auto"/>
            <w:hideMark/>
          </w:tcPr>
          <w:p w14:paraId="0870FB74" w14:textId="77777777" w:rsidR="002E0283" w:rsidRPr="005350AF" w:rsidRDefault="000B0927" w:rsidP="00B0468F">
            <w:pPr>
              <w:widowControl w:val="0"/>
              <w:tabs>
                <w:tab w:val="clear" w:pos="567"/>
              </w:tabs>
              <w:spacing w:line="240" w:lineRule="auto"/>
              <w:jc w:val="center"/>
              <w:rPr>
                <w:color w:val="000000"/>
                <w:lang w:val="en-US"/>
              </w:rPr>
            </w:pPr>
            <w:r w:rsidRPr="005350AF">
              <w:rPr>
                <w:b/>
                <w:color w:val="000000"/>
                <w:lang w:val="en-US"/>
              </w:rPr>
              <w:t>Praz</w:t>
            </w:r>
            <w:r w:rsidR="002E0283" w:rsidRPr="005350AF">
              <w:rPr>
                <w:b/>
                <w:color w:val="000000"/>
                <w:lang w:val="en-US"/>
              </w:rPr>
              <w:t>ugrel</w:t>
            </w:r>
            <w:r w:rsidRPr="005350AF">
              <w:rPr>
                <w:b/>
                <w:color w:val="000000"/>
                <w:lang w:val="en-US"/>
              </w:rPr>
              <w:t>is</w:t>
            </w:r>
            <w:r w:rsidR="002E0283" w:rsidRPr="005350AF">
              <w:rPr>
                <w:b/>
                <w:color w:val="000000"/>
                <w:vertAlign w:val="superscript"/>
                <w:lang w:val="en-US"/>
              </w:rPr>
              <w:t>b</w:t>
            </w:r>
            <w:r w:rsidRPr="005350AF">
              <w:rPr>
                <w:b/>
                <w:color w:val="000000"/>
                <w:lang w:val="en-US"/>
              </w:rPr>
              <w:t xml:space="preserve"> +ASR</w:t>
            </w:r>
          </w:p>
          <w:p w14:paraId="716B4D15" w14:textId="1C4242A6" w:rsidR="002E0283" w:rsidRPr="005350AF" w:rsidRDefault="002E0283" w:rsidP="00B0468F">
            <w:pPr>
              <w:widowControl w:val="0"/>
              <w:tabs>
                <w:tab w:val="clear" w:pos="567"/>
              </w:tabs>
              <w:spacing w:line="240" w:lineRule="auto"/>
              <w:ind w:right="-107"/>
              <w:jc w:val="center"/>
              <w:rPr>
                <w:color w:val="000000"/>
                <w:lang w:val="en-US"/>
              </w:rPr>
            </w:pPr>
            <w:r w:rsidRPr="005350AF">
              <w:rPr>
                <w:b/>
                <w:color w:val="000000"/>
                <w:lang w:val="en-US"/>
              </w:rPr>
              <w:t>(N</w:t>
            </w:r>
            <w:r w:rsidR="00A95A04">
              <w:rPr>
                <w:b/>
                <w:color w:val="000000"/>
                <w:lang w:val="en-US"/>
              </w:rPr>
              <w:t> </w:t>
            </w:r>
            <w:r w:rsidRPr="005350AF">
              <w:rPr>
                <w:b/>
                <w:color w:val="000000"/>
                <w:lang w:val="en-US"/>
              </w:rPr>
              <w:t>=</w:t>
            </w:r>
            <w:r w:rsidR="00A95A04">
              <w:rPr>
                <w:b/>
                <w:color w:val="000000"/>
                <w:lang w:val="en-US"/>
              </w:rPr>
              <w:t> </w:t>
            </w:r>
            <w:r w:rsidRPr="005350AF">
              <w:rPr>
                <w:b/>
                <w:color w:val="000000"/>
                <w:lang w:val="en-US"/>
              </w:rPr>
              <w:t>5001)</w:t>
            </w:r>
          </w:p>
        </w:tc>
        <w:tc>
          <w:tcPr>
            <w:tcW w:w="760" w:type="pct"/>
            <w:shd w:val="clear" w:color="auto" w:fill="auto"/>
            <w:hideMark/>
          </w:tcPr>
          <w:p w14:paraId="3C790475" w14:textId="77777777" w:rsidR="002E0283" w:rsidRPr="005350AF" w:rsidRDefault="000B0927" w:rsidP="00B0468F">
            <w:pPr>
              <w:widowControl w:val="0"/>
              <w:tabs>
                <w:tab w:val="clear" w:pos="567"/>
                <w:tab w:val="left" w:pos="1166"/>
              </w:tabs>
              <w:spacing w:line="240" w:lineRule="auto"/>
              <w:ind w:right="35"/>
              <w:jc w:val="center"/>
              <w:rPr>
                <w:color w:val="000000"/>
                <w:lang w:val="en-US"/>
              </w:rPr>
            </w:pPr>
            <w:r w:rsidRPr="005350AF">
              <w:rPr>
                <w:b/>
                <w:color w:val="000000"/>
                <w:lang w:val="en-US"/>
              </w:rPr>
              <w:t>K</w:t>
            </w:r>
            <w:r w:rsidR="002E0283" w:rsidRPr="005350AF">
              <w:rPr>
                <w:b/>
                <w:color w:val="000000"/>
                <w:lang w:val="en-US"/>
              </w:rPr>
              <w:t>lopidogrel</w:t>
            </w:r>
            <w:r w:rsidRPr="005350AF">
              <w:rPr>
                <w:b/>
                <w:color w:val="000000"/>
                <w:lang w:val="en-US"/>
              </w:rPr>
              <w:t>is</w:t>
            </w:r>
            <w:r w:rsidR="002E0283" w:rsidRPr="005350AF">
              <w:rPr>
                <w:b/>
                <w:color w:val="000000"/>
                <w:vertAlign w:val="superscript"/>
                <w:lang w:val="en-US"/>
              </w:rPr>
              <w:t>b</w:t>
            </w:r>
            <w:r w:rsidRPr="005350AF">
              <w:rPr>
                <w:b/>
                <w:color w:val="000000"/>
                <w:lang w:val="en-US"/>
              </w:rPr>
              <w:t xml:space="preserve"> +ASR</w:t>
            </w:r>
          </w:p>
          <w:p w14:paraId="09ACD0A7" w14:textId="350399C5" w:rsidR="002E0283" w:rsidRPr="005350AF" w:rsidRDefault="002E0283" w:rsidP="00B0468F">
            <w:pPr>
              <w:widowControl w:val="0"/>
              <w:tabs>
                <w:tab w:val="clear" w:pos="567"/>
                <w:tab w:val="left" w:pos="1308"/>
              </w:tabs>
              <w:spacing w:line="240" w:lineRule="auto"/>
              <w:ind w:right="-107"/>
              <w:jc w:val="center"/>
              <w:rPr>
                <w:color w:val="000000"/>
                <w:lang w:val="en-US"/>
              </w:rPr>
            </w:pPr>
            <w:r w:rsidRPr="005350AF">
              <w:rPr>
                <w:b/>
                <w:color w:val="000000"/>
                <w:lang w:val="en-US"/>
              </w:rPr>
              <w:t>(N</w:t>
            </w:r>
            <w:r w:rsidR="00A95A04">
              <w:rPr>
                <w:b/>
                <w:color w:val="000000"/>
                <w:lang w:val="en-US"/>
              </w:rPr>
              <w:t> </w:t>
            </w:r>
            <w:r w:rsidRPr="005350AF">
              <w:rPr>
                <w:b/>
                <w:color w:val="000000"/>
                <w:lang w:val="en-US"/>
              </w:rPr>
              <w:t>=</w:t>
            </w:r>
            <w:r w:rsidR="00A95A04">
              <w:rPr>
                <w:b/>
                <w:color w:val="000000"/>
                <w:lang w:val="en-US"/>
              </w:rPr>
              <w:t> </w:t>
            </w:r>
            <w:r w:rsidRPr="005350AF">
              <w:rPr>
                <w:b/>
                <w:color w:val="000000"/>
                <w:lang w:val="en-US"/>
              </w:rPr>
              <w:t>4980)</w:t>
            </w:r>
          </w:p>
        </w:tc>
        <w:tc>
          <w:tcPr>
            <w:tcW w:w="760" w:type="pct"/>
            <w:shd w:val="clear" w:color="auto" w:fill="auto"/>
            <w:hideMark/>
          </w:tcPr>
          <w:p w14:paraId="45CD4978" w14:textId="77777777" w:rsidR="002E0283" w:rsidRPr="005350AF" w:rsidRDefault="000B0927" w:rsidP="00B0468F">
            <w:pPr>
              <w:widowControl w:val="0"/>
              <w:tabs>
                <w:tab w:val="clear" w:pos="567"/>
              </w:tabs>
              <w:spacing w:line="240" w:lineRule="auto"/>
              <w:jc w:val="center"/>
              <w:rPr>
                <w:color w:val="000000"/>
                <w:lang w:val="en-US"/>
              </w:rPr>
            </w:pPr>
            <w:r w:rsidRPr="005350AF">
              <w:rPr>
                <w:b/>
                <w:color w:val="000000"/>
                <w:lang w:val="en-US"/>
              </w:rPr>
              <w:t>Praz</w:t>
            </w:r>
            <w:r w:rsidR="002E0283" w:rsidRPr="005350AF">
              <w:rPr>
                <w:b/>
                <w:color w:val="000000"/>
                <w:lang w:val="en-US"/>
              </w:rPr>
              <w:t>ugrel</w:t>
            </w:r>
            <w:r w:rsidRPr="005350AF">
              <w:rPr>
                <w:b/>
                <w:color w:val="000000"/>
                <w:lang w:val="en-US"/>
              </w:rPr>
              <w:t>is</w:t>
            </w:r>
            <w:r w:rsidR="002E0283" w:rsidRPr="005350AF">
              <w:rPr>
                <w:b/>
                <w:color w:val="000000"/>
                <w:vertAlign w:val="superscript"/>
                <w:lang w:val="en-US"/>
              </w:rPr>
              <w:t>b</w:t>
            </w:r>
            <w:r w:rsidRPr="005350AF">
              <w:rPr>
                <w:b/>
                <w:color w:val="000000"/>
                <w:lang w:val="en-US"/>
              </w:rPr>
              <w:t xml:space="preserve"> +ASR</w:t>
            </w:r>
          </w:p>
          <w:p w14:paraId="6F886046" w14:textId="662EEEA2" w:rsidR="002E0283" w:rsidRPr="005350AF" w:rsidRDefault="002E0283" w:rsidP="00B0468F">
            <w:pPr>
              <w:widowControl w:val="0"/>
              <w:tabs>
                <w:tab w:val="clear" w:pos="567"/>
              </w:tabs>
              <w:spacing w:line="240" w:lineRule="auto"/>
              <w:jc w:val="center"/>
              <w:rPr>
                <w:color w:val="000000"/>
                <w:lang w:val="en-US"/>
              </w:rPr>
            </w:pPr>
            <w:r w:rsidRPr="005350AF">
              <w:rPr>
                <w:b/>
                <w:color w:val="000000"/>
                <w:lang w:val="en-US"/>
              </w:rPr>
              <w:t>(N</w:t>
            </w:r>
            <w:r w:rsidR="00A95A04">
              <w:rPr>
                <w:b/>
                <w:color w:val="000000"/>
                <w:lang w:val="en-US"/>
              </w:rPr>
              <w:t> </w:t>
            </w:r>
            <w:r w:rsidRPr="005350AF">
              <w:rPr>
                <w:b/>
                <w:color w:val="000000"/>
                <w:lang w:val="en-US"/>
              </w:rPr>
              <w:t>=</w:t>
            </w:r>
            <w:r w:rsidR="00A95A04">
              <w:rPr>
                <w:b/>
                <w:color w:val="000000"/>
                <w:lang w:val="en-US"/>
              </w:rPr>
              <w:t> </w:t>
            </w:r>
            <w:r w:rsidRPr="005350AF">
              <w:rPr>
                <w:b/>
                <w:color w:val="000000"/>
                <w:lang w:val="en-US"/>
              </w:rPr>
              <w:t>1740)</w:t>
            </w:r>
          </w:p>
        </w:tc>
        <w:tc>
          <w:tcPr>
            <w:tcW w:w="760" w:type="pct"/>
            <w:shd w:val="clear" w:color="auto" w:fill="auto"/>
            <w:hideMark/>
          </w:tcPr>
          <w:p w14:paraId="5DE25BE8" w14:textId="77777777" w:rsidR="002E0283" w:rsidRPr="005350AF" w:rsidRDefault="000B0927" w:rsidP="00B0468F">
            <w:pPr>
              <w:widowControl w:val="0"/>
              <w:tabs>
                <w:tab w:val="clear" w:pos="567"/>
              </w:tabs>
              <w:spacing w:line="240" w:lineRule="auto"/>
              <w:ind w:right="-108"/>
              <w:jc w:val="center"/>
              <w:rPr>
                <w:color w:val="000000"/>
                <w:lang w:val="en-US"/>
              </w:rPr>
            </w:pPr>
            <w:r w:rsidRPr="005350AF">
              <w:rPr>
                <w:b/>
                <w:color w:val="000000"/>
                <w:lang w:val="en-US"/>
              </w:rPr>
              <w:t>K</w:t>
            </w:r>
            <w:r w:rsidR="002E0283" w:rsidRPr="005350AF">
              <w:rPr>
                <w:b/>
                <w:color w:val="000000"/>
                <w:lang w:val="en-US"/>
              </w:rPr>
              <w:t>lopidogrel</w:t>
            </w:r>
            <w:r w:rsidRPr="005350AF">
              <w:rPr>
                <w:b/>
                <w:color w:val="000000"/>
                <w:lang w:val="en-US"/>
              </w:rPr>
              <w:t>is</w:t>
            </w:r>
            <w:r w:rsidR="002E0283" w:rsidRPr="005350AF">
              <w:rPr>
                <w:b/>
                <w:color w:val="000000"/>
                <w:vertAlign w:val="superscript"/>
                <w:lang w:val="en-US"/>
              </w:rPr>
              <w:t>b</w:t>
            </w:r>
            <w:r w:rsidRPr="005350AF">
              <w:rPr>
                <w:b/>
                <w:color w:val="000000"/>
                <w:lang w:val="en-US"/>
              </w:rPr>
              <w:t xml:space="preserve"> +ASR</w:t>
            </w:r>
          </w:p>
          <w:p w14:paraId="4FECC47F" w14:textId="3185B56A" w:rsidR="002E0283" w:rsidRPr="005350AF" w:rsidRDefault="002E0283" w:rsidP="00B0468F">
            <w:pPr>
              <w:widowControl w:val="0"/>
              <w:tabs>
                <w:tab w:val="clear" w:pos="567"/>
              </w:tabs>
              <w:spacing w:line="240" w:lineRule="auto"/>
              <w:jc w:val="center"/>
              <w:rPr>
                <w:color w:val="000000"/>
                <w:lang w:val="en-US"/>
              </w:rPr>
            </w:pPr>
            <w:r w:rsidRPr="005350AF">
              <w:rPr>
                <w:b/>
                <w:color w:val="000000"/>
                <w:lang w:val="en-US"/>
              </w:rPr>
              <w:t>(N</w:t>
            </w:r>
            <w:r w:rsidR="00A95A04">
              <w:rPr>
                <w:b/>
                <w:color w:val="000000"/>
                <w:lang w:val="en-US"/>
              </w:rPr>
              <w:t> </w:t>
            </w:r>
            <w:r w:rsidRPr="005350AF">
              <w:rPr>
                <w:b/>
                <w:color w:val="000000"/>
                <w:lang w:val="en-US"/>
              </w:rPr>
              <w:t>=</w:t>
            </w:r>
            <w:r w:rsidR="00A95A04">
              <w:rPr>
                <w:b/>
                <w:color w:val="000000"/>
                <w:lang w:val="en-US"/>
              </w:rPr>
              <w:t> </w:t>
            </w:r>
            <w:r w:rsidRPr="005350AF">
              <w:rPr>
                <w:b/>
                <w:color w:val="000000"/>
                <w:lang w:val="en-US"/>
              </w:rPr>
              <w:t>1736)</w:t>
            </w:r>
          </w:p>
        </w:tc>
      </w:tr>
      <w:tr w:rsidR="001A2179" w:rsidRPr="00217AE9" w14:paraId="0120042A" w14:textId="77777777" w:rsidTr="00B0468F">
        <w:trPr>
          <w:trHeight w:val="236"/>
        </w:trPr>
        <w:tc>
          <w:tcPr>
            <w:tcW w:w="702" w:type="pct"/>
            <w:shd w:val="clear" w:color="auto" w:fill="auto"/>
            <w:hideMark/>
          </w:tcPr>
          <w:p w14:paraId="7D6A6B19" w14:textId="77777777" w:rsidR="002E0283" w:rsidRPr="005350AF" w:rsidRDefault="00FB7FA9" w:rsidP="00B0468F">
            <w:pPr>
              <w:widowControl w:val="0"/>
              <w:tabs>
                <w:tab w:val="clear" w:pos="567"/>
              </w:tabs>
              <w:spacing w:line="240" w:lineRule="auto"/>
              <w:rPr>
                <w:color w:val="000000"/>
                <w:lang w:val="en-US"/>
              </w:rPr>
            </w:pPr>
            <w:r w:rsidRPr="005350AF">
              <w:rPr>
                <w:color w:val="000000"/>
                <w:lang w:val="en-US"/>
              </w:rPr>
              <w:t>Masyvus kraujavimas pagal TIMI</w:t>
            </w:r>
            <w:r w:rsidR="002E0283" w:rsidRPr="005350AF">
              <w:rPr>
                <w:color w:val="000000"/>
                <w:vertAlign w:val="superscript"/>
                <w:lang w:val="en-US"/>
              </w:rPr>
              <w:t>c</w:t>
            </w:r>
            <w:r w:rsidR="002E0283" w:rsidRPr="005350AF">
              <w:rPr>
                <w:color w:val="000000"/>
                <w:lang w:val="en-US"/>
              </w:rPr>
              <w:t xml:space="preserve"> </w:t>
            </w:r>
          </w:p>
        </w:tc>
        <w:tc>
          <w:tcPr>
            <w:tcW w:w="650" w:type="pct"/>
            <w:shd w:val="clear" w:color="auto" w:fill="auto"/>
            <w:hideMark/>
          </w:tcPr>
          <w:p w14:paraId="769B9477"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2</w:t>
            </w:r>
          </w:p>
        </w:tc>
        <w:tc>
          <w:tcPr>
            <w:tcW w:w="684" w:type="pct"/>
            <w:shd w:val="clear" w:color="auto" w:fill="auto"/>
            <w:hideMark/>
          </w:tcPr>
          <w:p w14:paraId="499B9922"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7</w:t>
            </w:r>
          </w:p>
        </w:tc>
        <w:tc>
          <w:tcPr>
            <w:tcW w:w="684" w:type="pct"/>
            <w:shd w:val="clear" w:color="auto" w:fill="auto"/>
            <w:hideMark/>
          </w:tcPr>
          <w:p w14:paraId="714E8996"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2</w:t>
            </w:r>
          </w:p>
        </w:tc>
        <w:tc>
          <w:tcPr>
            <w:tcW w:w="760" w:type="pct"/>
            <w:shd w:val="clear" w:color="auto" w:fill="auto"/>
            <w:hideMark/>
          </w:tcPr>
          <w:p w14:paraId="6D013055"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6</w:t>
            </w:r>
          </w:p>
        </w:tc>
        <w:tc>
          <w:tcPr>
            <w:tcW w:w="760" w:type="pct"/>
            <w:shd w:val="clear" w:color="auto" w:fill="auto"/>
            <w:hideMark/>
          </w:tcPr>
          <w:p w14:paraId="61A81BFF"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2</w:t>
            </w:r>
          </w:p>
        </w:tc>
        <w:tc>
          <w:tcPr>
            <w:tcW w:w="760" w:type="pct"/>
            <w:shd w:val="clear" w:color="auto" w:fill="auto"/>
            <w:hideMark/>
          </w:tcPr>
          <w:p w14:paraId="0946EDDE"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0</w:t>
            </w:r>
          </w:p>
        </w:tc>
      </w:tr>
      <w:tr w:rsidR="001A2179" w:rsidRPr="00217AE9" w14:paraId="541F3B36" w14:textId="77777777" w:rsidTr="00B0468F">
        <w:trPr>
          <w:trHeight w:val="236"/>
        </w:trPr>
        <w:tc>
          <w:tcPr>
            <w:tcW w:w="702" w:type="pct"/>
            <w:shd w:val="clear" w:color="auto" w:fill="auto"/>
            <w:hideMark/>
          </w:tcPr>
          <w:p w14:paraId="444C80AC" w14:textId="77777777" w:rsidR="002E0283" w:rsidRPr="005350AF" w:rsidRDefault="00FB7FA9" w:rsidP="00B0468F">
            <w:pPr>
              <w:widowControl w:val="0"/>
              <w:tabs>
                <w:tab w:val="clear" w:pos="567"/>
              </w:tabs>
              <w:spacing w:line="240" w:lineRule="auto"/>
              <w:ind w:right="-41"/>
              <w:rPr>
                <w:color w:val="000000"/>
                <w:lang w:val="en-US"/>
              </w:rPr>
            </w:pPr>
            <w:r w:rsidRPr="005350AF">
              <w:rPr>
                <w:color w:val="000000"/>
                <w:lang w:val="en-US"/>
              </w:rPr>
              <w:t>Gyvybei pavojingas</w:t>
            </w:r>
            <w:r w:rsidR="002E0283" w:rsidRPr="005350AF">
              <w:rPr>
                <w:color w:val="000000"/>
                <w:vertAlign w:val="superscript"/>
                <w:lang w:val="en-US"/>
              </w:rPr>
              <w:t>d</w:t>
            </w:r>
            <w:r w:rsidR="002E0283" w:rsidRPr="005350AF">
              <w:rPr>
                <w:color w:val="000000"/>
                <w:lang w:val="en-US"/>
              </w:rPr>
              <w:t xml:space="preserve"> </w:t>
            </w:r>
          </w:p>
        </w:tc>
        <w:tc>
          <w:tcPr>
            <w:tcW w:w="650" w:type="pct"/>
            <w:shd w:val="clear" w:color="auto" w:fill="auto"/>
            <w:hideMark/>
          </w:tcPr>
          <w:p w14:paraId="45F10FEA"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3</w:t>
            </w:r>
          </w:p>
        </w:tc>
        <w:tc>
          <w:tcPr>
            <w:tcW w:w="684" w:type="pct"/>
            <w:shd w:val="clear" w:color="auto" w:fill="auto"/>
            <w:hideMark/>
          </w:tcPr>
          <w:p w14:paraId="4BFC699C"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8</w:t>
            </w:r>
          </w:p>
        </w:tc>
        <w:tc>
          <w:tcPr>
            <w:tcW w:w="684" w:type="pct"/>
            <w:shd w:val="clear" w:color="auto" w:fill="auto"/>
            <w:hideMark/>
          </w:tcPr>
          <w:p w14:paraId="2D6C6B33"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3</w:t>
            </w:r>
          </w:p>
        </w:tc>
        <w:tc>
          <w:tcPr>
            <w:tcW w:w="760" w:type="pct"/>
            <w:shd w:val="clear" w:color="auto" w:fill="auto"/>
            <w:hideMark/>
          </w:tcPr>
          <w:p w14:paraId="33596217"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8</w:t>
            </w:r>
          </w:p>
        </w:tc>
        <w:tc>
          <w:tcPr>
            <w:tcW w:w="760" w:type="pct"/>
            <w:shd w:val="clear" w:color="auto" w:fill="auto"/>
            <w:hideMark/>
          </w:tcPr>
          <w:p w14:paraId="0714C8AD"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2</w:t>
            </w:r>
          </w:p>
        </w:tc>
        <w:tc>
          <w:tcPr>
            <w:tcW w:w="760" w:type="pct"/>
            <w:shd w:val="clear" w:color="auto" w:fill="auto"/>
            <w:hideMark/>
          </w:tcPr>
          <w:p w14:paraId="436350CA" w14:textId="77777777" w:rsidR="002E0283" w:rsidRPr="005350AF" w:rsidRDefault="001A2179"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0</w:t>
            </w:r>
          </w:p>
        </w:tc>
      </w:tr>
      <w:tr w:rsidR="001A2179" w:rsidRPr="00217AE9" w14:paraId="34B23EDF" w14:textId="77777777" w:rsidTr="00B0468F">
        <w:trPr>
          <w:trHeight w:val="248"/>
        </w:trPr>
        <w:tc>
          <w:tcPr>
            <w:tcW w:w="702" w:type="pct"/>
            <w:shd w:val="clear" w:color="auto" w:fill="auto"/>
            <w:hideMark/>
          </w:tcPr>
          <w:p w14:paraId="4D2F5AB0" w14:textId="77777777" w:rsidR="002E0283" w:rsidRPr="005350AF" w:rsidRDefault="00FB7FA9" w:rsidP="00B0468F">
            <w:pPr>
              <w:widowControl w:val="0"/>
              <w:tabs>
                <w:tab w:val="clear" w:pos="567"/>
              </w:tabs>
              <w:spacing w:line="240" w:lineRule="auto"/>
              <w:ind w:right="-41"/>
              <w:rPr>
                <w:color w:val="000000"/>
                <w:lang w:val="en-US"/>
              </w:rPr>
            </w:pPr>
            <w:r w:rsidRPr="005350AF">
              <w:rPr>
                <w:color w:val="000000"/>
                <w:lang w:val="en-US"/>
              </w:rPr>
              <w:t>Mirtinas</w:t>
            </w:r>
          </w:p>
        </w:tc>
        <w:tc>
          <w:tcPr>
            <w:tcW w:w="650" w:type="pct"/>
            <w:shd w:val="clear" w:color="auto" w:fill="auto"/>
            <w:hideMark/>
          </w:tcPr>
          <w:p w14:paraId="2CB6E423" w14:textId="77777777" w:rsidR="002E0283" w:rsidRPr="005350AF" w:rsidRDefault="00313C6E"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684" w:type="pct"/>
            <w:shd w:val="clear" w:color="auto" w:fill="auto"/>
            <w:hideMark/>
          </w:tcPr>
          <w:p w14:paraId="7F5AD027" w14:textId="77777777" w:rsidR="002E0283" w:rsidRPr="005350AF" w:rsidRDefault="00313C6E"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1</w:t>
            </w:r>
          </w:p>
        </w:tc>
        <w:tc>
          <w:tcPr>
            <w:tcW w:w="684" w:type="pct"/>
            <w:shd w:val="clear" w:color="auto" w:fill="auto"/>
            <w:hideMark/>
          </w:tcPr>
          <w:p w14:paraId="59F06645"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769059E0"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1</w:t>
            </w:r>
          </w:p>
        </w:tc>
        <w:tc>
          <w:tcPr>
            <w:tcW w:w="760" w:type="pct"/>
            <w:shd w:val="clear" w:color="auto" w:fill="auto"/>
            <w:hideMark/>
          </w:tcPr>
          <w:p w14:paraId="1AD4ED66"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4</w:t>
            </w:r>
          </w:p>
        </w:tc>
        <w:tc>
          <w:tcPr>
            <w:tcW w:w="760" w:type="pct"/>
            <w:shd w:val="clear" w:color="auto" w:fill="auto"/>
            <w:hideMark/>
          </w:tcPr>
          <w:p w14:paraId="75A421D1"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1</w:t>
            </w:r>
          </w:p>
        </w:tc>
      </w:tr>
      <w:tr w:rsidR="001A2179" w:rsidRPr="00217AE9" w14:paraId="5DE41909" w14:textId="77777777" w:rsidTr="00B0468F">
        <w:trPr>
          <w:trHeight w:val="236"/>
        </w:trPr>
        <w:tc>
          <w:tcPr>
            <w:tcW w:w="702" w:type="pct"/>
            <w:shd w:val="clear" w:color="auto" w:fill="auto"/>
            <w:hideMark/>
          </w:tcPr>
          <w:p w14:paraId="3522B2E0" w14:textId="77777777" w:rsidR="002E0283" w:rsidRPr="005350AF" w:rsidRDefault="00FB7FA9" w:rsidP="00B0468F">
            <w:pPr>
              <w:widowControl w:val="0"/>
              <w:tabs>
                <w:tab w:val="clear" w:pos="567"/>
              </w:tabs>
              <w:spacing w:line="240" w:lineRule="auto"/>
              <w:ind w:right="-41"/>
              <w:rPr>
                <w:color w:val="000000"/>
                <w:lang w:val="en-US"/>
              </w:rPr>
            </w:pPr>
            <w:r w:rsidRPr="005350AF">
              <w:rPr>
                <w:color w:val="000000"/>
                <w:lang w:val="en-US"/>
              </w:rPr>
              <w:t>Simptomus sukeliantis IKK</w:t>
            </w:r>
            <w:r w:rsidR="002E0283" w:rsidRPr="005350AF">
              <w:rPr>
                <w:color w:val="000000"/>
                <w:vertAlign w:val="superscript"/>
                <w:lang w:val="en-US"/>
              </w:rPr>
              <w:t>e</w:t>
            </w:r>
            <w:r w:rsidR="002E0283" w:rsidRPr="005350AF">
              <w:rPr>
                <w:color w:val="000000"/>
                <w:lang w:val="en-US"/>
              </w:rPr>
              <w:t xml:space="preserve"> </w:t>
            </w:r>
          </w:p>
        </w:tc>
        <w:tc>
          <w:tcPr>
            <w:tcW w:w="650" w:type="pct"/>
            <w:shd w:val="clear" w:color="auto" w:fill="auto"/>
            <w:hideMark/>
          </w:tcPr>
          <w:p w14:paraId="0F350841"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684" w:type="pct"/>
            <w:shd w:val="clear" w:color="auto" w:fill="auto"/>
            <w:hideMark/>
          </w:tcPr>
          <w:p w14:paraId="008A6708"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684" w:type="pct"/>
            <w:shd w:val="clear" w:color="auto" w:fill="auto"/>
            <w:hideMark/>
          </w:tcPr>
          <w:p w14:paraId="589F40F9"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708C6A98"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55E2423A"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2</w:t>
            </w:r>
          </w:p>
        </w:tc>
        <w:tc>
          <w:tcPr>
            <w:tcW w:w="760" w:type="pct"/>
            <w:shd w:val="clear" w:color="auto" w:fill="auto"/>
            <w:hideMark/>
          </w:tcPr>
          <w:p w14:paraId="64139265"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2</w:t>
            </w:r>
          </w:p>
        </w:tc>
      </w:tr>
      <w:tr w:rsidR="001A2179" w:rsidRPr="00217AE9" w14:paraId="1EDF5806" w14:textId="77777777" w:rsidTr="00B0468F">
        <w:trPr>
          <w:trHeight w:val="236"/>
        </w:trPr>
        <w:tc>
          <w:tcPr>
            <w:tcW w:w="702" w:type="pct"/>
            <w:shd w:val="clear" w:color="auto" w:fill="auto"/>
            <w:hideMark/>
          </w:tcPr>
          <w:p w14:paraId="12A16123" w14:textId="77777777" w:rsidR="002E0283" w:rsidRPr="005350AF" w:rsidRDefault="00FB7FA9" w:rsidP="00B0468F">
            <w:pPr>
              <w:widowControl w:val="0"/>
              <w:tabs>
                <w:tab w:val="clear" w:pos="567"/>
              </w:tabs>
              <w:spacing w:line="240" w:lineRule="auto"/>
              <w:ind w:right="-41"/>
              <w:rPr>
                <w:color w:val="000000"/>
                <w:lang w:val="en-US"/>
              </w:rPr>
            </w:pPr>
            <w:r w:rsidRPr="005350AF">
              <w:rPr>
                <w:color w:val="000000"/>
                <w:lang w:val="en-US"/>
              </w:rPr>
              <w:t>Būtini inotropai</w:t>
            </w:r>
            <w:r w:rsidR="002E0283" w:rsidRPr="005350AF">
              <w:rPr>
                <w:color w:val="000000"/>
                <w:lang w:val="en-US"/>
              </w:rPr>
              <w:t xml:space="preserve"> </w:t>
            </w:r>
          </w:p>
        </w:tc>
        <w:tc>
          <w:tcPr>
            <w:tcW w:w="650" w:type="pct"/>
            <w:shd w:val="clear" w:color="auto" w:fill="auto"/>
            <w:hideMark/>
          </w:tcPr>
          <w:p w14:paraId="541840A6"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684" w:type="pct"/>
            <w:shd w:val="clear" w:color="auto" w:fill="auto"/>
            <w:hideMark/>
          </w:tcPr>
          <w:p w14:paraId="4174FE57"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1</w:t>
            </w:r>
          </w:p>
        </w:tc>
        <w:tc>
          <w:tcPr>
            <w:tcW w:w="684" w:type="pct"/>
            <w:shd w:val="clear" w:color="auto" w:fill="auto"/>
            <w:hideMark/>
          </w:tcPr>
          <w:p w14:paraId="404E27DF"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115C6ECE"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1</w:t>
            </w:r>
          </w:p>
        </w:tc>
        <w:tc>
          <w:tcPr>
            <w:tcW w:w="760" w:type="pct"/>
            <w:shd w:val="clear" w:color="auto" w:fill="auto"/>
            <w:hideMark/>
          </w:tcPr>
          <w:p w14:paraId="221391AE"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63C88691"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2</w:t>
            </w:r>
          </w:p>
        </w:tc>
      </w:tr>
      <w:tr w:rsidR="001A2179" w:rsidRPr="00217AE9" w14:paraId="249C996B" w14:textId="77777777" w:rsidTr="00B0468F">
        <w:trPr>
          <w:trHeight w:val="473"/>
        </w:trPr>
        <w:tc>
          <w:tcPr>
            <w:tcW w:w="702" w:type="pct"/>
            <w:shd w:val="clear" w:color="auto" w:fill="auto"/>
            <w:hideMark/>
          </w:tcPr>
          <w:p w14:paraId="79408E81" w14:textId="77777777" w:rsidR="002E0283" w:rsidRPr="005350AF" w:rsidRDefault="00FB7FA9" w:rsidP="00B0468F">
            <w:pPr>
              <w:widowControl w:val="0"/>
              <w:tabs>
                <w:tab w:val="clear" w:pos="567"/>
              </w:tabs>
              <w:spacing w:line="240" w:lineRule="auto"/>
              <w:ind w:right="-41"/>
              <w:rPr>
                <w:color w:val="000000"/>
                <w:lang w:val="en-US"/>
              </w:rPr>
            </w:pPr>
            <w:r w:rsidRPr="005350AF">
              <w:rPr>
                <w:color w:val="000000"/>
                <w:lang w:val="en-US"/>
              </w:rPr>
              <w:t>Būtina chirurginė intervencija</w:t>
            </w:r>
          </w:p>
        </w:tc>
        <w:tc>
          <w:tcPr>
            <w:tcW w:w="650" w:type="pct"/>
            <w:shd w:val="clear" w:color="auto" w:fill="auto"/>
            <w:hideMark/>
          </w:tcPr>
          <w:p w14:paraId="3CA7F123"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684" w:type="pct"/>
            <w:shd w:val="clear" w:color="auto" w:fill="auto"/>
            <w:hideMark/>
          </w:tcPr>
          <w:p w14:paraId="11DA9260"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684" w:type="pct"/>
            <w:shd w:val="clear" w:color="auto" w:fill="auto"/>
            <w:hideMark/>
          </w:tcPr>
          <w:p w14:paraId="092E2B5E"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4B427B5B"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50833377"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1</w:t>
            </w:r>
          </w:p>
        </w:tc>
        <w:tc>
          <w:tcPr>
            <w:tcW w:w="760" w:type="pct"/>
            <w:shd w:val="clear" w:color="auto" w:fill="auto"/>
            <w:hideMark/>
          </w:tcPr>
          <w:p w14:paraId="545A3B2A" w14:textId="77777777" w:rsidR="002E0283" w:rsidRPr="005350AF" w:rsidRDefault="002B3F11"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2</w:t>
            </w:r>
          </w:p>
        </w:tc>
      </w:tr>
      <w:tr w:rsidR="001A2179" w:rsidRPr="00217AE9" w14:paraId="56EDBBDE" w14:textId="77777777" w:rsidTr="00B0468F">
        <w:trPr>
          <w:trHeight w:val="473"/>
        </w:trPr>
        <w:tc>
          <w:tcPr>
            <w:tcW w:w="702" w:type="pct"/>
            <w:shd w:val="clear" w:color="auto" w:fill="auto"/>
            <w:hideMark/>
          </w:tcPr>
          <w:p w14:paraId="26B66B93" w14:textId="77777777" w:rsidR="002E0283" w:rsidRPr="005350AF" w:rsidRDefault="0081680A" w:rsidP="00B0468F">
            <w:pPr>
              <w:widowControl w:val="0"/>
              <w:tabs>
                <w:tab w:val="clear" w:pos="567"/>
              </w:tabs>
              <w:spacing w:line="240" w:lineRule="auto"/>
              <w:ind w:right="-41"/>
              <w:rPr>
                <w:color w:val="000000"/>
                <w:lang w:val="en-US"/>
              </w:rPr>
            </w:pPr>
            <w:r w:rsidRPr="005350AF">
              <w:rPr>
                <w:color w:val="000000"/>
                <w:lang w:val="en-US"/>
              </w:rPr>
              <w:t>Būtinas kraujo perpylimas</w:t>
            </w:r>
            <w:r w:rsidR="002E0283" w:rsidRPr="005350AF">
              <w:rPr>
                <w:color w:val="000000"/>
                <w:lang w:val="en-US"/>
              </w:rPr>
              <w:t xml:space="preserve"> (≥ </w:t>
            </w:r>
            <w:r w:rsidRPr="005350AF">
              <w:rPr>
                <w:color w:val="000000"/>
                <w:lang w:val="en-US"/>
              </w:rPr>
              <w:t>4 vienetų</w:t>
            </w:r>
            <w:r w:rsidR="002E0283" w:rsidRPr="005350AF">
              <w:rPr>
                <w:color w:val="000000"/>
                <w:lang w:val="en-US"/>
              </w:rPr>
              <w:t xml:space="preserve">) </w:t>
            </w:r>
          </w:p>
        </w:tc>
        <w:tc>
          <w:tcPr>
            <w:tcW w:w="650" w:type="pct"/>
            <w:shd w:val="clear" w:color="auto" w:fill="auto"/>
            <w:hideMark/>
          </w:tcPr>
          <w:p w14:paraId="3F49A7BD"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7</w:t>
            </w:r>
          </w:p>
        </w:tc>
        <w:tc>
          <w:tcPr>
            <w:tcW w:w="684" w:type="pct"/>
            <w:shd w:val="clear" w:color="auto" w:fill="auto"/>
            <w:hideMark/>
          </w:tcPr>
          <w:p w14:paraId="07B4E67D"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5</w:t>
            </w:r>
          </w:p>
        </w:tc>
        <w:tc>
          <w:tcPr>
            <w:tcW w:w="684" w:type="pct"/>
            <w:shd w:val="clear" w:color="auto" w:fill="auto"/>
            <w:hideMark/>
          </w:tcPr>
          <w:p w14:paraId="41FB014F"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6</w:t>
            </w:r>
          </w:p>
        </w:tc>
        <w:tc>
          <w:tcPr>
            <w:tcW w:w="760" w:type="pct"/>
            <w:shd w:val="clear" w:color="auto" w:fill="auto"/>
            <w:hideMark/>
          </w:tcPr>
          <w:p w14:paraId="556DFA81"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3</w:t>
            </w:r>
          </w:p>
        </w:tc>
        <w:tc>
          <w:tcPr>
            <w:tcW w:w="760" w:type="pct"/>
            <w:shd w:val="clear" w:color="auto" w:fill="auto"/>
            <w:hideMark/>
          </w:tcPr>
          <w:p w14:paraId="773019A6"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8</w:t>
            </w:r>
          </w:p>
        </w:tc>
        <w:tc>
          <w:tcPr>
            <w:tcW w:w="760" w:type="pct"/>
            <w:shd w:val="clear" w:color="auto" w:fill="auto"/>
            <w:hideMark/>
          </w:tcPr>
          <w:p w14:paraId="0B550000"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0,</w:t>
            </w:r>
            <w:r w:rsidR="002E0283" w:rsidRPr="005350AF">
              <w:rPr>
                <w:color w:val="000000"/>
                <w:lang w:val="en-US"/>
              </w:rPr>
              <w:t>8</w:t>
            </w:r>
          </w:p>
        </w:tc>
      </w:tr>
      <w:tr w:rsidR="001A2179" w:rsidRPr="00217AE9" w14:paraId="45722028" w14:textId="77777777" w:rsidTr="00B0468F">
        <w:trPr>
          <w:trHeight w:val="473"/>
        </w:trPr>
        <w:tc>
          <w:tcPr>
            <w:tcW w:w="702" w:type="pct"/>
            <w:shd w:val="clear" w:color="auto" w:fill="auto"/>
            <w:hideMark/>
          </w:tcPr>
          <w:p w14:paraId="794D1281" w14:textId="77777777" w:rsidR="002E0283" w:rsidRPr="005350AF" w:rsidRDefault="001A2179" w:rsidP="00B0468F">
            <w:pPr>
              <w:widowControl w:val="0"/>
              <w:tabs>
                <w:tab w:val="clear" w:pos="567"/>
              </w:tabs>
              <w:spacing w:line="240" w:lineRule="auto"/>
              <w:ind w:right="-41"/>
              <w:rPr>
                <w:color w:val="000000"/>
                <w:lang w:val="en-US"/>
              </w:rPr>
            </w:pPr>
            <w:r w:rsidRPr="005350AF">
              <w:rPr>
                <w:color w:val="000000"/>
                <w:lang w:val="en-US"/>
              </w:rPr>
              <w:t xml:space="preserve">Nedidelis kraujavimas pagal </w:t>
            </w:r>
            <w:r w:rsidR="002E0283" w:rsidRPr="005350AF">
              <w:rPr>
                <w:color w:val="000000"/>
                <w:lang w:val="en-US"/>
              </w:rPr>
              <w:t>TI</w:t>
            </w:r>
            <w:r w:rsidRPr="005350AF">
              <w:rPr>
                <w:color w:val="000000"/>
                <w:lang w:val="en-US"/>
              </w:rPr>
              <w:t>MI</w:t>
            </w:r>
            <w:r w:rsidR="002E0283" w:rsidRPr="005350AF">
              <w:rPr>
                <w:color w:val="000000"/>
                <w:vertAlign w:val="superscript"/>
                <w:lang w:val="en-US"/>
              </w:rPr>
              <w:t>f</w:t>
            </w:r>
            <w:r w:rsidR="002E0283" w:rsidRPr="005350AF">
              <w:rPr>
                <w:color w:val="000000"/>
                <w:lang w:val="en-US"/>
              </w:rPr>
              <w:t xml:space="preserve"> </w:t>
            </w:r>
          </w:p>
        </w:tc>
        <w:tc>
          <w:tcPr>
            <w:tcW w:w="650" w:type="pct"/>
            <w:shd w:val="clear" w:color="auto" w:fill="auto"/>
            <w:hideMark/>
          </w:tcPr>
          <w:p w14:paraId="1CCBDD6B"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4</w:t>
            </w:r>
          </w:p>
        </w:tc>
        <w:tc>
          <w:tcPr>
            <w:tcW w:w="684" w:type="pct"/>
            <w:shd w:val="clear" w:color="auto" w:fill="auto"/>
            <w:hideMark/>
          </w:tcPr>
          <w:p w14:paraId="53FA23C4"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9</w:t>
            </w:r>
          </w:p>
        </w:tc>
        <w:tc>
          <w:tcPr>
            <w:tcW w:w="684" w:type="pct"/>
            <w:shd w:val="clear" w:color="auto" w:fill="auto"/>
            <w:hideMark/>
          </w:tcPr>
          <w:p w14:paraId="3E3B047F"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3</w:t>
            </w:r>
          </w:p>
        </w:tc>
        <w:tc>
          <w:tcPr>
            <w:tcW w:w="760" w:type="pct"/>
            <w:shd w:val="clear" w:color="auto" w:fill="auto"/>
            <w:hideMark/>
          </w:tcPr>
          <w:p w14:paraId="7928645C"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1,</w:t>
            </w:r>
            <w:r w:rsidR="002E0283" w:rsidRPr="005350AF">
              <w:rPr>
                <w:color w:val="000000"/>
                <w:lang w:val="en-US"/>
              </w:rPr>
              <w:t>6</w:t>
            </w:r>
          </w:p>
        </w:tc>
        <w:tc>
          <w:tcPr>
            <w:tcW w:w="760" w:type="pct"/>
            <w:shd w:val="clear" w:color="auto" w:fill="auto"/>
            <w:hideMark/>
          </w:tcPr>
          <w:p w14:paraId="1D9F10AA"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7</w:t>
            </w:r>
          </w:p>
        </w:tc>
        <w:tc>
          <w:tcPr>
            <w:tcW w:w="760" w:type="pct"/>
            <w:shd w:val="clear" w:color="auto" w:fill="auto"/>
            <w:hideMark/>
          </w:tcPr>
          <w:p w14:paraId="7A4F0B51" w14:textId="77777777" w:rsidR="002E0283" w:rsidRPr="005350AF" w:rsidRDefault="00D56CC0" w:rsidP="00B0468F">
            <w:pPr>
              <w:widowControl w:val="0"/>
              <w:tabs>
                <w:tab w:val="clear" w:pos="567"/>
              </w:tabs>
              <w:spacing w:line="240" w:lineRule="auto"/>
              <w:ind w:right="566"/>
              <w:jc w:val="center"/>
              <w:rPr>
                <w:color w:val="000000"/>
                <w:lang w:val="en-US"/>
              </w:rPr>
            </w:pPr>
            <w:r w:rsidRPr="005350AF">
              <w:rPr>
                <w:color w:val="000000"/>
                <w:lang w:val="en-US"/>
              </w:rPr>
              <w:t>2,</w:t>
            </w:r>
            <w:r w:rsidR="002E0283" w:rsidRPr="005350AF">
              <w:rPr>
                <w:color w:val="000000"/>
                <w:lang w:val="en-US"/>
              </w:rPr>
              <w:t>6</w:t>
            </w:r>
          </w:p>
        </w:tc>
      </w:tr>
    </w:tbl>
    <w:p w14:paraId="46487094" w14:textId="77777777" w:rsidR="004F64C8" w:rsidRPr="00B0468F" w:rsidRDefault="004F64C8" w:rsidP="00B0468F">
      <w:pPr>
        <w:widowControl w:val="0"/>
        <w:autoSpaceDE w:val="0"/>
        <w:autoSpaceDN w:val="0"/>
        <w:adjustRightInd w:val="0"/>
        <w:spacing w:line="240" w:lineRule="auto"/>
        <w:ind w:right="566"/>
        <w:jc w:val="both"/>
        <w:rPr>
          <w:i/>
          <w:lang w:val="lt-LT"/>
        </w:rPr>
      </w:pPr>
      <w:r w:rsidRPr="00B0468F">
        <w:rPr>
          <w:i/>
          <w:lang w:val="lt-LT"/>
        </w:rPr>
        <w:lastRenderedPageBreak/>
        <w:t>a Pripažinta, kad tai svarbiausi reiškiniai, kurie apibūdinami pagal miokardo infarktu sergančių pacientų trombolizės (angl</w:t>
      </w:r>
      <w:r w:rsidR="007E12B3" w:rsidRPr="00B0468F">
        <w:rPr>
          <w:i/>
          <w:lang w:val="lt-LT"/>
        </w:rPr>
        <w:t>.</w:t>
      </w:r>
      <w:r w:rsidRPr="00B0468F">
        <w:rPr>
          <w:i/>
          <w:lang w:val="lt-LT"/>
        </w:rPr>
        <w:t xml:space="preserve"> the Thrombolysis in Myocardial Infarction</w:t>
      </w:r>
      <w:r w:rsidR="007E12B3" w:rsidRPr="00B0468F">
        <w:rPr>
          <w:i/>
          <w:lang w:val="lt-LT"/>
        </w:rPr>
        <w:t xml:space="preserve">, </w:t>
      </w:r>
      <w:r w:rsidRPr="00B0468F">
        <w:rPr>
          <w:i/>
          <w:lang w:val="lt-LT"/>
        </w:rPr>
        <w:t>TIMI</w:t>
      </w:r>
      <w:r w:rsidR="007E12B3" w:rsidRPr="00B0468F">
        <w:rPr>
          <w:i/>
          <w:lang w:val="lt-LT"/>
        </w:rPr>
        <w:t>)</w:t>
      </w:r>
      <w:r w:rsidRPr="00B0468F">
        <w:rPr>
          <w:i/>
          <w:lang w:val="lt-LT"/>
        </w:rPr>
        <w:t xml:space="preserve"> tiriamosios grupės kriterijus.</w:t>
      </w:r>
    </w:p>
    <w:p w14:paraId="6413B3A2" w14:textId="77777777" w:rsidR="004F64C8" w:rsidRPr="00B0468F" w:rsidRDefault="004F64C8" w:rsidP="00B0468F">
      <w:pPr>
        <w:widowControl w:val="0"/>
        <w:autoSpaceDE w:val="0"/>
        <w:autoSpaceDN w:val="0"/>
        <w:adjustRightInd w:val="0"/>
        <w:spacing w:line="240" w:lineRule="auto"/>
        <w:ind w:right="566"/>
        <w:jc w:val="both"/>
        <w:rPr>
          <w:i/>
          <w:lang w:val="lt-LT"/>
        </w:rPr>
      </w:pPr>
      <w:r w:rsidRPr="00B0468F">
        <w:rPr>
          <w:i/>
          <w:lang w:val="lt-LT"/>
        </w:rPr>
        <w:t>b Jeigu tiko, buvo taikytas kitoks įprastinis gydymas.</w:t>
      </w:r>
    </w:p>
    <w:p w14:paraId="62DF2DD5" w14:textId="77777777" w:rsidR="004F64C8" w:rsidRPr="00B0468F" w:rsidRDefault="004F64C8" w:rsidP="00B0468F">
      <w:pPr>
        <w:widowControl w:val="0"/>
        <w:autoSpaceDE w:val="0"/>
        <w:autoSpaceDN w:val="0"/>
        <w:adjustRightInd w:val="0"/>
        <w:spacing w:line="240" w:lineRule="auto"/>
        <w:ind w:right="566"/>
        <w:jc w:val="both"/>
        <w:rPr>
          <w:i/>
          <w:lang w:val="lt-LT"/>
        </w:rPr>
      </w:pPr>
      <w:r w:rsidRPr="00B0468F">
        <w:rPr>
          <w:i/>
          <w:lang w:val="lt-LT"/>
        </w:rPr>
        <w:t>c Bet kuris intrakranijinis kraujavimas ar bet kuris kliniškai reikšmingas kraujavimas, susijęs su hemoglobino koncentracijos sumažėjimu ≥ 5 g/dl.</w:t>
      </w:r>
    </w:p>
    <w:p w14:paraId="26EE385F" w14:textId="77777777" w:rsidR="004F64C8" w:rsidRPr="00B0468F" w:rsidRDefault="004F64C8" w:rsidP="00B0468F">
      <w:pPr>
        <w:widowControl w:val="0"/>
        <w:autoSpaceDE w:val="0"/>
        <w:autoSpaceDN w:val="0"/>
        <w:adjustRightInd w:val="0"/>
        <w:spacing w:line="240" w:lineRule="auto"/>
        <w:ind w:right="566"/>
        <w:jc w:val="both"/>
        <w:rPr>
          <w:i/>
          <w:lang w:val="lt-LT"/>
        </w:rPr>
      </w:pPr>
      <w:r w:rsidRPr="00B0468F">
        <w:rPr>
          <w:i/>
          <w:lang w:val="lt-LT"/>
        </w:rPr>
        <w:t>d Gyvybei pavojingas kraujavimas yra masyvaus kraujavimo pagal TIMI poaibis ir apima toliau išvardytus tipus. Pacientai gali būti suskaičiuoti daugiau kaip vienoje eilutėje.</w:t>
      </w:r>
    </w:p>
    <w:p w14:paraId="1BF54EE2" w14:textId="77777777" w:rsidR="004F64C8" w:rsidRPr="00B0468F" w:rsidRDefault="004F64C8" w:rsidP="00B0468F">
      <w:pPr>
        <w:widowControl w:val="0"/>
        <w:autoSpaceDE w:val="0"/>
        <w:autoSpaceDN w:val="0"/>
        <w:adjustRightInd w:val="0"/>
        <w:spacing w:line="240" w:lineRule="auto"/>
        <w:ind w:right="566"/>
        <w:jc w:val="both"/>
        <w:rPr>
          <w:i/>
          <w:lang w:val="lt-LT"/>
        </w:rPr>
      </w:pPr>
      <w:r w:rsidRPr="00B0468F">
        <w:rPr>
          <w:i/>
          <w:lang w:val="lt-LT"/>
        </w:rPr>
        <w:t>e IKK = intrakranijinis kraujavimas.</w:t>
      </w:r>
    </w:p>
    <w:p w14:paraId="2CDFFAAF" w14:textId="77777777" w:rsidR="004F64C8" w:rsidRPr="00B0468F" w:rsidRDefault="004F64C8" w:rsidP="00B0468F">
      <w:pPr>
        <w:widowControl w:val="0"/>
        <w:autoSpaceDE w:val="0"/>
        <w:autoSpaceDN w:val="0"/>
        <w:adjustRightInd w:val="0"/>
        <w:spacing w:line="240" w:lineRule="auto"/>
        <w:ind w:right="566"/>
        <w:jc w:val="both"/>
        <w:rPr>
          <w:i/>
          <w:lang w:val="lt-LT"/>
        </w:rPr>
      </w:pPr>
      <w:r w:rsidRPr="00B0468F">
        <w:rPr>
          <w:i/>
          <w:lang w:val="lt-LT"/>
        </w:rPr>
        <w:t>f Kliniškai reikšmingas kraujavimas, susijęs su hemoglobino koncentracijos sumažėjimu ≥ 3 g/dl, bet &lt; 5 g/dl.</w:t>
      </w:r>
    </w:p>
    <w:p w14:paraId="27A0E976" w14:textId="77777777" w:rsidR="004F64C8" w:rsidRPr="00B0468F" w:rsidRDefault="004F64C8" w:rsidP="00B0468F">
      <w:pPr>
        <w:widowControl w:val="0"/>
        <w:autoSpaceDE w:val="0"/>
        <w:autoSpaceDN w:val="0"/>
        <w:adjustRightInd w:val="0"/>
        <w:spacing w:line="240" w:lineRule="auto"/>
        <w:ind w:right="566"/>
        <w:jc w:val="both"/>
        <w:rPr>
          <w:lang w:val="lt-LT"/>
        </w:rPr>
      </w:pPr>
    </w:p>
    <w:p w14:paraId="63291E32" w14:textId="77777777" w:rsidR="004F64C8" w:rsidRPr="00B0468F" w:rsidRDefault="004F64C8" w:rsidP="00B0468F">
      <w:pPr>
        <w:widowControl w:val="0"/>
        <w:autoSpaceDE w:val="0"/>
        <w:autoSpaceDN w:val="0"/>
        <w:adjustRightInd w:val="0"/>
        <w:spacing w:line="240" w:lineRule="auto"/>
        <w:ind w:right="566"/>
        <w:jc w:val="both"/>
        <w:rPr>
          <w:i/>
          <w:u w:val="single"/>
          <w:lang w:val="lt-LT"/>
        </w:rPr>
      </w:pPr>
      <w:r w:rsidRPr="00B0468F">
        <w:rPr>
          <w:i/>
          <w:u w:val="single"/>
          <w:lang w:val="lt-LT"/>
        </w:rPr>
        <w:t>75 metų ir vyresni pacientai</w:t>
      </w:r>
    </w:p>
    <w:p w14:paraId="3B784532" w14:textId="77777777" w:rsidR="004E69EB" w:rsidRPr="00B0468F" w:rsidRDefault="004F64C8" w:rsidP="00B0468F">
      <w:pPr>
        <w:widowControl w:val="0"/>
        <w:autoSpaceDE w:val="0"/>
        <w:autoSpaceDN w:val="0"/>
        <w:adjustRightInd w:val="0"/>
        <w:spacing w:line="240" w:lineRule="auto"/>
        <w:ind w:right="566"/>
        <w:jc w:val="both"/>
        <w:rPr>
          <w:lang w:val="lt-LT"/>
        </w:rPr>
      </w:pPr>
      <w:r w:rsidRPr="00B0468F">
        <w:rPr>
          <w:lang w:val="lt-LT"/>
        </w:rPr>
        <w:t>Su TVAŠ nesusijusio masyvaus ar nedidelio kraujavimo pagal TIMI dažnis</w:t>
      </w:r>
    </w:p>
    <w:p w14:paraId="100371A0" w14:textId="77777777" w:rsidR="005A3497" w:rsidRPr="00B0468F" w:rsidRDefault="005A3497" w:rsidP="00B0468F">
      <w:pPr>
        <w:widowControl w:val="0"/>
        <w:autoSpaceDE w:val="0"/>
        <w:autoSpaceDN w:val="0"/>
        <w:adjustRightInd w:val="0"/>
        <w:spacing w:line="240" w:lineRule="auto"/>
        <w:ind w:right="566"/>
        <w:jc w:val="both"/>
        <w:rPr>
          <w:lang w:val="lt-LT"/>
        </w:rPr>
      </w:pPr>
    </w:p>
    <w:tbl>
      <w:tblPr>
        <w:tblW w:w="829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37"/>
        <w:gridCol w:w="2819"/>
        <w:gridCol w:w="2736"/>
      </w:tblGrid>
      <w:tr w:rsidR="005A3497" w:rsidRPr="00217AE9" w14:paraId="453D2EF3" w14:textId="77777777" w:rsidTr="00B0468F">
        <w:tc>
          <w:tcPr>
            <w:tcW w:w="1650" w:type="pct"/>
            <w:tcBorders>
              <w:top w:val="outset" w:sz="6" w:space="0" w:color="auto"/>
              <w:left w:val="outset" w:sz="6" w:space="0" w:color="auto"/>
              <w:bottom w:val="outset" w:sz="6" w:space="0" w:color="auto"/>
              <w:right w:val="outset" w:sz="6" w:space="0" w:color="auto"/>
            </w:tcBorders>
            <w:hideMark/>
          </w:tcPr>
          <w:p w14:paraId="6F2AAE29" w14:textId="77777777" w:rsidR="005A3497" w:rsidRPr="005350AF" w:rsidRDefault="00FE785C" w:rsidP="00B0468F">
            <w:pPr>
              <w:widowControl w:val="0"/>
              <w:spacing w:line="240" w:lineRule="auto"/>
              <w:ind w:right="566"/>
              <w:jc w:val="center"/>
              <w:rPr>
                <w:lang w:val="en-US"/>
              </w:rPr>
            </w:pPr>
            <w:r w:rsidRPr="005350AF">
              <w:rPr>
                <w:lang w:val="en-US"/>
              </w:rPr>
              <w:t>Amžius</w:t>
            </w:r>
          </w:p>
        </w:tc>
        <w:tc>
          <w:tcPr>
            <w:tcW w:w="1700" w:type="pct"/>
            <w:tcBorders>
              <w:top w:val="outset" w:sz="6" w:space="0" w:color="auto"/>
              <w:left w:val="outset" w:sz="6" w:space="0" w:color="auto"/>
              <w:bottom w:val="outset" w:sz="6" w:space="0" w:color="auto"/>
              <w:right w:val="outset" w:sz="6" w:space="0" w:color="auto"/>
            </w:tcBorders>
            <w:hideMark/>
          </w:tcPr>
          <w:p w14:paraId="53684D16" w14:textId="77777777" w:rsidR="005A3497" w:rsidRPr="005350AF" w:rsidRDefault="00FE785C" w:rsidP="00B0468F">
            <w:pPr>
              <w:widowControl w:val="0"/>
              <w:spacing w:line="240" w:lineRule="auto"/>
              <w:ind w:right="566"/>
              <w:jc w:val="center"/>
              <w:rPr>
                <w:lang w:val="en-US"/>
              </w:rPr>
            </w:pPr>
            <w:r w:rsidRPr="005350AF">
              <w:rPr>
                <w:b/>
                <w:lang w:val="en-US"/>
              </w:rPr>
              <w:t>10 mg</w:t>
            </w:r>
            <w:r w:rsidRPr="005350AF">
              <w:rPr>
                <w:lang w:val="en-US"/>
              </w:rPr>
              <w:t xml:space="preserve"> Praz</w:t>
            </w:r>
            <w:r w:rsidR="005A3497" w:rsidRPr="005350AF">
              <w:rPr>
                <w:lang w:val="en-US"/>
              </w:rPr>
              <w:t>ugrel</w:t>
            </w:r>
            <w:r w:rsidRPr="005350AF">
              <w:rPr>
                <w:lang w:val="en-US"/>
              </w:rPr>
              <w:t>io</w:t>
            </w:r>
          </w:p>
        </w:tc>
        <w:tc>
          <w:tcPr>
            <w:tcW w:w="1650" w:type="pct"/>
            <w:tcBorders>
              <w:top w:val="outset" w:sz="6" w:space="0" w:color="auto"/>
              <w:left w:val="outset" w:sz="6" w:space="0" w:color="auto"/>
              <w:bottom w:val="outset" w:sz="6" w:space="0" w:color="auto"/>
              <w:right w:val="outset" w:sz="6" w:space="0" w:color="auto"/>
            </w:tcBorders>
            <w:hideMark/>
          </w:tcPr>
          <w:p w14:paraId="636217F0" w14:textId="77777777" w:rsidR="005A3497" w:rsidRPr="005350AF" w:rsidRDefault="00FE785C" w:rsidP="00B0468F">
            <w:pPr>
              <w:widowControl w:val="0"/>
              <w:spacing w:line="240" w:lineRule="auto"/>
              <w:ind w:right="566"/>
              <w:jc w:val="center"/>
              <w:rPr>
                <w:lang w:val="en-US"/>
              </w:rPr>
            </w:pPr>
            <w:r w:rsidRPr="005350AF">
              <w:rPr>
                <w:lang w:val="en-US"/>
              </w:rPr>
              <w:t>75 mg k</w:t>
            </w:r>
            <w:r w:rsidR="005A3497" w:rsidRPr="005350AF">
              <w:rPr>
                <w:lang w:val="en-US"/>
              </w:rPr>
              <w:t>lopidogrel</w:t>
            </w:r>
            <w:r w:rsidRPr="005350AF">
              <w:rPr>
                <w:lang w:val="en-US"/>
              </w:rPr>
              <w:t>io</w:t>
            </w:r>
          </w:p>
        </w:tc>
      </w:tr>
      <w:tr w:rsidR="005A3497" w:rsidRPr="00217AE9" w14:paraId="72DCE0CD" w14:textId="77777777" w:rsidTr="00B0468F">
        <w:tc>
          <w:tcPr>
            <w:tcW w:w="1650" w:type="pct"/>
            <w:tcBorders>
              <w:top w:val="outset" w:sz="6" w:space="0" w:color="auto"/>
              <w:left w:val="outset" w:sz="6" w:space="0" w:color="auto"/>
              <w:bottom w:val="outset" w:sz="6" w:space="0" w:color="auto"/>
              <w:right w:val="outset" w:sz="6" w:space="0" w:color="auto"/>
            </w:tcBorders>
            <w:hideMark/>
          </w:tcPr>
          <w:p w14:paraId="573EF52C" w14:textId="56ABCD6C" w:rsidR="005A3497" w:rsidRPr="005350AF" w:rsidRDefault="005A3497" w:rsidP="00B0468F">
            <w:pPr>
              <w:widowControl w:val="0"/>
              <w:spacing w:line="240" w:lineRule="auto"/>
              <w:ind w:right="566"/>
              <w:jc w:val="center"/>
              <w:rPr>
                <w:lang w:val="en-US"/>
              </w:rPr>
            </w:pPr>
            <w:r w:rsidRPr="005350AF">
              <w:rPr>
                <w:b/>
                <w:lang w:val="en-US"/>
              </w:rPr>
              <w:t>≥ </w:t>
            </w:r>
            <w:r w:rsidR="00046674" w:rsidRPr="005350AF">
              <w:rPr>
                <w:lang w:val="en-US"/>
              </w:rPr>
              <w:t>75 metų</w:t>
            </w:r>
            <w:r w:rsidRPr="005350AF">
              <w:rPr>
                <w:lang w:val="en-US"/>
              </w:rPr>
              <w:t xml:space="preserve"> (N</w:t>
            </w:r>
            <w:r w:rsidR="00C5467E">
              <w:rPr>
                <w:lang w:val="en-US"/>
              </w:rPr>
              <w:t> </w:t>
            </w:r>
            <w:r w:rsidRPr="005350AF">
              <w:rPr>
                <w:lang w:val="en-US"/>
              </w:rPr>
              <w:t>=</w:t>
            </w:r>
            <w:r w:rsidR="00C5467E">
              <w:rPr>
                <w:lang w:val="en-US"/>
              </w:rPr>
              <w:t> </w:t>
            </w:r>
            <w:r w:rsidRPr="005350AF">
              <w:rPr>
                <w:lang w:val="en-US"/>
              </w:rPr>
              <w:t>1785)*</w:t>
            </w:r>
          </w:p>
        </w:tc>
        <w:tc>
          <w:tcPr>
            <w:tcW w:w="1700" w:type="pct"/>
            <w:tcBorders>
              <w:top w:val="outset" w:sz="6" w:space="0" w:color="auto"/>
              <w:left w:val="outset" w:sz="6" w:space="0" w:color="auto"/>
              <w:bottom w:val="outset" w:sz="6" w:space="0" w:color="auto"/>
              <w:right w:val="outset" w:sz="6" w:space="0" w:color="auto"/>
            </w:tcBorders>
            <w:hideMark/>
          </w:tcPr>
          <w:p w14:paraId="25506B1C" w14:textId="77777777" w:rsidR="005A3497" w:rsidRPr="005350AF" w:rsidRDefault="002155CE" w:rsidP="00B0468F">
            <w:pPr>
              <w:widowControl w:val="0"/>
              <w:spacing w:line="240" w:lineRule="auto"/>
              <w:ind w:right="566"/>
              <w:jc w:val="center"/>
              <w:rPr>
                <w:lang w:val="en-US"/>
              </w:rPr>
            </w:pPr>
            <w:r w:rsidRPr="005350AF">
              <w:rPr>
                <w:lang w:val="en-US"/>
              </w:rPr>
              <w:t>9,0% (1.0% mirtinas</w:t>
            </w:r>
            <w:r w:rsidR="005A3497" w:rsidRPr="005350AF">
              <w:rPr>
                <w:lang w:val="en-US"/>
              </w:rPr>
              <w:t>)</w:t>
            </w:r>
          </w:p>
        </w:tc>
        <w:tc>
          <w:tcPr>
            <w:tcW w:w="1650" w:type="pct"/>
            <w:tcBorders>
              <w:top w:val="outset" w:sz="6" w:space="0" w:color="auto"/>
              <w:left w:val="outset" w:sz="6" w:space="0" w:color="auto"/>
              <w:bottom w:val="outset" w:sz="6" w:space="0" w:color="auto"/>
              <w:right w:val="outset" w:sz="6" w:space="0" w:color="auto"/>
            </w:tcBorders>
            <w:hideMark/>
          </w:tcPr>
          <w:p w14:paraId="1929C7A6" w14:textId="77777777" w:rsidR="005A3497" w:rsidRPr="005350AF" w:rsidRDefault="002A36D7" w:rsidP="00B0468F">
            <w:pPr>
              <w:widowControl w:val="0"/>
              <w:spacing w:line="240" w:lineRule="auto"/>
              <w:ind w:right="566"/>
              <w:jc w:val="center"/>
              <w:rPr>
                <w:lang w:val="en-US"/>
              </w:rPr>
            </w:pPr>
            <w:r w:rsidRPr="005350AF">
              <w:rPr>
                <w:lang w:val="en-US"/>
              </w:rPr>
              <w:t>6,9% (0.1% mirtinas</w:t>
            </w:r>
            <w:r w:rsidR="005A3497" w:rsidRPr="005350AF">
              <w:rPr>
                <w:lang w:val="en-US"/>
              </w:rPr>
              <w:t>)</w:t>
            </w:r>
          </w:p>
        </w:tc>
      </w:tr>
      <w:tr w:rsidR="005A3497" w:rsidRPr="00217AE9" w14:paraId="6285C8D5" w14:textId="77777777" w:rsidTr="00B0468F">
        <w:tc>
          <w:tcPr>
            <w:tcW w:w="1650" w:type="pct"/>
            <w:tcBorders>
              <w:top w:val="outset" w:sz="6" w:space="0" w:color="auto"/>
              <w:left w:val="outset" w:sz="6" w:space="0" w:color="auto"/>
              <w:bottom w:val="outset" w:sz="6" w:space="0" w:color="auto"/>
              <w:right w:val="outset" w:sz="6" w:space="0" w:color="auto"/>
            </w:tcBorders>
            <w:hideMark/>
          </w:tcPr>
          <w:p w14:paraId="1EA90CD7" w14:textId="17F49050" w:rsidR="005A3497" w:rsidRPr="005350AF" w:rsidRDefault="005A3497" w:rsidP="00B0468F">
            <w:pPr>
              <w:widowControl w:val="0"/>
              <w:spacing w:line="240" w:lineRule="auto"/>
              <w:ind w:right="566"/>
              <w:jc w:val="center"/>
              <w:rPr>
                <w:lang w:val="en-US"/>
              </w:rPr>
            </w:pPr>
            <w:r w:rsidRPr="005350AF">
              <w:rPr>
                <w:lang w:val="en-US"/>
              </w:rPr>
              <w:t>&lt; </w:t>
            </w:r>
            <w:r w:rsidR="00046674" w:rsidRPr="005350AF">
              <w:rPr>
                <w:lang w:val="en-US"/>
              </w:rPr>
              <w:t>75 metų</w:t>
            </w:r>
            <w:r w:rsidRPr="005350AF">
              <w:rPr>
                <w:lang w:val="en-US"/>
              </w:rPr>
              <w:t xml:space="preserve"> (N</w:t>
            </w:r>
            <w:r w:rsidR="00C5467E">
              <w:rPr>
                <w:lang w:val="en-US"/>
              </w:rPr>
              <w:t> </w:t>
            </w:r>
            <w:r w:rsidRPr="005350AF">
              <w:rPr>
                <w:lang w:val="en-US"/>
              </w:rPr>
              <w:t>=</w:t>
            </w:r>
            <w:r w:rsidR="00C5467E">
              <w:rPr>
                <w:lang w:val="en-US"/>
              </w:rPr>
              <w:t> </w:t>
            </w:r>
            <w:r w:rsidRPr="005350AF">
              <w:rPr>
                <w:lang w:val="en-US"/>
              </w:rPr>
              <w:t>11672)*</w:t>
            </w:r>
          </w:p>
        </w:tc>
        <w:tc>
          <w:tcPr>
            <w:tcW w:w="1700" w:type="pct"/>
            <w:tcBorders>
              <w:top w:val="outset" w:sz="6" w:space="0" w:color="auto"/>
              <w:left w:val="outset" w:sz="6" w:space="0" w:color="auto"/>
              <w:bottom w:val="outset" w:sz="6" w:space="0" w:color="auto"/>
              <w:right w:val="outset" w:sz="6" w:space="0" w:color="auto"/>
            </w:tcBorders>
            <w:hideMark/>
          </w:tcPr>
          <w:p w14:paraId="565E4B07" w14:textId="77777777" w:rsidR="005A3497" w:rsidRPr="005350AF" w:rsidRDefault="002155CE" w:rsidP="00B0468F">
            <w:pPr>
              <w:widowControl w:val="0"/>
              <w:spacing w:line="240" w:lineRule="auto"/>
              <w:ind w:right="566"/>
              <w:jc w:val="center"/>
              <w:rPr>
                <w:lang w:val="en-US"/>
              </w:rPr>
            </w:pPr>
            <w:r w:rsidRPr="005350AF">
              <w:rPr>
                <w:lang w:val="en-US"/>
              </w:rPr>
              <w:t>3,8% (0,2% mirtinas</w:t>
            </w:r>
            <w:r w:rsidR="005A3497" w:rsidRPr="005350AF">
              <w:rPr>
                <w:lang w:val="en-US"/>
              </w:rPr>
              <w:t>)</w:t>
            </w:r>
          </w:p>
        </w:tc>
        <w:tc>
          <w:tcPr>
            <w:tcW w:w="1650" w:type="pct"/>
            <w:tcBorders>
              <w:top w:val="outset" w:sz="6" w:space="0" w:color="auto"/>
              <w:left w:val="outset" w:sz="6" w:space="0" w:color="auto"/>
              <w:bottom w:val="outset" w:sz="6" w:space="0" w:color="auto"/>
              <w:right w:val="outset" w:sz="6" w:space="0" w:color="auto"/>
            </w:tcBorders>
            <w:hideMark/>
          </w:tcPr>
          <w:p w14:paraId="7A712AD9" w14:textId="77777777" w:rsidR="005A3497" w:rsidRPr="005350AF" w:rsidRDefault="002A36D7" w:rsidP="00B0468F">
            <w:pPr>
              <w:widowControl w:val="0"/>
              <w:spacing w:line="240" w:lineRule="auto"/>
              <w:ind w:right="566"/>
              <w:jc w:val="center"/>
              <w:rPr>
                <w:lang w:val="en-US"/>
              </w:rPr>
            </w:pPr>
            <w:r w:rsidRPr="005350AF">
              <w:rPr>
                <w:lang w:val="en-US"/>
              </w:rPr>
              <w:t>2,9% (0,1% mirtinas</w:t>
            </w:r>
            <w:r w:rsidR="005A3497" w:rsidRPr="005350AF">
              <w:rPr>
                <w:lang w:val="en-US"/>
              </w:rPr>
              <w:t>)</w:t>
            </w:r>
          </w:p>
        </w:tc>
      </w:tr>
      <w:tr w:rsidR="005A3497" w:rsidRPr="00217AE9" w14:paraId="42A0ED2E" w14:textId="77777777" w:rsidTr="00B0468F">
        <w:tc>
          <w:tcPr>
            <w:tcW w:w="1650" w:type="pct"/>
            <w:tcBorders>
              <w:top w:val="outset" w:sz="6" w:space="0" w:color="auto"/>
              <w:left w:val="outset" w:sz="6" w:space="0" w:color="auto"/>
              <w:bottom w:val="outset" w:sz="6" w:space="0" w:color="auto"/>
              <w:right w:val="outset" w:sz="6" w:space="0" w:color="auto"/>
            </w:tcBorders>
            <w:hideMark/>
          </w:tcPr>
          <w:p w14:paraId="417672EA" w14:textId="1C510C01" w:rsidR="005A3497" w:rsidRPr="005350AF" w:rsidRDefault="005A3497" w:rsidP="00B0468F">
            <w:pPr>
              <w:widowControl w:val="0"/>
              <w:spacing w:line="240" w:lineRule="auto"/>
              <w:ind w:right="566"/>
              <w:jc w:val="center"/>
              <w:rPr>
                <w:lang w:val="en-US"/>
              </w:rPr>
            </w:pPr>
            <w:r w:rsidRPr="005350AF">
              <w:rPr>
                <w:lang w:val="en-US"/>
              </w:rPr>
              <w:t>&lt; </w:t>
            </w:r>
            <w:r w:rsidR="00DB0A2D" w:rsidRPr="005350AF">
              <w:rPr>
                <w:lang w:val="en-US"/>
              </w:rPr>
              <w:t>75 metų</w:t>
            </w:r>
            <w:r w:rsidRPr="005350AF">
              <w:rPr>
                <w:lang w:val="en-US"/>
              </w:rPr>
              <w:t xml:space="preserve"> (N</w:t>
            </w:r>
            <w:r w:rsidR="00C5467E">
              <w:rPr>
                <w:lang w:val="en-US"/>
              </w:rPr>
              <w:t> </w:t>
            </w:r>
            <w:r w:rsidRPr="005350AF">
              <w:rPr>
                <w:lang w:val="en-US"/>
              </w:rPr>
              <w:t>=</w:t>
            </w:r>
            <w:r w:rsidR="00C5467E">
              <w:rPr>
                <w:lang w:val="en-US"/>
              </w:rPr>
              <w:t> </w:t>
            </w:r>
            <w:r w:rsidRPr="005350AF">
              <w:rPr>
                <w:lang w:val="en-US"/>
              </w:rPr>
              <w:t>7180)**</w:t>
            </w:r>
          </w:p>
        </w:tc>
        <w:tc>
          <w:tcPr>
            <w:tcW w:w="1700" w:type="pct"/>
            <w:tcBorders>
              <w:top w:val="outset" w:sz="6" w:space="0" w:color="auto"/>
              <w:left w:val="outset" w:sz="6" w:space="0" w:color="auto"/>
              <w:bottom w:val="outset" w:sz="6" w:space="0" w:color="auto"/>
              <w:right w:val="outset" w:sz="6" w:space="0" w:color="auto"/>
            </w:tcBorders>
            <w:hideMark/>
          </w:tcPr>
          <w:p w14:paraId="7823452F" w14:textId="77777777" w:rsidR="005A3497" w:rsidRPr="005350AF" w:rsidRDefault="002155CE" w:rsidP="00B0468F">
            <w:pPr>
              <w:widowControl w:val="0"/>
              <w:spacing w:line="240" w:lineRule="auto"/>
              <w:ind w:right="566"/>
              <w:jc w:val="center"/>
              <w:rPr>
                <w:lang w:val="en-US"/>
              </w:rPr>
            </w:pPr>
            <w:r w:rsidRPr="005350AF">
              <w:rPr>
                <w:lang w:val="en-US"/>
              </w:rPr>
              <w:t>2,0% (0,1% mirtinas</w:t>
            </w:r>
            <w:r w:rsidR="005A3497" w:rsidRPr="005350AF">
              <w:rPr>
                <w:lang w:val="en-US"/>
              </w:rPr>
              <w:t xml:space="preserve">) </w:t>
            </w:r>
            <w:r w:rsidR="005A3497" w:rsidRPr="005350AF">
              <w:rPr>
                <w:vertAlign w:val="superscript"/>
                <w:lang w:val="en-US"/>
              </w:rPr>
              <w:t>a</w:t>
            </w:r>
          </w:p>
        </w:tc>
        <w:tc>
          <w:tcPr>
            <w:tcW w:w="1650" w:type="pct"/>
            <w:tcBorders>
              <w:top w:val="outset" w:sz="6" w:space="0" w:color="auto"/>
              <w:left w:val="outset" w:sz="6" w:space="0" w:color="auto"/>
              <w:bottom w:val="outset" w:sz="6" w:space="0" w:color="auto"/>
              <w:right w:val="outset" w:sz="6" w:space="0" w:color="auto"/>
            </w:tcBorders>
            <w:hideMark/>
          </w:tcPr>
          <w:p w14:paraId="7C221588" w14:textId="77777777" w:rsidR="005A3497" w:rsidRPr="005350AF" w:rsidRDefault="002A36D7" w:rsidP="00B0468F">
            <w:pPr>
              <w:widowControl w:val="0"/>
              <w:spacing w:line="240" w:lineRule="auto"/>
              <w:ind w:right="566"/>
              <w:jc w:val="center"/>
              <w:rPr>
                <w:lang w:val="en-US"/>
              </w:rPr>
            </w:pPr>
            <w:r w:rsidRPr="005350AF">
              <w:rPr>
                <w:lang w:val="en-US"/>
              </w:rPr>
              <w:t>1,3% (0,1% mirtinas</w:t>
            </w:r>
            <w:r w:rsidR="005A3497" w:rsidRPr="005350AF">
              <w:rPr>
                <w:lang w:val="en-US"/>
              </w:rPr>
              <w:t>)</w:t>
            </w:r>
          </w:p>
        </w:tc>
      </w:tr>
      <w:tr w:rsidR="005A3497" w:rsidRPr="00217AE9" w14:paraId="2AEFE8BB" w14:textId="77777777" w:rsidTr="00B0468F">
        <w:tc>
          <w:tcPr>
            <w:tcW w:w="1650" w:type="pct"/>
            <w:tcBorders>
              <w:top w:val="outset" w:sz="6" w:space="0" w:color="auto"/>
              <w:left w:val="outset" w:sz="6" w:space="0" w:color="auto"/>
              <w:bottom w:val="outset" w:sz="6" w:space="0" w:color="auto"/>
              <w:right w:val="outset" w:sz="6" w:space="0" w:color="auto"/>
            </w:tcBorders>
            <w:hideMark/>
          </w:tcPr>
          <w:p w14:paraId="32B7D168" w14:textId="77777777" w:rsidR="005A3497" w:rsidRPr="005350AF" w:rsidRDefault="005A3497" w:rsidP="00B0468F">
            <w:pPr>
              <w:widowControl w:val="0"/>
              <w:spacing w:line="240" w:lineRule="auto"/>
              <w:ind w:right="566"/>
              <w:jc w:val="center"/>
              <w:rPr>
                <w:lang w:val="en-US"/>
              </w:rPr>
            </w:pPr>
          </w:p>
        </w:tc>
        <w:tc>
          <w:tcPr>
            <w:tcW w:w="1700" w:type="pct"/>
            <w:tcBorders>
              <w:top w:val="outset" w:sz="6" w:space="0" w:color="auto"/>
              <w:left w:val="outset" w:sz="6" w:space="0" w:color="auto"/>
              <w:bottom w:val="outset" w:sz="6" w:space="0" w:color="auto"/>
              <w:right w:val="outset" w:sz="6" w:space="0" w:color="auto"/>
            </w:tcBorders>
            <w:hideMark/>
          </w:tcPr>
          <w:p w14:paraId="50E95880" w14:textId="77777777" w:rsidR="005A3497" w:rsidRPr="005350AF" w:rsidRDefault="005A3497" w:rsidP="00B0468F">
            <w:pPr>
              <w:widowControl w:val="0"/>
              <w:spacing w:line="240" w:lineRule="auto"/>
              <w:ind w:right="566"/>
              <w:jc w:val="center"/>
              <w:rPr>
                <w:lang w:val="en-US"/>
              </w:rPr>
            </w:pPr>
            <w:r w:rsidRPr="005350AF">
              <w:rPr>
                <w:b/>
                <w:lang w:val="en-US"/>
              </w:rPr>
              <w:t>5 mg</w:t>
            </w:r>
            <w:r w:rsidR="004001EF" w:rsidRPr="005350AF">
              <w:rPr>
                <w:b/>
                <w:lang w:val="en-US"/>
              </w:rPr>
              <w:t xml:space="preserve"> </w:t>
            </w:r>
            <w:r w:rsidR="004001EF" w:rsidRPr="005350AF">
              <w:rPr>
                <w:lang w:val="en-US"/>
              </w:rPr>
              <w:t>p</w:t>
            </w:r>
            <w:r w:rsidR="002A36D7" w:rsidRPr="005350AF">
              <w:rPr>
                <w:lang w:val="en-US"/>
              </w:rPr>
              <w:t>r</w:t>
            </w:r>
            <w:r w:rsidR="004001EF" w:rsidRPr="005350AF">
              <w:rPr>
                <w:lang w:val="en-US"/>
              </w:rPr>
              <w:t>azugrelio</w:t>
            </w:r>
          </w:p>
        </w:tc>
        <w:tc>
          <w:tcPr>
            <w:tcW w:w="1650" w:type="pct"/>
            <w:tcBorders>
              <w:top w:val="outset" w:sz="6" w:space="0" w:color="auto"/>
              <w:left w:val="outset" w:sz="6" w:space="0" w:color="auto"/>
              <w:bottom w:val="outset" w:sz="6" w:space="0" w:color="auto"/>
              <w:right w:val="outset" w:sz="6" w:space="0" w:color="auto"/>
            </w:tcBorders>
            <w:hideMark/>
          </w:tcPr>
          <w:p w14:paraId="22F4F88C" w14:textId="77777777" w:rsidR="005A3497" w:rsidRPr="005350AF" w:rsidRDefault="00B27DA9" w:rsidP="00B0468F">
            <w:pPr>
              <w:widowControl w:val="0"/>
              <w:spacing w:line="240" w:lineRule="auto"/>
              <w:ind w:right="566"/>
              <w:jc w:val="center"/>
              <w:rPr>
                <w:lang w:val="en-US"/>
              </w:rPr>
            </w:pPr>
            <w:r w:rsidRPr="005350AF">
              <w:rPr>
                <w:lang w:val="en-US"/>
              </w:rPr>
              <w:t>75 mg klopidogrelio</w:t>
            </w:r>
          </w:p>
        </w:tc>
      </w:tr>
      <w:tr w:rsidR="005A3497" w:rsidRPr="00217AE9" w14:paraId="0F03FB5B" w14:textId="77777777" w:rsidTr="00B0468F">
        <w:tc>
          <w:tcPr>
            <w:tcW w:w="1650" w:type="pct"/>
            <w:tcBorders>
              <w:top w:val="outset" w:sz="6" w:space="0" w:color="auto"/>
              <w:left w:val="outset" w:sz="6" w:space="0" w:color="auto"/>
              <w:bottom w:val="outset" w:sz="6" w:space="0" w:color="auto"/>
              <w:right w:val="outset" w:sz="6" w:space="0" w:color="auto"/>
            </w:tcBorders>
            <w:hideMark/>
          </w:tcPr>
          <w:p w14:paraId="50C0078E" w14:textId="6C464C04" w:rsidR="005A3497" w:rsidRPr="005350AF" w:rsidRDefault="005A3497" w:rsidP="00B0468F">
            <w:pPr>
              <w:widowControl w:val="0"/>
              <w:spacing w:line="240" w:lineRule="auto"/>
              <w:ind w:right="566"/>
              <w:jc w:val="center"/>
              <w:rPr>
                <w:lang w:val="en-US"/>
              </w:rPr>
            </w:pPr>
            <w:r w:rsidRPr="005350AF">
              <w:rPr>
                <w:lang w:val="en-US"/>
              </w:rPr>
              <w:t>≥ </w:t>
            </w:r>
            <w:r w:rsidR="00DB0A2D" w:rsidRPr="005350AF">
              <w:rPr>
                <w:lang w:val="en-US"/>
              </w:rPr>
              <w:t>75 metų</w:t>
            </w:r>
            <w:r w:rsidRPr="005350AF">
              <w:rPr>
                <w:lang w:val="en-US"/>
              </w:rPr>
              <w:t xml:space="preserve"> (N</w:t>
            </w:r>
            <w:r w:rsidR="00C5467E">
              <w:rPr>
                <w:lang w:val="en-US"/>
              </w:rPr>
              <w:t> </w:t>
            </w:r>
            <w:r w:rsidRPr="005350AF">
              <w:rPr>
                <w:lang w:val="en-US"/>
              </w:rPr>
              <w:t>=</w:t>
            </w:r>
            <w:r w:rsidR="00C5467E">
              <w:rPr>
                <w:lang w:val="en-US"/>
              </w:rPr>
              <w:t> </w:t>
            </w:r>
            <w:r w:rsidRPr="005350AF">
              <w:rPr>
                <w:lang w:val="en-US"/>
              </w:rPr>
              <w:t>2060) **</w:t>
            </w:r>
          </w:p>
        </w:tc>
        <w:tc>
          <w:tcPr>
            <w:tcW w:w="1700" w:type="pct"/>
            <w:tcBorders>
              <w:top w:val="outset" w:sz="6" w:space="0" w:color="auto"/>
              <w:left w:val="outset" w:sz="6" w:space="0" w:color="auto"/>
              <w:bottom w:val="outset" w:sz="6" w:space="0" w:color="auto"/>
              <w:right w:val="outset" w:sz="6" w:space="0" w:color="auto"/>
            </w:tcBorders>
            <w:hideMark/>
          </w:tcPr>
          <w:p w14:paraId="71EEA035" w14:textId="77777777" w:rsidR="005A3497" w:rsidRPr="005350AF" w:rsidRDefault="00B56EE6" w:rsidP="00B0468F">
            <w:pPr>
              <w:widowControl w:val="0"/>
              <w:spacing w:line="240" w:lineRule="auto"/>
              <w:ind w:right="566"/>
              <w:jc w:val="center"/>
              <w:rPr>
                <w:lang w:val="en-US"/>
              </w:rPr>
            </w:pPr>
            <w:r w:rsidRPr="005350AF">
              <w:rPr>
                <w:lang w:val="en-US"/>
              </w:rPr>
              <w:t>2,6% (0,3% mirtinas</w:t>
            </w:r>
            <w:r w:rsidR="005A3497" w:rsidRPr="005350AF">
              <w:rPr>
                <w:lang w:val="en-US"/>
              </w:rPr>
              <w:t>)</w:t>
            </w:r>
          </w:p>
        </w:tc>
        <w:tc>
          <w:tcPr>
            <w:tcW w:w="1650" w:type="pct"/>
            <w:tcBorders>
              <w:top w:val="outset" w:sz="6" w:space="0" w:color="auto"/>
              <w:left w:val="outset" w:sz="6" w:space="0" w:color="auto"/>
              <w:bottom w:val="outset" w:sz="6" w:space="0" w:color="auto"/>
              <w:right w:val="outset" w:sz="6" w:space="0" w:color="auto"/>
            </w:tcBorders>
            <w:hideMark/>
          </w:tcPr>
          <w:p w14:paraId="6A851859" w14:textId="77777777" w:rsidR="005A3497" w:rsidRPr="005350AF" w:rsidRDefault="00B27DA9" w:rsidP="00B0468F">
            <w:pPr>
              <w:widowControl w:val="0"/>
              <w:spacing w:line="240" w:lineRule="auto"/>
              <w:ind w:right="566"/>
              <w:jc w:val="center"/>
              <w:rPr>
                <w:lang w:val="en-US"/>
              </w:rPr>
            </w:pPr>
            <w:r w:rsidRPr="005350AF">
              <w:rPr>
                <w:lang w:val="en-US"/>
              </w:rPr>
              <w:t>3,0% (0,5% mirtinas</w:t>
            </w:r>
            <w:r w:rsidR="005A3497" w:rsidRPr="005350AF">
              <w:rPr>
                <w:lang w:val="en-US"/>
              </w:rPr>
              <w:t>)</w:t>
            </w:r>
          </w:p>
        </w:tc>
      </w:tr>
    </w:tbl>
    <w:p w14:paraId="26CE908D" w14:textId="77777777" w:rsidR="00013083" w:rsidRPr="00B0468F" w:rsidRDefault="00013083"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*TRITON tyrimas su ŪKS sergančiais paci</w:t>
      </w:r>
      <w:r w:rsidR="0024521D" w:rsidRPr="00B0468F">
        <w:rPr>
          <w:rFonts w:eastAsia="Calibri"/>
          <w:i/>
          <w:color w:val="000000"/>
          <w:lang w:val="lt-LT"/>
        </w:rPr>
        <w:t>entais, kuriems atliekama PVAP.</w:t>
      </w:r>
    </w:p>
    <w:p w14:paraId="5D8C376E" w14:textId="77777777" w:rsidR="00013083" w:rsidRPr="00B0468F" w:rsidRDefault="00013083"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**TRILOGY-ACS tyrimas su pacientais, kuriems neatliekama PVAP (žr</w:t>
      </w:r>
      <w:r w:rsidR="0024521D" w:rsidRPr="00B0468F">
        <w:rPr>
          <w:rFonts w:eastAsia="Calibri"/>
          <w:i/>
          <w:color w:val="000000"/>
          <w:lang w:val="lt-LT"/>
        </w:rPr>
        <w:t>. 5.1 skyrių):</w:t>
      </w:r>
    </w:p>
    <w:p w14:paraId="6737585E" w14:textId="77777777" w:rsidR="005A3497" w:rsidRPr="00B0468F" w:rsidRDefault="00013083" w:rsidP="00B0468F">
      <w:pPr>
        <w:widowControl w:val="0"/>
        <w:autoSpaceDE w:val="0"/>
        <w:autoSpaceDN w:val="0"/>
        <w:adjustRightInd w:val="0"/>
        <w:spacing w:line="240" w:lineRule="auto"/>
        <w:ind w:right="566"/>
        <w:jc w:val="both"/>
        <w:rPr>
          <w:rFonts w:eastAsia="Calibri"/>
          <w:i/>
          <w:color w:val="000000"/>
          <w:lang w:val="lt-LT"/>
        </w:rPr>
      </w:pPr>
      <w:r w:rsidRPr="00B0468F">
        <w:rPr>
          <w:rFonts w:eastAsia="Calibri"/>
          <w:color w:val="000000"/>
          <w:lang w:val="lt-LT"/>
        </w:rPr>
        <w:t xml:space="preserve">a </w:t>
      </w:r>
      <w:r w:rsidR="0024521D" w:rsidRPr="00B0468F">
        <w:rPr>
          <w:rFonts w:eastAsia="Calibri"/>
          <w:i/>
          <w:color w:val="000000"/>
          <w:lang w:val="lt-LT"/>
        </w:rPr>
        <w:t>10 </w:t>
      </w:r>
      <w:r w:rsidRPr="00B0468F">
        <w:rPr>
          <w:rFonts w:eastAsia="Calibri"/>
          <w:i/>
          <w:color w:val="000000"/>
          <w:lang w:val="lt-LT"/>
        </w:rPr>
        <w:t xml:space="preserve">mg prazugrelio; </w:t>
      </w:r>
      <w:r w:rsidR="0024521D" w:rsidRPr="00B0468F">
        <w:rPr>
          <w:rFonts w:eastAsia="Calibri"/>
          <w:i/>
          <w:color w:val="000000"/>
          <w:lang w:val="lt-LT"/>
        </w:rPr>
        <w:t>5 </w:t>
      </w:r>
      <w:r w:rsidR="001C500B" w:rsidRPr="00B0468F">
        <w:rPr>
          <w:rFonts w:eastAsia="Calibri"/>
          <w:i/>
          <w:color w:val="000000"/>
          <w:lang w:val="lt-LT"/>
        </w:rPr>
        <w:t>mg prazugrelio, jeigu &lt; </w:t>
      </w:r>
      <w:r w:rsidR="0024521D" w:rsidRPr="00B0468F">
        <w:rPr>
          <w:rFonts w:eastAsia="Calibri"/>
          <w:i/>
          <w:color w:val="000000"/>
          <w:lang w:val="lt-LT"/>
        </w:rPr>
        <w:t>60 </w:t>
      </w:r>
      <w:r w:rsidRPr="00B0468F">
        <w:rPr>
          <w:rFonts w:eastAsia="Calibri"/>
          <w:i/>
          <w:color w:val="000000"/>
          <w:lang w:val="lt-LT"/>
        </w:rPr>
        <w:t>kg</w:t>
      </w:r>
    </w:p>
    <w:p w14:paraId="5145ED15" w14:textId="77777777" w:rsidR="00013083" w:rsidRPr="00B0468F" w:rsidRDefault="00013083" w:rsidP="00B0468F">
      <w:pPr>
        <w:widowControl w:val="0"/>
        <w:autoSpaceDE w:val="0"/>
        <w:autoSpaceDN w:val="0"/>
        <w:adjustRightInd w:val="0"/>
        <w:spacing w:line="240" w:lineRule="auto"/>
        <w:ind w:right="566"/>
        <w:jc w:val="both"/>
        <w:rPr>
          <w:rFonts w:eastAsia="Calibri"/>
          <w:i/>
          <w:color w:val="000000"/>
          <w:lang w:val="lt-LT"/>
        </w:rPr>
      </w:pPr>
    </w:p>
    <w:p w14:paraId="02A51DCB" w14:textId="77777777" w:rsidR="00013083" w:rsidRPr="00B0468F" w:rsidRDefault="0024521D"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color w:val="000000"/>
          <w:u w:val="single"/>
          <w:lang w:val="lt-LT"/>
        </w:rPr>
        <w:t>Pacientai &lt; 60 </w:t>
      </w:r>
      <w:r w:rsidR="00013083" w:rsidRPr="00B0468F">
        <w:rPr>
          <w:rFonts w:eastAsia="Calibri"/>
          <w:color w:val="000000"/>
          <w:u w:val="single"/>
          <w:lang w:val="lt-LT"/>
        </w:rPr>
        <w:t>kg</w:t>
      </w:r>
    </w:p>
    <w:p w14:paraId="13749C16" w14:textId="77777777" w:rsidR="00013083" w:rsidRPr="00B0468F" w:rsidRDefault="00013083" w:rsidP="00B0468F">
      <w:pPr>
        <w:widowControl w:val="0"/>
        <w:autoSpaceDE w:val="0"/>
        <w:autoSpaceDN w:val="0"/>
        <w:adjustRightInd w:val="0"/>
        <w:spacing w:line="240" w:lineRule="auto"/>
        <w:ind w:right="566"/>
        <w:jc w:val="both"/>
        <w:rPr>
          <w:rFonts w:eastAsia="Calibri"/>
          <w:color w:val="000000"/>
          <w:lang w:val="lt-LT"/>
        </w:rPr>
      </w:pPr>
      <w:r w:rsidRPr="00B0468F">
        <w:rPr>
          <w:rFonts w:eastAsia="Calibri"/>
          <w:color w:val="000000"/>
          <w:lang w:val="lt-LT"/>
        </w:rPr>
        <w:t xml:space="preserve">Su TVAŠ nesusijusio masyvaus ar nedidelio kraujavimo pagal </w:t>
      </w:r>
      <w:r w:rsidRPr="00B0468F">
        <w:rPr>
          <w:rFonts w:eastAsia="Calibri"/>
          <w:i/>
          <w:color w:val="000000"/>
          <w:lang w:val="lt-LT"/>
        </w:rPr>
        <w:t xml:space="preserve">TIMI </w:t>
      </w:r>
      <w:r w:rsidRPr="00B0468F">
        <w:rPr>
          <w:rFonts w:eastAsia="Calibri"/>
          <w:color w:val="000000"/>
          <w:lang w:val="lt-LT"/>
        </w:rPr>
        <w:t>daž</w:t>
      </w:r>
      <w:r w:rsidR="002335FC" w:rsidRPr="00B0468F">
        <w:rPr>
          <w:rFonts w:eastAsia="Calibri"/>
          <w:color w:val="000000"/>
          <w:lang w:val="lt-LT"/>
        </w:rPr>
        <w:t>nis</w:t>
      </w:r>
    </w:p>
    <w:p w14:paraId="7B94B954" w14:textId="77777777" w:rsidR="002335FC" w:rsidRPr="00B0468F" w:rsidRDefault="002335FC" w:rsidP="00B0468F">
      <w:pPr>
        <w:widowControl w:val="0"/>
        <w:autoSpaceDE w:val="0"/>
        <w:autoSpaceDN w:val="0"/>
        <w:adjustRightInd w:val="0"/>
        <w:spacing w:line="240" w:lineRule="auto"/>
        <w:ind w:right="566"/>
        <w:jc w:val="both"/>
        <w:rPr>
          <w:rFonts w:eastAsia="Calibri"/>
          <w:color w:val="000000"/>
          <w:lang w:val="lt-LT"/>
        </w:rPr>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819"/>
        <w:gridCol w:w="2736"/>
      </w:tblGrid>
      <w:tr w:rsidR="002335FC" w:rsidRPr="00217AE9" w14:paraId="5BFE38F6" w14:textId="77777777" w:rsidTr="00B0468F">
        <w:tc>
          <w:tcPr>
            <w:tcW w:w="1650" w:type="pct"/>
            <w:shd w:val="clear" w:color="auto" w:fill="auto"/>
            <w:hideMark/>
          </w:tcPr>
          <w:p w14:paraId="1396CB59" w14:textId="77777777" w:rsidR="002335FC" w:rsidRPr="005350AF" w:rsidRDefault="002335FC" w:rsidP="00B0468F">
            <w:pPr>
              <w:widowControl w:val="0"/>
              <w:spacing w:line="240" w:lineRule="auto"/>
              <w:ind w:right="566"/>
              <w:jc w:val="center"/>
              <w:rPr>
                <w:lang w:val="en-US"/>
              </w:rPr>
            </w:pPr>
            <w:r w:rsidRPr="005350AF">
              <w:rPr>
                <w:lang w:val="en-US"/>
              </w:rPr>
              <w:t>Kūno masės</w:t>
            </w:r>
          </w:p>
        </w:tc>
        <w:tc>
          <w:tcPr>
            <w:tcW w:w="1700" w:type="pct"/>
            <w:shd w:val="clear" w:color="auto" w:fill="auto"/>
            <w:hideMark/>
          </w:tcPr>
          <w:p w14:paraId="1B03C451" w14:textId="77777777" w:rsidR="002335FC" w:rsidRPr="005350AF" w:rsidRDefault="002335FC" w:rsidP="00B0468F">
            <w:pPr>
              <w:widowControl w:val="0"/>
              <w:spacing w:line="240" w:lineRule="auto"/>
              <w:ind w:right="566"/>
              <w:jc w:val="center"/>
              <w:rPr>
                <w:lang w:val="en-US"/>
              </w:rPr>
            </w:pPr>
            <w:r w:rsidRPr="005350AF">
              <w:rPr>
                <w:b/>
                <w:lang w:val="en-US"/>
              </w:rPr>
              <w:t>10 mg</w:t>
            </w:r>
            <w:r w:rsidRPr="005350AF">
              <w:rPr>
                <w:lang w:val="en-US"/>
              </w:rPr>
              <w:t xml:space="preserve"> prazugrelio</w:t>
            </w:r>
          </w:p>
        </w:tc>
        <w:tc>
          <w:tcPr>
            <w:tcW w:w="1650" w:type="pct"/>
            <w:shd w:val="clear" w:color="auto" w:fill="auto"/>
            <w:hideMark/>
          </w:tcPr>
          <w:p w14:paraId="7A8F06A1" w14:textId="77777777" w:rsidR="002335FC" w:rsidRPr="005350AF" w:rsidRDefault="002335FC" w:rsidP="00B0468F">
            <w:pPr>
              <w:widowControl w:val="0"/>
              <w:spacing w:line="240" w:lineRule="auto"/>
              <w:ind w:right="566"/>
              <w:jc w:val="center"/>
              <w:rPr>
                <w:lang w:val="en-US"/>
              </w:rPr>
            </w:pPr>
            <w:r w:rsidRPr="005350AF">
              <w:rPr>
                <w:lang w:val="en-US"/>
              </w:rPr>
              <w:t xml:space="preserve">75 mg klopidogrelio </w:t>
            </w:r>
          </w:p>
        </w:tc>
      </w:tr>
      <w:tr w:rsidR="002335FC" w:rsidRPr="00217AE9" w14:paraId="54541B65" w14:textId="77777777" w:rsidTr="00B0468F">
        <w:tc>
          <w:tcPr>
            <w:tcW w:w="1650" w:type="pct"/>
            <w:shd w:val="clear" w:color="auto" w:fill="auto"/>
            <w:hideMark/>
          </w:tcPr>
          <w:p w14:paraId="42DC138D" w14:textId="39D0433A" w:rsidR="002335FC" w:rsidRPr="005350AF" w:rsidRDefault="002335FC" w:rsidP="00B0468F">
            <w:pPr>
              <w:widowControl w:val="0"/>
              <w:spacing w:line="240" w:lineRule="auto"/>
              <w:ind w:right="566"/>
              <w:jc w:val="center"/>
              <w:rPr>
                <w:lang w:val="en-US"/>
              </w:rPr>
            </w:pPr>
            <w:r w:rsidRPr="005350AF">
              <w:rPr>
                <w:lang w:val="en-US"/>
              </w:rPr>
              <w:t>&lt; 60 kg (N</w:t>
            </w:r>
            <w:r w:rsidR="00C5467E">
              <w:rPr>
                <w:lang w:val="en-US"/>
              </w:rPr>
              <w:t> </w:t>
            </w:r>
            <w:r w:rsidRPr="005350AF">
              <w:rPr>
                <w:lang w:val="en-US"/>
              </w:rPr>
              <w:t>=</w:t>
            </w:r>
            <w:r w:rsidR="00C5467E">
              <w:rPr>
                <w:lang w:val="en-US"/>
              </w:rPr>
              <w:t> </w:t>
            </w:r>
            <w:r w:rsidRPr="005350AF">
              <w:rPr>
                <w:lang w:val="en-US"/>
              </w:rPr>
              <w:t>664)*</w:t>
            </w:r>
          </w:p>
        </w:tc>
        <w:tc>
          <w:tcPr>
            <w:tcW w:w="1700" w:type="pct"/>
            <w:shd w:val="clear" w:color="auto" w:fill="auto"/>
            <w:hideMark/>
          </w:tcPr>
          <w:p w14:paraId="0FE6EE6E" w14:textId="77777777" w:rsidR="002335FC" w:rsidRPr="005350AF" w:rsidRDefault="00AB5DA5" w:rsidP="00B0468F">
            <w:pPr>
              <w:widowControl w:val="0"/>
              <w:spacing w:line="240" w:lineRule="auto"/>
              <w:ind w:right="566"/>
              <w:jc w:val="center"/>
              <w:rPr>
                <w:lang w:val="en-US"/>
              </w:rPr>
            </w:pPr>
            <w:r w:rsidRPr="005350AF">
              <w:rPr>
                <w:lang w:val="en-US"/>
              </w:rPr>
              <w:t>10,1% (0% mirtinas</w:t>
            </w:r>
            <w:r w:rsidR="002335FC" w:rsidRPr="005350AF">
              <w:rPr>
                <w:lang w:val="en-US"/>
              </w:rPr>
              <w:t>)</w:t>
            </w:r>
          </w:p>
        </w:tc>
        <w:tc>
          <w:tcPr>
            <w:tcW w:w="1650" w:type="pct"/>
            <w:shd w:val="clear" w:color="auto" w:fill="auto"/>
            <w:hideMark/>
          </w:tcPr>
          <w:p w14:paraId="29559C26" w14:textId="77777777" w:rsidR="002335FC" w:rsidRPr="005350AF" w:rsidRDefault="00AB5DA5" w:rsidP="00B0468F">
            <w:pPr>
              <w:widowControl w:val="0"/>
              <w:spacing w:line="240" w:lineRule="auto"/>
              <w:ind w:right="566"/>
              <w:jc w:val="center"/>
              <w:rPr>
                <w:lang w:val="en-US"/>
              </w:rPr>
            </w:pPr>
            <w:r w:rsidRPr="005350AF">
              <w:rPr>
                <w:lang w:val="en-US"/>
              </w:rPr>
              <w:t>6,5% (0,3% mirtinas</w:t>
            </w:r>
            <w:r w:rsidR="002335FC" w:rsidRPr="005350AF">
              <w:rPr>
                <w:lang w:val="en-US"/>
              </w:rPr>
              <w:t>)</w:t>
            </w:r>
          </w:p>
        </w:tc>
      </w:tr>
      <w:tr w:rsidR="002335FC" w:rsidRPr="00217AE9" w14:paraId="57BBF54B" w14:textId="77777777" w:rsidTr="00B0468F">
        <w:tc>
          <w:tcPr>
            <w:tcW w:w="1650" w:type="pct"/>
            <w:shd w:val="clear" w:color="auto" w:fill="auto"/>
            <w:hideMark/>
          </w:tcPr>
          <w:p w14:paraId="39ABD75F" w14:textId="05AFE403" w:rsidR="002335FC" w:rsidRPr="005350AF" w:rsidRDefault="002335FC" w:rsidP="00B0468F">
            <w:pPr>
              <w:widowControl w:val="0"/>
              <w:spacing w:line="240" w:lineRule="auto"/>
              <w:ind w:right="566"/>
              <w:jc w:val="center"/>
              <w:rPr>
                <w:lang w:val="en-US"/>
              </w:rPr>
            </w:pPr>
            <w:r w:rsidRPr="005350AF">
              <w:rPr>
                <w:b/>
                <w:lang w:val="en-US"/>
              </w:rPr>
              <w:t>≥ </w:t>
            </w:r>
            <w:r w:rsidRPr="005350AF">
              <w:rPr>
                <w:lang w:val="en-US"/>
              </w:rPr>
              <w:t>60 kg (N</w:t>
            </w:r>
            <w:r w:rsidR="00C5467E">
              <w:rPr>
                <w:lang w:val="en-US"/>
              </w:rPr>
              <w:t> </w:t>
            </w:r>
            <w:r w:rsidRPr="005350AF">
              <w:rPr>
                <w:lang w:val="en-US"/>
              </w:rPr>
              <w:t>=</w:t>
            </w:r>
            <w:r w:rsidR="00C5467E">
              <w:rPr>
                <w:lang w:val="en-US"/>
              </w:rPr>
              <w:t> </w:t>
            </w:r>
            <w:r w:rsidRPr="005350AF">
              <w:rPr>
                <w:lang w:val="en-US"/>
              </w:rPr>
              <w:t>12672)*</w:t>
            </w:r>
          </w:p>
        </w:tc>
        <w:tc>
          <w:tcPr>
            <w:tcW w:w="1700" w:type="pct"/>
            <w:shd w:val="clear" w:color="auto" w:fill="auto"/>
            <w:hideMark/>
          </w:tcPr>
          <w:p w14:paraId="10721DA6" w14:textId="77777777" w:rsidR="002335FC" w:rsidRPr="005350AF" w:rsidRDefault="00AB5DA5" w:rsidP="00B0468F">
            <w:pPr>
              <w:widowControl w:val="0"/>
              <w:spacing w:line="240" w:lineRule="auto"/>
              <w:ind w:right="566"/>
              <w:jc w:val="center"/>
              <w:rPr>
                <w:lang w:val="en-US"/>
              </w:rPr>
            </w:pPr>
            <w:r w:rsidRPr="005350AF">
              <w:rPr>
                <w:lang w:val="en-US"/>
              </w:rPr>
              <w:t>4,2% (0,3% mirtinas</w:t>
            </w:r>
            <w:r w:rsidR="002335FC" w:rsidRPr="005350AF">
              <w:rPr>
                <w:lang w:val="en-US"/>
              </w:rPr>
              <w:t>)</w:t>
            </w:r>
          </w:p>
        </w:tc>
        <w:tc>
          <w:tcPr>
            <w:tcW w:w="1650" w:type="pct"/>
            <w:shd w:val="clear" w:color="auto" w:fill="auto"/>
            <w:hideMark/>
          </w:tcPr>
          <w:p w14:paraId="04E81D62" w14:textId="77777777" w:rsidR="002335FC" w:rsidRPr="005350AF" w:rsidRDefault="00AB5DA5" w:rsidP="00B0468F">
            <w:pPr>
              <w:widowControl w:val="0"/>
              <w:spacing w:line="240" w:lineRule="auto"/>
              <w:ind w:right="566"/>
              <w:jc w:val="center"/>
              <w:rPr>
                <w:lang w:val="en-US"/>
              </w:rPr>
            </w:pPr>
            <w:r w:rsidRPr="005350AF">
              <w:rPr>
                <w:lang w:val="en-US"/>
              </w:rPr>
              <w:t>3,3% (0,1% mirtinas</w:t>
            </w:r>
            <w:r w:rsidR="002335FC" w:rsidRPr="005350AF">
              <w:rPr>
                <w:lang w:val="en-US"/>
              </w:rPr>
              <w:t>)</w:t>
            </w:r>
          </w:p>
        </w:tc>
      </w:tr>
      <w:tr w:rsidR="002335FC" w:rsidRPr="00217AE9" w14:paraId="7883917C" w14:textId="77777777" w:rsidTr="00B0468F">
        <w:tc>
          <w:tcPr>
            <w:tcW w:w="1650" w:type="pct"/>
            <w:shd w:val="clear" w:color="auto" w:fill="auto"/>
            <w:hideMark/>
          </w:tcPr>
          <w:p w14:paraId="60BE1D07" w14:textId="47CAF5B2" w:rsidR="002335FC" w:rsidRPr="005350AF" w:rsidRDefault="002335FC" w:rsidP="00B0468F">
            <w:pPr>
              <w:widowControl w:val="0"/>
              <w:spacing w:line="240" w:lineRule="auto"/>
              <w:ind w:right="566"/>
              <w:jc w:val="center"/>
              <w:rPr>
                <w:lang w:val="en-US"/>
              </w:rPr>
            </w:pPr>
            <w:r w:rsidRPr="005350AF">
              <w:rPr>
                <w:lang w:val="en-US"/>
              </w:rPr>
              <w:t>≥ 60 kg (N</w:t>
            </w:r>
            <w:r w:rsidR="00C5467E">
              <w:rPr>
                <w:lang w:val="en-US"/>
              </w:rPr>
              <w:t> </w:t>
            </w:r>
            <w:r w:rsidRPr="005350AF">
              <w:rPr>
                <w:lang w:val="en-US"/>
              </w:rPr>
              <w:t>=</w:t>
            </w:r>
            <w:r w:rsidR="00C5467E">
              <w:rPr>
                <w:lang w:val="en-US"/>
              </w:rPr>
              <w:t> </w:t>
            </w:r>
            <w:r w:rsidRPr="005350AF">
              <w:rPr>
                <w:lang w:val="en-US"/>
              </w:rPr>
              <w:t>7845)**</w:t>
            </w:r>
          </w:p>
        </w:tc>
        <w:tc>
          <w:tcPr>
            <w:tcW w:w="1700" w:type="pct"/>
            <w:shd w:val="clear" w:color="auto" w:fill="auto"/>
            <w:hideMark/>
          </w:tcPr>
          <w:p w14:paraId="786C8D20" w14:textId="77777777" w:rsidR="002335FC" w:rsidRPr="005350AF" w:rsidRDefault="00AB5DA5" w:rsidP="00B0468F">
            <w:pPr>
              <w:widowControl w:val="0"/>
              <w:spacing w:line="240" w:lineRule="auto"/>
              <w:ind w:right="566"/>
              <w:jc w:val="center"/>
              <w:rPr>
                <w:lang w:val="en-US"/>
              </w:rPr>
            </w:pPr>
            <w:r w:rsidRPr="005350AF">
              <w:rPr>
                <w:lang w:val="en-US"/>
              </w:rPr>
              <w:t>2,2% (0,2% mirtinas</w:t>
            </w:r>
            <w:r w:rsidR="002335FC" w:rsidRPr="005350AF">
              <w:rPr>
                <w:lang w:val="en-US"/>
              </w:rPr>
              <w:t xml:space="preserve">) </w:t>
            </w:r>
            <w:r w:rsidR="002335FC" w:rsidRPr="005350AF">
              <w:rPr>
                <w:vertAlign w:val="superscript"/>
                <w:lang w:val="en-US"/>
              </w:rPr>
              <w:t>a</w:t>
            </w:r>
          </w:p>
        </w:tc>
        <w:tc>
          <w:tcPr>
            <w:tcW w:w="1650" w:type="pct"/>
            <w:shd w:val="clear" w:color="auto" w:fill="auto"/>
            <w:hideMark/>
          </w:tcPr>
          <w:p w14:paraId="776F00EE" w14:textId="77777777" w:rsidR="002335FC" w:rsidRPr="005350AF" w:rsidRDefault="00AB5DA5" w:rsidP="00B0468F">
            <w:pPr>
              <w:widowControl w:val="0"/>
              <w:spacing w:line="240" w:lineRule="auto"/>
              <w:ind w:right="566"/>
              <w:jc w:val="center"/>
              <w:rPr>
                <w:lang w:val="en-US"/>
              </w:rPr>
            </w:pPr>
            <w:r w:rsidRPr="005350AF">
              <w:rPr>
                <w:lang w:val="en-US"/>
              </w:rPr>
              <w:t>1,6% (0,2% mirtinas</w:t>
            </w:r>
            <w:r w:rsidR="002335FC" w:rsidRPr="005350AF">
              <w:rPr>
                <w:lang w:val="en-US"/>
              </w:rPr>
              <w:t>)</w:t>
            </w:r>
          </w:p>
        </w:tc>
      </w:tr>
      <w:tr w:rsidR="002335FC" w:rsidRPr="00217AE9" w14:paraId="56351799" w14:textId="77777777" w:rsidTr="00B0468F">
        <w:tc>
          <w:tcPr>
            <w:tcW w:w="1650" w:type="pct"/>
            <w:shd w:val="clear" w:color="auto" w:fill="auto"/>
            <w:hideMark/>
          </w:tcPr>
          <w:p w14:paraId="6A7138F5" w14:textId="77777777" w:rsidR="002335FC" w:rsidRPr="005350AF" w:rsidRDefault="002335FC" w:rsidP="00B0468F">
            <w:pPr>
              <w:widowControl w:val="0"/>
              <w:spacing w:line="240" w:lineRule="auto"/>
              <w:ind w:right="566"/>
              <w:jc w:val="center"/>
              <w:rPr>
                <w:lang w:val="en-US"/>
              </w:rPr>
            </w:pPr>
          </w:p>
        </w:tc>
        <w:tc>
          <w:tcPr>
            <w:tcW w:w="1700" w:type="pct"/>
            <w:shd w:val="clear" w:color="auto" w:fill="auto"/>
            <w:hideMark/>
          </w:tcPr>
          <w:p w14:paraId="14A2F309" w14:textId="77777777" w:rsidR="002335FC" w:rsidRPr="005350AF" w:rsidRDefault="002335FC" w:rsidP="00B0468F">
            <w:pPr>
              <w:widowControl w:val="0"/>
              <w:spacing w:line="240" w:lineRule="auto"/>
              <w:ind w:right="566"/>
              <w:jc w:val="center"/>
              <w:rPr>
                <w:lang w:val="en-US"/>
              </w:rPr>
            </w:pPr>
            <w:r w:rsidRPr="005350AF">
              <w:rPr>
                <w:b/>
                <w:lang w:val="en-US"/>
              </w:rPr>
              <w:t>5 mg</w:t>
            </w:r>
            <w:r w:rsidR="00AB5DA5" w:rsidRPr="005350AF">
              <w:rPr>
                <w:lang w:val="en-US"/>
              </w:rPr>
              <w:t xml:space="preserve"> p</w:t>
            </w:r>
            <w:r w:rsidR="002E0D60" w:rsidRPr="005350AF">
              <w:rPr>
                <w:lang w:val="en-US"/>
              </w:rPr>
              <w:t>raz</w:t>
            </w:r>
            <w:r w:rsidR="00AB5DA5" w:rsidRPr="005350AF">
              <w:rPr>
                <w:lang w:val="en-US"/>
              </w:rPr>
              <w:t>ugrelio</w:t>
            </w:r>
          </w:p>
        </w:tc>
        <w:tc>
          <w:tcPr>
            <w:tcW w:w="1650" w:type="pct"/>
            <w:shd w:val="clear" w:color="auto" w:fill="auto"/>
            <w:hideMark/>
          </w:tcPr>
          <w:p w14:paraId="4A52668D" w14:textId="77777777" w:rsidR="002335FC" w:rsidRPr="005350AF" w:rsidRDefault="00AB5DA5" w:rsidP="00B0468F">
            <w:pPr>
              <w:widowControl w:val="0"/>
              <w:spacing w:line="240" w:lineRule="auto"/>
              <w:ind w:right="566"/>
              <w:jc w:val="center"/>
              <w:rPr>
                <w:lang w:val="en-US"/>
              </w:rPr>
            </w:pPr>
            <w:r w:rsidRPr="005350AF">
              <w:rPr>
                <w:lang w:val="en-US"/>
              </w:rPr>
              <w:t>75 mg k</w:t>
            </w:r>
            <w:r w:rsidR="002335FC" w:rsidRPr="005350AF">
              <w:rPr>
                <w:lang w:val="en-US"/>
              </w:rPr>
              <w:t>lopidogrel</w:t>
            </w:r>
            <w:r w:rsidRPr="005350AF">
              <w:rPr>
                <w:lang w:val="en-US"/>
              </w:rPr>
              <w:t>io</w:t>
            </w:r>
          </w:p>
        </w:tc>
      </w:tr>
      <w:tr w:rsidR="002335FC" w:rsidRPr="00217AE9" w14:paraId="08295A59" w14:textId="77777777" w:rsidTr="00B0468F">
        <w:tc>
          <w:tcPr>
            <w:tcW w:w="1650" w:type="pct"/>
            <w:shd w:val="clear" w:color="auto" w:fill="auto"/>
            <w:hideMark/>
          </w:tcPr>
          <w:p w14:paraId="4DD72365" w14:textId="504086C1" w:rsidR="002335FC" w:rsidRPr="005350AF" w:rsidRDefault="002335FC" w:rsidP="00B0468F">
            <w:pPr>
              <w:widowControl w:val="0"/>
              <w:spacing w:line="240" w:lineRule="auto"/>
              <w:ind w:right="566"/>
              <w:jc w:val="center"/>
              <w:rPr>
                <w:lang w:val="en-US"/>
              </w:rPr>
            </w:pPr>
            <w:r w:rsidRPr="005350AF">
              <w:rPr>
                <w:lang w:val="en-US"/>
              </w:rPr>
              <w:t>&lt; 60kg (N</w:t>
            </w:r>
            <w:r w:rsidR="00C5467E">
              <w:rPr>
                <w:lang w:val="en-US"/>
              </w:rPr>
              <w:t> </w:t>
            </w:r>
            <w:r w:rsidRPr="005350AF">
              <w:rPr>
                <w:lang w:val="en-US"/>
              </w:rPr>
              <w:t>=</w:t>
            </w:r>
            <w:r w:rsidR="00C5467E">
              <w:rPr>
                <w:lang w:val="en-US"/>
              </w:rPr>
              <w:t> </w:t>
            </w:r>
            <w:r w:rsidRPr="005350AF">
              <w:rPr>
                <w:lang w:val="en-US"/>
              </w:rPr>
              <w:t>1391)**</w:t>
            </w:r>
          </w:p>
        </w:tc>
        <w:tc>
          <w:tcPr>
            <w:tcW w:w="1700" w:type="pct"/>
            <w:shd w:val="clear" w:color="auto" w:fill="auto"/>
            <w:hideMark/>
          </w:tcPr>
          <w:p w14:paraId="5175B939" w14:textId="77777777" w:rsidR="002335FC" w:rsidRPr="005350AF" w:rsidRDefault="00AB5DA5" w:rsidP="00B0468F">
            <w:pPr>
              <w:widowControl w:val="0"/>
              <w:spacing w:line="240" w:lineRule="auto"/>
              <w:ind w:right="566"/>
              <w:jc w:val="center"/>
              <w:rPr>
                <w:lang w:val="en-US"/>
              </w:rPr>
            </w:pPr>
            <w:r w:rsidRPr="005350AF">
              <w:rPr>
                <w:lang w:val="en-US"/>
              </w:rPr>
              <w:t>1,4% (0,1% mirtinas</w:t>
            </w:r>
            <w:r w:rsidR="002335FC" w:rsidRPr="005350AF">
              <w:rPr>
                <w:lang w:val="en-US"/>
              </w:rPr>
              <w:t>)</w:t>
            </w:r>
          </w:p>
        </w:tc>
        <w:tc>
          <w:tcPr>
            <w:tcW w:w="1650" w:type="pct"/>
            <w:shd w:val="clear" w:color="auto" w:fill="auto"/>
            <w:hideMark/>
          </w:tcPr>
          <w:p w14:paraId="2C4FB040" w14:textId="77777777" w:rsidR="002335FC" w:rsidRPr="005350AF" w:rsidRDefault="00AB5DA5" w:rsidP="00B0468F">
            <w:pPr>
              <w:widowControl w:val="0"/>
              <w:spacing w:line="240" w:lineRule="auto"/>
              <w:ind w:right="566"/>
              <w:jc w:val="center"/>
              <w:rPr>
                <w:lang w:val="en-US"/>
              </w:rPr>
            </w:pPr>
            <w:r w:rsidRPr="005350AF">
              <w:rPr>
                <w:lang w:val="en-US"/>
              </w:rPr>
              <w:t>2,2% (0,</w:t>
            </w:r>
            <w:r w:rsidR="002335FC" w:rsidRPr="005350AF">
              <w:rPr>
                <w:lang w:val="en-US"/>
              </w:rPr>
              <w:t>3% fatal)</w:t>
            </w:r>
          </w:p>
        </w:tc>
      </w:tr>
    </w:tbl>
    <w:p w14:paraId="357BCCAB" w14:textId="77777777" w:rsidR="002C087B" w:rsidRPr="00B0468F" w:rsidRDefault="002C087B"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*TRITON tyrimas su ŪKS sergančiais pacientais, kuriems atliekama PVAP.</w:t>
      </w:r>
    </w:p>
    <w:p w14:paraId="696788C5" w14:textId="77777777" w:rsidR="002C087B" w:rsidRPr="00B0468F" w:rsidRDefault="002C087B"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**TRILOGY-ACS tyrimas su pacientais, kuriems neatliekama PVAP (žr. 5.1 skyrių):</w:t>
      </w:r>
    </w:p>
    <w:p w14:paraId="43F6E6CD" w14:textId="77777777" w:rsidR="002C087B" w:rsidRPr="00B0468F" w:rsidRDefault="002C087B" w:rsidP="00B0468F">
      <w:pPr>
        <w:widowControl w:val="0"/>
        <w:autoSpaceDE w:val="0"/>
        <w:autoSpaceDN w:val="0"/>
        <w:adjustRightInd w:val="0"/>
        <w:spacing w:line="240" w:lineRule="auto"/>
        <w:ind w:right="566"/>
        <w:jc w:val="both"/>
        <w:rPr>
          <w:rFonts w:eastAsia="Calibri"/>
          <w:i/>
          <w:color w:val="000000"/>
          <w:lang w:val="lt-LT"/>
        </w:rPr>
      </w:pPr>
      <w:r w:rsidRPr="00B0468F">
        <w:rPr>
          <w:rFonts w:eastAsia="Calibri"/>
          <w:color w:val="000000"/>
          <w:lang w:val="lt-LT"/>
        </w:rPr>
        <w:t xml:space="preserve">a </w:t>
      </w:r>
      <w:r w:rsidR="001C500B" w:rsidRPr="00B0468F">
        <w:rPr>
          <w:rFonts w:eastAsia="Calibri"/>
          <w:i/>
          <w:color w:val="000000"/>
          <w:lang w:val="lt-LT"/>
        </w:rPr>
        <w:t>10 </w:t>
      </w:r>
      <w:r w:rsidRPr="00B0468F">
        <w:rPr>
          <w:rFonts w:eastAsia="Calibri"/>
          <w:i/>
          <w:color w:val="000000"/>
          <w:lang w:val="lt-LT"/>
        </w:rPr>
        <w:t>mg prazugrelio; 5</w:t>
      </w:r>
      <w:r w:rsidR="001C500B" w:rsidRPr="00B0468F">
        <w:rPr>
          <w:rFonts w:eastAsia="Calibri"/>
          <w:i/>
          <w:color w:val="000000"/>
          <w:lang w:val="lt-LT"/>
        </w:rPr>
        <w:t> </w:t>
      </w:r>
      <w:r w:rsidRPr="00B0468F">
        <w:rPr>
          <w:rFonts w:eastAsia="Calibri"/>
          <w:i/>
          <w:color w:val="000000"/>
          <w:lang w:val="lt-LT"/>
        </w:rPr>
        <w:t xml:space="preserve">mg prazugrelio, jeigu </w:t>
      </w:r>
      <w:r w:rsidR="0024521D" w:rsidRPr="00B0468F">
        <w:rPr>
          <w:rFonts w:eastAsia="Calibri"/>
          <w:i/>
          <w:color w:val="000000"/>
          <w:lang w:val="lt-LT"/>
        </w:rPr>
        <w:t xml:space="preserve">amžius </w:t>
      </w:r>
      <w:r w:rsidR="0024521D" w:rsidRPr="00B0468F">
        <w:rPr>
          <w:i/>
          <w:lang w:val="lt-LT"/>
        </w:rPr>
        <w:t>≥ 75 metų</w:t>
      </w:r>
      <w:r w:rsidRPr="00B0468F">
        <w:rPr>
          <w:rFonts w:eastAsia="Calibri"/>
          <w:i/>
          <w:color w:val="000000"/>
          <w:lang w:val="lt-LT"/>
        </w:rPr>
        <w:t>.</w:t>
      </w:r>
    </w:p>
    <w:p w14:paraId="72011C43" w14:textId="77777777" w:rsidR="002C087B" w:rsidRPr="00B0468F" w:rsidRDefault="002C087B" w:rsidP="00B0468F">
      <w:pPr>
        <w:widowControl w:val="0"/>
        <w:tabs>
          <w:tab w:val="clear" w:pos="567"/>
        </w:tabs>
        <w:autoSpaceDE w:val="0"/>
        <w:autoSpaceDN w:val="0"/>
        <w:adjustRightInd w:val="0"/>
        <w:spacing w:line="240" w:lineRule="auto"/>
        <w:ind w:right="566"/>
        <w:rPr>
          <w:rFonts w:eastAsia="Calibri"/>
          <w:i/>
          <w:color w:val="000000"/>
          <w:lang w:val="lt-LT"/>
        </w:rPr>
      </w:pPr>
    </w:p>
    <w:p w14:paraId="2FA635B8" w14:textId="77777777" w:rsidR="002C087B" w:rsidRPr="00B0468F" w:rsidRDefault="0024521D"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color w:val="000000"/>
          <w:u w:val="single"/>
          <w:lang w:val="lt-LT"/>
        </w:rPr>
        <w:t>≥ 60 kg ir &lt; </w:t>
      </w:r>
      <w:r w:rsidRPr="00B0468F">
        <w:rPr>
          <w:rFonts w:eastAsia="Calibri"/>
          <w:u w:val="single"/>
          <w:lang w:val="lt-LT"/>
        </w:rPr>
        <w:t>75 </w:t>
      </w:r>
      <w:r w:rsidR="002C087B" w:rsidRPr="00B0468F">
        <w:rPr>
          <w:rFonts w:eastAsia="Calibri"/>
          <w:u w:val="single"/>
          <w:lang w:val="lt-LT"/>
        </w:rPr>
        <w:t>metų</w:t>
      </w:r>
      <w:r w:rsidR="002C087B" w:rsidRPr="00B0468F">
        <w:rPr>
          <w:rFonts w:eastAsia="Calibri"/>
          <w:color w:val="000000"/>
          <w:u w:val="single"/>
          <w:lang w:val="lt-LT"/>
        </w:rPr>
        <w:t xml:space="preserve"> pacientai</w:t>
      </w:r>
    </w:p>
    <w:p w14:paraId="1667A598" w14:textId="77777777" w:rsidR="002C087B" w:rsidRPr="00B0468F" w:rsidRDefault="0024521D"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Pacientų, kurie sveria 60 </w:t>
      </w:r>
      <w:r w:rsidR="002C087B" w:rsidRPr="00B0468F">
        <w:rPr>
          <w:rFonts w:eastAsia="Calibri"/>
          <w:color w:val="000000"/>
          <w:lang w:val="lt-LT"/>
        </w:rPr>
        <w:t xml:space="preserve">kg ir daugiau </w:t>
      </w:r>
      <w:r w:rsidR="002C087B" w:rsidRPr="00B0468F">
        <w:rPr>
          <w:rFonts w:eastAsia="Calibri"/>
          <w:i/>
          <w:color w:val="000000"/>
          <w:lang w:val="lt-LT"/>
        </w:rPr>
        <w:t xml:space="preserve">bei </w:t>
      </w:r>
      <w:r w:rsidR="002C087B" w:rsidRPr="00B0468F">
        <w:rPr>
          <w:rFonts w:eastAsia="Calibri"/>
          <w:color w:val="000000"/>
          <w:lang w:val="lt-LT"/>
        </w:rPr>
        <w:t>kurie jaunesni kaip 75 metų, su TVAŠ nesusijusio masyvaus ar nedidelio kraujavimo pagal TIMI</w:t>
      </w:r>
      <w:r w:rsidR="002C087B" w:rsidRPr="00B0468F">
        <w:rPr>
          <w:rFonts w:eastAsia="Calibri"/>
          <w:i/>
          <w:color w:val="000000"/>
          <w:lang w:val="lt-LT"/>
        </w:rPr>
        <w:t xml:space="preserve"> </w:t>
      </w:r>
      <w:r w:rsidR="002C087B" w:rsidRPr="00B0468F">
        <w:rPr>
          <w:rFonts w:eastAsia="Calibri"/>
          <w:color w:val="000000"/>
          <w:lang w:val="lt-LT"/>
        </w:rPr>
        <w:t>dažnis buvo 3,6% prazugrelio ir 2,8% klopidogrelio grupėje. Mirtino kraujavimo dažnis buvo 0,2% prazugrelio ir 0,1% klopidogrelio grupėje.</w:t>
      </w:r>
    </w:p>
    <w:p w14:paraId="21487237" w14:textId="77777777" w:rsidR="002C087B" w:rsidRPr="00B0468F" w:rsidRDefault="002C087B" w:rsidP="00B0468F">
      <w:pPr>
        <w:widowControl w:val="0"/>
        <w:tabs>
          <w:tab w:val="clear" w:pos="567"/>
        </w:tabs>
        <w:autoSpaceDE w:val="0"/>
        <w:autoSpaceDN w:val="0"/>
        <w:adjustRightInd w:val="0"/>
        <w:spacing w:line="240" w:lineRule="auto"/>
        <w:ind w:right="566"/>
        <w:rPr>
          <w:rFonts w:eastAsia="Calibri"/>
          <w:color w:val="000000"/>
          <w:lang w:val="lt-LT"/>
        </w:rPr>
      </w:pPr>
    </w:p>
    <w:p w14:paraId="73527215" w14:textId="77777777" w:rsidR="002C087B" w:rsidRPr="00B0468F" w:rsidRDefault="002C087B" w:rsidP="00B0468F">
      <w:pPr>
        <w:widowControl w:val="0"/>
        <w:tabs>
          <w:tab w:val="clear" w:pos="567"/>
        </w:tabs>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Su TVAŠ susijęs kraujavimas</w:t>
      </w:r>
    </w:p>
    <w:p w14:paraId="3CEF821F" w14:textId="77777777" w:rsidR="002C087B" w:rsidRPr="00B0468F" w:rsidRDefault="002C087B" w:rsidP="00B0468F">
      <w:pPr>
        <w:widowControl w:val="0"/>
        <w:autoSpaceDE w:val="0"/>
        <w:autoSpaceDN w:val="0"/>
        <w:adjustRightInd w:val="0"/>
        <w:spacing w:line="240" w:lineRule="auto"/>
        <w:ind w:right="566"/>
        <w:rPr>
          <w:rFonts w:eastAsia="Calibri"/>
          <w:color w:val="000000"/>
          <w:lang w:val="lt-LT"/>
        </w:rPr>
      </w:pPr>
      <w:r w:rsidRPr="00B0468F">
        <w:rPr>
          <w:rFonts w:eastAsia="Calibri"/>
          <w:color w:val="000000"/>
          <w:lang w:val="lt-LT"/>
        </w:rPr>
        <w:t>Klinikinio 3 fazės tyrimo duomenimis, 437 pacientams tyrimo metu buvo atlikta TVAŠ. Šiems pacientams su TVAŠ susijusio masyvaus ar nedidelio kraujavimo pagal TIMI</w:t>
      </w:r>
      <w:r w:rsidRPr="00B0468F">
        <w:rPr>
          <w:rFonts w:eastAsia="Calibri"/>
          <w:i/>
          <w:color w:val="000000"/>
          <w:lang w:val="lt-LT"/>
        </w:rPr>
        <w:t xml:space="preserve"> </w:t>
      </w:r>
      <w:r w:rsidRPr="00B0468F">
        <w:rPr>
          <w:rFonts w:eastAsia="Calibri"/>
          <w:color w:val="000000"/>
          <w:lang w:val="lt-LT"/>
        </w:rPr>
        <w:t>dažnis prazugrelio grupėje buvo 14,1% ir 4,5% klopidogrelio grupėje. Prazugrelį vartojantiems asmenims didesnė kraujavimo reiškinių rizika išliko iki 7 parų po paskutiniosios tiriamojo vaistinio preparato dozės pavartojimo. Pacientams, kurie vartojo tienopiridinų trijų parų laikotarpiu prieš TVAŠ, masyvaus ar nedidelio kraujavimo pagal TIMI</w:t>
      </w:r>
      <w:r w:rsidRPr="00B0468F">
        <w:rPr>
          <w:rFonts w:eastAsia="Calibri"/>
          <w:i/>
          <w:color w:val="000000"/>
          <w:lang w:val="lt-LT"/>
        </w:rPr>
        <w:t xml:space="preserve"> </w:t>
      </w:r>
      <w:r w:rsidRPr="00B0468F">
        <w:rPr>
          <w:rFonts w:eastAsia="Calibri"/>
          <w:color w:val="000000"/>
          <w:lang w:val="lt-LT"/>
        </w:rPr>
        <w:t xml:space="preserve">dažnis prazugrelio grupėje buvo 26,7% (12 iš 45 pacientų), palyginti su 5,0% (3 iš 60 pacientų) klopidogrelio </w:t>
      </w:r>
      <w:r w:rsidRPr="00B0468F">
        <w:rPr>
          <w:rFonts w:eastAsia="Calibri"/>
          <w:color w:val="000000"/>
          <w:lang w:val="lt-LT"/>
        </w:rPr>
        <w:lastRenderedPageBreak/>
        <w:t>grupėje. Pacientams, kurie suvartojo paskutiniąją tienopiridinų dozę 4-7 parų laikotarpiu prieš TVAŠ, dažnis prazugrelio grupėje sumažėjo 11,3% (9 iš 80 pacientų), klopidogrelio grupėje 3,4% (3 iš 89 pacientų). Per 7 paras po vaistinio preparato vartojimo nutraukimo, abiejose gydymo grupėse buvo nustatytas panašus su TVAŠ susijusio kraujavimo dažnis (žr. 4.4 skyrių).</w:t>
      </w:r>
    </w:p>
    <w:p w14:paraId="4B5FA7B8" w14:textId="77777777" w:rsidR="004211E9" w:rsidRPr="00B0468F" w:rsidRDefault="004211E9" w:rsidP="00B0468F">
      <w:pPr>
        <w:widowControl w:val="0"/>
        <w:autoSpaceDE w:val="0"/>
        <w:autoSpaceDN w:val="0"/>
        <w:adjustRightInd w:val="0"/>
        <w:spacing w:line="240" w:lineRule="auto"/>
        <w:ind w:right="566"/>
        <w:rPr>
          <w:rFonts w:eastAsia="Calibri"/>
          <w:color w:val="000000"/>
          <w:lang w:val="lt-LT"/>
        </w:rPr>
      </w:pPr>
    </w:p>
    <w:p w14:paraId="2FB20A1F" w14:textId="77777777" w:rsidR="004211E9" w:rsidRPr="00B0468F" w:rsidRDefault="004211E9" w:rsidP="00B0468F">
      <w:pPr>
        <w:widowControl w:val="0"/>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Kraujavimo rizika, susijusi su įsotinamosios dozės pavartojimo laiku MI be ST pakilimo atveju</w:t>
      </w:r>
    </w:p>
    <w:p w14:paraId="5C3B1DA7" w14:textId="77777777" w:rsidR="002C087B" w:rsidRPr="00B0468F" w:rsidRDefault="004211E9" w:rsidP="00B0468F">
      <w:pPr>
        <w:widowControl w:val="0"/>
        <w:autoSpaceDE w:val="0"/>
        <w:autoSpaceDN w:val="0"/>
        <w:adjustRightInd w:val="0"/>
        <w:spacing w:line="240" w:lineRule="auto"/>
        <w:ind w:right="566"/>
        <w:rPr>
          <w:rFonts w:eastAsia="Calibri"/>
          <w:color w:val="000000"/>
          <w:lang w:val="lt-LT"/>
        </w:rPr>
      </w:pPr>
      <w:r w:rsidRPr="00B0468F">
        <w:rPr>
          <w:rFonts w:eastAsia="Calibri"/>
          <w:color w:val="000000"/>
          <w:lang w:val="lt-LT"/>
        </w:rPr>
        <w:t>Klinikinio tyrimo, kuriame dalyvavusiems pacientams, sergantiems MI be ST pakilimo (ACCOAST tyrimas), buvo planuojama atlikti vainikinių kraujagyslių angiografiją per 2-48 valandas po suskirstymo į grupes atsitiktiniu būdu, duomenimis, pac</w:t>
      </w:r>
      <w:r w:rsidR="00D87296" w:rsidRPr="00B0468F">
        <w:rPr>
          <w:rFonts w:eastAsia="Calibri"/>
          <w:color w:val="000000"/>
          <w:lang w:val="lt-LT"/>
        </w:rPr>
        <w:t>ientams, kuriems buvo skirta 30 </w:t>
      </w:r>
      <w:r w:rsidRPr="00B0468F">
        <w:rPr>
          <w:rFonts w:eastAsia="Calibri"/>
          <w:color w:val="000000"/>
          <w:lang w:val="lt-LT"/>
        </w:rPr>
        <w:t>mg įsotinamoji dozė likus vidutiniškai 4 valandoms iki vainikinių kraujagyslių a</w:t>
      </w:r>
      <w:r w:rsidR="00D87296" w:rsidRPr="00B0468F">
        <w:rPr>
          <w:rFonts w:eastAsia="Calibri"/>
          <w:color w:val="000000"/>
          <w:lang w:val="lt-LT"/>
        </w:rPr>
        <w:t>ngiografijos, o po to skirta 30 </w:t>
      </w:r>
      <w:r w:rsidRPr="00B0468F">
        <w:rPr>
          <w:rFonts w:eastAsia="Calibri"/>
          <w:color w:val="000000"/>
          <w:lang w:val="lt-LT"/>
        </w:rPr>
        <w:t>mg įsotinamoji dozė PVKP metu, padidėjo nesusijusio su TVAŠ kraujavimo procedūros metu rizika ir nebuvo papildomos naudos, palyginti su pac</w:t>
      </w:r>
      <w:r w:rsidR="00D87296" w:rsidRPr="00B0468F">
        <w:rPr>
          <w:rFonts w:eastAsia="Calibri"/>
          <w:color w:val="000000"/>
          <w:lang w:val="lt-LT"/>
        </w:rPr>
        <w:t>ientais, kuriems buvo skirta 60 </w:t>
      </w:r>
      <w:r w:rsidRPr="00B0468F">
        <w:rPr>
          <w:rFonts w:eastAsia="Calibri"/>
          <w:color w:val="000000"/>
          <w:lang w:val="lt-LT"/>
        </w:rPr>
        <w:t>mg įsotinamoji dozė PVKP metu (žr. 4.2 ir 4.4 skyrius). Su ne TVAŠ susijusio kraujavimo pagal TIMI dažnis pacientams per 7 paras buvo toks:</w:t>
      </w:r>
    </w:p>
    <w:p w14:paraId="62ED7A10" w14:textId="77777777" w:rsidR="004211E9" w:rsidRPr="00B0468F" w:rsidRDefault="004211E9" w:rsidP="00B0468F">
      <w:pPr>
        <w:widowControl w:val="0"/>
        <w:autoSpaceDE w:val="0"/>
        <w:autoSpaceDN w:val="0"/>
        <w:adjustRightInd w:val="0"/>
        <w:spacing w:line="240" w:lineRule="auto"/>
        <w:ind w:right="566"/>
        <w:jc w:val="both"/>
        <w:rPr>
          <w:rFonts w:eastAsia="Calibri"/>
          <w:color w:val="000000"/>
          <w:lang w:val="lt-LT"/>
        </w:rPr>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2073"/>
        <w:gridCol w:w="2073"/>
      </w:tblGrid>
      <w:tr w:rsidR="004211E9" w:rsidRPr="00217AE9" w14:paraId="6AC43080" w14:textId="77777777" w:rsidTr="00B0468F">
        <w:tc>
          <w:tcPr>
            <w:tcW w:w="2500" w:type="pct"/>
            <w:shd w:val="clear" w:color="auto" w:fill="auto"/>
            <w:hideMark/>
          </w:tcPr>
          <w:p w14:paraId="4B70B551" w14:textId="77777777" w:rsidR="004211E9" w:rsidRPr="005350AF" w:rsidRDefault="004211E9" w:rsidP="00B0468F">
            <w:pPr>
              <w:widowControl w:val="0"/>
              <w:tabs>
                <w:tab w:val="clear" w:pos="567"/>
              </w:tabs>
              <w:spacing w:line="240" w:lineRule="auto"/>
              <w:ind w:right="566"/>
              <w:jc w:val="center"/>
              <w:rPr>
                <w:color w:val="000000"/>
                <w:lang w:val="en-US"/>
              </w:rPr>
            </w:pPr>
            <w:r w:rsidRPr="005350AF">
              <w:rPr>
                <w:b/>
                <w:color w:val="000000"/>
                <w:lang w:val="en-US"/>
              </w:rPr>
              <w:t>Nepageidaujama reakcija</w:t>
            </w:r>
          </w:p>
        </w:tc>
        <w:tc>
          <w:tcPr>
            <w:tcW w:w="1250" w:type="pct"/>
            <w:shd w:val="clear" w:color="auto" w:fill="auto"/>
            <w:hideMark/>
          </w:tcPr>
          <w:p w14:paraId="3DE8C7C8" w14:textId="77777777" w:rsidR="004211E9" w:rsidRPr="00FD696A" w:rsidRDefault="004211E9" w:rsidP="00B0468F">
            <w:pPr>
              <w:widowControl w:val="0"/>
              <w:tabs>
                <w:tab w:val="clear" w:pos="567"/>
              </w:tabs>
              <w:spacing w:line="240" w:lineRule="auto"/>
              <w:ind w:right="566"/>
              <w:jc w:val="center"/>
              <w:rPr>
                <w:color w:val="000000"/>
                <w:lang w:val="pt-PT"/>
              </w:rPr>
            </w:pPr>
            <w:r w:rsidRPr="00FD696A">
              <w:rPr>
                <w:b/>
                <w:color w:val="000000"/>
                <w:lang w:val="pt-PT"/>
              </w:rPr>
              <w:t>P</w:t>
            </w:r>
            <w:r w:rsidR="009935EE" w:rsidRPr="00FD696A">
              <w:rPr>
                <w:b/>
                <w:color w:val="000000"/>
                <w:lang w:val="pt-PT"/>
              </w:rPr>
              <w:t>razugrelio doze prieš vainikinių arterijų angiografiją</w:t>
            </w:r>
            <w:r w:rsidRPr="00FD696A">
              <w:rPr>
                <w:b/>
                <w:color w:val="000000"/>
                <w:vertAlign w:val="superscript"/>
                <w:lang w:val="pt-PT"/>
              </w:rPr>
              <w:t>a</w:t>
            </w:r>
          </w:p>
          <w:p w14:paraId="264517F4" w14:textId="0CA414C7" w:rsidR="004211E9" w:rsidRPr="005350AF" w:rsidRDefault="004211E9" w:rsidP="00B0468F">
            <w:pPr>
              <w:widowControl w:val="0"/>
              <w:tabs>
                <w:tab w:val="clear" w:pos="567"/>
              </w:tabs>
              <w:spacing w:line="240" w:lineRule="auto"/>
              <w:ind w:right="566"/>
              <w:jc w:val="center"/>
              <w:rPr>
                <w:color w:val="000000"/>
                <w:lang w:val="en-US"/>
              </w:rPr>
            </w:pPr>
            <w:r w:rsidRPr="005350AF">
              <w:rPr>
                <w:b/>
                <w:color w:val="000000"/>
                <w:lang w:val="en-US"/>
              </w:rPr>
              <w:t>(N</w:t>
            </w:r>
            <w:r w:rsidR="00C5467E">
              <w:rPr>
                <w:b/>
                <w:color w:val="000000"/>
                <w:lang w:val="en-US"/>
              </w:rPr>
              <w:t> </w:t>
            </w:r>
            <w:r w:rsidRPr="005350AF">
              <w:rPr>
                <w:b/>
                <w:color w:val="000000"/>
                <w:lang w:val="en-US"/>
              </w:rPr>
              <w:t>=</w:t>
            </w:r>
            <w:r w:rsidR="00C5467E">
              <w:rPr>
                <w:b/>
                <w:color w:val="000000"/>
                <w:lang w:val="en-US"/>
              </w:rPr>
              <w:t> </w:t>
            </w:r>
            <w:r w:rsidRPr="005350AF">
              <w:rPr>
                <w:b/>
                <w:color w:val="000000"/>
                <w:lang w:val="en-US"/>
              </w:rPr>
              <w:t>2037)</w:t>
            </w:r>
          </w:p>
          <w:p w14:paraId="43B4AC61" w14:textId="77777777" w:rsidR="004211E9" w:rsidRPr="005350AF" w:rsidRDefault="004211E9" w:rsidP="00B0468F">
            <w:pPr>
              <w:widowControl w:val="0"/>
              <w:tabs>
                <w:tab w:val="clear" w:pos="567"/>
              </w:tabs>
              <w:spacing w:line="240" w:lineRule="auto"/>
              <w:ind w:right="566"/>
              <w:jc w:val="center"/>
              <w:rPr>
                <w:color w:val="000000"/>
                <w:lang w:val="en-US"/>
              </w:rPr>
            </w:pPr>
            <w:r w:rsidRPr="005350AF">
              <w:rPr>
                <w:b/>
                <w:color w:val="000000"/>
                <w:lang w:val="en-US"/>
              </w:rPr>
              <w:t>%</w:t>
            </w:r>
          </w:p>
        </w:tc>
        <w:tc>
          <w:tcPr>
            <w:tcW w:w="1250" w:type="pct"/>
            <w:shd w:val="clear" w:color="auto" w:fill="auto"/>
            <w:hideMark/>
          </w:tcPr>
          <w:p w14:paraId="0545DCAF" w14:textId="77777777" w:rsidR="004211E9" w:rsidRPr="00FD696A" w:rsidRDefault="0041336A" w:rsidP="00B0468F">
            <w:pPr>
              <w:widowControl w:val="0"/>
              <w:tabs>
                <w:tab w:val="clear" w:pos="567"/>
              </w:tabs>
              <w:spacing w:line="240" w:lineRule="auto"/>
              <w:ind w:right="566"/>
              <w:jc w:val="center"/>
              <w:rPr>
                <w:color w:val="000000"/>
                <w:lang w:val="pt-PT"/>
              </w:rPr>
            </w:pPr>
            <w:r w:rsidRPr="00FD696A">
              <w:rPr>
                <w:b/>
                <w:color w:val="000000"/>
                <w:lang w:val="pt-PT"/>
              </w:rPr>
              <w:t>Praz</w:t>
            </w:r>
            <w:r w:rsidR="004211E9" w:rsidRPr="00FD696A">
              <w:rPr>
                <w:b/>
                <w:color w:val="000000"/>
                <w:lang w:val="pt-PT"/>
              </w:rPr>
              <w:t>ugrel</w:t>
            </w:r>
            <w:r w:rsidRPr="00FD696A">
              <w:rPr>
                <w:b/>
                <w:color w:val="000000"/>
                <w:lang w:val="pt-PT"/>
              </w:rPr>
              <w:t>io dozė PVAP metu</w:t>
            </w:r>
            <w:r w:rsidR="004211E9" w:rsidRPr="00FD696A">
              <w:rPr>
                <w:b/>
                <w:color w:val="000000"/>
                <w:vertAlign w:val="superscript"/>
                <w:lang w:val="pt-PT"/>
              </w:rPr>
              <w:t>a</w:t>
            </w:r>
            <w:r w:rsidR="004211E9" w:rsidRPr="00FD696A">
              <w:rPr>
                <w:color w:val="000000"/>
                <w:lang w:val="pt-PT"/>
              </w:rPr>
              <w:t xml:space="preserve"> </w:t>
            </w:r>
            <w:r w:rsidR="004211E9" w:rsidRPr="00FD696A">
              <w:rPr>
                <w:color w:val="000000"/>
                <w:lang w:val="pt-PT"/>
              </w:rPr>
              <w:br/>
            </w:r>
          </w:p>
          <w:p w14:paraId="642FD813" w14:textId="0DBDD503" w:rsidR="004211E9" w:rsidRPr="00FD696A" w:rsidRDefault="004211E9" w:rsidP="00B0468F">
            <w:pPr>
              <w:widowControl w:val="0"/>
              <w:tabs>
                <w:tab w:val="clear" w:pos="567"/>
              </w:tabs>
              <w:spacing w:line="240" w:lineRule="auto"/>
              <w:ind w:right="566"/>
              <w:jc w:val="center"/>
              <w:rPr>
                <w:color w:val="000000"/>
                <w:lang w:val="pt-PT"/>
              </w:rPr>
            </w:pPr>
            <w:r w:rsidRPr="00FD696A">
              <w:rPr>
                <w:b/>
                <w:color w:val="000000"/>
                <w:lang w:val="pt-PT"/>
              </w:rPr>
              <w:t>(N</w:t>
            </w:r>
            <w:r w:rsidR="00C5467E" w:rsidRPr="00FD696A">
              <w:rPr>
                <w:b/>
                <w:color w:val="000000"/>
                <w:lang w:val="pt-PT"/>
              </w:rPr>
              <w:t> </w:t>
            </w:r>
            <w:r w:rsidRPr="00FD696A">
              <w:rPr>
                <w:b/>
                <w:color w:val="000000"/>
                <w:lang w:val="pt-PT"/>
              </w:rPr>
              <w:t>=</w:t>
            </w:r>
            <w:r w:rsidR="00C5467E" w:rsidRPr="00FD696A">
              <w:rPr>
                <w:b/>
                <w:color w:val="000000"/>
                <w:lang w:val="pt-PT"/>
              </w:rPr>
              <w:t> </w:t>
            </w:r>
            <w:r w:rsidRPr="00FD696A">
              <w:rPr>
                <w:b/>
                <w:color w:val="000000"/>
                <w:lang w:val="pt-PT"/>
              </w:rPr>
              <w:t>1996)</w:t>
            </w:r>
          </w:p>
          <w:p w14:paraId="1A813B14" w14:textId="77777777" w:rsidR="004211E9" w:rsidRPr="005350AF" w:rsidRDefault="004211E9" w:rsidP="00B0468F">
            <w:pPr>
              <w:widowControl w:val="0"/>
              <w:tabs>
                <w:tab w:val="clear" w:pos="567"/>
              </w:tabs>
              <w:spacing w:line="240" w:lineRule="auto"/>
              <w:ind w:right="566"/>
              <w:jc w:val="center"/>
              <w:rPr>
                <w:color w:val="000000"/>
                <w:lang w:val="en-US"/>
              </w:rPr>
            </w:pPr>
            <w:r w:rsidRPr="005350AF">
              <w:rPr>
                <w:b/>
                <w:color w:val="000000"/>
                <w:lang w:val="en-US"/>
              </w:rPr>
              <w:t>%</w:t>
            </w:r>
          </w:p>
        </w:tc>
      </w:tr>
      <w:tr w:rsidR="004211E9" w:rsidRPr="00217AE9" w14:paraId="22D37266" w14:textId="77777777" w:rsidTr="00B0468F">
        <w:tc>
          <w:tcPr>
            <w:tcW w:w="2500" w:type="pct"/>
            <w:shd w:val="clear" w:color="auto" w:fill="auto"/>
            <w:hideMark/>
          </w:tcPr>
          <w:p w14:paraId="03858E39" w14:textId="77777777" w:rsidR="004211E9" w:rsidRPr="005350AF" w:rsidRDefault="004211E9" w:rsidP="00B0468F">
            <w:pPr>
              <w:widowControl w:val="0"/>
              <w:tabs>
                <w:tab w:val="clear" w:pos="567"/>
              </w:tabs>
              <w:spacing w:line="240" w:lineRule="auto"/>
              <w:ind w:right="566"/>
              <w:rPr>
                <w:color w:val="000000"/>
                <w:lang w:val="en-US"/>
              </w:rPr>
            </w:pPr>
            <w:r w:rsidRPr="005350AF">
              <w:rPr>
                <w:color w:val="000000"/>
                <w:lang w:val="en-US"/>
              </w:rPr>
              <w:t>Masyvus kraujavimas pagal TIMI</w:t>
            </w:r>
            <w:r w:rsidRPr="005350AF">
              <w:rPr>
                <w:color w:val="000000"/>
                <w:vertAlign w:val="superscript"/>
                <w:lang w:val="en-US"/>
              </w:rPr>
              <w:t>b</w:t>
            </w:r>
            <w:r w:rsidRPr="005350AF">
              <w:rPr>
                <w:color w:val="000000"/>
                <w:lang w:val="en-US"/>
              </w:rPr>
              <w:t xml:space="preserve"> </w:t>
            </w:r>
          </w:p>
        </w:tc>
        <w:tc>
          <w:tcPr>
            <w:tcW w:w="1250" w:type="pct"/>
            <w:shd w:val="clear" w:color="auto" w:fill="auto"/>
            <w:hideMark/>
          </w:tcPr>
          <w:p w14:paraId="35ADCD97"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1,</w:t>
            </w:r>
            <w:r w:rsidR="004211E9" w:rsidRPr="005350AF">
              <w:rPr>
                <w:color w:val="000000"/>
                <w:lang w:val="en-US"/>
              </w:rPr>
              <w:t>3</w:t>
            </w:r>
          </w:p>
        </w:tc>
        <w:tc>
          <w:tcPr>
            <w:tcW w:w="1250" w:type="pct"/>
            <w:shd w:val="clear" w:color="auto" w:fill="auto"/>
            <w:hideMark/>
          </w:tcPr>
          <w:p w14:paraId="67B4EC20"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5</w:t>
            </w:r>
          </w:p>
        </w:tc>
      </w:tr>
      <w:tr w:rsidR="004211E9" w:rsidRPr="00217AE9" w14:paraId="077BE33F" w14:textId="77777777" w:rsidTr="00B0468F">
        <w:tc>
          <w:tcPr>
            <w:tcW w:w="2500" w:type="pct"/>
            <w:shd w:val="clear" w:color="auto" w:fill="auto"/>
            <w:hideMark/>
          </w:tcPr>
          <w:p w14:paraId="24D886AD" w14:textId="77777777" w:rsidR="004211E9" w:rsidRPr="005350AF" w:rsidRDefault="004211E9" w:rsidP="00B0468F">
            <w:pPr>
              <w:widowControl w:val="0"/>
              <w:tabs>
                <w:tab w:val="clear" w:pos="567"/>
              </w:tabs>
              <w:spacing w:line="240" w:lineRule="auto"/>
              <w:ind w:left="567" w:right="566"/>
              <w:rPr>
                <w:color w:val="000000"/>
                <w:lang w:val="en-US"/>
              </w:rPr>
            </w:pPr>
            <w:r w:rsidRPr="005350AF">
              <w:rPr>
                <w:color w:val="000000"/>
                <w:lang w:val="en-US"/>
              </w:rPr>
              <w:t>Gyvybei pavojingas</w:t>
            </w:r>
            <w:r w:rsidRPr="005350AF">
              <w:rPr>
                <w:color w:val="000000"/>
                <w:vertAlign w:val="superscript"/>
                <w:lang w:val="en-US"/>
              </w:rPr>
              <w:t>c</w:t>
            </w:r>
            <w:r w:rsidRPr="005350AF">
              <w:rPr>
                <w:color w:val="000000"/>
                <w:lang w:val="en-US"/>
              </w:rPr>
              <w:t xml:space="preserve"> </w:t>
            </w:r>
          </w:p>
        </w:tc>
        <w:tc>
          <w:tcPr>
            <w:tcW w:w="1250" w:type="pct"/>
            <w:shd w:val="clear" w:color="auto" w:fill="auto"/>
            <w:hideMark/>
          </w:tcPr>
          <w:p w14:paraId="21B36999"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8</w:t>
            </w:r>
          </w:p>
        </w:tc>
        <w:tc>
          <w:tcPr>
            <w:tcW w:w="1250" w:type="pct"/>
            <w:shd w:val="clear" w:color="auto" w:fill="auto"/>
            <w:hideMark/>
          </w:tcPr>
          <w:p w14:paraId="7AE6E8BF"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2</w:t>
            </w:r>
          </w:p>
        </w:tc>
      </w:tr>
      <w:tr w:rsidR="004211E9" w:rsidRPr="00217AE9" w14:paraId="7FE5A6D9" w14:textId="77777777" w:rsidTr="00B0468F">
        <w:tc>
          <w:tcPr>
            <w:tcW w:w="2500" w:type="pct"/>
            <w:shd w:val="clear" w:color="auto" w:fill="auto"/>
            <w:hideMark/>
          </w:tcPr>
          <w:p w14:paraId="36C9A51B" w14:textId="77777777" w:rsidR="004211E9" w:rsidRPr="005350AF" w:rsidRDefault="004211E9" w:rsidP="00B0468F">
            <w:pPr>
              <w:widowControl w:val="0"/>
              <w:tabs>
                <w:tab w:val="clear" w:pos="567"/>
              </w:tabs>
              <w:spacing w:line="240" w:lineRule="auto"/>
              <w:ind w:left="709" w:right="566" w:hanging="142"/>
              <w:rPr>
                <w:color w:val="000000"/>
                <w:lang w:val="en-US"/>
              </w:rPr>
            </w:pPr>
            <w:r w:rsidRPr="005350AF">
              <w:rPr>
                <w:color w:val="000000"/>
                <w:lang w:val="en-US"/>
              </w:rPr>
              <w:t xml:space="preserve">Mirtinas </w:t>
            </w:r>
          </w:p>
        </w:tc>
        <w:tc>
          <w:tcPr>
            <w:tcW w:w="1250" w:type="pct"/>
            <w:shd w:val="clear" w:color="auto" w:fill="auto"/>
            <w:hideMark/>
          </w:tcPr>
          <w:p w14:paraId="70CFBFA4"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1</w:t>
            </w:r>
          </w:p>
        </w:tc>
        <w:tc>
          <w:tcPr>
            <w:tcW w:w="1250" w:type="pct"/>
            <w:shd w:val="clear" w:color="auto" w:fill="auto"/>
            <w:hideMark/>
          </w:tcPr>
          <w:p w14:paraId="6CF7F7AD"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0</w:t>
            </w:r>
          </w:p>
        </w:tc>
      </w:tr>
      <w:tr w:rsidR="004211E9" w:rsidRPr="00217AE9" w14:paraId="39150080" w14:textId="77777777" w:rsidTr="00B0468F">
        <w:tc>
          <w:tcPr>
            <w:tcW w:w="2500" w:type="pct"/>
            <w:shd w:val="clear" w:color="auto" w:fill="auto"/>
            <w:hideMark/>
          </w:tcPr>
          <w:p w14:paraId="283ECE8A" w14:textId="77777777" w:rsidR="004211E9" w:rsidRPr="005350AF" w:rsidRDefault="004211E9" w:rsidP="00B0468F">
            <w:pPr>
              <w:widowControl w:val="0"/>
              <w:tabs>
                <w:tab w:val="clear" w:pos="567"/>
              </w:tabs>
              <w:spacing w:line="240" w:lineRule="auto"/>
              <w:ind w:left="709" w:right="566" w:hanging="142"/>
              <w:rPr>
                <w:color w:val="000000"/>
                <w:lang w:val="en-US"/>
              </w:rPr>
            </w:pPr>
            <w:r w:rsidRPr="005350AF">
              <w:rPr>
                <w:color w:val="000000"/>
                <w:lang w:val="en-US"/>
              </w:rPr>
              <w:t>Simotominis IKK</w:t>
            </w:r>
            <w:r w:rsidRPr="005350AF">
              <w:rPr>
                <w:color w:val="000000"/>
                <w:vertAlign w:val="superscript"/>
                <w:lang w:val="en-US"/>
              </w:rPr>
              <w:t>d</w:t>
            </w:r>
            <w:r w:rsidRPr="005350AF">
              <w:rPr>
                <w:color w:val="000000"/>
                <w:lang w:val="en-US"/>
              </w:rPr>
              <w:t xml:space="preserve"> </w:t>
            </w:r>
          </w:p>
        </w:tc>
        <w:tc>
          <w:tcPr>
            <w:tcW w:w="1250" w:type="pct"/>
            <w:shd w:val="clear" w:color="auto" w:fill="auto"/>
            <w:hideMark/>
          </w:tcPr>
          <w:p w14:paraId="0C8659C8"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0</w:t>
            </w:r>
          </w:p>
        </w:tc>
        <w:tc>
          <w:tcPr>
            <w:tcW w:w="1250" w:type="pct"/>
            <w:shd w:val="clear" w:color="auto" w:fill="auto"/>
            <w:hideMark/>
          </w:tcPr>
          <w:p w14:paraId="192EF260"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0</w:t>
            </w:r>
          </w:p>
        </w:tc>
      </w:tr>
      <w:tr w:rsidR="004211E9" w:rsidRPr="00217AE9" w14:paraId="63225CC8" w14:textId="77777777" w:rsidTr="00B0468F">
        <w:tc>
          <w:tcPr>
            <w:tcW w:w="2500" w:type="pct"/>
            <w:shd w:val="clear" w:color="auto" w:fill="auto"/>
            <w:hideMark/>
          </w:tcPr>
          <w:p w14:paraId="75C10E1B" w14:textId="77777777" w:rsidR="004211E9" w:rsidRPr="005350AF" w:rsidRDefault="004211E9" w:rsidP="00B0468F">
            <w:pPr>
              <w:widowControl w:val="0"/>
              <w:tabs>
                <w:tab w:val="clear" w:pos="567"/>
              </w:tabs>
              <w:spacing w:line="240" w:lineRule="auto"/>
              <w:ind w:left="709" w:right="566" w:hanging="142"/>
              <w:rPr>
                <w:color w:val="000000"/>
                <w:lang w:val="en-US"/>
              </w:rPr>
            </w:pPr>
            <w:r w:rsidRPr="005350AF">
              <w:rPr>
                <w:color w:val="000000"/>
                <w:lang w:val="en-US"/>
              </w:rPr>
              <w:t xml:space="preserve">Būtini inotropai </w:t>
            </w:r>
          </w:p>
        </w:tc>
        <w:tc>
          <w:tcPr>
            <w:tcW w:w="1250" w:type="pct"/>
            <w:shd w:val="clear" w:color="auto" w:fill="auto"/>
            <w:hideMark/>
          </w:tcPr>
          <w:p w14:paraId="0A471953"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3</w:t>
            </w:r>
          </w:p>
        </w:tc>
        <w:tc>
          <w:tcPr>
            <w:tcW w:w="1250" w:type="pct"/>
            <w:shd w:val="clear" w:color="auto" w:fill="auto"/>
            <w:hideMark/>
          </w:tcPr>
          <w:p w14:paraId="64A32DD6"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2</w:t>
            </w:r>
          </w:p>
        </w:tc>
      </w:tr>
      <w:tr w:rsidR="004211E9" w:rsidRPr="00217AE9" w14:paraId="0AF5FB88" w14:textId="77777777" w:rsidTr="00B0468F">
        <w:tc>
          <w:tcPr>
            <w:tcW w:w="2500" w:type="pct"/>
            <w:shd w:val="clear" w:color="auto" w:fill="auto"/>
            <w:hideMark/>
          </w:tcPr>
          <w:p w14:paraId="384E5007" w14:textId="77777777" w:rsidR="004211E9" w:rsidRPr="005350AF" w:rsidRDefault="00E71B05" w:rsidP="00B0468F">
            <w:pPr>
              <w:widowControl w:val="0"/>
              <w:tabs>
                <w:tab w:val="clear" w:pos="567"/>
              </w:tabs>
              <w:spacing w:line="240" w:lineRule="auto"/>
              <w:ind w:left="709" w:right="566" w:hanging="142"/>
              <w:rPr>
                <w:color w:val="000000"/>
                <w:lang w:val="en-US"/>
              </w:rPr>
            </w:pPr>
            <w:r w:rsidRPr="005350AF">
              <w:rPr>
                <w:color w:val="000000"/>
                <w:lang w:val="en-US"/>
              </w:rPr>
              <w:t>Būtina chirurginė intervencija</w:t>
            </w:r>
            <w:r w:rsidR="004211E9" w:rsidRPr="005350AF">
              <w:rPr>
                <w:color w:val="000000"/>
                <w:lang w:val="en-US"/>
              </w:rPr>
              <w:t xml:space="preserve"> </w:t>
            </w:r>
          </w:p>
        </w:tc>
        <w:tc>
          <w:tcPr>
            <w:tcW w:w="1250" w:type="pct"/>
            <w:shd w:val="clear" w:color="auto" w:fill="auto"/>
            <w:hideMark/>
          </w:tcPr>
          <w:p w14:paraId="2F61018C"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4</w:t>
            </w:r>
          </w:p>
        </w:tc>
        <w:tc>
          <w:tcPr>
            <w:tcW w:w="1250" w:type="pct"/>
            <w:shd w:val="clear" w:color="auto" w:fill="auto"/>
            <w:hideMark/>
          </w:tcPr>
          <w:p w14:paraId="37852C01"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1</w:t>
            </w:r>
          </w:p>
        </w:tc>
      </w:tr>
      <w:tr w:rsidR="004211E9" w:rsidRPr="00217AE9" w14:paraId="50788ED4" w14:textId="77777777" w:rsidTr="00B0468F">
        <w:tc>
          <w:tcPr>
            <w:tcW w:w="2500" w:type="pct"/>
            <w:shd w:val="clear" w:color="auto" w:fill="auto"/>
            <w:hideMark/>
          </w:tcPr>
          <w:p w14:paraId="19BF49BB" w14:textId="77777777" w:rsidR="004211E9" w:rsidRPr="005350AF" w:rsidRDefault="00E71B05" w:rsidP="00B0468F">
            <w:pPr>
              <w:widowControl w:val="0"/>
              <w:tabs>
                <w:tab w:val="clear" w:pos="567"/>
              </w:tabs>
              <w:spacing w:line="240" w:lineRule="auto"/>
              <w:ind w:left="709" w:right="566" w:hanging="142"/>
              <w:rPr>
                <w:color w:val="000000"/>
                <w:lang w:val="en-US"/>
              </w:rPr>
            </w:pPr>
            <w:r w:rsidRPr="005350AF">
              <w:rPr>
                <w:color w:val="000000"/>
                <w:lang w:val="en-US"/>
              </w:rPr>
              <w:t>Būtinas kraujo perpylimas</w:t>
            </w:r>
            <w:r w:rsidR="004211E9" w:rsidRPr="005350AF">
              <w:rPr>
                <w:color w:val="000000"/>
                <w:lang w:val="en-US"/>
              </w:rPr>
              <w:t xml:space="preserve"> (</w:t>
            </w:r>
            <w:r w:rsidRPr="005350AF">
              <w:rPr>
                <w:color w:val="000000"/>
                <w:lang w:val="en-US"/>
              </w:rPr>
              <w:t>≥4 vienetų</w:t>
            </w:r>
            <w:r w:rsidR="004211E9" w:rsidRPr="005350AF">
              <w:rPr>
                <w:color w:val="000000"/>
                <w:lang w:val="en-US"/>
              </w:rPr>
              <w:t xml:space="preserve">) </w:t>
            </w:r>
          </w:p>
        </w:tc>
        <w:tc>
          <w:tcPr>
            <w:tcW w:w="1250" w:type="pct"/>
            <w:shd w:val="clear" w:color="auto" w:fill="auto"/>
            <w:hideMark/>
          </w:tcPr>
          <w:p w14:paraId="5A7C3CAF"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3</w:t>
            </w:r>
          </w:p>
        </w:tc>
        <w:tc>
          <w:tcPr>
            <w:tcW w:w="1250" w:type="pct"/>
            <w:shd w:val="clear" w:color="auto" w:fill="auto"/>
            <w:hideMark/>
          </w:tcPr>
          <w:p w14:paraId="6B30F6CA"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1</w:t>
            </w:r>
          </w:p>
        </w:tc>
      </w:tr>
      <w:tr w:rsidR="004211E9" w:rsidRPr="00217AE9" w14:paraId="04F2CD5B" w14:textId="77777777" w:rsidTr="00B0468F">
        <w:tc>
          <w:tcPr>
            <w:tcW w:w="2500" w:type="pct"/>
            <w:shd w:val="clear" w:color="auto" w:fill="auto"/>
            <w:hideMark/>
          </w:tcPr>
          <w:p w14:paraId="3C0C4723" w14:textId="77777777" w:rsidR="004211E9" w:rsidRPr="005350AF" w:rsidRDefault="00E71B05" w:rsidP="00B0468F">
            <w:pPr>
              <w:widowControl w:val="0"/>
              <w:tabs>
                <w:tab w:val="clear" w:pos="567"/>
              </w:tabs>
              <w:spacing w:line="240" w:lineRule="auto"/>
              <w:ind w:right="566"/>
              <w:rPr>
                <w:color w:val="000000"/>
                <w:lang w:val="en-US"/>
              </w:rPr>
            </w:pPr>
            <w:r w:rsidRPr="005350AF">
              <w:rPr>
                <w:color w:val="000000"/>
                <w:lang w:val="en-US"/>
              </w:rPr>
              <w:t>Nedidelis kraujavimas pagal TIMI</w:t>
            </w:r>
            <w:r w:rsidR="004211E9" w:rsidRPr="005350AF">
              <w:rPr>
                <w:color w:val="000000"/>
                <w:vertAlign w:val="superscript"/>
                <w:lang w:val="en-US"/>
              </w:rPr>
              <w:t>e</w:t>
            </w:r>
            <w:r w:rsidR="004211E9" w:rsidRPr="005350AF">
              <w:rPr>
                <w:color w:val="000000"/>
                <w:lang w:val="en-US"/>
              </w:rPr>
              <w:t xml:space="preserve"> </w:t>
            </w:r>
          </w:p>
        </w:tc>
        <w:tc>
          <w:tcPr>
            <w:tcW w:w="1250" w:type="pct"/>
            <w:shd w:val="clear" w:color="auto" w:fill="auto"/>
            <w:hideMark/>
          </w:tcPr>
          <w:p w14:paraId="3E11E7AD"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1,</w:t>
            </w:r>
            <w:r w:rsidR="004211E9" w:rsidRPr="005350AF">
              <w:rPr>
                <w:color w:val="000000"/>
                <w:lang w:val="en-US"/>
              </w:rPr>
              <w:t>7</w:t>
            </w:r>
          </w:p>
        </w:tc>
        <w:tc>
          <w:tcPr>
            <w:tcW w:w="1250" w:type="pct"/>
            <w:shd w:val="clear" w:color="auto" w:fill="auto"/>
            <w:hideMark/>
          </w:tcPr>
          <w:p w14:paraId="4FF1A925" w14:textId="77777777" w:rsidR="004211E9" w:rsidRPr="005350AF" w:rsidRDefault="00BB33BE" w:rsidP="00B0468F">
            <w:pPr>
              <w:widowControl w:val="0"/>
              <w:tabs>
                <w:tab w:val="clear" w:pos="567"/>
              </w:tabs>
              <w:spacing w:line="240" w:lineRule="auto"/>
              <w:ind w:right="566"/>
              <w:jc w:val="center"/>
              <w:rPr>
                <w:color w:val="000000"/>
                <w:lang w:val="en-US"/>
              </w:rPr>
            </w:pPr>
            <w:r w:rsidRPr="005350AF">
              <w:rPr>
                <w:color w:val="000000"/>
                <w:lang w:val="en-US"/>
              </w:rPr>
              <w:t>0,</w:t>
            </w:r>
            <w:r w:rsidR="004211E9" w:rsidRPr="005350AF">
              <w:rPr>
                <w:color w:val="000000"/>
                <w:lang w:val="en-US"/>
              </w:rPr>
              <w:t>6</w:t>
            </w:r>
          </w:p>
        </w:tc>
      </w:tr>
    </w:tbl>
    <w:p w14:paraId="71BCD886" w14:textId="1394E6D7" w:rsidR="00860D24" w:rsidRPr="00B0468F" w:rsidRDefault="006B1C8A" w:rsidP="00B0468F">
      <w:pPr>
        <w:widowControl w:val="0"/>
        <w:tabs>
          <w:tab w:val="clear" w:pos="567"/>
        </w:tabs>
        <w:autoSpaceDE w:val="0"/>
        <w:autoSpaceDN w:val="0"/>
        <w:adjustRightInd w:val="0"/>
        <w:spacing w:line="240" w:lineRule="auto"/>
        <w:ind w:right="566"/>
        <w:rPr>
          <w:rFonts w:eastAsia="Calibri"/>
          <w:color w:val="000000"/>
          <w:lang w:val="lt-LT"/>
        </w:rPr>
      </w:pPr>
      <w:r w:rsidRPr="00217AE9">
        <w:rPr>
          <w:i/>
          <w:color w:val="000000"/>
          <w:szCs w:val="22"/>
          <w:lang w:val="fi-FI"/>
        </w:rPr>
        <w:t>a</w:t>
      </w:r>
      <w:r w:rsidR="00217AE9" w:rsidRPr="00217AE9">
        <w:rPr>
          <w:i/>
          <w:color w:val="000000"/>
          <w:szCs w:val="22"/>
          <w:lang w:val="fi-FI"/>
        </w:rPr>
        <w:t xml:space="preserve"> </w:t>
      </w:r>
      <w:r w:rsidRPr="00217AE9">
        <w:rPr>
          <w:i/>
          <w:color w:val="000000"/>
          <w:szCs w:val="22"/>
          <w:lang w:val="fi-FI"/>
        </w:rPr>
        <w:t>Jeigu</w:t>
      </w:r>
      <w:r w:rsidR="00860D24" w:rsidRPr="00B0468F">
        <w:rPr>
          <w:rFonts w:eastAsia="Calibri"/>
          <w:i/>
          <w:color w:val="000000"/>
          <w:lang w:val="lt-LT"/>
        </w:rPr>
        <w:t xml:space="preserve"> tiko, buvo taikytas kitoks įprastinis gydymas. Pagal klinikinio tyrimo protokolą visi pacientai galėjo vartoti acetilsalicilo rūgštį ir palaikomąją prazugrelio paros dozę.</w:t>
      </w:r>
    </w:p>
    <w:p w14:paraId="74CB7CEB"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b Bet kuris intrakranijinis kraujavimas ar bet kuris kliniškai reikšmingas kraujavimas, susijęs su hemoglobino konc</w:t>
      </w:r>
      <w:r w:rsidR="00927711" w:rsidRPr="00B0468F">
        <w:rPr>
          <w:rFonts w:eastAsia="Calibri"/>
          <w:i/>
          <w:color w:val="000000"/>
          <w:lang w:val="lt-LT"/>
        </w:rPr>
        <w:t>entracijos sumažėjimu ≥ </w:t>
      </w:r>
      <w:r w:rsidRPr="00B0468F">
        <w:rPr>
          <w:rFonts w:eastAsia="Calibri"/>
          <w:i/>
          <w:color w:val="000000"/>
          <w:lang w:val="lt-LT"/>
        </w:rPr>
        <w:t>5</w:t>
      </w:r>
      <w:r w:rsidR="00927711" w:rsidRPr="00B0468F">
        <w:rPr>
          <w:rFonts w:eastAsia="Calibri"/>
          <w:i/>
          <w:color w:val="000000"/>
          <w:lang w:val="lt-LT"/>
        </w:rPr>
        <w:t> </w:t>
      </w:r>
      <w:r w:rsidRPr="00B0468F">
        <w:rPr>
          <w:rFonts w:eastAsia="Calibri"/>
          <w:i/>
          <w:color w:val="000000"/>
          <w:lang w:val="lt-LT"/>
        </w:rPr>
        <w:t>g/dl.</w:t>
      </w:r>
    </w:p>
    <w:p w14:paraId="3D844778"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c Gyvybei pavojingas kraujavimas yra priskiriamas masyviam kraujavimui pagal TIMI ir apima toliau išvardytus tipus. Pacientai gali būti suskaičiuoti daugiau kaip vienoje eilutėje.</w:t>
      </w:r>
    </w:p>
    <w:p w14:paraId="16B6A96D"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d IKK = intrakranijinis kraujavimas.</w:t>
      </w:r>
    </w:p>
    <w:p w14:paraId="788E8479"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i/>
          <w:color w:val="000000"/>
          <w:lang w:val="lt-LT"/>
        </w:rPr>
      </w:pPr>
      <w:r w:rsidRPr="00B0468F">
        <w:rPr>
          <w:rFonts w:eastAsia="Calibri"/>
          <w:i/>
          <w:color w:val="000000"/>
          <w:lang w:val="lt-LT"/>
        </w:rPr>
        <w:t>e Kliniškai akivaizdus kraujavimas, susijęs su hemoglobino koncentracijos sum</w:t>
      </w:r>
      <w:r w:rsidR="00927711" w:rsidRPr="00B0468F">
        <w:rPr>
          <w:rFonts w:eastAsia="Calibri"/>
          <w:i/>
          <w:color w:val="000000"/>
          <w:lang w:val="lt-LT"/>
        </w:rPr>
        <w:t>ažėjimu ≥ 3 g/dl, bet &lt; </w:t>
      </w:r>
      <w:r w:rsidRPr="00B0468F">
        <w:rPr>
          <w:rFonts w:eastAsia="Calibri"/>
          <w:i/>
          <w:color w:val="000000"/>
          <w:lang w:val="lt-LT"/>
        </w:rPr>
        <w:t>5 g/dl.</w:t>
      </w:r>
    </w:p>
    <w:p w14:paraId="0E7D19E9"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color w:val="000000"/>
          <w:lang w:val="lt-LT"/>
        </w:rPr>
      </w:pPr>
    </w:p>
    <w:p w14:paraId="7057AE2C"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b/>
          <w:i/>
          <w:color w:val="000000"/>
          <w:lang w:val="lt-LT"/>
        </w:rPr>
      </w:pPr>
      <w:r w:rsidRPr="00B0468F">
        <w:rPr>
          <w:rFonts w:eastAsia="Calibri"/>
          <w:b/>
          <w:i/>
          <w:color w:val="000000"/>
          <w:lang w:val="lt-LT"/>
        </w:rPr>
        <w:t>Nepageidaujamų reakcijų suvestinė pateikta lentelėje</w:t>
      </w:r>
    </w:p>
    <w:p w14:paraId="6EC1C677" w14:textId="52688A37" w:rsidR="00217AE9" w:rsidRPr="00B0468F" w:rsidRDefault="00860D24" w:rsidP="00B0468F">
      <w:pPr>
        <w:widowControl w:val="0"/>
        <w:tabs>
          <w:tab w:val="clear" w:pos="567"/>
        </w:tabs>
        <w:autoSpaceDE w:val="0"/>
        <w:autoSpaceDN w:val="0"/>
        <w:adjustRightInd w:val="0"/>
        <w:spacing w:line="240" w:lineRule="auto"/>
        <w:ind w:right="566"/>
        <w:rPr>
          <w:color w:val="000000"/>
          <w:lang w:val="lt-LT"/>
        </w:rPr>
      </w:pPr>
      <w:r w:rsidRPr="00B0468F">
        <w:rPr>
          <w:rFonts w:eastAsia="Calibri"/>
          <w:color w:val="000000"/>
          <w:lang w:val="lt-LT"/>
        </w:rPr>
        <w:t>Lentelėje nr. 2 pateikta su kraujavimu susijusių ir nesusijusių nepageidaujamų reakcijų, kurios pasireiškė tyrimo TRITON</w:t>
      </w:r>
      <w:r w:rsidRPr="00B0468F">
        <w:rPr>
          <w:rFonts w:eastAsia="Calibri"/>
          <w:i/>
          <w:color w:val="000000"/>
          <w:lang w:val="lt-LT"/>
        </w:rPr>
        <w:t xml:space="preserve"> </w:t>
      </w:r>
      <w:r w:rsidRPr="00B0468F">
        <w:rPr>
          <w:rFonts w:eastAsia="Calibri"/>
          <w:color w:val="000000"/>
          <w:lang w:val="lt-LT"/>
        </w:rPr>
        <w:t>metu arba apie kurias buvo pranešta spontaniškai, suvestinė. Nepageidaujamos reakcijos suskirstytos pagal organų sistemų klases ir dažnį, kuris apibūdinamas taip:</w:t>
      </w:r>
    </w:p>
    <w:p w14:paraId="1AE7C66F" w14:textId="77777777" w:rsidR="004211E9" w:rsidRPr="00B0468F" w:rsidRDefault="00BC6B71"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L</w:t>
      </w:r>
      <w:r w:rsidR="00860D24" w:rsidRPr="00B0468F">
        <w:rPr>
          <w:rFonts w:eastAsia="Calibri"/>
          <w:color w:val="000000"/>
          <w:lang w:val="lt-LT"/>
        </w:rPr>
        <w:t>abai dažni (≥ 1/10), dažni (nuo ≥ 1/100 iki &lt; 1/10), nedažni (nuo ≥ 1/</w:t>
      </w:r>
      <w:r w:rsidR="007E12B3" w:rsidRPr="00B0468F">
        <w:rPr>
          <w:rFonts w:eastAsia="Calibri"/>
          <w:color w:val="000000"/>
          <w:lang w:val="lt-LT"/>
        </w:rPr>
        <w:t>1000</w:t>
      </w:r>
      <w:r w:rsidR="00860D24" w:rsidRPr="00B0468F">
        <w:rPr>
          <w:rFonts w:eastAsia="Calibri"/>
          <w:color w:val="000000"/>
          <w:lang w:val="lt-LT"/>
        </w:rPr>
        <w:t xml:space="preserve"> iki ≤ 1/100), reti (nuo ≥ 1/</w:t>
      </w:r>
      <w:r w:rsidR="007E12B3" w:rsidRPr="00B0468F">
        <w:rPr>
          <w:rFonts w:eastAsia="Calibri"/>
          <w:color w:val="000000"/>
          <w:lang w:val="lt-LT"/>
        </w:rPr>
        <w:t>10000</w:t>
      </w:r>
      <w:r w:rsidR="00860D24" w:rsidRPr="00B0468F">
        <w:rPr>
          <w:rFonts w:eastAsia="Calibri"/>
          <w:color w:val="000000"/>
          <w:lang w:val="lt-LT"/>
        </w:rPr>
        <w:t xml:space="preserve"> iki ≤ 1/</w:t>
      </w:r>
      <w:r w:rsidR="007E12B3" w:rsidRPr="00B0468F">
        <w:rPr>
          <w:rFonts w:eastAsia="Calibri"/>
          <w:color w:val="000000"/>
          <w:lang w:val="lt-LT"/>
        </w:rPr>
        <w:t>1000</w:t>
      </w:r>
      <w:r w:rsidR="00860D24" w:rsidRPr="00B0468F">
        <w:rPr>
          <w:rFonts w:eastAsia="Calibri"/>
          <w:color w:val="000000"/>
          <w:lang w:val="lt-LT"/>
        </w:rPr>
        <w:t>), labai reti (≤ 1/10 000), dažnis nežinomas (negali būti įvertintas pagal turimus duomenis).</w:t>
      </w:r>
    </w:p>
    <w:p w14:paraId="48B445E6"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color w:val="000000"/>
          <w:lang w:val="lt-LT"/>
        </w:rPr>
      </w:pPr>
    </w:p>
    <w:p w14:paraId="46EA5D86" w14:textId="77777777" w:rsidR="00860D24" w:rsidRPr="00B0468F" w:rsidRDefault="00860D2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b/>
          <w:lang w:val="lt-LT"/>
        </w:rPr>
        <w:t>Lentelė nr. 2. Su kraujavimu susijusios ir nesusijusios nepageidaujamos reakcijos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316"/>
        <w:gridCol w:w="1845"/>
        <w:gridCol w:w="2124"/>
        <w:gridCol w:w="1985"/>
      </w:tblGrid>
      <w:tr w:rsidR="00860D24" w:rsidRPr="00217AE9" w14:paraId="512353F6" w14:textId="77777777" w:rsidTr="00B0468F">
        <w:tc>
          <w:tcPr>
            <w:tcW w:w="1040" w:type="pct"/>
            <w:shd w:val="clear" w:color="auto" w:fill="auto"/>
            <w:hideMark/>
          </w:tcPr>
          <w:p w14:paraId="2812B6C5" w14:textId="77777777" w:rsidR="00860D24" w:rsidRPr="005350AF" w:rsidRDefault="00860D24" w:rsidP="00B0468F">
            <w:pPr>
              <w:widowControl w:val="0"/>
              <w:spacing w:line="240" w:lineRule="auto"/>
              <w:ind w:right="-149"/>
              <w:jc w:val="center"/>
              <w:rPr>
                <w:u w:val="single"/>
                <w:lang w:val="en-US"/>
              </w:rPr>
            </w:pPr>
            <w:r w:rsidRPr="005350AF">
              <w:rPr>
                <w:b/>
                <w:u w:val="single"/>
                <w:lang w:val="en-US"/>
              </w:rPr>
              <w:t>Organų sistemų klasė</w:t>
            </w:r>
          </w:p>
        </w:tc>
        <w:tc>
          <w:tcPr>
            <w:tcW w:w="717" w:type="pct"/>
            <w:shd w:val="clear" w:color="auto" w:fill="auto"/>
            <w:hideMark/>
          </w:tcPr>
          <w:p w14:paraId="70FA7C47" w14:textId="77777777" w:rsidR="00860D24" w:rsidRPr="005350AF" w:rsidRDefault="00860D24" w:rsidP="005350AF">
            <w:pPr>
              <w:widowControl w:val="0"/>
              <w:tabs>
                <w:tab w:val="clear" w:pos="567"/>
              </w:tabs>
              <w:spacing w:line="240" w:lineRule="auto"/>
              <w:ind w:right="3"/>
              <w:jc w:val="center"/>
              <w:rPr>
                <w:u w:val="single"/>
                <w:lang w:val="en-US"/>
              </w:rPr>
            </w:pPr>
            <w:r w:rsidRPr="005350AF">
              <w:rPr>
                <w:b/>
                <w:u w:val="single"/>
                <w:lang w:val="en-US"/>
              </w:rPr>
              <w:t>Dažni</w:t>
            </w:r>
          </w:p>
        </w:tc>
        <w:tc>
          <w:tcPr>
            <w:tcW w:w="1005" w:type="pct"/>
            <w:shd w:val="clear" w:color="auto" w:fill="auto"/>
            <w:hideMark/>
          </w:tcPr>
          <w:p w14:paraId="547EB264" w14:textId="77777777" w:rsidR="00860D24" w:rsidRPr="005350AF" w:rsidRDefault="00860D24" w:rsidP="00B0468F">
            <w:pPr>
              <w:widowControl w:val="0"/>
              <w:spacing w:line="240" w:lineRule="auto"/>
              <w:ind w:right="566"/>
              <w:jc w:val="center"/>
              <w:rPr>
                <w:u w:val="single"/>
                <w:lang w:val="en-US"/>
              </w:rPr>
            </w:pPr>
            <w:r w:rsidRPr="005350AF">
              <w:rPr>
                <w:b/>
                <w:u w:val="single"/>
                <w:lang w:val="en-US"/>
              </w:rPr>
              <w:t>Nedažni</w:t>
            </w:r>
          </w:p>
        </w:tc>
        <w:tc>
          <w:tcPr>
            <w:tcW w:w="1157" w:type="pct"/>
            <w:shd w:val="clear" w:color="auto" w:fill="auto"/>
            <w:hideMark/>
          </w:tcPr>
          <w:p w14:paraId="1B8E973F" w14:textId="77777777" w:rsidR="00860D24" w:rsidRPr="005350AF" w:rsidRDefault="00860D24" w:rsidP="00B0468F">
            <w:pPr>
              <w:widowControl w:val="0"/>
              <w:spacing w:line="240" w:lineRule="auto"/>
              <w:ind w:right="566"/>
              <w:jc w:val="center"/>
              <w:rPr>
                <w:u w:val="single"/>
                <w:lang w:val="en-US"/>
              </w:rPr>
            </w:pPr>
            <w:r w:rsidRPr="005350AF">
              <w:rPr>
                <w:b/>
                <w:u w:val="single"/>
                <w:lang w:val="en-US"/>
              </w:rPr>
              <w:t>Reti</w:t>
            </w:r>
          </w:p>
        </w:tc>
        <w:tc>
          <w:tcPr>
            <w:tcW w:w="1081" w:type="pct"/>
            <w:shd w:val="clear" w:color="auto" w:fill="auto"/>
            <w:hideMark/>
          </w:tcPr>
          <w:p w14:paraId="484D1B76" w14:textId="77777777" w:rsidR="00860D24" w:rsidRPr="005350AF" w:rsidRDefault="00860D24" w:rsidP="00B0468F">
            <w:pPr>
              <w:widowControl w:val="0"/>
              <w:spacing w:line="240" w:lineRule="auto"/>
              <w:ind w:right="566"/>
              <w:jc w:val="center"/>
              <w:rPr>
                <w:u w:val="single"/>
                <w:lang w:val="en-US"/>
              </w:rPr>
            </w:pPr>
            <w:r w:rsidRPr="005350AF">
              <w:rPr>
                <w:b/>
                <w:u w:val="single"/>
                <w:lang w:val="en-US"/>
              </w:rPr>
              <w:t>Dažnis nežinomas</w:t>
            </w:r>
          </w:p>
        </w:tc>
      </w:tr>
      <w:tr w:rsidR="00860D24" w:rsidRPr="00217AE9" w14:paraId="12852134" w14:textId="77777777" w:rsidTr="00B0468F">
        <w:tc>
          <w:tcPr>
            <w:tcW w:w="1040" w:type="pct"/>
            <w:shd w:val="clear" w:color="auto" w:fill="auto"/>
            <w:hideMark/>
          </w:tcPr>
          <w:p w14:paraId="5358D2E4" w14:textId="77777777" w:rsidR="00860D24" w:rsidRPr="00FD696A" w:rsidRDefault="00490AAE" w:rsidP="00B0468F">
            <w:pPr>
              <w:widowControl w:val="0"/>
              <w:spacing w:line="240" w:lineRule="auto"/>
              <w:ind w:right="-149"/>
              <w:rPr>
                <w:lang w:val="pt-PT"/>
              </w:rPr>
            </w:pPr>
            <w:r w:rsidRPr="00FD696A">
              <w:rPr>
                <w:i/>
                <w:lang w:val="pt-PT"/>
              </w:rPr>
              <w:t>Kraujo ir limfinės sistemos sutrikimai</w:t>
            </w:r>
          </w:p>
        </w:tc>
        <w:tc>
          <w:tcPr>
            <w:tcW w:w="717" w:type="pct"/>
            <w:shd w:val="clear" w:color="auto" w:fill="auto"/>
            <w:hideMark/>
          </w:tcPr>
          <w:p w14:paraId="119F5C75" w14:textId="77777777" w:rsidR="00860D24" w:rsidRPr="00FD696A" w:rsidRDefault="00490AAE" w:rsidP="005350AF">
            <w:pPr>
              <w:widowControl w:val="0"/>
              <w:tabs>
                <w:tab w:val="clear" w:pos="567"/>
                <w:tab w:val="left" w:pos="625"/>
              </w:tabs>
              <w:spacing w:line="240" w:lineRule="auto"/>
              <w:ind w:right="-109"/>
              <w:rPr>
                <w:lang w:val="en-US"/>
              </w:rPr>
            </w:pPr>
            <w:r w:rsidRPr="00FD696A">
              <w:rPr>
                <w:lang w:val="en-US"/>
              </w:rPr>
              <w:t>Anemija</w:t>
            </w:r>
          </w:p>
        </w:tc>
        <w:tc>
          <w:tcPr>
            <w:tcW w:w="1005" w:type="pct"/>
            <w:shd w:val="clear" w:color="auto" w:fill="auto"/>
            <w:hideMark/>
          </w:tcPr>
          <w:p w14:paraId="29AAB000" w14:textId="77777777" w:rsidR="00860D24" w:rsidRPr="00FD696A" w:rsidRDefault="00860D24" w:rsidP="00B0468F">
            <w:pPr>
              <w:widowControl w:val="0"/>
              <w:spacing w:line="240" w:lineRule="auto"/>
              <w:ind w:right="566"/>
              <w:rPr>
                <w:lang w:val="en-US"/>
              </w:rPr>
            </w:pPr>
          </w:p>
        </w:tc>
        <w:tc>
          <w:tcPr>
            <w:tcW w:w="1157" w:type="pct"/>
            <w:shd w:val="clear" w:color="auto" w:fill="auto"/>
            <w:hideMark/>
          </w:tcPr>
          <w:p w14:paraId="142EAC05" w14:textId="77777777" w:rsidR="00860D24" w:rsidRPr="00FD696A" w:rsidRDefault="00490AAE" w:rsidP="00B0468F">
            <w:pPr>
              <w:widowControl w:val="0"/>
              <w:tabs>
                <w:tab w:val="left" w:pos="1908"/>
              </w:tabs>
              <w:spacing w:line="240" w:lineRule="auto"/>
              <w:ind w:right="-109"/>
              <w:rPr>
                <w:lang w:val="en-US"/>
              </w:rPr>
            </w:pPr>
            <w:r w:rsidRPr="00FD696A">
              <w:rPr>
                <w:lang w:val="en-US"/>
              </w:rPr>
              <w:t>Trombocitopenija</w:t>
            </w:r>
            <w:r w:rsidR="00860D24" w:rsidRPr="00FD696A">
              <w:rPr>
                <w:lang w:val="en-US"/>
              </w:rPr>
              <w:t xml:space="preserve"> </w:t>
            </w:r>
          </w:p>
        </w:tc>
        <w:tc>
          <w:tcPr>
            <w:tcW w:w="1081" w:type="pct"/>
            <w:shd w:val="clear" w:color="auto" w:fill="auto"/>
            <w:hideMark/>
          </w:tcPr>
          <w:p w14:paraId="5D8A023F" w14:textId="77777777" w:rsidR="00860D24" w:rsidRPr="00FD696A" w:rsidRDefault="00490AAE" w:rsidP="00B0468F">
            <w:pPr>
              <w:widowControl w:val="0"/>
              <w:tabs>
                <w:tab w:val="left" w:pos="1594"/>
              </w:tabs>
              <w:spacing w:line="240" w:lineRule="auto"/>
              <w:ind w:right="-108"/>
              <w:rPr>
                <w:lang w:val="en-US"/>
              </w:rPr>
            </w:pPr>
            <w:r w:rsidRPr="00FD696A">
              <w:rPr>
                <w:lang w:val="en-US"/>
              </w:rPr>
              <w:t xml:space="preserve">Trombinė trombocitopeninė purpura (TTP), </w:t>
            </w:r>
            <w:r w:rsidRPr="00FD696A">
              <w:rPr>
                <w:i/>
                <w:lang w:val="en-US"/>
              </w:rPr>
              <w:t>žr. 4.4 skyrių</w:t>
            </w:r>
          </w:p>
        </w:tc>
      </w:tr>
      <w:tr w:rsidR="00860D24" w:rsidRPr="00217AE9" w14:paraId="6E16D940" w14:textId="77777777" w:rsidTr="00B0468F">
        <w:tc>
          <w:tcPr>
            <w:tcW w:w="1040" w:type="pct"/>
            <w:shd w:val="clear" w:color="auto" w:fill="auto"/>
            <w:hideMark/>
          </w:tcPr>
          <w:p w14:paraId="1857741A" w14:textId="77777777" w:rsidR="00860D24" w:rsidRPr="005350AF" w:rsidRDefault="00490AAE" w:rsidP="00B0468F">
            <w:pPr>
              <w:widowControl w:val="0"/>
              <w:spacing w:line="240" w:lineRule="auto"/>
              <w:ind w:right="-149"/>
              <w:rPr>
                <w:lang w:val="en-US"/>
              </w:rPr>
            </w:pPr>
            <w:r w:rsidRPr="005350AF">
              <w:rPr>
                <w:i/>
                <w:lang w:val="en-US"/>
              </w:rPr>
              <w:lastRenderedPageBreak/>
              <w:t>Imuninės sistemos sutrikimai</w:t>
            </w:r>
            <w:r w:rsidR="00860D24" w:rsidRPr="005350AF">
              <w:rPr>
                <w:lang w:val="en-US"/>
              </w:rPr>
              <w:t xml:space="preserve"> </w:t>
            </w:r>
          </w:p>
        </w:tc>
        <w:tc>
          <w:tcPr>
            <w:tcW w:w="717" w:type="pct"/>
            <w:shd w:val="clear" w:color="auto" w:fill="auto"/>
            <w:hideMark/>
          </w:tcPr>
          <w:p w14:paraId="6E0DC35D" w14:textId="77777777" w:rsidR="00860D24" w:rsidRPr="00FD696A" w:rsidRDefault="00860D24" w:rsidP="00B0468F">
            <w:pPr>
              <w:widowControl w:val="0"/>
              <w:tabs>
                <w:tab w:val="left" w:pos="625"/>
              </w:tabs>
              <w:spacing w:line="240" w:lineRule="auto"/>
              <w:ind w:right="-109"/>
              <w:rPr>
                <w:lang w:val="en-US"/>
              </w:rPr>
            </w:pPr>
          </w:p>
        </w:tc>
        <w:tc>
          <w:tcPr>
            <w:tcW w:w="1005" w:type="pct"/>
            <w:shd w:val="clear" w:color="auto" w:fill="auto"/>
            <w:hideMark/>
          </w:tcPr>
          <w:p w14:paraId="210CB049" w14:textId="77777777" w:rsidR="00860D24" w:rsidRPr="00FD696A" w:rsidRDefault="00490AAE" w:rsidP="00B0468F">
            <w:pPr>
              <w:widowControl w:val="0"/>
              <w:spacing w:line="240" w:lineRule="auto"/>
              <w:ind w:right="-107"/>
              <w:rPr>
                <w:lang w:val="en-US"/>
              </w:rPr>
            </w:pPr>
            <w:r w:rsidRPr="00FD696A">
              <w:rPr>
                <w:lang w:val="en-US"/>
              </w:rPr>
              <w:t>Padidėjęs jautrumas, įskaitant angioneurozinę edemą</w:t>
            </w:r>
          </w:p>
        </w:tc>
        <w:tc>
          <w:tcPr>
            <w:tcW w:w="1157" w:type="pct"/>
            <w:shd w:val="clear" w:color="auto" w:fill="auto"/>
            <w:hideMark/>
          </w:tcPr>
          <w:p w14:paraId="7ED3B0C4" w14:textId="77777777" w:rsidR="00860D24" w:rsidRPr="00FD696A" w:rsidRDefault="00860D24" w:rsidP="00B0468F">
            <w:pPr>
              <w:widowControl w:val="0"/>
              <w:spacing w:line="240" w:lineRule="auto"/>
              <w:ind w:right="566"/>
              <w:rPr>
                <w:lang w:val="en-US"/>
              </w:rPr>
            </w:pPr>
          </w:p>
        </w:tc>
        <w:tc>
          <w:tcPr>
            <w:tcW w:w="1081" w:type="pct"/>
            <w:shd w:val="clear" w:color="auto" w:fill="auto"/>
            <w:hideMark/>
          </w:tcPr>
          <w:p w14:paraId="1A313DA6" w14:textId="77777777" w:rsidR="00860D24" w:rsidRPr="00FD696A" w:rsidRDefault="00860D24" w:rsidP="00B0468F">
            <w:pPr>
              <w:widowControl w:val="0"/>
              <w:spacing w:line="240" w:lineRule="auto"/>
              <w:ind w:right="566"/>
              <w:rPr>
                <w:lang w:val="en-US"/>
              </w:rPr>
            </w:pPr>
          </w:p>
        </w:tc>
      </w:tr>
      <w:tr w:rsidR="00860D24" w:rsidRPr="00217AE9" w14:paraId="1E6A6D90" w14:textId="77777777" w:rsidTr="00B0468F">
        <w:tc>
          <w:tcPr>
            <w:tcW w:w="1040" w:type="pct"/>
            <w:shd w:val="clear" w:color="auto" w:fill="auto"/>
            <w:hideMark/>
          </w:tcPr>
          <w:p w14:paraId="7D99652E" w14:textId="77777777" w:rsidR="00860D24" w:rsidRPr="005350AF" w:rsidRDefault="00490AAE" w:rsidP="00B0468F">
            <w:pPr>
              <w:widowControl w:val="0"/>
              <w:spacing w:line="240" w:lineRule="auto"/>
              <w:ind w:right="-149"/>
              <w:rPr>
                <w:lang w:val="en-US"/>
              </w:rPr>
            </w:pPr>
            <w:r w:rsidRPr="005350AF">
              <w:rPr>
                <w:i/>
                <w:lang w:val="en-US"/>
              </w:rPr>
              <w:t>Akių sutrikimai</w:t>
            </w:r>
            <w:r w:rsidR="00860D24" w:rsidRPr="005350AF">
              <w:rPr>
                <w:lang w:val="en-US"/>
              </w:rPr>
              <w:t xml:space="preserve"> </w:t>
            </w:r>
          </w:p>
        </w:tc>
        <w:tc>
          <w:tcPr>
            <w:tcW w:w="717" w:type="pct"/>
            <w:shd w:val="clear" w:color="auto" w:fill="auto"/>
            <w:hideMark/>
          </w:tcPr>
          <w:p w14:paraId="00CB9C83" w14:textId="77777777" w:rsidR="00860D24" w:rsidRPr="00FD696A" w:rsidRDefault="00860D24" w:rsidP="00B0468F">
            <w:pPr>
              <w:widowControl w:val="0"/>
              <w:tabs>
                <w:tab w:val="left" w:pos="625"/>
              </w:tabs>
              <w:spacing w:line="240" w:lineRule="auto"/>
              <w:ind w:right="-109"/>
              <w:rPr>
                <w:lang w:val="en-US"/>
              </w:rPr>
            </w:pPr>
          </w:p>
        </w:tc>
        <w:tc>
          <w:tcPr>
            <w:tcW w:w="1005" w:type="pct"/>
            <w:shd w:val="clear" w:color="auto" w:fill="auto"/>
            <w:hideMark/>
          </w:tcPr>
          <w:p w14:paraId="1E3FF860" w14:textId="77777777" w:rsidR="00860D24" w:rsidRPr="00FD696A" w:rsidRDefault="00490AAE" w:rsidP="00B0468F">
            <w:pPr>
              <w:widowControl w:val="0"/>
              <w:tabs>
                <w:tab w:val="left" w:pos="1048"/>
              </w:tabs>
              <w:spacing w:line="240" w:lineRule="auto"/>
              <w:ind w:right="-107"/>
              <w:rPr>
                <w:lang w:val="en-US"/>
              </w:rPr>
            </w:pPr>
            <w:r w:rsidRPr="00FD696A">
              <w:rPr>
                <w:lang w:val="en-US"/>
              </w:rPr>
              <w:t>Kraujavimas į akis</w:t>
            </w:r>
            <w:r w:rsidR="00860D24" w:rsidRPr="00FD696A">
              <w:rPr>
                <w:lang w:val="en-US"/>
              </w:rPr>
              <w:t xml:space="preserve"> </w:t>
            </w:r>
          </w:p>
        </w:tc>
        <w:tc>
          <w:tcPr>
            <w:tcW w:w="1157" w:type="pct"/>
            <w:shd w:val="clear" w:color="auto" w:fill="auto"/>
            <w:hideMark/>
          </w:tcPr>
          <w:p w14:paraId="172849DA" w14:textId="77777777" w:rsidR="00860D24" w:rsidRPr="00FD696A" w:rsidRDefault="00860D24" w:rsidP="00B0468F">
            <w:pPr>
              <w:widowControl w:val="0"/>
              <w:spacing w:line="240" w:lineRule="auto"/>
              <w:ind w:right="566"/>
              <w:rPr>
                <w:lang w:val="en-US"/>
              </w:rPr>
            </w:pPr>
          </w:p>
        </w:tc>
        <w:tc>
          <w:tcPr>
            <w:tcW w:w="1081" w:type="pct"/>
            <w:shd w:val="clear" w:color="auto" w:fill="auto"/>
            <w:hideMark/>
          </w:tcPr>
          <w:p w14:paraId="7FA60067" w14:textId="77777777" w:rsidR="00860D24" w:rsidRPr="00FD696A" w:rsidRDefault="00860D24" w:rsidP="00B0468F">
            <w:pPr>
              <w:widowControl w:val="0"/>
              <w:spacing w:line="240" w:lineRule="auto"/>
              <w:ind w:right="566"/>
              <w:rPr>
                <w:lang w:val="en-US"/>
              </w:rPr>
            </w:pPr>
          </w:p>
        </w:tc>
      </w:tr>
      <w:tr w:rsidR="00860D24" w:rsidRPr="00217AE9" w14:paraId="3BFC9C0E" w14:textId="77777777" w:rsidTr="00B0468F">
        <w:tc>
          <w:tcPr>
            <w:tcW w:w="1040" w:type="pct"/>
            <w:shd w:val="clear" w:color="auto" w:fill="auto"/>
            <w:hideMark/>
          </w:tcPr>
          <w:p w14:paraId="73F9EC06" w14:textId="77777777" w:rsidR="00860D24" w:rsidRPr="005350AF" w:rsidRDefault="003B4073" w:rsidP="00B0468F">
            <w:pPr>
              <w:widowControl w:val="0"/>
              <w:spacing w:line="240" w:lineRule="auto"/>
              <w:ind w:right="-149"/>
              <w:rPr>
                <w:lang w:val="en-US"/>
              </w:rPr>
            </w:pPr>
            <w:r w:rsidRPr="005350AF">
              <w:rPr>
                <w:i/>
                <w:lang w:val="en-US"/>
              </w:rPr>
              <w:t>Kraujagyslių sutrikimai</w:t>
            </w:r>
            <w:r w:rsidR="00860D24" w:rsidRPr="005350AF">
              <w:rPr>
                <w:lang w:val="en-US"/>
              </w:rPr>
              <w:t xml:space="preserve"> </w:t>
            </w:r>
          </w:p>
        </w:tc>
        <w:tc>
          <w:tcPr>
            <w:tcW w:w="717" w:type="pct"/>
            <w:shd w:val="clear" w:color="auto" w:fill="auto"/>
            <w:hideMark/>
          </w:tcPr>
          <w:p w14:paraId="55E0A3A8" w14:textId="77777777" w:rsidR="00860D24" w:rsidRPr="00FD696A" w:rsidRDefault="003B4073" w:rsidP="005350AF">
            <w:pPr>
              <w:widowControl w:val="0"/>
              <w:tabs>
                <w:tab w:val="clear" w:pos="567"/>
                <w:tab w:val="left" w:pos="524"/>
                <w:tab w:val="left" w:pos="625"/>
              </w:tabs>
              <w:spacing w:line="240" w:lineRule="auto"/>
              <w:ind w:right="-109"/>
              <w:rPr>
                <w:lang w:val="en-US"/>
              </w:rPr>
            </w:pPr>
            <w:r w:rsidRPr="00FD696A">
              <w:rPr>
                <w:lang w:val="en-US"/>
              </w:rPr>
              <w:t>H</w:t>
            </w:r>
            <w:r w:rsidR="00860D24" w:rsidRPr="00FD696A">
              <w:rPr>
                <w:lang w:val="en-US"/>
              </w:rPr>
              <w:t xml:space="preserve">ematoma </w:t>
            </w:r>
          </w:p>
        </w:tc>
        <w:tc>
          <w:tcPr>
            <w:tcW w:w="1005" w:type="pct"/>
            <w:shd w:val="clear" w:color="auto" w:fill="auto"/>
            <w:hideMark/>
          </w:tcPr>
          <w:p w14:paraId="25F33914" w14:textId="77777777" w:rsidR="00860D24" w:rsidRPr="00FD696A" w:rsidRDefault="00860D24" w:rsidP="00B0468F">
            <w:pPr>
              <w:widowControl w:val="0"/>
              <w:spacing w:line="240" w:lineRule="auto"/>
              <w:ind w:right="-107"/>
              <w:rPr>
                <w:lang w:val="en-US"/>
              </w:rPr>
            </w:pPr>
          </w:p>
        </w:tc>
        <w:tc>
          <w:tcPr>
            <w:tcW w:w="1157" w:type="pct"/>
            <w:shd w:val="clear" w:color="auto" w:fill="auto"/>
            <w:hideMark/>
          </w:tcPr>
          <w:p w14:paraId="7EE16DF5" w14:textId="77777777" w:rsidR="00860D24" w:rsidRPr="00FD696A" w:rsidRDefault="00860D24" w:rsidP="00B0468F">
            <w:pPr>
              <w:widowControl w:val="0"/>
              <w:spacing w:line="240" w:lineRule="auto"/>
              <w:ind w:right="566"/>
              <w:rPr>
                <w:lang w:val="en-US"/>
              </w:rPr>
            </w:pPr>
          </w:p>
        </w:tc>
        <w:tc>
          <w:tcPr>
            <w:tcW w:w="1081" w:type="pct"/>
            <w:shd w:val="clear" w:color="auto" w:fill="auto"/>
            <w:hideMark/>
          </w:tcPr>
          <w:p w14:paraId="29444AF7" w14:textId="77777777" w:rsidR="00860D24" w:rsidRPr="00FD696A" w:rsidRDefault="00860D24" w:rsidP="00B0468F">
            <w:pPr>
              <w:widowControl w:val="0"/>
              <w:spacing w:line="240" w:lineRule="auto"/>
              <w:ind w:right="566"/>
              <w:rPr>
                <w:lang w:val="en-US"/>
              </w:rPr>
            </w:pPr>
          </w:p>
        </w:tc>
      </w:tr>
      <w:tr w:rsidR="00860D24" w:rsidRPr="00217AE9" w14:paraId="5D96944A" w14:textId="77777777" w:rsidTr="00B0468F">
        <w:tc>
          <w:tcPr>
            <w:tcW w:w="1040" w:type="pct"/>
            <w:shd w:val="clear" w:color="auto" w:fill="auto"/>
            <w:hideMark/>
          </w:tcPr>
          <w:p w14:paraId="64FB9302" w14:textId="77777777" w:rsidR="00860D24" w:rsidRPr="00FD696A" w:rsidRDefault="003B4073" w:rsidP="00B0468F">
            <w:pPr>
              <w:widowControl w:val="0"/>
              <w:spacing w:line="240" w:lineRule="auto"/>
              <w:ind w:right="-149"/>
              <w:rPr>
                <w:lang w:val="pt-PT"/>
              </w:rPr>
            </w:pPr>
            <w:r w:rsidRPr="00FD696A">
              <w:rPr>
                <w:i/>
                <w:lang w:val="pt-PT"/>
              </w:rPr>
              <w:t>Kvėpavimo sistemos, krūtinės ląstos ir tarpuplaučio sutrikimai</w:t>
            </w:r>
          </w:p>
        </w:tc>
        <w:tc>
          <w:tcPr>
            <w:tcW w:w="717" w:type="pct"/>
            <w:shd w:val="clear" w:color="auto" w:fill="auto"/>
            <w:hideMark/>
          </w:tcPr>
          <w:p w14:paraId="2243B056" w14:textId="77777777" w:rsidR="00860D24" w:rsidRPr="00FD696A" w:rsidRDefault="00F86CDB" w:rsidP="00B0468F">
            <w:pPr>
              <w:widowControl w:val="0"/>
              <w:tabs>
                <w:tab w:val="left" w:pos="625"/>
              </w:tabs>
              <w:spacing w:line="240" w:lineRule="auto"/>
              <w:ind w:right="-109"/>
              <w:rPr>
                <w:lang w:val="en-US"/>
              </w:rPr>
            </w:pPr>
            <w:r w:rsidRPr="00FD696A">
              <w:rPr>
                <w:lang w:val="en-US"/>
              </w:rPr>
              <w:t>Kraujavimas iš nosies</w:t>
            </w:r>
            <w:r w:rsidR="00860D24" w:rsidRPr="00FD696A">
              <w:rPr>
                <w:lang w:val="en-US"/>
              </w:rPr>
              <w:t xml:space="preserve"> </w:t>
            </w:r>
          </w:p>
        </w:tc>
        <w:tc>
          <w:tcPr>
            <w:tcW w:w="1005" w:type="pct"/>
            <w:shd w:val="clear" w:color="auto" w:fill="auto"/>
            <w:hideMark/>
          </w:tcPr>
          <w:p w14:paraId="19D08958" w14:textId="77777777" w:rsidR="00860D24" w:rsidRPr="00FD696A" w:rsidRDefault="00F86CDB" w:rsidP="00B0468F">
            <w:pPr>
              <w:widowControl w:val="0"/>
              <w:spacing w:line="240" w:lineRule="auto"/>
              <w:ind w:right="-107"/>
              <w:rPr>
                <w:lang w:val="en-US"/>
              </w:rPr>
            </w:pPr>
            <w:r w:rsidRPr="00FD696A">
              <w:rPr>
                <w:lang w:val="en-US"/>
              </w:rPr>
              <w:t>Skrepliavimas krauju</w:t>
            </w:r>
            <w:r w:rsidR="00860D24" w:rsidRPr="00FD696A">
              <w:rPr>
                <w:lang w:val="en-US"/>
              </w:rPr>
              <w:t xml:space="preserve"> </w:t>
            </w:r>
          </w:p>
        </w:tc>
        <w:tc>
          <w:tcPr>
            <w:tcW w:w="1157" w:type="pct"/>
            <w:shd w:val="clear" w:color="auto" w:fill="auto"/>
            <w:hideMark/>
          </w:tcPr>
          <w:p w14:paraId="7031ADFD" w14:textId="77777777" w:rsidR="00860D24" w:rsidRPr="00FD696A" w:rsidRDefault="00860D24" w:rsidP="00B0468F">
            <w:pPr>
              <w:widowControl w:val="0"/>
              <w:spacing w:line="240" w:lineRule="auto"/>
              <w:ind w:right="566"/>
              <w:rPr>
                <w:lang w:val="en-US"/>
              </w:rPr>
            </w:pPr>
          </w:p>
        </w:tc>
        <w:tc>
          <w:tcPr>
            <w:tcW w:w="1081" w:type="pct"/>
            <w:shd w:val="clear" w:color="auto" w:fill="auto"/>
            <w:hideMark/>
          </w:tcPr>
          <w:p w14:paraId="3CECA584" w14:textId="77777777" w:rsidR="00860D24" w:rsidRPr="00FD696A" w:rsidRDefault="00860D24" w:rsidP="00B0468F">
            <w:pPr>
              <w:widowControl w:val="0"/>
              <w:spacing w:line="240" w:lineRule="auto"/>
              <w:ind w:right="566"/>
              <w:rPr>
                <w:lang w:val="en-US"/>
              </w:rPr>
            </w:pPr>
          </w:p>
        </w:tc>
      </w:tr>
      <w:tr w:rsidR="00860D24" w:rsidRPr="00681649" w14:paraId="4AF1370A" w14:textId="77777777" w:rsidTr="00B0468F">
        <w:tc>
          <w:tcPr>
            <w:tcW w:w="1040" w:type="pct"/>
            <w:shd w:val="clear" w:color="auto" w:fill="auto"/>
            <w:hideMark/>
          </w:tcPr>
          <w:p w14:paraId="74C3C4D4" w14:textId="77777777" w:rsidR="00860D24" w:rsidRPr="005350AF" w:rsidRDefault="00E00D35" w:rsidP="00B0468F">
            <w:pPr>
              <w:widowControl w:val="0"/>
              <w:spacing w:line="240" w:lineRule="auto"/>
              <w:ind w:right="-149"/>
              <w:rPr>
                <w:lang w:val="en-US"/>
              </w:rPr>
            </w:pPr>
            <w:r w:rsidRPr="005350AF">
              <w:rPr>
                <w:i/>
                <w:lang w:val="en-US"/>
              </w:rPr>
              <w:t>Virškinimo trakto sutrikimai</w:t>
            </w:r>
            <w:r w:rsidR="00860D24" w:rsidRPr="005350AF">
              <w:rPr>
                <w:lang w:val="en-US"/>
              </w:rPr>
              <w:t xml:space="preserve"> </w:t>
            </w:r>
          </w:p>
        </w:tc>
        <w:tc>
          <w:tcPr>
            <w:tcW w:w="717" w:type="pct"/>
            <w:shd w:val="clear" w:color="auto" w:fill="auto"/>
            <w:hideMark/>
          </w:tcPr>
          <w:p w14:paraId="1562F314" w14:textId="77777777" w:rsidR="00860D24" w:rsidRPr="00FD696A" w:rsidRDefault="00E00D35" w:rsidP="00B0468F">
            <w:pPr>
              <w:widowControl w:val="0"/>
              <w:tabs>
                <w:tab w:val="left" w:pos="625"/>
              </w:tabs>
              <w:spacing w:line="240" w:lineRule="auto"/>
              <w:ind w:right="-109"/>
              <w:rPr>
                <w:lang w:val="en-US"/>
              </w:rPr>
            </w:pPr>
            <w:r w:rsidRPr="00FD696A">
              <w:rPr>
                <w:lang w:val="en-US"/>
              </w:rPr>
              <w:t>Kraujavimas iš virškinimo trakto</w:t>
            </w:r>
            <w:r w:rsidR="00860D24" w:rsidRPr="00FD696A">
              <w:rPr>
                <w:lang w:val="en-US"/>
              </w:rPr>
              <w:t xml:space="preserve"> </w:t>
            </w:r>
          </w:p>
        </w:tc>
        <w:tc>
          <w:tcPr>
            <w:tcW w:w="1005" w:type="pct"/>
            <w:shd w:val="clear" w:color="auto" w:fill="auto"/>
            <w:hideMark/>
          </w:tcPr>
          <w:p w14:paraId="1013F5B3" w14:textId="77777777" w:rsidR="00E00D35" w:rsidRPr="00FD696A" w:rsidRDefault="00E00D35" w:rsidP="00B0468F">
            <w:pPr>
              <w:widowControl w:val="0"/>
              <w:spacing w:line="240" w:lineRule="auto"/>
              <w:ind w:right="-107"/>
              <w:rPr>
                <w:lang w:val="en-US"/>
              </w:rPr>
            </w:pPr>
            <w:r w:rsidRPr="00FD696A">
              <w:rPr>
                <w:lang w:val="en-US"/>
              </w:rPr>
              <w:t>Kraujavimas į retroperitoninį ląstelyną Kraujavimas iš tiesiosios žarnos</w:t>
            </w:r>
          </w:p>
          <w:p w14:paraId="68C586AD" w14:textId="77777777" w:rsidR="00860D24" w:rsidRPr="00FD696A" w:rsidRDefault="00E00D35" w:rsidP="00B0468F">
            <w:pPr>
              <w:widowControl w:val="0"/>
              <w:spacing w:line="240" w:lineRule="auto"/>
              <w:ind w:right="-107"/>
              <w:rPr>
                <w:lang w:val="pt-PT"/>
              </w:rPr>
            </w:pPr>
            <w:r w:rsidRPr="00FD696A">
              <w:rPr>
                <w:lang w:val="pt-PT"/>
              </w:rPr>
              <w:t>Kraujingos išmatos Kraujavimas iš dantenų</w:t>
            </w:r>
          </w:p>
        </w:tc>
        <w:tc>
          <w:tcPr>
            <w:tcW w:w="1157" w:type="pct"/>
            <w:shd w:val="clear" w:color="auto" w:fill="auto"/>
            <w:hideMark/>
          </w:tcPr>
          <w:p w14:paraId="7CCC92F4" w14:textId="77777777" w:rsidR="00860D24" w:rsidRPr="00FD696A" w:rsidRDefault="00860D24" w:rsidP="00B0468F">
            <w:pPr>
              <w:widowControl w:val="0"/>
              <w:spacing w:line="240" w:lineRule="auto"/>
              <w:ind w:right="566"/>
              <w:rPr>
                <w:lang w:val="pt-PT"/>
              </w:rPr>
            </w:pPr>
          </w:p>
        </w:tc>
        <w:tc>
          <w:tcPr>
            <w:tcW w:w="1081" w:type="pct"/>
            <w:shd w:val="clear" w:color="auto" w:fill="auto"/>
            <w:hideMark/>
          </w:tcPr>
          <w:p w14:paraId="4F2EA15C" w14:textId="77777777" w:rsidR="00860D24" w:rsidRPr="00FD696A" w:rsidRDefault="00860D24" w:rsidP="00B0468F">
            <w:pPr>
              <w:widowControl w:val="0"/>
              <w:spacing w:line="240" w:lineRule="auto"/>
              <w:ind w:right="566"/>
              <w:rPr>
                <w:lang w:val="pt-PT"/>
              </w:rPr>
            </w:pPr>
          </w:p>
        </w:tc>
      </w:tr>
      <w:tr w:rsidR="00860D24" w:rsidRPr="00217AE9" w14:paraId="67C9D886" w14:textId="77777777" w:rsidTr="00B0468F">
        <w:tc>
          <w:tcPr>
            <w:tcW w:w="1040" w:type="pct"/>
            <w:shd w:val="clear" w:color="auto" w:fill="auto"/>
            <w:hideMark/>
          </w:tcPr>
          <w:p w14:paraId="22D954B3" w14:textId="77777777" w:rsidR="00860D24" w:rsidRPr="00FD696A" w:rsidRDefault="00D02DB3" w:rsidP="00B0468F">
            <w:pPr>
              <w:widowControl w:val="0"/>
              <w:spacing w:line="240" w:lineRule="auto"/>
              <w:ind w:right="-149"/>
              <w:rPr>
                <w:lang w:val="pt-PT"/>
              </w:rPr>
            </w:pPr>
            <w:r w:rsidRPr="00FD696A">
              <w:rPr>
                <w:i/>
                <w:lang w:val="pt-PT"/>
              </w:rPr>
              <w:t>Odos ir poodinio audinio sutrikimai</w:t>
            </w:r>
          </w:p>
        </w:tc>
        <w:tc>
          <w:tcPr>
            <w:tcW w:w="717" w:type="pct"/>
            <w:shd w:val="clear" w:color="auto" w:fill="auto"/>
            <w:hideMark/>
          </w:tcPr>
          <w:p w14:paraId="0693173F" w14:textId="77777777" w:rsidR="00D02DB3" w:rsidRPr="00FD696A" w:rsidRDefault="00D02DB3" w:rsidP="00B0468F">
            <w:pPr>
              <w:widowControl w:val="0"/>
              <w:tabs>
                <w:tab w:val="left" w:pos="625"/>
              </w:tabs>
              <w:spacing w:line="240" w:lineRule="auto"/>
              <w:ind w:right="-109"/>
              <w:rPr>
                <w:lang w:val="en-US"/>
              </w:rPr>
            </w:pPr>
            <w:r w:rsidRPr="00FD696A">
              <w:rPr>
                <w:lang w:val="en-US"/>
              </w:rPr>
              <w:t>Išbėrimas</w:t>
            </w:r>
          </w:p>
          <w:p w14:paraId="53EF728D" w14:textId="77777777" w:rsidR="00860D24" w:rsidRPr="00FD696A" w:rsidRDefault="00D02DB3" w:rsidP="00B0468F">
            <w:pPr>
              <w:widowControl w:val="0"/>
              <w:tabs>
                <w:tab w:val="left" w:pos="625"/>
              </w:tabs>
              <w:spacing w:line="240" w:lineRule="auto"/>
              <w:ind w:right="-109"/>
              <w:rPr>
                <w:lang w:val="en-US"/>
              </w:rPr>
            </w:pPr>
            <w:r w:rsidRPr="00FD696A">
              <w:rPr>
                <w:lang w:val="en-US"/>
              </w:rPr>
              <w:t>Dėminės kraujosruvos</w:t>
            </w:r>
          </w:p>
        </w:tc>
        <w:tc>
          <w:tcPr>
            <w:tcW w:w="1005" w:type="pct"/>
            <w:shd w:val="clear" w:color="auto" w:fill="auto"/>
            <w:hideMark/>
          </w:tcPr>
          <w:p w14:paraId="240A5A93" w14:textId="77777777" w:rsidR="00860D24" w:rsidRPr="00FD696A" w:rsidRDefault="00860D24" w:rsidP="00B0468F">
            <w:pPr>
              <w:widowControl w:val="0"/>
              <w:spacing w:line="240" w:lineRule="auto"/>
              <w:ind w:right="-107"/>
              <w:rPr>
                <w:lang w:val="en-US"/>
              </w:rPr>
            </w:pPr>
          </w:p>
        </w:tc>
        <w:tc>
          <w:tcPr>
            <w:tcW w:w="1157" w:type="pct"/>
            <w:shd w:val="clear" w:color="auto" w:fill="auto"/>
            <w:hideMark/>
          </w:tcPr>
          <w:p w14:paraId="3C417A97" w14:textId="77777777" w:rsidR="00860D24" w:rsidRPr="00FD696A" w:rsidRDefault="00860D24" w:rsidP="00B0468F">
            <w:pPr>
              <w:widowControl w:val="0"/>
              <w:spacing w:line="240" w:lineRule="auto"/>
              <w:ind w:right="566"/>
              <w:rPr>
                <w:lang w:val="en-US"/>
              </w:rPr>
            </w:pPr>
          </w:p>
        </w:tc>
        <w:tc>
          <w:tcPr>
            <w:tcW w:w="1081" w:type="pct"/>
            <w:shd w:val="clear" w:color="auto" w:fill="auto"/>
            <w:hideMark/>
          </w:tcPr>
          <w:p w14:paraId="3708CDBF" w14:textId="77777777" w:rsidR="00860D24" w:rsidRPr="00FD696A" w:rsidRDefault="00860D24" w:rsidP="00B0468F">
            <w:pPr>
              <w:widowControl w:val="0"/>
              <w:spacing w:line="240" w:lineRule="auto"/>
              <w:ind w:right="566"/>
              <w:rPr>
                <w:lang w:val="en-US"/>
              </w:rPr>
            </w:pPr>
          </w:p>
        </w:tc>
      </w:tr>
      <w:tr w:rsidR="00860D24" w:rsidRPr="00217AE9" w14:paraId="0AAF5AEF" w14:textId="77777777" w:rsidTr="00B0468F">
        <w:tc>
          <w:tcPr>
            <w:tcW w:w="1040" w:type="pct"/>
            <w:shd w:val="clear" w:color="auto" w:fill="auto"/>
            <w:hideMark/>
          </w:tcPr>
          <w:p w14:paraId="4584791A" w14:textId="77777777" w:rsidR="00860D24" w:rsidRPr="00FD696A" w:rsidRDefault="005430BF" w:rsidP="00B0468F">
            <w:pPr>
              <w:widowControl w:val="0"/>
              <w:spacing w:line="240" w:lineRule="auto"/>
              <w:ind w:right="-149"/>
              <w:rPr>
                <w:lang w:val="pt-PT"/>
              </w:rPr>
            </w:pPr>
            <w:r w:rsidRPr="00FD696A">
              <w:rPr>
                <w:i/>
                <w:lang w:val="pt-PT"/>
              </w:rPr>
              <w:t>Inkstų ir šlapimo takų sutrikimai</w:t>
            </w:r>
          </w:p>
        </w:tc>
        <w:tc>
          <w:tcPr>
            <w:tcW w:w="717" w:type="pct"/>
            <w:shd w:val="clear" w:color="auto" w:fill="auto"/>
            <w:hideMark/>
          </w:tcPr>
          <w:p w14:paraId="0626ADEB" w14:textId="77777777" w:rsidR="00860D24" w:rsidRPr="00FD696A" w:rsidRDefault="00EC075C" w:rsidP="00B0468F">
            <w:pPr>
              <w:widowControl w:val="0"/>
              <w:tabs>
                <w:tab w:val="left" w:pos="625"/>
              </w:tabs>
              <w:spacing w:line="240" w:lineRule="auto"/>
              <w:ind w:right="-109"/>
              <w:rPr>
                <w:lang w:val="en-US"/>
              </w:rPr>
            </w:pPr>
            <w:r w:rsidRPr="00FD696A">
              <w:rPr>
                <w:lang w:val="en-US"/>
              </w:rPr>
              <w:t>Kraujas šlapime</w:t>
            </w:r>
            <w:r w:rsidR="00860D24" w:rsidRPr="00FD696A">
              <w:rPr>
                <w:lang w:val="en-US"/>
              </w:rPr>
              <w:t xml:space="preserve"> </w:t>
            </w:r>
          </w:p>
        </w:tc>
        <w:tc>
          <w:tcPr>
            <w:tcW w:w="1005" w:type="pct"/>
            <w:shd w:val="clear" w:color="auto" w:fill="auto"/>
            <w:hideMark/>
          </w:tcPr>
          <w:p w14:paraId="14EAD130" w14:textId="77777777" w:rsidR="00860D24" w:rsidRPr="00FD696A" w:rsidRDefault="00860D24" w:rsidP="00B0468F">
            <w:pPr>
              <w:widowControl w:val="0"/>
              <w:spacing w:line="240" w:lineRule="auto"/>
              <w:ind w:right="-107"/>
              <w:rPr>
                <w:lang w:val="en-US"/>
              </w:rPr>
            </w:pPr>
          </w:p>
        </w:tc>
        <w:tc>
          <w:tcPr>
            <w:tcW w:w="1157" w:type="pct"/>
            <w:shd w:val="clear" w:color="auto" w:fill="auto"/>
            <w:hideMark/>
          </w:tcPr>
          <w:p w14:paraId="0F67D67D" w14:textId="77777777" w:rsidR="00860D24" w:rsidRPr="00FD696A" w:rsidRDefault="00860D24" w:rsidP="00B0468F">
            <w:pPr>
              <w:widowControl w:val="0"/>
              <w:spacing w:line="240" w:lineRule="auto"/>
              <w:ind w:right="566"/>
              <w:rPr>
                <w:lang w:val="en-US"/>
              </w:rPr>
            </w:pPr>
          </w:p>
        </w:tc>
        <w:tc>
          <w:tcPr>
            <w:tcW w:w="1081" w:type="pct"/>
            <w:shd w:val="clear" w:color="auto" w:fill="auto"/>
            <w:hideMark/>
          </w:tcPr>
          <w:p w14:paraId="1D9C27CB" w14:textId="77777777" w:rsidR="00860D24" w:rsidRPr="00FD696A" w:rsidRDefault="00860D24" w:rsidP="00B0468F">
            <w:pPr>
              <w:widowControl w:val="0"/>
              <w:spacing w:line="240" w:lineRule="auto"/>
              <w:ind w:right="566"/>
              <w:rPr>
                <w:lang w:val="en-US"/>
              </w:rPr>
            </w:pPr>
          </w:p>
        </w:tc>
      </w:tr>
      <w:tr w:rsidR="00860D24" w:rsidRPr="00C64EAC" w14:paraId="72607CEE" w14:textId="77777777" w:rsidTr="00B0468F">
        <w:tc>
          <w:tcPr>
            <w:tcW w:w="1040" w:type="pct"/>
            <w:shd w:val="clear" w:color="auto" w:fill="auto"/>
            <w:hideMark/>
          </w:tcPr>
          <w:p w14:paraId="0440418B" w14:textId="77777777" w:rsidR="00860D24" w:rsidRPr="005350AF" w:rsidRDefault="00EC075C" w:rsidP="00B0468F">
            <w:pPr>
              <w:widowControl w:val="0"/>
              <w:spacing w:line="240" w:lineRule="auto"/>
              <w:ind w:right="-149"/>
              <w:rPr>
                <w:lang w:val="fi-FI"/>
              </w:rPr>
            </w:pPr>
            <w:r w:rsidRPr="005350AF">
              <w:rPr>
                <w:i/>
                <w:lang w:val="fi-FI"/>
              </w:rPr>
              <w:t>Bendrieji sutrikimai ir vartojimo vietos pažeidimai</w:t>
            </w:r>
          </w:p>
        </w:tc>
        <w:tc>
          <w:tcPr>
            <w:tcW w:w="717" w:type="pct"/>
            <w:shd w:val="clear" w:color="auto" w:fill="auto"/>
            <w:hideMark/>
          </w:tcPr>
          <w:p w14:paraId="301F263F" w14:textId="77777777" w:rsidR="004E3171" w:rsidRPr="00FD696A" w:rsidRDefault="004E3171" w:rsidP="00B0468F">
            <w:pPr>
              <w:widowControl w:val="0"/>
              <w:tabs>
                <w:tab w:val="left" w:pos="625"/>
              </w:tabs>
              <w:spacing w:line="240" w:lineRule="auto"/>
              <w:ind w:right="-109"/>
              <w:rPr>
                <w:lang w:val="fi-FI"/>
              </w:rPr>
            </w:pPr>
            <w:r w:rsidRPr="00FD696A">
              <w:rPr>
                <w:lang w:val="fi-FI"/>
              </w:rPr>
              <w:t>Hematoma kraujagyslės pradūrimo vietoje</w:t>
            </w:r>
          </w:p>
          <w:p w14:paraId="360B13EE" w14:textId="77777777" w:rsidR="00860D24" w:rsidRPr="00FD696A" w:rsidRDefault="004E3171" w:rsidP="00B0468F">
            <w:pPr>
              <w:widowControl w:val="0"/>
              <w:tabs>
                <w:tab w:val="left" w:pos="625"/>
              </w:tabs>
              <w:spacing w:line="240" w:lineRule="auto"/>
              <w:ind w:right="-109"/>
              <w:rPr>
                <w:lang w:val="fi-FI"/>
              </w:rPr>
            </w:pPr>
            <w:r w:rsidRPr="00FD696A">
              <w:rPr>
                <w:lang w:val="fi-FI"/>
              </w:rPr>
              <w:t>Kraujavimas iš kraujagyslės pradūrimo vietos</w:t>
            </w:r>
          </w:p>
        </w:tc>
        <w:tc>
          <w:tcPr>
            <w:tcW w:w="1005" w:type="pct"/>
            <w:shd w:val="clear" w:color="auto" w:fill="auto"/>
            <w:hideMark/>
          </w:tcPr>
          <w:p w14:paraId="62087184" w14:textId="77777777" w:rsidR="00860D24" w:rsidRPr="00FD696A" w:rsidRDefault="00860D24" w:rsidP="00B0468F">
            <w:pPr>
              <w:widowControl w:val="0"/>
              <w:spacing w:line="240" w:lineRule="auto"/>
              <w:ind w:right="-107"/>
              <w:rPr>
                <w:lang w:val="fi-FI"/>
              </w:rPr>
            </w:pPr>
          </w:p>
        </w:tc>
        <w:tc>
          <w:tcPr>
            <w:tcW w:w="1157" w:type="pct"/>
            <w:shd w:val="clear" w:color="auto" w:fill="auto"/>
            <w:hideMark/>
          </w:tcPr>
          <w:p w14:paraId="78F7CFE8" w14:textId="77777777" w:rsidR="00860D24" w:rsidRPr="00FD696A" w:rsidRDefault="00860D24" w:rsidP="00B0468F">
            <w:pPr>
              <w:widowControl w:val="0"/>
              <w:spacing w:line="240" w:lineRule="auto"/>
              <w:ind w:right="566"/>
              <w:rPr>
                <w:lang w:val="fi-FI"/>
              </w:rPr>
            </w:pPr>
          </w:p>
        </w:tc>
        <w:tc>
          <w:tcPr>
            <w:tcW w:w="1081" w:type="pct"/>
            <w:shd w:val="clear" w:color="auto" w:fill="auto"/>
            <w:hideMark/>
          </w:tcPr>
          <w:p w14:paraId="55EFFA41" w14:textId="77777777" w:rsidR="00860D24" w:rsidRPr="00FD696A" w:rsidRDefault="00860D24" w:rsidP="00B0468F">
            <w:pPr>
              <w:widowControl w:val="0"/>
              <w:spacing w:line="240" w:lineRule="auto"/>
              <w:ind w:right="566"/>
              <w:rPr>
                <w:lang w:val="fi-FI"/>
              </w:rPr>
            </w:pPr>
          </w:p>
        </w:tc>
      </w:tr>
      <w:tr w:rsidR="00860D24" w:rsidRPr="00217AE9" w14:paraId="77D0BBAC" w14:textId="77777777" w:rsidTr="00B0468F">
        <w:tc>
          <w:tcPr>
            <w:tcW w:w="1040" w:type="pct"/>
            <w:shd w:val="clear" w:color="auto" w:fill="auto"/>
            <w:hideMark/>
          </w:tcPr>
          <w:p w14:paraId="7AA5B72F" w14:textId="77777777" w:rsidR="00860D24" w:rsidRPr="005350AF" w:rsidRDefault="0087396B" w:rsidP="00B0468F">
            <w:pPr>
              <w:widowControl w:val="0"/>
              <w:spacing w:line="240" w:lineRule="auto"/>
              <w:ind w:right="-149"/>
              <w:rPr>
                <w:lang w:val="fi-FI"/>
              </w:rPr>
            </w:pPr>
            <w:r w:rsidRPr="005350AF">
              <w:rPr>
                <w:i/>
                <w:lang w:val="fi-FI"/>
              </w:rPr>
              <w:t>Sužalojimai, apsinuodijimai ir procedūrų komplikacijos</w:t>
            </w:r>
          </w:p>
        </w:tc>
        <w:tc>
          <w:tcPr>
            <w:tcW w:w="717" w:type="pct"/>
            <w:shd w:val="clear" w:color="auto" w:fill="auto"/>
            <w:hideMark/>
          </w:tcPr>
          <w:p w14:paraId="427188AD" w14:textId="77777777" w:rsidR="00860D24" w:rsidRPr="00FD696A" w:rsidRDefault="0087396B" w:rsidP="00B0468F">
            <w:pPr>
              <w:widowControl w:val="0"/>
              <w:tabs>
                <w:tab w:val="left" w:pos="625"/>
              </w:tabs>
              <w:spacing w:line="240" w:lineRule="auto"/>
              <w:ind w:right="-109"/>
              <w:rPr>
                <w:lang w:val="en-US"/>
              </w:rPr>
            </w:pPr>
            <w:r w:rsidRPr="00FD696A">
              <w:rPr>
                <w:lang w:val="en-US"/>
              </w:rPr>
              <w:t>Sumišimas</w:t>
            </w:r>
            <w:r w:rsidR="00860D24" w:rsidRPr="00FD696A">
              <w:rPr>
                <w:lang w:val="en-US"/>
              </w:rPr>
              <w:t xml:space="preserve"> </w:t>
            </w:r>
          </w:p>
        </w:tc>
        <w:tc>
          <w:tcPr>
            <w:tcW w:w="1005" w:type="pct"/>
            <w:shd w:val="clear" w:color="auto" w:fill="auto"/>
            <w:hideMark/>
          </w:tcPr>
          <w:p w14:paraId="18951F67" w14:textId="77777777" w:rsidR="00860D24" w:rsidRPr="00FD696A" w:rsidRDefault="0087396B" w:rsidP="00B0468F">
            <w:pPr>
              <w:widowControl w:val="0"/>
              <w:spacing w:line="240" w:lineRule="auto"/>
              <w:ind w:right="-107"/>
              <w:rPr>
                <w:lang w:val="en-US"/>
              </w:rPr>
            </w:pPr>
            <w:r w:rsidRPr="00FD696A">
              <w:rPr>
                <w:lang w:val="en-US"/>
              </w:rPr>
              <w:t>Kraujavimas po procedūros</w:t>
            </w:r>
            <w:r w:rsidR="00860D24" w:rsidRPr="00FD696A">
              <w:rPr>
                <w:lang w:val="en-US"/>
              </w:rPr>
              <w:t xml:space="preserve"> </w:t>
            </w:r>
          </w:p>
        </w:tc>
        <w:tc>
          <w:tcPr>
            <w:tcW w:w="1157" w:type="pct"/>
            <w:shd w:val="clear" w:color="auto" w:fill="auto"/>
            <w:hideMark/>
          </w:tcPr>
          <w:p w14:paraId="2BE281FE" w14:textId="77777777" w:rsidR="00860D24" w:rsidRPr="00FD696A" w:rsidRDefault="0087396B" w:rsidP="00B0468F">
            <w:pPr>
              <w:widowControl w:val="0"/>
              <w:spacing w:line="240" w:lineRule="auto"/>
              <w:ind w:right="-109"/>
              <w:rPr>
                <w:lang w:val="en-US"/>
              </w:rPr>
            </w:pPr>
            <w:r w:rsidRPr="00FD696A">
              <w:rPr>
                <w:lang w:val="en-US"/>
              </w:rPr>
              <w:t>Poodinė hematoma</w:t>
            </w:r>
            <w:r w:rsidR="00860D24" w:rsidRPr="00FD696A">
              <w:rPr>
                <w:lang w:val="en-US"/>
              </w:rPr>
              <w:t xml:space="preserve"> </w:t>
            </w:r>
          </w:p>
        </w:tc>
        <w:tc>
          <w:tcPr>
            <w:tcW w:w="1081" w:type="pct"/>
            <w:shd w:val="clear" w:color="auto" w:fill="auto"/>
            <w:hideMark/>
          </w:tcPr>
          <w:p w14:paraId="2BA1C35E" w14:textId="77777777" w:rsidR="00860D24" w:rsidRPr="00FD696A" w:rsidRDefault="00860D24" w:rsidP="00B0468F">
            <w:pPr>
              <w:widowControl w:val="0"/>
              <w:spacing w:line="240" w:lineRule="auto"/>
              <w:ind w:right="566"/>
              <w:rPr>
                <w:lang w:val="en-US"/>
              </w:rPr>
            </w:pPr>
          </w:p>
        </w:tc>
      </w:tr>
    </w:tbl>
    <w:p w14:paraId="1DBC9D1D" w14:textId="77777777" w:rsidR="00E814C6" w:rsidRPr="005350AF" w:rsidRDefault="00E814C6" w:rsidP="00B0468F">
      <w:pPr>
        <w:widowControl w:val="0"/>
        <w:tabs>
          <w:tab w:val="clear" w:pos="567"/>
        </w:tabs>
        <w:autoSpaceDE w:val="0"/>
        <w:autoSpaceDN w:val="0"/>
        <w:adjustRightInd w:val="0"/>
        <w:spacing w:line="240" w:lineRule="auto"/>
        <w:ind w:right="566"/>
      </w:pPr>
    </w:p>
    <w:p w14:paraId="67E41D1A" w14:textId="77777777" w:rsidR="00860D24" w:rsidRPr="005350AF" w:rsidRDefault="00E814C6" w:rsidP="00B0468F">
      <w:pPr>
        <w:widowControl w:val="0"/>
        <w:tabs>
          <w:tab w:val="clear" w:pos="567"/>
        </w:tabs>
        <w:autoSpaceDE w:val="0"/>
        <w:autoSpaceDN w:val="0"/>
        <w:adjustRightInd w:val="0"/>
        <w:spacing w:line="240" w:lineRule="auto"/>
        <w:ind w:right="566"/>
      </w:pPr>
      <w:r w:rsidRPr="005350AF">
        <w:t>Klinikinio 3 fazės tyrimo duomenys apie insulto dažnį pacientams, kuriuos anksčiau buvo ištikęs PSIP ar insultas (žr. 4.4 skyrių).</w:t>
      </w:r>
    </w:p>
    <w:p w14:paraId="353D57CC" w14:textId="77777777" w:rsidR="00E814C6" w:rsidRPr="005350AF" w:rsidRDefault="00E814C6" w:rsidP="00B0468F">
      <w:pPr>
        <w:widowControl w:val="0"/>
        <w:tabs>
          <w:tab w:val="clear" w:pos="567"/>
        </w:tabs>
        <w:autoSpaceDE w:val="0"/>
        <w:autoSpaceDN w:val="0"/>
        <w:adjustRightInd w:val="0"/>
        <w:spacing w:line="240" w:lineRule="auto"/>
        <w:ind w:right="566"/>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736"/>
        <w:gridCol w:w="2736"/>
      </w:tblGrid>
      <w:tr w:rsidR="00E814C6" w:rsidRPr="00217AE9" w14:paraId="211FD6AE" w14:textId="77777777" w:rsidTr="00B0468F">
        <w:tc>
          <w:tcPr>
            <w:tcW w:w="1700" w:type="pct"/>
            <w:shd w:val="clear" w:color="auto" w:fill="auto"/>
            <w:hideMark/>
          </w:tcPr>
          <w:p w14:paraId="0D5DEF6D" w14:textId="77777777" w:rsidR="00E814C6" w:rsidRPr="00FD696A" w:rsidRDefault="00E814C6" w:rsidP="00B0468F">
            <w:pPr>
              <w:widowControl w:val="0"/>
              <w:spacing w:line="240" w:lineRule="auto"/>
              <w:ind w:right="566"/>
              <w:jc w:val="center"/>
              <w:rPr>
                <w:lang w:val="pt-PT"/>
              </w:rPr>
            </w:pPr>
            <w:r w:rsidRPr="00FD696A">
              <w:rPr>
                <w:lang w:val="pt-PT"/>
              </w:rPr>
              <w:t>Anksčiau pasireiškė PSIP ar insultas</w:t>
            </w:r>
          </w:p>
        </w:tc>
        <w:tc>
          <w:tcPr>
            <w:tcW w:w="1650" w:type="pct"/>
            <w:shd w:val="clear" w:color="auto" w:fill="auto"/>
            <w:hideMark/>
          </w:tcPr>
          <w:p w14:paraId="67B6D28E" w14:textId="77777777" w:rsidR="00E814C6" w:rsidRPr="005350AF" w:rsidRDefault="00E814C6" w:rsidP="00B0468F">
            <w:pPr>
              <w:widowControl w:val="0"/>
              <w:spacing w:line="240" w:lineRule="auto"/>
              <w:ind w:right="566"/>
              <w:jc w:val="center"/>
              <w:rPr>
                <w:lang w:val="en-US"/>
              </w:rPr>
            </w:pPr>
            <w:r w:rsidRPr="005350AF">
              <w:rPr>
                <w:lang w:val="en-US"/>
              </w:rPr>
              <w:t>Prazugrelis</w:t>
            </w:r>
          </w:p>
        </w:tc>
        <w:tc>
          <w:tcPr>
            <w:tcW w:w="1650" w:type="pct"/>
            <w:shd w:val="clear" w:color="auto" w:fill="auto"/>
            <w:hideMark/>
          </w:tcPr>
          <w:p w14:paraId="6BB886FF" w14:textId="77777777" w:rsidR="00E814C6" w:rsidRPr="005350AF" w:rsidRDefault="00E814C6" w:rsidP="00B0468F">
            <w:pPr>
              <w:widowControl w:val="0"/>
              <w:spacing w:line="240" w:lineRule="auto"/>
              <w:ind w:right="566"/>
              <w:jc w:val="center"/>
              <w:rPr>
                <w:lang w:val="en-US"/>
              </w:rPr>
            </w:pPr>
            <w:r w:rsidRPr="005350AF">
              <w:rPr>
                <w:lang w:val="en-US"/>
              </w:rPr>
              <w:t>Klopidogrelis</w:t>
            </w:r>
          </w:p>
        </w:tc>
      </w:tr>
      <w:tr w:rsidR="00E814C6" w:rsidRPr="00217AE9" w14:paraId="50AA42E4" w14:textId="77777777" w:rsidTr="00B0468F">
        <w:tc>
          <w:tcPr>
            <w:tcW w:w="1700" w:type="pct"/>
            <w:shd w:val="clear" w:color="auto" w:fill="auto"/>
            <w:hideMark/>
          </w:tcPr>
          <w:p w14:paraId="5D7B965E" w14:textId="0361CCFF" w:rsidR="00E814C6" w:rsidRPr="005350AF" w:rsidRDefault="00E814C6" w:rsidP="00B0468F">
            <w:pPr>
              <w:widowControl w:val="0"/>
              <w:spacing w:line="240" w:lineRule="auto"/>
              <w:ind w:right="566"/>
              <w:jc w:val="center"/>
              <w:rPr>
                <w:lang w:val="en-US"/>
              </w:rPr>
            </w:pPr>
            <w:r w:rsidRPr="005350AF">
              <w:rPr>
                <w:lang w:val="en-US"/>
              </w:rPr>
              <w:t>Taip (N</w:t>
            </w:r>
            <w:r w:rsidR="004B62F6">
              <w:rPr>
                <w:lang w:val="en-US"/>
              </w:rPr>
              <w:t> </w:t>
            </w:r>
            <w:r w:rsidRPr="005350AF">
              <w:rPr>
                <w:lang w:val="en-US"/>
              </w:rPr>
              <w:t>=</w:t>
            </w:r>
            <w:r w:rsidR="004B62F6">
              <w:rPr>
                <w:lang w:val="en-US"/>
              </w:rPr>
              <w:t> </w:t>
            </w:r>
            <w:r w:rsidRPr="005350AF">
              <w:rPr>
                <w:lang w:val="en-US"/>
              </w:rPr>
              <w:t>518)</w:t>
            </w:r>
          </w:p>
        </w:tc>
        <w:tc>
          <w:tcPr>
            <w:tcW w:w="1650" w:type="pct"/>
            <w:shd w:val="clear" w:color="auto" w:fill="auto"/>
            <w:hideMark/>
          </w:tcPr>
          <w:p w14:paraId="69448716" w14:textId="77777777" w:rsidR="00E814C6" w:rsidRPr="005350AF" w:rsidRDefault="00E814C6" w:rsidP="00B0468F">
            <w:pPr>
              <w:widowControl w:val="0"/>
              <w:spacing w:line="240" w:lineRule="auto"/>
              <w:ind w:right="566"/>
              <w:jc w:val="center"/>
              <w:rPr>
                <w:lang w:val="en-US"/>
              </w:rPr>
            </w:pPr>
            <w:r w:rsidRPr="005350AF">
              <w:rPr>
                <w:lang w:val="en-US"/>
              </w:rPr>
              <w:t>6,5% (2,3% IKK*)</w:t>
            </w:r>
          </w:p>
        </w:tc>
        <w:tc>
          <w:tcPr>
            <w:tcW w:w="1650" w:type="pct"/>
            <w:shd w:val="clear" w:color="auto" w:fill="auto"/>
            <w:hideMark/>
          </w:tcPr>
          <w:p w14:paraId="04FF4943" w14:textId="77777777" w:rsidR="00E814C6" w:rsidRPr="005350AF" w:rsidRDefault="00E814C6" w:rsidP="00B0468F">
            <w:pPr>
              <w:widowControl w:val="0"/>
              <w:spacing w:line="240" w:lineRule="auto"/>
              <w:ind w:right="566"/>
              <w:jc w:val="center"/>
              <w:rPr>
                <w:lang w:val="en-US"/>
              </w:rPr>
            </w:pPr>
            <w:r w:rsidRPr="005350AF">
              <w:rPr>
                <w:lang w:val="en-US"/>
              </w:rPr>
              <w:t>1,2% (0% IKK*)</w:t>
            </w:r>
          </w:p>
        </w:tc>
      </w:tr>
      <w:tr w:rsidR="00E814C6" w:rsidRPr="00217AE9" w14:paraId="5D77C9B2" w14:textId="77777777" w:rsidTr="00B0468F">
        <w:tc>
          <w:tcPr>
            <w:tcW w:w="1700" w:type="pct"/>
            <w:shd w:val="clear" w:color="auto" w:fill="auto"/>
            <w:hideMark/>
          </w:tcPr>
          <w:p w14:paraId="2ED4FD78" w14:textId="5A02007E" w:rsidR="00E814C6" w:rsidRPr="005350AF" w:rsidRDefault="00E814C6" w:rsidP="00B0468F">
            <w:pPr>
              <w:widowControl w:val="0"/>
              <w:spacing w:line="240" w:lineRule="auto"/>
              <w:ind w:right="566"/>
              <w:jc w:val="center"/>
              <w:rPr>
                <w:lang w:val="en-US"/>
              </w:rPr>
            </w:pPr>
            <w:r w:rsidRPr="005350AF">
              <w:rPr>
                <w:lang w:val="en-US"/>
              </w:rPr>
              <w:t>Ne (N</w:t>
            </w:r>
            <w:r w:rsidR="004B62F6">
              <w:rPr>
                <w:lang w:val="en-US"/>
              </w:rPr>
              <w:t> </w:t>
            </w:r>
            <w:r w:rsidRPr="005350AF">
              <w:rPr>
                <w:lang w:val="en-US"/>
              </w:rPr>
              <w:t>=</w:t>
            </w:r>
            <w:r w:rsidR="004B62F6">
              <w:rPr>
                <w:lang w:val="en-US"/>
              </w:rPr>
              <w:t> </w:t>
            </w:r>
            <w:r w:rsidRPr="005350AF">
              <w:rPr>
                <w:lang w:val="en-US"/>
              </w:rPr>
              <w:t>13090)</w:t>
            </w:r>
          </w:p>
        </w:tc>
        <w:tc>
          <w:tcPr>
            <w:tcW w:w="1650" w:type="pct"/>
            <w:shd w:val="clear" w:color="auto" w:fill="auto"/>
            <w:hideMark/>
          </w:tcPr>
          <w:p w14:paraId="3C0CB9DD" w14:textId="77777777" w:rsidR="00E814C6" w:rsidRPr="005350AF" w:rsidRDefault="00E814C6" w:rsidP="00B0468F">
            <w:pPr>
              <w:widowControl w:val="0"/>
              <w:spacing w:line="240" w:lineRule="auto"/>
              <w:ind w:right="566"/>
              <w:jc w:val="center"/>
              <w:rPr>
                <w:lang w:val="en-US"/>
              </w:rPr>
            </w:pPr>
            <w:r w:rsidRPr="005350AF">
              <w:rPr>
                <w:lang w:val="en-US"/>
              </w:rPr>
              <w:t>0,9% (0,2% IKK*)</w:t>
            </w:r>
          </w:p>
        </w:tc>
        <w:tc>
          <w:tcPr>
            <w:tcW w:w="1650" w:type="pct"/>
            <w:shd w:val="clear" w:color="auto" w:fill="auto"/>
            <w:hideMark/>
          </w:tcPr>
          <w:p w14:paraId="4F4321E2" w14:textId="77777777" w:rsidR="00E814C6" w:rsidRPr="005350AF" w:rsidRDefault="00E814C6" w:rsidP="00B0468F">
            <w:pPr>
              <w:widowControl w:val="0"/>
              <w:spacing w:line="240" w:lineRule="auto"/>
              <w:ind w:right="566"/>
              <w:jc w:val="center"/>
              <w:rPr>
                <w:lang w:val="en-US"/>
              </w:rPr>
            </w:pPr>
            <w:r w:rsidRPr="005350AF">
              <w:rPr>
                <w:lang w:val="en-US"/>
              </w:rPr>
              <w:t>1,0% (0,3% IKK*)</w:t>
            </w:r>
          </w:p>
        </w:tc>
      </w:tr>
    </w:tbl>
    <w:p w14:paraId="57818F66" w14:textId="77777777" w:rsidR="00E814C6" w:rsidRPr="00B0468F" w:rsidRDefault="00133A5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i/>
          <w:color w:val="000000"/>
          <w:lang w:val="lt-LT"/>
        </w:rPr>
        <w:t>*IKK=</w:t>
      </w:r>
      <w:r w:rsidR="005E7928" w:rsidRPr="005350AF">
        <w:rPr>
          <w:i/>
        </w:rPr>
        <w:t>intrakranijinis kraujavimas</w:t>
      </w:r>
    </w:p>
    <w:p w14:paraId="20671ED0" w14:textId="77777777" w:rsidR="00133A54" w:rsidRPr="00B0468F" w:rsidRDefault="00133A54" w:rsidP="00B0468F">
      <w:pPr>
        <w:widowControl w:val="0"/>
        <w:tabs>
          <w:tab w:val="clear" w:pos="567"/>
        </w:tabs>
        <w:autoSpaceDE w:val="0"/>
        <w:autoSpaceDN w:val="0"/>
        <w:adjustRightInd w:val="0"/>
        <w:spacing w:line="240" w:lineRule="auto"/>
        <w:ind w:right="566"/>
        <w:rPr>
          <w:rFonts w:eastAsia="Calibri"/>
          <w:color w:val="000000"/>
          <w:lang w:val="lt-LT"/>
        </w:rPr>
      </w:pPr>
    </w:p>
    <w:p w14:paraId="2F15D47A" w14:textId="77777777" w:rsidR="00F34163" w:rsidRPr="00B0468F" w:rsidRDefault="00F34163" w:rsidP="00B0468F">
      <w:pPr>
        <w:widowControl w:val="0"/>
        <w:tabs>
          <w:tab w:val="clear" w:pos="567"/>
        </w:tabs>
        <w:autoSpaceDE w:val="0"/>
        <w:autoSpaceDN w:val="0"/>
        <w:adjustRightInd w:val="0"/>
        <w:spacing w:line="240" w:lineRule="auto"/>
        <w:ind w:right="566"/>
        <w:rPr>
          <w:u w:val="single"/>
          <w:lang w:val="lt-LT"/>
        </w:rPr>
      </w:pPr>
      <w:r w:rsidRPr="00B0468F">
        <w:rPr>
          <w:u w:val="single"/>
          <w:lang w:val="lt-LT"/>
        </w:rPr>
        <w:t>Pranešimas apie įtariamas nepageidaujamas reakcijas</w:t>
      </w:r>
    </w:p>
    <w:p w14:paraId="25A3F8C5" w14:textId="757F4027" w:rsidR="004B62F6" w:rsidRPr="004B62F6" w:rsidRDefault="004B62F6" w:rsidP="00FD696A">
      <w:pPr>
        <w:jc w:val="both"/>
        <w:rPr>
          <w:snapToGrid/>
          <w:szCs w:val="24"/>
          <w:lang w:val="lt-LT"/>
        </w:rPr>
      </w:pPr>
      <w:r w:rsidRPr="004B62F6">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B62F6">
        <w:rPr>
          <w:snapToGrid/>
          <w:szCs w:val="22"/>
          <w:u w:val="single"/>
          <w:lang w:val="lt-LT"/>
        </w:rPr>
        <w:t>https://vvkt.lrv.lt/lt/</w:t>
      </w:r>
      <w:r w:rsidRPr="004B62F6">
        <w:rPr>
          <w:snapToGrid/>
          <w:szCs w:val="22"/>
          <w:lang w:val="lt-LT"/>
        </w:rPr>
        <w:t xml:space="preserve"> nurodytais būdais.</w:t>
      </w:r>
    </w:p>
    <w:p w14:paraId="5183D934" w14:textId="77777777" w:rsidR="00F34163" w:rsidRPr="00B0468F" w:rsidRDefault="00F34163" w:rsidP="00B0468F">
      <w:pPr>
        <w:widowControl w:val="0"/>
        <w:spacing w:line="240" w:lineRule="auto"/>
        <w:ind w:right="566"/>
        <w:rPr>
          <w:lang w:val="lt-LT"/>
        </w:rPr>
      </w:pPr>
    </w:p>
    <w:p w14:paraId="4A306EA4"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4.9</w:t>
      </w:r>
      <w:r w:rsidRPr="00B0468F">
        <w:rPr>
          <w:rFonts w:ascii="Times New Roman" w:hAnsi="Times New Roman"/>
          <w:sz w:val="22"/>
          <w:lang w:val="lt-LT"/>
        </w:rPr>
        <w:tab/>
        <w:t>Perdozavimas</w:t>
      </w:r>
    </w:p>
    <w:p w14:paraId="3F115FBF" w14:textId="77777777" w:rsidR="00F34163" w:rsidRPr="00B0468F" w:rsidRDefault="00F34163" w:rsidP="00B0468F">
      <w:pPr>
        <w:widowControl w:val="0"/>
        <w:spacing w:line="240" w:lineRule="auto"/>
        <w:ind w:right="566"/>
        <w:rPr>
          <w:lang w:val="lt-LT"/>
        </w:rPr>
      </w:pPr>
    </w:p>
    <w:p w14:paraId="1892F7E2" w14:textId="77777777" w:rsidR="00EC0D4F" w:rsidRPr="00B0468F" w:rsidRDefault="00EC0D4F" w:rsidP="00B0468F">
      <w:pPr>
        <w:widowControl w:val="0"/>
        <w:spacing w:line="240" w:lineRule="auto"/>
        <w:ind w:right="566"/>
        <w:rPr>
          <w:u w:val="single"/>
          <w:lang w:val="lt-LT"/>
        </w:rPr>
      </w:pPr>
      <w:r w:rsidRPr="00B0468F">
        <w:rPr>
          <w:u w:val="single"/>
          <w:lang w:val="lt-LT"/>
        </w:rPr>
        <w:t>Simptomai</w:t>
      </w:r>
    </w:p>
    <w:p w14:paraId="593C563E" w14:textId="77777777" w:rsidR="00EC0D4F" w:rsidRPr="00B0468F" w:rsidRDefault="00EC0D4F" w:rsidP="00B0468F">
      <w:pPr>
        <w:widowControl w:val="0"/>
        <w:spacing w:line="240" w:lineRule="auto"/>
        <w:ind w:right="566"/>
        <w:rPr>
          <w:lang w:val="lt-LT"/>
        </w:rPr>
      </w:pPr>
      <w:r w:rsidRPr="00B0468F">
        <w:rPr>
          <w:lang w:val="lt-LT"/>
        </w:rPr>
        <w:t>Dėl prazugrelio perdozavimo gali pailgėti kraujavimo laikas ir pasireikšti kraujavimo komplikacijų.</w:t>
      </w:r>
    </w:p>
    <w:p w14:paraId="7AC56AC0" w14:textId="77777777" w:rsidR="00EC0D4F" w:rsidRPr="00B0468F" w:rsidRDefault="00EC0D4F" w:rsidP="00B0468F">
      <w:pPr>
        <w:widowControl w:val="0"/>
        <w:spacing w:line="240" w:lineRule="auto"/>
        <w:ind w:right="566"/>
        <w:rPr>
          <w:lang w:val="lt-LT"/>
        </w:rPr>
      </w:pPr>
    </w:p>
    <w:p w14:paraId="029D4CFA" w14:textId="77777777" w:rsidR="00BB6BFF" w:rsidRPr="00B0468F" w:rsidRDefault="00BB6BFF" w:rsidP="005350AF">
      <w:pPr>
        <w:widowControl w:val="0"/>
        <w:tabs>
          <w:tab w:val="clear" w:pos="567"/>
        </w:tabs>
        <w:autoSpaceDE w:val="0"/>
        <w:autoSpaceDN w:val="0"/>
        <w:adjustRightInd w:val="0"/>
        <w:spacing w:line="240" w:lineRule="auto"/>
        <w:ind w:right="566"/>
        <w:rPr>
          <w:u w:val="single"/>
          <w:lang w:val="lt-LT"/>
        </w:rPr>
      </w:pPr>
      <w:r w:rsidRPr="00B0468F">
        <w:rPr>
          <w:u w:val="single"/>
          <w:lang w:val="lt-LT"/>
        </w:rPr>
        <w:t>Gydymas</w:t>
      </w:r>
    </w:p>
    <w:p w14:paraId="679EC4CC" w14:textId="77777777" w:rsidR="004E69EB" w:rsidRPr="00B0468F" w:rsidRDefault="00EC0D4F" w:rsidP="00B0468F">
      <w:pPr>
        <w:widowControl w:val="0"/>
        <w:spacing w:line="240" w:lineRule="auto"/>
        <w:ind w:right="566"/>
        <w:rPr>
          <w:lang w:val="lt-LT"/>
        </w:rPr>
      </w:pPr>
      <w:r w:rsidRPr="00B0468F">
        <w:rPr>
          <w:lang w:val="lt-LT"/>
        </w:rPr>
        <w:t>Duomen</w:t>
      </w:r>
      <w:r w:rsidR="00BB6BFF" w:rsidRPr="00B0468F">
        <w:rPr>
          <w:lang w:val="lt-LT"/>
        </w:rPr>
        <w:t>ų apie galimybes panaikinti praz</w:t>
      </w:r>
      <w:r w:rsidRPr="00B0468F">
        <w:rPr>
          <w:lang w:val="lt-LT"/>
        </w:rPr>
        <w:t>ugrelio farmakologinį poveikį nėra. Vis dėlto reikia nedelsiant koreguoti kraujavimo laiką, galima svarstyti trombocitų masės ir (arba) kitokių kraujo preparatų perpylimą.</w:t>
      </w:r>
    </w:p>
    <w:p w14:paraId="50F0A5DF" w14:textId="77777777" w:rsidR="004E69EB" w:rsidRPr="00B0468F" w:rsidRDefault="004E69EB" w:rsidP="00B0468F">
      <w:pPr>
        <w:widowControl w:val="0"/>
        <w:spacing w:line="240" w:lineRule="auto"/>
        <w:ind w:right="566"/>
        <w:rPr>
          <w:lang w:val="lt-LT"/>
        </w:rPr>
      </w:pPr>
    </w:p>
    <w:p w14:paraId="3B182BBC" w14:textId="77777777" w:rsidR="004B15AD" w:rsidRPr="00B0468F" w:rsidRDefault="004B15AD" w:rsidP="00B0468F">
      <w:pPr>
        <w:widowControl w:val="0"/>
        <w:spacing w:line="240" w:lineRule="auto"/>
        <w:ind w:right="566"/>
        <w:rPr>
          <w:lang w:val="lt-LT"/>
        </w:rPr>
      </w:pPr>
    </w:p>
    <w:p w14:paraId="2952AF54"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5.</w:t>
      </w:r>
      <w:r w:rsidRPr="00B0468F">
        <w:rPr>
          <w:rFonts w:ascii="Times New Roman" w:hAnsi="Times New Roman"/>
          <w:sz w:val="22"/>
          <w:lang w:val="lt-LT"/>
        </w:rPr>
        <w:tab/>
        <w:t>FARMAKOLOGINĖS SAVYBĖS</w:t>
      </w:r>
    </w:p>
    <w:p w14:paraId="641CEFCC" w14:textId="77777777" w:rsidR="00F34163" w:rsidRPr="00B0468F" w:rsidRDefault="00F34163" w:rsidP="00B0468F">
      <w:pPr>
        <w:widowControl w:val="0"/>
        <w:spacing w:line="240" w:lineRule="auto"/>
        <w:ind w:right="566"/>
        <w:rPr>
          <w:lang w:val="lt-LT"/>
        </w:rPr>
      </w:pPr>
    </w:p>
    <w:p w14:paraId="45284D7C"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5.1</w:t>
      </w:r>
      <w:r w:rsidRPr="00B0468F">
        <w:rPr>
          <w:rFonts w:ascii="Times New Roman" w:hAnsi="Times New Roman"/>
          <w:sz w:val="22"/>
          <w:lang w:val="lt-LT"/>
        </w:rPr>
        <w:tab/>
        <w:t>Farmakodinaminės savybės</w:t>
      </w:r>
    </w:p>
    <w:p w14:paraId="363168DC" w14:textId="77777777" w:rsidR="00F34163" w:rsidRPr="00B0468F" w:rsidRDefault="00F34163" w:rsidP="00B0468F">
      <w:pPr>
        <w:widowControl w:val="0"/>
        <w:spacing w:line="240" w:lineRule="auto"/>
        <w:ind w:right="566"/>
        <w:rPr>
          <w:lang w:val="lt-LT"/>
        </w:rPr>
      </w:pPr>
    </w:p>
    <w:p w14:paraId="20909F75" w14:textId="77777777" w:rsidR="00305D9B" w:rsidRPr="00B0468F" w:rsidRDefault="00BB6BFF" w:rsidP="005350AF">
      <w:pPr>
        <w:widowControl w:val="0"/>
        <w:tabs>
          <w:tab w:val="clear" w:pos="567"/>
        </w:tabs>
        <w:kinsoku w:val="0"/>
        <w:overflowPunct w:val="0"/>
        <w:spacing w:line="240" w:lineRule="auto"/>
        <w:ind w:right="566"/>
        <w:jc w:val="both"/>
        <w:rPr>
          <w:lang w:val="lt-LT"/>
        </w:rPr>
      </w:pPr>
      <w:r w:rsidRPr="00B0468F">
        <w:rPr>
          <w:lang w:val="lt-LT"/>
        </w:rPr>
        <w:t>Farmakoterapinė grupė – trombocitų agregacijos inhibitoriai, išskyrus hepariną. ATC kodas – B01AC22.</w:t>
      </w:r>
    </w:p>
    <w:p w14:paraId="674215AE" w14:textId="77777777" w:rsidR="00BB6BFF" w:rsidRPr="00B0468F" w:rsidRDefault="00BB6BFF" w:rsidP="005350AF">
      <w:pPr>
        <w:widowControl w:val="0"/>
        <w:tabs>
          <w:tab w:val="clear" w:pos="567"/>
        </w:tabs>
        <w:kinsoku w:val="0"/>
        <w:overflowPunct w:val="0"/>
        <w:spacing w:line="240" w:lineRule="auto"/>
        <w:ind w:right="566"/>
        <w:jc w:val="both"/>
        <w:rPr>
          <w:spacing w:val="-1"/>
          <w:lang w:val="lt-LT"/>
        </w:rPr>
      </w:pPr>
    </w:p>
    <w:p w14:paraId="6D46ADAB" w14:textId="77777777" w:rsidR="00BB6BFF" w:rsidRPr="00B0468F" w:rsidRDefault="00BB6BFF" w:rsidP="00B0468F">
      <w:pPr>
        <w:widowControl w:val="0"/>
        <w:tabs>
          <w:tab w:val="clear" w:pos="567"/>
        </w:tabs>
        <w:autoSpaceDE w:val="0"/>
        <w:autoSpaceDN w:val="0"/>
        <w:adjustRightInd w:val="0"/>
        <w:spacing w:line="240" w:lineRule="auto"/>
        <w:ind w:right="566"/>
        <w:rPr>
          <w:rFonts w:eastAsia="Calibri"/>
          <w:color w:val="000000"/>
          <w:u w:val="single"/>
          <w:lang w:val="lt-LT"/>
        </w:rPr>
      </w:pPr>
      <w:r w:rsidRPr="00B0468F">
        <w:rPr>
          <w:rFonts w:eastAsia="Calibri"/>
          <w:color w:val="000000"/>
          <w:u w:val="single"/>
          <w:lang w:val="lt-LT"/>
        </w:rPr>
        <w:t>Veikimo mechaniz</w:t>
      </w:r>
      <w:r w:rsidR="00AC3CBB" w:rsidRPr="00B0468F">
        <w:rPr>
          <w:rFonts w:eastAsia="Calibri"/>
          <w:color w:val="000000"/>
          <w:u w:val="single"/>
          <w:lang w:val="lt-LT"/>
        </w:rPr>
        <w:t>mas / Farmakodinaminis poveikis</w:t>
      </w:r>
    </w:p>
    <w:p w14:paraId="4B8163D2" w14:textId="77777777" w:rsidR="00AC3CBB" w:rsidRPr="00B0468F" w:rsidRDefault="00AC3CBB"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Praz</w:t>
      </w:r>
      <w:r w:rsidR="00BB6BFF" w:rsidRPr="00B0468F">
        <w:rPr>
          <w:rFonts w:eastAsia="Calibri"/>
          <w:color w:val="000000"/>
          <w:lang w:val="lt-LT"/>
        </w:rPr>
        <w:t>ugrelis yra trombocitų aktyvacijos ir agregacijos inhibitorius. Tokį poveikį vaistinis preparatas sukelia veikliajam metabolitui grįžtamuoju būdu prisijungus prie trombocitų P2Y12 klasės ADP receptorių. Trombocitai lemia su tromboze susijusių aterosklerozės komplikacijų atsiradimą ir (arba) vystymąsi, dėl to trombocitų funkcijos slopinimas gali retinti kardiovaskulinių reiškinių, pavyzdžiui, mirties, miokardo infarkto</w:t>
      </w:r>
      <w:r w:rsidRPr="00B0468F">
        <w:rPr>
          <w:rFonts w:eastAsia="Calibri"/>
          <w:color w:val="000000"/>
          <w:lang w:val="lt-LT"/>
        </w:rPr>
        <w:t xml:space="preserve"> ar insulto pasireiškimo dažnį.</w:t>
      </w:r>
    </w:p>
    <w:p w14:paraId="3DDF3BF1" w14:textId="77777777" w:rsidR="00AC3CBB" w:rsidRPr="00B0468F" w:rsidRDefault="00AC3CBB" w:rsidP="00B0468F">
      <w:pPr>
        <w:widowControl w:val="0"/>
        <w:tabs>
          <w:tab w:val="clear" w:pos="567"/>
        </w:tabs>
        <w:autoSpaceDE w:val="0"/>
        <w:autoSpaceDN w:val="0"/>
        <w:adjustRightInd w:val="0"/>
        <w:spacing w:line="240" w:lineRule="auto"/>
        <w:ind w:right="566"/>
        <w:rPr>
          <w:rFonts w:eastAsia="Calibri"/>
          <w:color w:val="000000"/>
          <w:lang w:val="lt-LT"/>
        </w:rPr>
      </w:pPr>
    </w:p>
    <w:p w14:paraId="380B5F6C" w14:textId="77777777" w:rsidR="00AC3CBB" w:rsidRPr="00B0468F" w:rsidRDefault="00BB6BFF"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w:t>
      </w:r>
      <w:r w:rsidR="00AC3CBB" w:rsidRPr="00B0468F">
        <w:rPr>
          <w:rFonts w:eastAsia="Calibri"/>
          <w:color w:val="000000"/>
          <w:lang w:val="lt-LT"/>
        </w:rPr>
        <w:t>avartojus įsotinam</w:t>
      </w:r>
      <w:r w:rsidR="002C7A6E" w:rsidRPr="00B0468F">
        <w:rPr>
          <w:rFonts w:eastAsia="Calibri"/>
          <w:color w:val="000000"/>
          <w:lang w:val="lt-LT"/>
        </w:rPr>
        <w:t>ąją 60 </w:t>
      </w:r>
      <w:r w:rsidR="00AC3CBB" w:rsidRPr="00B0468F">
        <w:rPr>
          <w:rFonts w:eastAsia="Calibri"/>
          <w:color w:val="000000"/>
          <w:lang w:val="lt-LT"/>
        </w:rPr>
        <w:t>mg praz</w:t>
      </w:r>
      <w:r w:rsidRPr="00B0468F">
        <w:rPr>
          <w:rFonts w:eastAsia="Calibri"/>
          <w:color w:val="000000"/>
          <w:lang w:val="lt-LT"/>
        </w:rPr>
        <w:t xml:space="preserve">ugrelio dozę, ADP sužadintos trombocitų agregacijos slopinimas pasireiškia 15-tą minutę, kai ADP 5 mikromoliai, ir 30-tą minutę, kai ADP </w:t>
      </w:r>
      <w:r w:rsidR="00AC3CBB" w:rsidRPr="00B0468F">
        <w:rPr>
          <w:rFonts w:eastAsia="Calibri"/>
          <w:color w:val="000000"/>
          <w:lang w:val="lt-LT"/>
        </w:rPr>
        <w:t>20 mikromolių. Stipriausias praz</w:t>
      </w:r>
      <w:r w:rsidRPr="00B0468F">
        <w:rPr>
          <w:rFonts w:eastAsia="Calibri"/>
          <w:color w:val="000000"/>
          <w:lang w:val="lt-LT"/>
        </w:rPr>
        <w:t>ugrelio sukeltas ADP sužadintos trombocitų agregacijos slopinimas yra 83%</w:t>
      </w:r>
      <w:r w:rsidR="002C7A6E" w:rsidRPr="00B0468F">
        <w:rPr>
          <w:rFonts w:eastAsia="Calibri"/>
          <w:color w:val="000000"/>
          <w:lang w:val="lt-LT"/>
        </w:rPr>
        <w:t>, kai ADP 5 mikromoliai, ir 79%, kai ADP 20 </w:t>
      </w:r>
      <w:r w:rsidRPr="00B0468F">
        <w:rPr>
          <w:rFonts w:eastAsia="Calibri"/>
          <w:color w:val="000000"/>
          <w:lang w:val="lt-LT"/>
        </w:rPr>
        <w:t>mikromolių, abiem atvejais per vieną valandą 89% sveikų asmenų ir pacientų, sergančių stabilia ateroskleroze, pasireiškė ne mažesnis kaip 50% trombocitų agre</w:t>
      </w:r>
      <w:r w:rsidR="00AC3CBB" w:rsidRPr="00B0468F">
        <w:rPr>
          <w:rFonts w:eastAsia="Calibri"/>
          <w:color w:val="000000"/>
          <w:lang w:val="lt-LT"/>
        </w:rPr>
        <w:t>gacijos slopinimas. Praz</w:t>
      </w:r>
      <w:r w:rsidRPr="00B0468F">
        <w:rPr>
          <w:rFonts w:eastAsia="Calibri"/>
          <w:color w:val="000000"/>
          <w:lang w:val="lt-LT"/>
        </w:rPr>
        <w:t>ugrelio sukeltam trombocitų agregacijos slopinimui būdingas mažas individualus kintamumas (9%) ir kintamumas skirtingų asmenų organizme (12</w:t>
      </w:r>
      <w:r w:rsidR="002C7A6E" w:rsidRPr="00B0468F">
        <w:rPr>
          <w:rFonts w:eastAsia="Calibri"/>
          <w:color w:val="000000"/>
          <w:lang w:val="lt-LT"/>
        </w:rPr>
        <w:t>%), kai ADP 5 mikromoliai ar 20 </w:t>
      </w:r>
      <w:r w:rsidRPr="00B0468F">
        <w:rPr>
          <w:rFonts w:eastAsia="Calibri"/>
          <w:color w:val="000000"/>
          <w:lang w:val="lt-LT"/>
        </w:rPr>
        <w:t xml:space="preserve">mikromolių. Vidutinis trombocitų agregacijos slopinimas pusiausvyros apykaitos sąlygomis buvo atitinkamai 74% ir 69%, </w:t>
      </w:r>
      <w:r w:rsidR="002C7A6E" w:rsidRPr="00B0468F">
        <w:rPr>
          <w:rFonts w:eastAsia="Calibri"/>
          <w:color w:val="000000"/>
          <w:lang w:val="lt-LT"/>
        </w:rPr>
        <w:t>kai ADP 5 mikromoliai ir ADP 20 </w:t>
      </w:r>
      <w:r w:rsidRPr="00B0468F">
        <w:rPr>
          <w:rFonts w:eastAsia="Calibri"/>
          <w:color w:val="000000"/>
          <w:lang w:val="lt-LT"/>
        </w:rPr>
        <w:t xml:space="preserve">mikromolių, ir pasireiškė po 3-5 parų, </w:t>
      </w:r>
      <w:r w:rsidR="002C7A6E" w:rsidRPr="00B0468F">
        <w:rPr>
          <w:rFonts w:eastAsia="Calibri"/>
          <w:color w:val="000000"/>
          <w:lang w:val="lt-LT"/>
        </w:rPr>
        <w:t>vartojant palaikomąją 10 </w:t>
      </w:r>
      <w:r w:rsidR="00AC3CBB" w:rsidRPr="00B0468F">
        <w:rPr>
          <w:rFonts w:eastAsia="Calibri"/>
          <w:color w:val="000000"/>
          <w:lang w:val="lt-LT"/>
        </w:rPr>
        <w:t>mg praz</w:t>
      </w:r>
      <w:r w:rsidRPr="00B0468F">
        <w:rPr>
          <w:rFonts w:eastAsia="Calibri"/>
          <w:color w:val="000000"/>
          <w:lang w:val="lt-LT"/>
        </w:rPr>
        <w:t>ugrelio dozę po to, ka</w:t>
      </w:r>
      <w:r w:rsidR="002C7A6E" w:rsidRPr="00B0468F">
        <w:rPr>
          <w:rFonts w:eastAsia="Calibri"/>
          <w:color w:val="000000"/>
          <w:lang w:val="lt-LT"/>
        </w:rPr>
        <w:t>i buvo pavartota įsotinamoji 60 </w:t>
      </w:r>
      <w:r w:rsidRPr="00B0468F">
        <w:rPr>
          <w:rFonts w:eastAsia="Calibri"/>
          <w:color w:val="000000"/>
          <w:lang w:val="lt-LT"/>
        </w:rPr>
        <w:t>mg dozė. Daugiau kaip 98% asmenų vartojan</w:t>
      </w:r>
      <w:r w:rsidR="002C7A6E" w:rsidRPr="00B0468F">
        <w:rPr>
          <w:rFonts w:eastAsia="Calibri"/>
          <w:color w:val="000000"/>
          <w:lang w:val="lt-LT"/>
        </w:rPr>
        <w:t>t palaikomąją dozę pasireiškė ≥ </w:t>
      </w:r>
      <w:r w:rsidRPr="00B0468F">
        <w:rPr>
          <w:rFonts w:eastAsia="Calibri"/>
          <w:color w:val="000000"/>
          <w:lang w:val="lt-LT"/>
        </w:rPr>
        <w:t>20% tro</w:t>
      </w:r>
      <w:r w:rsidR="00AC3CBB" w:rsidRPr="00B0468F">
        <w:rPr>
          <w:rFonts w:eastAsia="Calibri"/>
          <w:color w:val="000000"/>
          <w:lang w:val="lt-LT"/>
        </w:rPr>
        <w:t>mbocitų agregacijos slopinimas.</w:t>
      </w:r>
    </w:p>
    <w:p w14:paraId="27588807" w14:textId="77777777" w:rsidR="00AC3CBB" w:rsidRPr="00B0468F" w:rsidRDefault="00AC3CBB" w:rsidP="00B0468F">
      <w:pPr>
        <w:widowControl w:val="0"/>
        <w:tabs>
          <w:tab w:val="clear" w:pos="567"/>
        </w:tabs>
        <w:autoSpaceDE w:val="0"/>
        <w:autoSpaceDN w:val="0"/>
        <w:adjustRightInd w:val="0"/>
        <w:spacing w:line="240" w:lineRule="auto"/>
        <w:ind w:right="566"/>
        <w:rPr>
          <w:rFonts w:eastAsia="Calibri"/>
          <w:color w:val="000000"/>
          <w:lang w:val="lt-LT"/>
        </w:rPr>
      </w:pPr>
    </w:p>
    <w:p w14:paraId="0A674D90" w14:textId="77777777" w:rsidR="00F34163" w:rsidRPr="00B0468F" w:rsidRDefault="00BB6BFF"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Trombocitų agregacija palaipsniui vėl tapo tokia, kokia buvo prieš pradedant gydymą, praėjus 7-9 paroms po vienkartinės į</w:t>
      </w:r>
      <w:r w:rsidR="00422D64" w:rsidRPr="00B0468F">
        <w:rPr>
          <w:rFonts w:eastAsia="Calibri"/>
          <w:color w:val="000000"/>
          <w:lang w:val="lt-LT"/>
        </w:rPr>
        <w:t>sotinamosios 60 </w:t>
      </w:r>
      <w:r w:rsidR="00F05DB3" w:rsidRPr="00B0468F">
        <w:rPr>
          <w:rFonts w:eastAsia="Calibri"/>
          <w:color w:val="000000"/>
          <w:lang w:val="lt-LT"/>
        </w:rPr>
        <w:t>mg praz</w:t>
      </w:r>
      <w:r w:rsidRPr="00B0468F">
        <w:rPr>
          <w:rFonts w:eastAsia="Calibri"/>
          <w:color w:val="000000"/>
          <w:lang w:val="lt-LT"/>
        </w:rPr>
        <w:t>ugrelio dozės pavartojimo ir praėjus 5 paroms po palaikomosios dozės vartojimo nutraukimo pusiausvyros apykaitos sąlygomis.</w:t>
      </w:r>
    </w:p>
    <w:p w14:paraId="381738B2" w14:textId="77777777" w:rsidR="00C12A27" w:rsidRPr="00B0468F" w:rsidRDefault="00C12A27" w:rsidP="00B0468F">
      <w:pPr>
        <w:widowControl w:val="0"/>
        <w:tabs>
          <w:tab w:val="clear" w:pos="567"/>
        </w:tabs>
        <w:autoSpaceDE w:val="0"/>
        <w:autoSpaceDN w:val="0"/>
        <w:adjustRightInd w:val="0"/>
        <w:spacing w:line="240" w:lineRule="auto"/>
        <w:ind w:right="566"/>
        <w:rPr>
          <w:rFonts w:eastAsia="Calibri"/>
          <w:color w:val="000000"/>
          <w:lang w:val="lt-LT"/>
        </w:rPr>
      </w:pPr>
    </w:p>
    <w:p w14:paraId="6DE6E505" w14:textId="77777777" w:rsidR="00C12A27" w:rsidRPr="00B0468F" w:rsidRDefault="00C12A27" w:rsidP="005350AF">
      <w:pPr>
        <w:widowControl w:val="0"/>
        <w:tabs>
          <w:tab w:val="clear" w:pos="567"/>
        </w:tabs>
        <w:spacing w:line="240" w:lineRule="auto"/>
        <w:ind w:right="566"/>
        <w:rPr>
          <w:lang w:val="lt-LT"/>
        </w:rPr>
      </w:pPr>
      <w:r w:rsidRPr="00B0468F">
        <w:rPr>
          <w:u w:val="single"/>
          <w:lang w:val="lt-LT"/>
        </w:rPr>
        <w:t>Pakeitimo duomenys:</w:t>
      </w:r>
      <w:r w:rsidRPr="00B0468F">
        <w:rPr>
          <w:lang w:val="lt-LT"/>
        </w:rPr>
        <w:t xml:space="preserve"> 40 sveikų a</w:t>
      </w:r>
      <w:r w:rsidR="00F25347" w:rsidRPr="00B0468F">
        <w:rPr>
          <w:lang w:val="lt-LT"/>
        </w:rPr>
        <w:t>smenų, kurie 10 parų vartojo 75 </w:t>
      </w:r>
      <w:r w:rsidRPr="00B0468F">
        <w:rPr>
          <w:lang w:val="lt-LT"/>
        </w:rPr>
        <w:t>mg klopidogrelio dozę vieną kartą per parą</w:t>
      </w:r>
      <w:r w:rsidR="00F25347" w:rsidRPr="00B0468F">
        <w:rPr>
          <w:lang w:val="lt-LT"/>
        </w:rPr>
        <w:t>, buvo skirta vartoti 10 </w:t>
      </w:r>
      <w:r w:rsidRPr="00B0468F">
        <w:rPr>
          <w:lang w:val="lt-LT"/>
        </w:rPr>
        <w:t xml:space="preserve">mg prazugrelio vieną kartą per parą, pradedant </w:t>
      </w:r>
      <w:r w:rsidR="00F25347" w:rsidRPr="00B0468F">
        <w:rPr>
          <w:lang w:val="lt-LT"/>
        </w:rPr>
        <w:t>arba nepradedant įsotinamąja 60 </w:t>
      </w:r>
      <w:r w:rsidRPr="00B0468F">
        <w:rPr>
          <w:lang w:val="lt-LT"/>
        </w:rPr>
        <w:t>mg doze. Vartojant prazugrelį, pasireiškė toks pat arba didesnis trombocitų agregacijos slopinimas. Pradėjus iš</w:t>
      </w:r>
      <w:r w:rsidR="00F25347" w:rsidRPr="00B0468F">
        <w:rPr>
          <w:lang w:val="lt-LT"/>
        </w:rPr>
        <w:t xml:space="preserve"> pradžių vartoti įsotinamąją 60 </w:t>
      </w:r>
      <w:r w:rsidRPr="00B0468F">
        <w:rPr>
          <w:lang w:val="lt-LT"/>
        </w:rPr>
        <w:t>mg dozę, stipresnis trombocitų funkcijos slopinimas pasireiškė greičiau. Penkiasdešimt šeši asmenys, kuriems pasireiškė ŪKS ir kuri</w:t>
      </w:r>
      <w:r w:rsidR="00F25347" w:rsidRPr="00B0468F">
        <w:rPr>
          <w:lang w:val="lt-LT"/>
        </w:rPr>
        <w:t>e vartojo įsotinamąją 900 </w:t>
      </w:r>
      <w:r w:rsidRPr="00B0468F">
        <w:rPr>
          <w:lang w:val="lt-LT"/>
        </w:rPr>
        <w:t xml:space="preserve">mg klopidogrelio dozę (kartu su ASR), 14 </w:t>
      </w:r>
      <w:r w:rsidR="00F25347" w:rsidRPr="00B0468F">
        <w:rPr>
          <w:lang w:val="lt-LT"/>
        </w:rPr>
        <w:t>parų buvo gydyti arba 10 </w:t>
      </w:r>
      <w:r w:rsidRPr="00B0468F">
        <w:rPr>
          <w:lang w:val="lt-LT"/>
        </w:rPr>
        <w:t>mg prazugrelio doze</w:t>
      </w:r>
      <w:r w:rsidR="00F25347" w:rsidRPr="00B0468F">
        <w:rPr>
          <w:lang w:val="lt-LT"/>
        </w:rPr>
        <w:t xml:space="preserve"> vieną kartą per parą, arba 150 </w:t>
      </w:r>
      <w:r w:rsidRPr="00B0468F">
        <w:rPr>
          <w:lang w:val="lt-LT"/>
        </w:rPr>
        <w:t>mg klopidogrelio doze vieną kartą per parą, o vėliau gydymas jiems pakeistas ir kitas 14 parų pacientai vartojo a</w:t>
      </w:r>
      <w:r w:rsidR="00F25347" w:rsidRPr="00B0468F">
        <w:rPr>
          <w:lang w:val="lt-LT"/>
        </w:rPr>
        <w:t>rba 150 mg klopidogrelio arba 10 </w:t>
      </w:r>
      <w:r w:rsidRPr="00B0468F">
        <w:rPr>
          <w:lang w:val="lt-LT"/>
        </w:rPr>
        <w:t>mg prazugrelio. Stipresnis trombocitų agregacijos slopinimas pasireiškė pacientams, kurie pa</w:t>
      </w:r>
      <w:r w:rsidR="00F25347" w:rsidRPr="00B0468F">
        <w:rPr>
          <w:lang w:val="lt-LT"/>
        </w:rPr>
        <w:t>keitus gydymą vartojo 10 </w:t>
      </w:r>
      <w:r w:rsidRPr="00B0468F">
        <w:rPr>
          <w:lang w:val="lt-LT"/>
        </w:rPr>
        <w:t>mg prazugrelio, palyginti su pa</w:t>
      </w:r>
      <w:r w:rsidR="00F25347" w:rsidRPr="00B0468F">
        <w:rPr>
          <w:lang w:val="lt-LT"/>
        </w:rPr>
        <w:t>cientais, kurie buvo gydyti 150 </w:t>
      </w:r>
      <w:r w:rsidRPr="00B0468F">
        <w:rPr>
          <w:lang w:val="lt-LT"/>
        </w:rPr>
        <w:t>mg klopidogrelio doze. Tyrimo, kuriame dalyvavo 276 pacientai, kuriems pasireiškė ŪKS ir buvo gydyti atliekant PVAP, vi</w:t>
      </w:r>
      <w:r w:rsidR="00F25347" w:rsidRPr="00B0468F">
        <w:rPr>
          <w:lang w:val="lt-LT"/>
        </w:rPr>
        <w:t>etoj pradinės įsotinamosios 600 </w:t>
      </w:r>
      <w:r w:rsidRPr="00B0468F">
        <w:rPr>
          <w:lang w:val="lt-LT"/>
        </w:rPr>
        <w:t>mg klopidogrelio ar placebo dozės, kuri buvo vartota prieš paguldant į ligoninę prieš vainikinių arterijų angiografiją, paskyrus vartoti įsotinamąją</w:t>
      </w:r>
      <w:r w:rsidR="00F25347" w:rsidRPr="00B0468F">
        <w:rPr>
          <w:lang w:val="lt-LT"/>
        </w:rPr>
        <w:t xml:space="preserve"> 60 </w:t>
      </w:r>
      <w:r w:rsidRPr="00B0468F">
        <w:rPr>
          <w:lang w:val="lt-LT"/>
        </w:rPr>
        <w:t xml:space="preserve">mg prazugrelio dozę perkutaninės vainikinių kraujagyslių intervencijos metu, trombocitų </w:t>
      </w:r>
      <w:r w:rsidRPr="00B0468F">
        <w:rPr>
          <w:lang w:val="lt-LT"/>
        </w:rPr>
        <w:lastRenderedPageBreak/>
        <w:t>agergacijos slopinimas per 72 tyrimo valandas sustiprėjo panašiai.</w:t>
      </w:r>
    </w:p>
    <w:p w14:paraId="4DECE149" w14:textId="77777777" w:rsidR="00C12A27" w:rsidRPr="00B0468F" w:rsidRDefault="00C12A27" w:rsidP="005350AF">
      <w:pPr>
        <w:widowControl w:val="0"/>
        <w:tabs>
          <w:tab w:val="clear" w:pos="567"/>
        </w:tabs>
        <w:spacing w:line="240" w:lineRule="auto"/>
        <w:ind w:right="566"/>
        <w:rPr>
          <w:lang w:val="lt-LT"/>
        </w:rPr>
      </w:pPr>
    </w:p>
    <w:p w14:paraId="138B79BA" w14:textId="77777777" w:rsidR="00C12A27" w:rsidRPr="00B0468F" w:rsidRDefault="00C12A27" w:rsidP="005350AF">
      <w:pPr>
        <w:widowControl w:val="0"/>
        <w:tabs>
          <w:tab w:val="clear" w:pos="567"/>
        </w:tabs>
        <w:spacing w:line="240" w:lineRule="auto"/>
        <w:ind w:right="566"/>
        <w:rPr>
          <w:u w:val="single"/>
          <w:lang w:val="lt-LT"/>
        </w:rPr>
      </w:pPr>
      <w:r w:rsidRPr="00B0468F">
        <w:rPr>
          <w:u w:val="single"/>
          <w:lang w:val="lt-LT"/>
        </w:rPr>
        <w:t>Klinikinis veiksmingumas ir saugumas</w:t>
      </w:r>
    </w:p>
    <w:p w14:paraId="68C97DA1" w14:textId="77777777" w:rsidR="00C12A27" w:rsidRPr="00B0468F" w:rsidRDefault="00C12A27" w:rsidP="005350AF">
      <w:pPr>
        <w:widowControl w:val="0"/>
        <w:tabs>
          <w:tab w:val="clear" w:pos="567"/>
        </w:tabs>
        <w:spacing w:line="240" w:lineRule="auto"/>
        <w:ind w:right="566"/>
        <w:rPr>
          <w:u w:val="single"/>
          <w:lang w:val="lt-LT"/>
        </w:rPr>
      </w:pPr>
    </w:p>
    <w:p w14:paraId="14E57803" w14:textId="77777777" w:rsidR="00C12A27" w:rsidRPr="00B0468F" w:rsidRDefault="00C12A27" w:rsidP="005350AF">
      <w:pPr>
        <w:widowControl w:val="0"/>
        <w:tabs>
          <w:tab w:val="clear" w:pos="567"/>
        </w:tabs>
        <w:spacing w:line="240" w:lineRule="auto"/>
        <w:ind w:right="566"/>
        <w:rPr>
          <w:u w:val="single"/>
          <w:lang w:val="lt-LT"/>
        </w:rPr>
      </w:pPr>
      <w:r w:rsidRPr="00B0468F">
        <w:rPr>
          <w:u w:val="single"/>
          <w:lang w:val="lt-LT"/>
        </w:rPr>
        <w:t>Ūminis koronarinis sindromas (ŪKS)</w:t>
      </w:r>
    </w:p>
    <w:p w14:paraId="4239BB7E" w14:textId="77777777" w:rsidR="00BB6BFF" w:rsidRPr="00B0468F" w:rsidRDefault="00C12A27" w:rsidP="005350AF">
      <w:pPr>
        <w:widowControl w:val="0"/>
        <w:tabs>
          <w:tab w:val="clear" w:pos="567"/>
        </w:tabs>
        <w:spacing w:line="240" w:lineRule="auto"/>
        <w:ind w:right="566"/>
        <w:rPr>
          <w:lang w:val="lt-LT"/>
        </w:rPr>
      </w:pPr>
      <w:r w:rsidRPr="00B0468F">
        <w:rPr>
          <w:lang w:val="lt-LT"/>
        </w:rPr>
        <w:t>Trečios fazės TR</w:t>
      </w:r>
      <w:r w:rsidR="001D7CE1" w:rsidRPr="00B0468F">
        <w:rPr>
          <w:lang w:val="lt-LT"/>
        </w:rPr>
        <w:t>ITON tyrime, kurio metu prazugrelis</w:t>
      </w:r>
      <w:r w:rsidRPr="00B0468F">
        <w:rPr>
          <w:lang w:val="lt-LT"/>
        </w:rPr>
        <w:t xml:space="preserve"> palygintas su klopidogreliu, abu vaistiniai preparatai buvo vartojami kartu su ASR ir kitokiais įprastiniais gydymo būdais. TRITON buvo tarptautinis daugiacentris, atsitiktinių imčių dvigubai aklu būdu atliktas paralelinių grupių tyrimas, kuriame dalyvavo 13 608 pacientai. Pacientams pasireiškė ŪKS ir buvo vidutinė arba didelė UA/NSTEMI ar STEMI rizika bei taikyta PVAP.</w:t>
      </w:r>
    </w:p>
    <w:p w14:paraId="3BDAB7A7" w14:textId="77777777" w:rsidR="001D7CE1" w:rsidRPr="00B0468F" w:rsidRDefault="001D7CE1" w:rsidP="005350AF">
      <w:pPr>
        <w:widowControl w:val="0"/>
        <w:tabs>
          <w:tab w:val="clear" w:pos="567"/>
        </w:tabs>
        <w:spacing w:line="240" w:lineRule="auto"/>
        <w:ind w:right="566"/>
        <w:rPr>
          <w:lang w:val="lt-LT"/>
        </w:rPr>
      </w:pPr>
    </w:p>
    <w:p w14:paraId="50C44434" w14:textId="77777777" w:rsidR="001D7CE1" w:rsidRPr="00B0468F" w:rsidRDefault="001D7CE1"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Pacientai, kuriems pasireiškė nestabili krūtinės angina ir per 72 valandas atsirado NSTEMI</w:t>
      </w:r>
      <w:r w:rsidRPr="00B0468F">
        <w:rPr>
          <w:rFonts w:eastAsia="Calibri"/>
          <w:i/>
          <w:color w:val="000000"/>
          <w:lang w:val="lt-LT"/>
        </w:rPr>
        <w:t xml:space="preserve"> </w:t>
      </w:r>
      <w:r w:rsidRPr="00B0468F">
        <w:rPr>
          <w:rFonts w:eastAsia="Calibri"/>
          <w:color w:val="000000"/>
          <w:lang w:val="lt-LT"/>
        </w:rPr>
        <w:t>simptomų arba per nuo 12 valandų iki 14 parų laikotarpį atsirado STEMI</w:t>
      </w:r>
      <w:r w:rsidRPr="00B0468F">
        <w:rPr>
          <w:rFonts w:eastAsia="Calibri"/>
          <w:i/>
          <w:color w:val="000000"/>
          <w:lang w:val="lt-LT"/>
        </w:rPr>
        <w:t xml:space="preserve"> </w:t>
      </w:r>
      <w:r w:rsidRPr="00B0468F">
        <w:rPr>
          <w:rFonts w:eastAsia="Calibri"/>
          <w:color w:val="000000"/>
          <w:lang w:val="lt-LT"/>
        </w:rPr>
        <w:t>simptomų, išsiaiškinus vainikinių kraujagyslių anatomiją, atsitiktiniu būdu buvo suskirstyti į grupes. Pacientai, kuriems per 12 valandų atsirado STEMI</w:t>
      </w:r>
      <w:r w:rsidRPr="00B0468F">
        <w:rPr>
          <w:rFonts w:eastAsia="Calibri"/>
          <w:i/>
          <w:color w:val="000000"/>
          <w:lang w:val="lt-LT"/>
        </w:rPr>
        <w:t xml:space="preserve"> </w:t>
      </w:r>
      <w:r w:rsidRPr="00B0468F">
        <w:rPr>
          <w:rFonts w:eastAsia="Calibri"/>
          <w:color w:val="000000"/>
          <w:lang w:val="lt-LT"/>
        </w:rPr>
        <w:t>simptomų ir buvo planuota atlikti pirmaeilę PVAP, buvo galima atsitiktiniu būdu suskirstyti į grupes, neišsiaiškinus vainikinių kraujagyslių anatomijos. Visiems pacientams įsotinamąją dozę buvo galima skirti vartoti bet kuriuo atsitiktinio suskirstymo į grupes metu ir praėjus vienai valandai po to, kai pacientas palie</w:t>
      </w:r>
      <w:r w:rsidR="006D0E5D" w:rsidRPr="00B0468F">
        <w:rPr>
          <w:rFonts w:eastAsia="Calibri"/>
          <w:color w:val="000000"/>
          <w:lang w:val="lt-LT"/>
        </w:rPr>
        <w:t>ka kateterizavimo laboratoriją.</w:t>
      </w:r>
    </w:p>
    <w:p w14:paraId="1479641F" w14:textId="77777777" w:rsidR="006D0E5D" w:rsidRPr="00B0468F" w:rsidRDefault="006D0E5D" w:rsidP="00B0468F">
      <w:pPr>
        <w:widowControl w:val="0"/>
        <w:tabs>
          <w:tab w:val="clear" w:pos="567"/>
        </w:tabs>
        <w:autoSpaceDE w:val="0"/>
        <w:autoSpaceDN w:val="0"/>
        <w:adjustRightInd w:val="0"/>
        <w:spacing w:line="240" w:lineRule="auto"/>
        <w:ind w:right="566"/>
        <w:rPr>
          <w:rFonts w:eastAsia="Calibri"/>
          <w:color w:val="000000"/>
          <w:lang w:val="lt-LT"/>
        </w:rPr>
      </w:pPr>
    </w:p>
    <w:p w14:paraId="1002BBF3" w14:textId="77777777" w:rsidR="001D7CE1" w:rsidRPr="00B0468F" w:rsidRDefault="001D7CE1"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Pacientai, kuriems atsitik</w:t>
      </w:r>
      <w:r w:rsidR="006D0E5D" w:rsidRPr="00B0468F">
        <w:rPr>
          <w:rFonts w:eastAsia="Calibri"/>
          <w:color w:val="000000"/>
          <w:lang w:val="lt-LT"/>
        </w:rPr>
        <w:t>tiniu būdu paskirta vartoti praz</w:t>
      </w:r>
      <w:r w:rsidR="00B42DA3" w:rsidRPr="00B0468F">
        <w:rPr>
          <w:rFonts w:eastAsia="Calibri"/>
          <w:color w:val="000000"/>
          <w:lang w:val="lt-LT"/>
        </w:rPr>
        <w:t>ugrelį (įsotinamoji 60 mg dozė, vėliau po 10 </w:t>
      </w:r>
      <w:r w:rsidRPr="00B0468F">
        <w:rPr>
          <w:rFonts w:eastAsia="Calibri"/>
          <w:color w:val="000000"/>
          <w:lang w:val="lt-LT"/>
        </w:rPr>
        <w:t>mg vieną kartą per parą) arb</w:t>
      </w:r>
      <w:r w:rsidR="00B42DA3" w:rsidRPr="00B0468F">
        <w:rPr>
          <w:rFonts w:eastAsia="Calibri"/>
          <w:color w:val="000000"/>
          <w:lang w:val="lt-LT"/>
        </w:rPr>
        <w:t>a klopidogrelį (įsotinamoji 300 mg dozė, vėliau po 75 </w:t>
      </w:r>
      <w:r w:rsidRPr="00B0468F">
        <w:rPr>
          <w:rFonts w:eastAsia="Calibri"/>
          <w:color w:val="000000"/>
          <w:lang w:val="lt-LT"/>
        </w:rPr>
        <w:t>mg vieną kartą per parą), buvo gydyti vidutiniškai 14,5 mėnesių (ne ilgiau kaip 15 mėnesių, o po to ne trumpiau kaip 6 mėnesius stebimi). Be to, pacient</w:t>
      </w:r>
      <w:r w:rsidR="00B42DA3" w:rsidRPr="00B0468F">
        <w:rPr>
          <w:rFonts w:eastAsia="Calibri"/>
          <w:color w:val="000000"/>
          <w:lang w:val="lt-LT"/>
        </w:rPr>
        <w:t>ai taip pat vartojo ASR (nuo 75 mg iki 325 </w:t>
      </w:r>
      <w:r w:rsidRPr="00B0468F">
        <w:rPr>
          <w:rFonts w:eastAsia="Calibri"/>
          <w:color w:val="000000"/>
          <w:lang w:val="lt-LT"/>
        </w:rPr>
        <w:t>mg vieną kartą per parą). Bet kokių tienopiridinų vartojimas per 5 paras prieš tyrimą buvo pašalinimo iš tyrimo kriterijus. Kitoks gydymas, pavyzdžiui, gydymas heparinu ir GP IIb/IIIa inhibitoriais, skirtas gydytojo nuožiūra. Maždaug 40% pacientų (kiekvienoje gydymo grupėje) PVAP buvo sustiprinta GP IIb/IIIa inhibitorių vartojimu (duomenų apie tai, kokio tipo GP IIb/IIIa inhibitorių vartota, nėra). Maždaug 98% pacientų (kiekvienoje gydymo grupėje) PVAP buvo tiesiogiai sustiprinta antitromboziniais preparatais (heparinu, mažo molekulinio svorio heparinu, bivalirudinu ar kito</w:t>
      </w:r>
      <w:r w:rsidR="006D0E5D" w:rsidRPr="00B0468F">
        <w:rPr>
          <w:rFonts w:eastAsia="Calibri"/>
          <w:color w:val="000000"/>
          <w:lang w:val="lt-LT"/>
        </w:rPr>
        <w:t>kiais vaistiniais preparatais).</w:t>
      </w:r>
    </w:p>
    <w:p w14:paraId="53F12614" w14:textId="77777777" w:rsidR="006D0E5D" w:rsidRPr="00B0468F" w:rsidRDefault="006D0E5D" w:rsidP="00B0468F">
      <w:pPr>
        <w:widowControl w:val="0"/>
        <w:tabs>
          <w:tab w:val="clear" w:pos="567"/>
        </w:tabs>
        <w:autoSpaceDE w:val="0"/>
        <w:autoSpaceDN w:val="0"/>
        <w:adjustRightInd w:val="0"/>
        <w:spacing w:line="240" w:lineRule="auto"/>
        <w:ind w:right="566"/>
        <w:rPr>
          <w:rFonts w:eastAsia="Calibri"/>
          <w:color w:val="000000"/>
          <w:lang w:val="lt-LT"/>
        </w:rPr>
      </w:pPr>
    </w:p>
    <w:p w14:paraId="654EAE12" w14:textId="77777777" w:rsidR="001D7CE1" w:rsidRPr="00B0468F" w:rsidRDefault="001D7CE1" w:rsidP="005350AF">
      <w:pPr>
        <w:widowControl w:val="0"/>
        <w:tabs>
          <w:tab w:val="clear" w:pos="567"/>
        </w:tabs>
        <w:spacing w:line="240" w:lineRule="auto"/>
        <w:ind w:right="566"/>
        <w:rPr>
          <w:rFonts w:eastAsia="Calibri"/>
          <w:color w:val="000000"/>
          <w:lang w:val="lt-LT"/>
        </w:rPr>
      </w:pPr>
      <w:r w:rsidRPr="00B0468F">
        <w:rPr>
          <w:rFonts w:eastAsia="Calibri"/>
          <w:color w:val="000000"/>
          <w:lang w:val="lt-LT"/>
        </w:rPr>
        <w:t xml:space="preserve">Pirminė tyrimo vertinamoji baigtis buvo laikotarpis, per kurį pasireiškė pirmieji kardiovaskuliniai reiškiniai: kardiovaskulinė (KV) mirtis, nemirtinas miokardo infarktas (MI) ar nemirtinas insultas. Visų ŪKS populiacijos jungtinės vertinamosios baigties (jungtinė </w:t>
      </w:r>
      <w:r w:rsidRPr="00B0468F">
        <w:rPr>
          <w:rFonts w:eastAsia="Calibri"/>
          <w:i/>
          <w:color w:val="000000"/>
          <w:lang w:val="lt-LT"/>
        </w:rPr>
        <w:t xml:space="preserve">UA/NSTEMI </w:t>
      </w:r>
      <w:r w:rsidRPr="00B0468F">
        <w:rPr>
          <w:rFonts w:eastAsia="Calibri"/>
          <w:color w:val="000000"/>
          <w:lang w:val="lt-LT"/>
        </w:rPr>
        <w:t xml:space="preserve">ir </w:t>
      </w:r>
      <w:r w:rsidRPr="00B0468F">
        <w:rPr>
          <w:rFonts w:eastAsia="Calibri"/>
          <w:i/>
          <w:color w:val="000000"/>
          <w:lang w:val="lt-LT"/>
        </w:rPr>
        <w:t xml:space="preserve">STEMI </w:t>
      </w:r>
      <w:r w:rsidRPr="00B0468F">
        <w:rPr>
          <w:rFonts w:eastAsia="Calibri"/>
          <w:color w:val="000000"/>
          <w:lang w:val="lt-LT"/>
        </w:rPr>
        <w:t>kohortos) analizė parodė statistiškai reikšmingą</w:t>
      </w:r>
      <w:r w:rsidR="00C2265E" w:rsidRPr="00B0468F">
        <w:rPr>
          <w:rFonts w:eastAsia="Calibri"/>
          <w:color w:val="000000"/>
          <w:lang w:val="lt-LT"/>
        </w:rPr>
        <w:t xml:space="preserve"> praz</w:t>
      </w:r>
      <w:r w:rsidRPr="00B0468F">
        <w:rPr>
          <w:rFonts w:eastAsia="Calibri"/>
          <w:color w:val="000000"/>
          <w:lang w:val="lt-LT"/>
        </w:rPr>
        <w:t>ugrelio pranašumą, palyginti su klopidogreliu UA/NSTEMI</w:t>
      </w:r>
      <w:r w:rsidRPr="00B0468F">
        <w:rPr>
          <w:rFonts w:eastAsia="Calibri"/>
          <w:i/>
          <w:color w:val="000000"/>
          <w:lang w:val="lt-LT"/>
        </w:rPr>
        <w:t xml:space="preserve"> </w:t>
      </w:r>
      <w:r w:rsidR="00C2265E" w:rsidRPr="00B0468F">
        <w:rPr>
          <w:rFonts w:eastAsia="Calibri"/>
          <w:color w:val="000000"/>
          <w:lang w:val="lt-LT"/>
        </w:rPr>
        <w:t>kohortoje (p &lt; </w:t>
      </w:r>
      <w:r w:rsidRPr="00B0468F">
        <w:rPr>
          <w:rFonts w:eastAsia="Calibri"/>
          <w:color w:val="000000"/>
          <w:lang w:val="lt-LT"/>
        </w:rPr>
        <w:t>0,05).</w:t>
      </w:r>
    </w:p>
    <w:p w14:paraId="1678DC75" w14:textId="77777777" w:rsidR="00C2265E" w:rsidRPr="00B0468F" w:rsidRDefault="00C2265E" w:rsidP="005350AF">
      <w:pPr>
        <w:widowControl w:val="0"/>
        <w:tabs>
          <w:tab w:val="clear" w:pos="567"/>
        </w:tabs>
        <w:spacing w:line="240" w:lineRule="auto"/>
        <w:ind w:right="566"/>
        <w:rPr>
          <w:lang w:val="lt-LT"/>
        </w:rPr>
      </w:pPr>
    </w:p>
    <w:p w14:paraId="35AE27E8" w14:textId="77777777" w:rsidR="000756D2" w:rsidRPr="00B0468F" w:rsidRDefault="00C2265E" w:rsidP="005350AF">
      <w:pPr>
        <w:widowControl w:val="0"/>
        <w:tabs>
          <w:tab w:val="clear" w:pos="567"/>
        </w:tabs>
        <w:spacing w:line="240" w:lineRule="auto"/>
        <w:ind w:right="566"/>
        <w:rPr>
          <w:lang w:val="lt-LT"/>
        </w:rPr>
      </w:pPr>
      <w:r w:rsidRPr="00B0468F">
        <w:rPr>
          <w:i/>
          <w:u w:val="single"/>
          <w:lang w:val="lt-LT"/>
        </w:rPr>
        <w:t>Visų ŪKS populiacija</w:t>
      </w:r>
      <w:r w:rsidRPr="00B0468F">
        <w:rPr>
          <w:u w:val="single"/>
          <w:lang w:val="lt-LT"/>
        </w:rPr>
        <w:t>:</w:t>
      </w:r>
    </w:p>
    <w:p w14:paraId="753DB9FB" w14:textId="77777777" w:rsidR="00C2265E" w:rsidRPr="00B0468F" w:rsidRDefault="00C2265E" w:rsidP="005350AF">
      <w:pPr>
        <w:widowControl w:val="0"/>
        <w:tabs>
          <w:tab w:val="clear" w:pos="567"/>
        </w:tabs>
        <w:spacing w:line="240" w:lineRule="auto"/>
        <w:ind w:right="566"/>
        <w:rPr>
          <w:lang w:val="lt-LT"/>
        </w:rPr>
      </w:pPr>
      <w:r w:rsidRPr="00B0468F">
        <w:rPr>
          <w:lang w:val="lt-LT"/>
        </w:rPr>
        <w:t>Prazugrelis veiksmingiau, palyginti su klopidogreliu, mažino pirminės jungtinės vertinamosios baigties reiškinių skaičių, o taip pat iš anksto numatytų, įskaitant stento trombozės, antrinės jungtinės vertinamosios baigties reiškinių skaičių (žr. lentelę nr. 3). Prazugrelio nauda tapo pastebima per pirmas 3 paras ir išliko iki tyrimo pabaigos. Didesnis veiksmingumas buvo susijęs su masyvaus kraujavimo padidėjimu (žr. 4.4 ir 4.8 skyrius). Pacientų populiaciją sudarė 92% baltųjų, 26% moterų ir</w:t>
      </w:r>
      <w:r w:rsidR="000756D2" w:rsidRPr="00B0468F">
        <w:rPr>
          <w:lang w:val="lt-LT"/>
        </w:rPr>
        <w:t xml:space="preserve"> 39% ≥ </w:t>
      </w:r>
      <w:r w:rsidRPr="00B0468F">
        <w:rPr>
          <w:lang w:val="lt-LT"/>
        </w:rPr>
        <w:t>65 metų pacientų. Su prazugreliu susijusi nauda nepriklausė nuo trumpalaikio ar ilgalaikio kitų kardiovaskulinę sistemą veikiančių vaistinių preparatų vartojimo, įskaitant heparino/mažo molekulinio svorio heparino, bivalirudino, į veną vartojamų GP IIb/IIIa inhibitorių, lipidų koncentraciją mažinančių vaistinių preparatų, beta adrenoreceptorių blokatorių ir angiotenziną konvertuojančio fermento inhibitorių vartojimo. Prazugrelio veiksmingumas ne</w:t>
      </w:r>
      <w:r w:rsidR="000756D2" w:rsidRPr="00B0468F">
        <w:rPr>
          <w:lang w:val="lt-LT"/>
        </w:rPr>
        <w:t>priklausė nuo ASR dozės (nuo 75 mg iki 325 </w:t>
      </w:r>
      <w:r w:rsidRPr="00B0468F">
        <w:rPr>
          <w:lang w:val="lt-LT"/>
        </w:rPr>
        <w:t>mg vieną kartą per parą). TRITON tyrimo metu nebuvo leista vartoti geriamųjų antikoaguliantų, netiriamųjų trombocitų funkciją slopinančių vaistinių preparatų ir ilgą laiką vartoti NVNU. Visų ŪKS populiacijoje prazugrelis buvo susijęs su KV mirčių, nemirtino MI ar nemirtino insulto dažnio sumažėjimu, palyginti su klopidogreliu, neatsižvelgiant į prieš tyrimą buvusias paciento savybes, tokias kaip, amžių, lytį, kūno svorį, geografinį regioną, GP IIb/IIIa inhibitorių vartojimą ir stento tipą. Nauda visų pirma pasireiškė dėl to, kad labai sumažėjo nemirtino MI atvejų (žr. lentelę nr. 3). Asmenims, kurie serga diabetu, nustatytas reikšmingas pirminės ir visų antrinių jungtinių vertinamųjų baigčių sumažėjimas.</w:t>
      </w:r>
    </w:p>
    <w:p w14:paraId="5C14D60E" w14:textId="77777777" w:rsidR="00C57915" w:rsidRPr="00B0468F" w:rsidRDefault="00C57915" w:rsidP="005350AF">
      <w:pPr>
        <w:widowControl w:val="0"/>
        <w:tabs>
          <w:tab w:val="clear" w:pos="567"/>
        </w:tabs>
        <w:spacing w:line="240" w:lineRule="auto"/>
        <w:ind w:right="566"/>
        <w:rPr>
          <w:lang w:val="lt-LT"/>
        </w:rPr>
      </w:pPr>
    </w:p>
    <w:p w14:paraId="2664CB4D" w14:textId="77777777" w:rsidR="00C2265E" w:rsidRPr="00B0468F" w:rsidRDefault="00F00F47" w:rsidP="005350AF">
      <w:pPr>
        <w:widowControl w:val="0"/>
        <w:tabs>
          <w:tab w:val="clear" w:pos="567"/>
        </w:tabs>
        <w:spacing w:line="240" w:lineRule="auto"/>
        <w:ind w:right="566"/>
        <w:rPr>
          <w:lang w:val="lt-LT"/>
        </w:rPr>
      </w:pPr>
      <w:r w:rsidRPr="00B0468F">
        <w:rPr>
          <w:lang w:val="lt-LT"/>
        </w:rPr>
        <w:t>Praz</w:t>
      </w:r>
      <w:r w:rsidR="00C2265E" w:rsidRPr="00B0468F">
        <w:rPr>
          <w:lang w:val="lt-LT"/>
        </w:rPr>
        <w:t>ugrelio nauda, kuri nustatyta 75 metų ir vyresniems pacientams, buvo mažesnė nei jaunesniems kaip 75 metų pacientams. 75 metų ir vyresniems pacientams yra didesnė kraujavimo, įskaitant mirtino, rizika (žr. 4.2, 4.4 ir 4.8 skyrius). Gydymas p</w:t>
      </w:r>
      <w:r w:rsidRPr="00B0468F">
        <w:rPr>
          <w:lang w:val="lt-LT"/>
        </w:rPr>
        <w:t>raz</w:t>
      </w:r>
      <w:r w:rsidR="00C2265E" w:rsidRPr="00B0468F">
        <w:rPr>
          <w:lang w:val="lt-LT"/>
        </w:rPr>
        <w:t>ugreliu buvo naudingesnis tiems 75 metų ir vyresniems pacientams, kurie sirgo diabetu, STEMI, buvo didelė stento trombozės ar pasikartojančių reiškinių rizika.</w:t>
      </w:r>
    </w:p>
    <w:p w14:paraId="03D81840" w14:textId="77777777" w:rsidR="00C57915" w:rsidRPr="00B0468F" w:rsidRDefault="00C57915" w:rsidP="005350AF">
      <w:pPr>
        <w:widowControl w:val="0"/>
        <w:tabs>
          <w:tab w:val="clear" w:pos="567"/>
        </w:tabs>
        <w:spacing w:line="240" w:lineRule="auto"/>
        <w:ind w:right="566"/>
        <w:rPr>
          <w:lang w:val="lt-LT"/>
        </w:rPr>
      </w:pPr>
    </w:p>
    <w:p w14:paraId="14270979" w14:textId="77777777" w:rsidR="001D7CE1" w:rsidRPr="00B0468F" w:rsidRDefault="00C2265E" w:rsidP="005350AF">
      <w:pPr>
        <w:widowControl w:val="0"/>
        <w:tabs>
          <w:tab w:val="clear" w:pos="567"/>
        </w:tabs>
        <w:spacing w:line="240" w:lineRule="auto"/>
        <w:ind w:right="566"/>
        <w:rPr>
          <w:lang w:val="lt-LT"/>
        </w:rPr>
      </w:pPr>
      <w:r w:rsidRPr="00B0468F">
        <w:rPr>
          <w:lang w:val="lt-LT"/>
        </w:rPr>
        <w:t>Pacientai, kuriems anksčiau pasireiškė PSIP arba išeminis insultas, ilgiau kaip 3 mėnesius pr</w:t>
      </w:r>
      <w:r w:rsidR="00F00F47" w:rsidRPr="00B0468F">
        <w:rPr>
          <w:lang w:val="lt-LT"/>
        </w:rPr>
        <w:t>ieš pradedant gydymą praz</w:t>
      </w:r>
      <w:r w:rsidRPr="00B0468F">
        <w:rPr>
          <w:lang w:val="lt-LT"/>
        </w:rPr>
        <w:t>ugreliu nebuvo jokio pirminės jungtinės vertinamosios baigties sumažėjimo.</w:t>
      </w:r>
    </w:p>
    <w:p w14:paraId="38A31F9B" w14:textId="77777777" w:rsidR="00B9746D" w:rsidRPr="00B0468F" w:rsidRDefault="00B9746D" w:rsidP="005350AF">
      <w:pPr>
        <w:widowControl w:val="0"/>
        <w:tabs>
          <w:tab w:val="clear" w:pos="567"/>
        </w:tabs>
        <w:spacing w:line="240" w:lineRule="auto"/>
        <w:ind w:right="566"/>
        <w:rPr>
          <w:b/>
          <w:lang w:val="lt-LT"/>
        </w:rPr>
      </w:pPr>
    </w:p>
    <w:p w14:paraId="65003D12" w14:textId="77777777" w:rsidR="00C57915" w:rsidRPr="00B0468F" w:rsidRDefault="00B9746D" w:rsidP="005350AF">
      <w:pPr>
        <w:widowControl w:val="0"/>
        <w:tabs>
          <w:tab w:val="clear" w:pos="567"/>
        </w:tabs>
        <w:spacing w:line="240" w:lineRule="auto"/>
        <w:ind w:right="566"/>
        <w:rPr>
          <w:b/>
          <w:lang w:val="lt-LT"/>
        </w:rPr>
      </w:pPr>
      <w:r w:rsidRPr="00B0468F">
        <w:rPr>
          <w:b/>
          <w:lang w:val="lt-LT"/>
        </w:rPr>
        <w:t>Lentelė nr. 3. TRITON</w:t>
      </w:r>
      <w:r w:rsidRPr="00B0468F">
        <w:rPr>
          <w:b/>
          <w:i/>
          <w:lang w:val="lt-LT"/>
        </w:rPr>
        <w:t xml:space="preserve"> </w:t>
      </w:r>
      <w:r w:rsidRPr="00B0468F">
        <w:rPr>
          <w:b/>
          <w:lang w:val="lt-LT"/>
        </w:rPr>
        <w:t>tyrimo pirminės analizės duomenys apie pacientus, kuriems nustatyta vertinamosios baigties reiškinių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565"/>
        <w:gridCol w:w="1701"/>
        <w:gridCol w:w="1842"/>
        <w:gridCol w:w="1701"/>
      </w:tblGrid>
      <w:tr w:rsidR="00AC383B" w:rsidRPr="00217AE9" w14:paraId="5D8CFC48" w14:textId="77777777" w:rsidTr="00B0468F">
        <w:tc>
          <w:tcPr>
            <w:tcW w:w="2371" w:type="dxa"/>
            <w:shd w:val="clear" w:color="auto" w:fill="auto"/>
            <w:hideMark/>
          </w:tcPr>
          <w:p w14:paraId="5533CB7B" w14:textId="77777777" w:rsidR="00B9746D" w:rsidRPr="005350AF" w:rsidRDefault="00AC383B" w:rsidP="005350AF">
            <w:pPr>
              <w:widowControl w:val="0"/>
              <w:tabs>
                <w:tab w:val="clear" w:pos="567"/>
              </w:tabs>
              <w:spacing w:line="240" w:lineRule="auto"/>
              <w:ind w:right="566"/>
              <w:rPr>
                <w:lang w:val="en-US"/>
              </w:rPr>
            </w:pPr>
            <w:r w:rsidRPr="005350AF">
              <w:rPr>
                <w:b/>
                <w:lang w:val="en-US"/>
              </w:rPr>
              <w:t>Vertinamosios baigties reiškiniai</w:t>
            </w:r>
          </w:p>
        </w:tc>
        <w:tc>
          <w:tcPr>
            <w:tcW w:w="1565" w:type="dxa"/>
            <w:shd w:val="clear" w:color="auto" w:fill="auto"/>
            <w:hideMark/>
          </w:tcPr>
          <w:p w14:paraId="3F1215C2" w14:textId="77777777" w:rsidR="00B9746D" w:rsidRPr="005350AF" w:rsidRDefault="00AC383B" w:rsidP="005350AF">
            <w:pPr>
              <w:widowControl w:val="0"/>
              <w:tabs>
                <w:tab w:val="clear" w:pos="567"/>
              </w:tabs>
              <w:spacing w:line="240" w:lineRule="auto"/>
              <w:ind w:right="-108"/>
              <w:jc w:val="center"/>
              <w:rPr>
                <w:lang w:val="en-US"/>
              </w:rPr>
            </w:pPr>
            <w:r w:rsidRPr="005350AF">
              <w:rPr>
                <w:b/>
                <w:lang w:val="en-US"/>
              </w:rPr>
              <w:t>Praz</w:t>
            </w:r>
            <w:r w:rsidR="00B9746D" w:rsidRPr="005350AF">
              <w:rPr>
                <w:b/>
                <w:lang w:val="en-US"/>
              </w:rPr>
              <w:t>ugrel</w:t>
            </w:r>
            <w:r w:rsidRPr="005350AF">
              <w:rPr>
                <w:b/>
                <w:lang w:val="en-US"/>
              </w:rPr>
              <w:t>is + ASR</w:t>
            </w:r>
          </w:p>
        </w:tc>
        <w:tc>
          <w:tcPr>
            <w:tcW w:w="1701" w:type="dxa"/>
            <w:shd w:val="clear" w:color="auto" w:fill="auto"/>
            <w:hideMark/>
          </w:tcPr>
          <w:p w14:paraId="33D998C8" w14:textId="77777777" w:rsidR="00B9746D" w:rsidRPr="005350AF" w:rsidRDefault="00AC383B" w:rsidP="005350AF">
            <w:pPr>
              <w:widowControl w:val="0"/>
              <w:tabs>
                <w:tab w:val="clear" w:pos="567"/>
              </w:tabs>
              <w:spacing w:line="240" w:lineRule="auto"/>
              <w:ind w:right="-108"/>
              <w:jc w:val="center"/>
              <w:rPr>
                <w:lang w:val="en-US"/>
              </w:rPr>
            </w:pPr>
            <w:r w:rsidRPr="005350AF">
              <w:rPr>
                <w:b/>
                <w:lang w:val="en-US"/>
              </w:rPr>
              <w:t>K</w:t>
            </w:r>
            <w:r w:rsidR="00B9746D" w:rsidRPr="005350AF">
              <w:rPr>
                <w:b/>
                <w:lang w:val="en-US"/>
              </w:rPr>
              <w:t>lopidogrel</w:t>
            </w:r>
            <w:r w:rsidRPr="005350AF">
              <w:rPr>
                <w:b/>
                <w:lang w:val="en-US"/>
              </w:rPr>
              <w:t>is</w:t>
            </w:r>
            <w:r w:rsidR="003C6D10" w:rsidRPr="005350AF">
              <w:rPr>
                <w:b/>
                <w:lang w:val="en-US"/>
              </w:rPr>
              <w:t xml:space="preserve"> +ASR</w:t>
            </w:r>
          </w:p>
        </w:tc>
        <w:tc>
          <w:tcPr>
            <w:tcW w:w="1842" w:type="dxa"/>
            <w:shd w:val="clear" w:color="auto" w:fill="auto"/>
            <w:hideMark/>
          </w:tcPr>
          <w:p w14:paraId="3DC6FA50" w14:textId="77777777" w:rsidR="00B9746D" w:rsidRPr="005350AF" w:rsidRDefault="003C6D10" w:rsidP="005350AF">
            <w:pPr>
              <w:widowControl w:val="0"/>
              <w:tabs>
                <w:tab w:val="clear" w:pos="567"/>
              </w:tabs>
              <w:spacing w:line="240" w:lineRule="auto"/>
              <w:ind w:right="-108"/>
              <w:jc w:val="center"/>
              <w:rPr>
                <w:lang w:val="en-US"/>
              </w:rPr>
            </w:pPr>
            <w:r w:rsidRPr="005350AF">
              <w:rPr>
                <w:b/>
                <w:lang w:val="en-US"/>
              </w:rPr>
              <w:t>Santykinė rizika (S</w:t>
            </w:r>
            <w:r w:rsidR="00B9746D" w:rsidRPr="005350AF">
              <w:rPr>
                <w:b/>
                <w:lang w:val="en-US"/>
              </w:rPr>
              <w:t>R)</w:t>
            </w:r>
          </w:p>
          <w:p w14:paraId="157D97BF" w14:textId="77777777" w:rsidR="00B9746D" w:rsidRPr="005350AF" w:rsidRDefault="003C6D10" w:rsidP="005350AF">
            <w:pPr>
              <w:widowControl w:val="0"/>
              <w:tabs>
                <w:tab w:val="clear" w:pos="567"/>
              </w:tabs>
              <w:spacing w:line="240" w:lineRule="auto"/>
              <w:ind w:right="-108"/>
              <w:jc w:val="center"/>
              <w:rPr>
                <w:lang w:val="en-US"/>
              </w:rPr>
            </w:pPr>
            <w:r w:rsidRPr="005350AF">
              <w:rPr>
                <w:b/>
                <w:lang w:val="en-US"/>
              </w:rPr>
              <w:t>(95% P</w:t>
            </w:r>
            <w:r w:rsidR="00B9746D" w:rsidRPr="005350AF">
              <w:rPr>
                <w:b/>
                <w:lang w:val="en-US"/>
              </w:rPr>
              <w:t>I)</w:t>
            </w:r>
          </w:p>
        </w:tc>
        <w:tc>
          <w:tcPr>
            <w:tcW w:w="1701" w:type="dxa"/>
            <w:shd w:val="clear" w:color="auto" w:fill="auto"/>
            <w:hideMark/>
          </w:tcPr>
          <w:p w14:paraId="0E333535" w14:textId="77777777" w:rsidR="00B9746D" w:rsidRPr="005350AF" w:rsidRDefault="003C6D10" w:rsidP="005350AF">
            <w:pPr>
              <w:widowControl w:val="0"/>
              <w:tabs>
                <w:tab w:val="clear" w:pos="567"/>
              </w:tabs>
              <w:spacing w:line="240" w:lineRule="auto"/>
              <w:ind w:right="-108"/>
              <w:jc w:val="center"/>
              <w:rPr>
                <w:lang w:val="en-US"/>
              </w:rPr>
            </w:pPr>
            <w:r w:rsidRPr="005350AF">
              <w:rPr>
                <w:b/>
                <w:lang w:val="en-US"/>
              </w:rPr>
              <w:t>p-reikšmė</w:t>
            </w:r>
          </w:p>
        </w:tc>
      </w:tr>
      <w:tr w:rsidR="00AC383B" w:rsidRPr="00217AE9" w14:paraId="374D48DB" w14:textId="77777777" w:rsidTr="00B0468F">
        <w:tc>
          <w:tcPr>
            <w:tcW w:w="2371" w:type="dxa"/>
            <w:shd w:val="clear" w:color="auto" w:fill="auto"/>
            <w:hideMark/>
          </w:tcPr>
          <w:p w14:paraId="04B741AF" w14:textId="77777777" w:rsidR="00B9746D" w:rsidRPr="005350AF" w:rsidRDefault="00B9746D" w:rsidP="005350AF">
            <w:pPr>
              <w:widowControl w:val="0"/>
              <w:tabs>
                <w:tab w:val="clear" w:pos="567"/>
              </w:tabs>
              <w:spacing w:line="240" w:lineRule="auto"/>
              <w:ind w:right="566"/>
              <w:rPr>
                <w:lang w:val="en-US"/>
              </w:rPr>
            </w:pPr>
          </w:p>
          <w:p w14:paraId="055F7CCB" w14:textId="77777777" w:rsidR="00B9746D" w:rsidRPr="005350AF" w:rsidRDefault="003C6D10" w:rsidP="005350AF">
            <w:pPr>
              <w:widowControl w:val="0"/>
              <w:tabs>
                <w:tab w:val="clear" w:pos="567"/>
              </w:tabs>
              <w:spacing w:line="240" w:lineRule="auto"/>
              <w:ind w:right="566"/>
              <w:rPr>
                <w:lang w:val="en-US"/>
              </w:rPr>
            </w:pPr>
            <w:r w:rsidRPr="005350AF">
              <w:rPr>
                <w:b/>
                <w:lang w:val="en-US"/>
              </w:rPr>
              <w:t>Visi ŪKS</w:t>
            </w:r>
          </w:p>
        </w:tc>
        <w:tc>
          <w:tcPr>
            <w:tcW w:w="1565" w:type="dxa"/>
            <w:shd w:val="clear" w:color="auto" w:fill="auto"/>
            <w:hideMark/>
          </w:tcPr>
          <w:p w14:paraId="3B431D49" w14:textId="3762CBD3" w:rsidR="00B9746D" w:rsidRPr="005350AF" w:rsidRDefault="00B9746D" w:rsidP="005350AF">
            <w:pPr>
              <w:widowControl w:val="0"/>
              <w:tabs>
                <w:tab w:val="clear" w:pos="567"/>
              </w:tabs>
              <w:spacing w:line="240" w:lineRule="auto"/>
              <w:ind w:right="34"/>
              <w:jc w:val="center"/>
              <w:rPr>
                <w:lang w:val="en-US"/>
              </w:rPr>
            </w:pPr>
            <w:r w:rsidRPr="005350AF">
              <w:rPr>
                <w:b/>
                <w:lang w:val="en-US"/>
              </w:rPr>
              <w:t>(N</w:t>
            </w:r>
            <w:r w:rsidR="004B62F6">
              <w:rPr>
                <w:b/>
                <w:lang w:val="en-US"/>
              </w:rPr>
              <w:t> </w:t>
            </w:r>
            <w:r w:rsidRPr="005350AF">
              <w:rPr>
                <w:b/>
                <w:lang w:val="en-US"/>
              </w:rPr>
              <w:t>=</w:t>
            </w:r>
            <w:r w:rsidR="004B62F6">
              <w:rPr>
                <w:b/>
                <w:lang w:val="en-US"/>
              </w:rPr>
              <w:t> </w:t>
            </w:r>
            <w:r w:rsidRPr="005350AF">
              <w:rPr>
                <w:b/>
                <w:lang w:val="en-US"/>
              </w:rPr>
              <w:t>6813)</w:t>
            </w:r>
          </w:p>
          <w:p w14:paraId="18C75370" w14:textId="77777777" w:rsidR="00B9746D" w:rsidRPr="005350AF" w:rsidRDefault="00B9746D" w:rsidP="005350AF">
            <w:pPr>
              <w:widowControl w:val="0"/>
              <w:tabs>
                <w:tab w:val="clear" w:pos="567"/>
              </w:tabs>
              <w:spacing w:line="240" w:lineRule="auto"/>
              <w:ind w:right="34"/>
              <w:jc w:val="center"/>
              <w:rPr>
                <w:lang w:val="en-US"/>
              </w:rPr>
            </w:pPr>
            <w:r w:rsidRPr="005350AF">
              <w:rPr>
                <w:b/>
                <w:lang w:val="en-US"/>
              </w:rPr>
              <w:t>%</w:t>
            </w:r>
          </w:p>
        </w:tc>
        <w:tc>
          <w:tcPr>
            <w:tcW w:w="1701" w:type="dxa"/>
            <w:shd w:val="clear" w:color="auto" w:fill="auto"/>
            <w:hideMark/>
          </w:tcPr>
          <w:p w14:paraId="31D8A1F7" w14:textId="64321F70" w:rsidR="00B9746D" w:rsidRPr="005350AF" w:rsidRDefault="00B9746D" w:rsidP="005350AF">
            <w:pPr>
              <w:widowControl w:val="0"/>
              <w:tabs>
                <w:tab w:val="clear" w:pos="567"/>
                <w:tab w:val="left" w:pos="1485"/>
              </w:tabs>
              <w:spacing w:line="240" w:lineRule="auto"/>
              <w:jc w:val="center"/>
              <w:rPr>
                <w:lang w:val="en-US"/>
              </w:rPr>
            </w:pPr>
            <w:r w:rsidRPr="005350AF">
              <w:rPr>
                <w:b/>
                <w:lang w:val="en-US"/>
              </w:rPr>
              <w:t>(N</w:t>
            </w:r>
            <w:r w:rsidR="004B62F6">
              <w:rPr>
                <w:b/>
                <w:lang w:val="en-US"/>
              </w:rPr>
              <w:t> </w:t>
            </w:r>
            <w:r w:rsidRPr="005350AF">
              <w:rPr>
                <w:b/>
                <w:lang w:val="en-US"/>
              </w:rPr>
              <w:t>=</w:t>
            </w:r>
            <w:r w:rsidR="004B62F6">
              <w:rPr>
                <w:b/>
                <w:lang w:val="en-US"/>
              </w:rPr>
              <w:t> </w:t>
            </w:r>
            <w:r w:rsidRPr="005350AF">
              <w:rPr>
                <w:b/>
                <w:lang w:val="en-US"/>
              </w:rPr>
              <w:t>6795)</w:t>
            </w:r>
          </w:p>
          <w:p w14:paraId="5ECA55FF" w14:textId="77777777" w:rsidR="00B9746D" w:rsidRPr="005350AF" w:rsidRDefault="00B9746D" w:rsidP="005350AF">
            <w:pPr>
              <w:widowControl w:val="0"/>
              <w:tabs>
                <w:tab w:val="clear" w:pos="567"/>
                <w:tab w:val="left" w:pos="1485"/>
              </w:tabs>
              <w:spacing w:line="240" w:lineRule="auto"/>
              <w:jc w:val="center"/>
              <w:rPr>
                <w:lang w:val="en-US"/>
              </w:rPr>
            </w:pPr>
            <w:r w:rsidRPr="005350AF">
              <w:rPr>
                <w:b/>
                <w:lang w:val="en-US"/>
              </w:rPr>
              <w:t>%</w:t>
            </w:r>
          </w:p>
        </w:tc>
        <w:tc>
          <w:tcPr>
            <w:tcW w:w="1842" w:type="dxa"/>
            <w:vMerge w:val="restart"/>
            <w:shd w:val="clear" w:color="auto" w:fill="auto"/>
            <w:hideMark/>
          </w:tcPr>
          <w:p w14:paraId="13520C9A" w14:textId="77777777" w:rsidR="00B9746D" w:rsidRPr="005350AF" w:rsidRDefault="00B9746D" w:rsidP="005350AF">
            <w:pPr>
              <w:widowControl w:val="0"/>
              <w:tabs>
                <w:tab w:val="clear" w:pos="567"/>
              </w:tabs>
              <w:spacing w:line="240" w:lineRule="auto"/>
              <w:ind w:right="566"/>
              <w:jc w:val="center"/>
              <w:rPr>
                <w:lang w:val="en-US"/>
              </w:rPr>
            </w:pPr>
          </w:p>
          <w:p w14:paraId="4DBA382D" w14:textId="77777777" w:rsidR="00B9746D" w:rsidRPr="005350AF" w:rsidRDefault="00B9746D" w:rsidP="005350AF">
            <w:pPr>
              <w:widowControl w:val="0"/>
              <w:tabs>
                <w:tab w:val="clear" w:pos="567"/>
              </w:tabs>
              <w:spacing w:line="240" w:lineRule="auto"/>
              <w:ind w:right="566"/>
              <w:jc w:val="center"/>
              <w:rPr>
                <w:lang w:val="en-US"/>
              </w:rPr>
            </w:pPr>
          </w:p>
          <w:p w14:paraId="7C09F414" w14:textId="77777777" w:rsidR="00B9746D" w:rsidRPr="005350AF" w:rsidRDefault="003C6D10" w:rsidP="005350AF">
            <w:pPr>
              <w:widowControl w:val="0"/>
              <w:tabs>
                <w:tab w:val="clear" w:pos="567"/>
              </w:tabs>
              <w:spacing w:line="240" w:lineRule="auto"/>
              <w:ind w:right="566"/>
              <w:jc w:val="center"/>
              <w:rPr>
                <w:lang w:val="en-US"/>
              </w:rPr>
            </w:pPr>
            <w:r w:rsidRPr="005350AF">
              <w:rPr>
                <w:lang w:val="en-US"/>
              </w:rPr>
              <w:t>0,812 (0,732, 0,</w:t>
            </w:r>
            <w:r w:rsidR="00B9746D" w:rsidRPr="005350AF">
              <w:rPr>
                <w:lang w:val="en-US"/>
              </w:rPr>
              <w:t>902)</w:t>
            </w:r>
          </w:p>
        </w:tc>
        <w:tc>
          <w:tcPr>
            <w:tcW w:w="1701" w:type="dxa"/>
            <w:vMerge w:val="restart"/>
            <w:shd w:val="clear" w:color="auto" w:fill="auto"/>
            <w:hideMark/>
          </w:tcPr>
          <w:p w14:paraId="24E5AC63" w14:textId="77777777" w:rsidR="00B9746D" w:rsidRPr="005350AF" w:rsidRDefault="00B9746D" w:rsidP="005350AF">
            <w:pPr>
              <w:widowControl w:val="0"/>
              <w:tabs>
                <w:tab w:val="clear" w:pos="567"/>
              </w:tabs>
              <w:spacing w:line="240" w:lineRule="auto"/>
              <w:ind w:right="566"/>
              <w:jc w:val="center"/>
              <w:rPr>
                <w:lang w:val="en-US"/>
              </w:rPr>
            </w:pPr>
          </w:p>
          <w:p w14:paraId="1A131507" w14:textId="77777777" w:rsidR="00B9746D" w:rsidRPr="005350AF" w:rsidRDefault="00B9746D" w:rsidP="005350AF">
            <w:pPr>
              <w:widowControl w:val="0"/>
              <w:tabs>
                <w:tab w:val="clear" w:pos="567"/>
              </w:tabs>
              <w:spacing w:line="240" w:lineRule="auto"/>
              <w:ind w:right="566"/>
              <w:jc w:val="center"/>
              <w:rPr>
                <w:lang w:val="en-US"/>
              </w:rPr>
            </w:pPr>
          </w:p>
          <w:p w14:paraId="691A76D2" w14:textId="77777777" w:rsidR="00B9746D" w:rsidRPr="005350AF" w:rsidRDefault="00B9746D" w:rsidP="005350AF">
            <w:pPr>
              <w:widowControl w:val="0"/>
              <w:tabs>
                <w:tab w:val="clear" w:pos="567"/>
              </w:tabs>
              <w:spacing w:line="240" w:lineRule="auto"/>
              <w:ind w:right="566"/>
              <w:jc w:val="center"/>
              <w:rPr>
                <w:lang w:val="en-US"/>
              </w:rPr>
            </w:pPr>
            <w:r w:rsidRPr="005350AF">
              <w:rPr>
                <w:lang w:val="en-US"/>
              </w:rPr>
              <w:t>&lt; </w:t>
            </w:r>
            <w:r w:rsidR="003C6D10" w:rsidRPr="005350AF">
              <w:rPr>
                <w:lang w:val="en-US"/>
              </w:rPr>
              <w:t>0,</w:t>
            </w:r>
            <w:r w:rsidRPr="005350AF">
              <w:rPr>
                <w:lang w:val="en-US"/>
              </w:rPr>
              <w:t>001</w:t>
            </w:r>
          </w:p>
        </w:tc>
      </w:tr>
      <w:tr w:rsidR="00AC383B" w:rsidRPr="00217AE9" w14:paraId="576CD824" w14:textId="77777777" w:rsidTr="00B0468F">
        <w:tc>
          <w:tcPr>
            <w:tcW w:w="2371" w:type="dxa"/>
            <w:shd w:val="clear" w:color="auto" w:fill="auto"/>
            <w:hideMark/>
          </w:tcPr>
          <w:p w14:paraId="2AF0C8FC" w14:textId="77777777" w:rsidR="00123B16" w:rsidRPr="00FD696A" w:rsidRDefault="00123B16" w:rsidP="005350AF">
            <w:pPr>
              <w:widowControl w:val="0"/>
              <w:tabs>
                <w:tab w:val="clear" w:pos="567"/>
              </w:tabs>
              <w:spacing w:line="240" w:lineRule="auto"/>
              <w:ind w:right="566"/>
              <w:rPr>
                <w:b/>
                <w:lang w:val="pt-PT"/>
              </w:rPr>
            </w:pPr>
            <w:r w:rsidRPr="00FD696A">
              <w:rPr>
                <w:b/>
                <w:lang w:val="pt-PT"/>
              </w:rPr>
              <w:t>Pirminės jungtinės vertinamosios baigties reiškiniai</w:t>
            </w:r>
          </w:p>
          <w:p w14:paraId="725B33B3" w14:textId="77777777" w:rsidR="00B9746D" w:rsidRPr="00FD696A" w:rsidRDefault="00123B16" w:rsidP="005350AF">
            <w:pPr>
              <w:widowControl w:val="0"/>
              <w:tabs>
                <w:tab w:val="clear" w:pos="567"/>
              </w:tabs>
              <w:spacing w:line="240" w:lineRule="auto"/>
              <w:ind w:right="566"/>
              <w:rPr>
                <w:lang w:val="pt-PT"/>
              </w:rPr>
            </w:pPr>
            <w:r w:rsidRPr="00FD696A">
              <w:rPr>
                <w:lang w:val="pt-PT"/>
              </w:rPr>
              <w:t>Kardiovaskulinė (KV) mirtis, nemirtinas MI arba nemirtinas insultas</w:t>
            </w:r>
          </w:p>
        </w:tc>
        <w:tc>
          <w:tcPr>
            <w:tcW w:w="1565" w:type="dxa"/>
            <w:shd w:val="clear" w:color="auto" w:fill="auto"/>
            <w:hideMark/>
          </w:tcPr>
          <w:p w14:paraId="2FDB5729" w14:textId="77777777" w:rsidR="00B9746D" w:rsidRPr="005350AF" w:rsidRDefault="00AD078A" w:rsidP="005350AF">
            <w:pPr>
              <w:widowControl w:val="0"/>
              <w:tabs>
                <w:tab w:val="clear" w:pos="567"/>
              </w:tabs>
              <w:spacing w:line="240" w:lineRule="auto"/>
              <w:ind w:right="566"/>
              <w:jc w:val="center"/>
              <w:rPr>
                <w:lang w:val="en-US"/>
              </w:rPr>
            </w:pPr>
            <w:r w:rsidRPr="005350AF">
              <w:rPr>
                <w:lang w:val="en-US"/>
              </w:rPr>
              <w:t>9,</w:t>
            </w:r>
            <w:r w:rsidR="00B9746D" w:rsidRPr="005350AF">
              <w:rPr>
                <w:lang w:val="en-US"/>
              </w:rPr>
              <w:t>4</w:t>
            </w:r>
          </w:p>
        </w:tc>
        <w:tc>
          <w:tcPr>
            <w:tcW w:w="1701" w:type="dxa"/>
            <w:shd w:val="clear" w:color="auto" w:fill="auto"/>
            <w:hideMark/>
          </w:tcPr>
          <w:p w14:paraId="0CAB8090" w14:textId="77777777" w:rsidR="00B9746D" w:rsidRPr="005350AF" w:rsidRDefault="00AD078A" w:rsidP="005350AF">
            <w:pPr>
              <w:widowControl w:val="0"/>
              <w:tabs>
                <w:tab w:val="clear" w:pos="567"/>
              </w:tabs>
              <w:spacing w:line="240" w:lineRule="auto"/>
              <w:ind w:right="566"/>
              <w:jc w:val="center"/>
              <w:rPr>
                <w:lang w:val="en-US"/>
              </w:rPr>
            </w:pPr>
            <w:r w:rsidRPr="005350AF">
              <w:rPr>
                <w:lang w:val="en-US"/>
              </w:rPr>
              <w:t>11,</w:t>
            </w:r>
            <w:r w:rsidR="00B9746D" w:rsidRPr="005350AF">
              <w:rPr>
                <w:lang w:val="en-US"/>
              </w:rPr>
              <w:t>5</w:t>
            </w:r>
          </w:p>
        </w:tc>
        <w:tc>
          <w:tcPr>
            <w:tcW w:w="1842" w:type="dxa"/>
            <w:vMerge/>
            <w:shd w:val="clear" w:color="auto" w:fill="auto"/>
            <w:hideMark/>
          </w:tcPr>
          <w:p w14:paraId="2A6FBE6D" w14:textId="77777777" w:rsidR="00B9746D" w:rsidRPr="005350AF" w:rsidRDefault="00B9746D" w:rsidP="005350AF">
            <w:pPr>
              <w:widowControl w:val="0"/>
              <w:tabs>
                <w:tab w:val="clear" w:pos="567"/>
              </w:tabs>
              <w:spacing w:line="240" w:lineRule="auto"/>
              <w:ind w:right="566"/>
              <w:jc w:val="center"/>
              <w:rPr>
                <w:lang w:val="en-US"/>
              </w:rPr>
            </w:pPr>
          </w:p>
        </w:tc>
        <w:tc>
          <w:tcPr>
            <w:tcW w:w="1701" w:type="dxa"/>
            <w:vMerge/>
            <w:shd w:val="clear" w:color="auto" w:fill="auto"/>
            <w:hideMark/>
          </w:tcPr>
          <w:p w14:paraId="1BE91239" w14:textId="77777777" w:rsidR="00B9746D" w:rsidRPr="005350AF" w:rsidRDefault="00B9746D" w:rsidP="005350AF">
            <w:pPr>
              <w:widowControl w:val="0"/>
              <w:tabs>
                <w:tab w:val="clear" w:pos="567"/>
              </w:tabs>
              <w:spacing w:line="240" w:lineRule="auto"/>
              <w:ind w:right="566"/>
              <w:jc w:val="center"/>
              <w:rPr>
                <w:lang w:val="en-US"/>
              </w:rPr>
            </w:pPr>
          </w:p>
        </w:tc>
      </w:tr>
      <w:tr w:rsidR="00B9746D" w:rsidRPr="00681649" w14:paraId="50AF877D" w14:textId="77777777" w:rsidTr="00B0468F">
        <w:tc>
          <w:tcPr>
            <w:tcW w:w="9180" w:type="dxa"/>
            <w:gridSpan w:val="5"/>
            <w:shd w:val="clear" w:color="auto" w:fill="auto"/>
            <w:hideMark/>
          </w:tcPr>
          <w:p w14:paraId="05ACC934" w14:textId="77777777" w:rsidR="00B9746D" w:rsidRPr="00FD696A" w:rsidRDefault="00AD078A" w:rsidP="005350AF">
            <w:pPr>
              <w:widowControl w:val="0"/>
              <w:tabs>
                <w:tab w:val="clear" w:pos="567"/>
              </w:tabs>
              <w:spacing w:line="240" w:lineRule="auto"/>
              <w:ind w:right="566"/>
              <w:rPr>
                <w:lang w:val="pt-PT"/>
              </w:rPr>
            </w:pPr>
            <w:r w:rsidRPr="00FD696A">
              <w:rPr>
                <w:b/>
                <w:lang w:val="pt-PT"/>
              </w:rPr>
              <w:t>Pirminės individualios vertinamosios baigties reiškiniai</w:t>
            </w:r>
          </w:p>
        </w:tc>
      </w:tr>
      <w:tr w:rsidR="00AC383B" w:rsidRPr="00217AE9" w14:paraId="410444BD" w14:textId="77777777" w:rsidTr="00B0468F">
        <w:tc>
          <w:tcPr>
            <w:tcW w:w="2371" w:type="dxa"/>
            <w:shd w:val="clear" w:color="auto" w:fill="auto"/>
            <w:hideMark/>
          </w:tcPr>
          <w:p w14:paraId="78ED97B4" w14:textId="77777777" w:rsidR="00B9746D" w:rsidRPr="005350AF" w:rsidRDefault="006D7E09" w:rsidP="005350AF">
            <w:pPr>
              <w:widowControl w:val="0"/>
              <w:tabs>
                <w:tab w:val="clear" w:pos="567"/>
              </w:tabs>
              <w:spacing w:line="240" w:lineRule="auto"/>
              <w:ind w:right="566"/>
              <w:rPr>
                <w:lang w:val="en-US"/>
              </w:rPr>
            </w:pPr>
            <w:r w:rsidRPr="005350AF">
              <w:rPr>
                <w:lang w:val="en-US"/>
              </w:rPr>
              <w:t>KM mirtis</w:t>
            </w:r>
            <w:r w:rsidR="00B9746D" w:rsidRPr="005350AF">
              <w:rPr>
                <w:lang w:val="en-US"/>
              </w:rPr>
              <w:t xml:space="preserve"> </w:t>
            </w:r>
          </w:p>
        </w:tc>
        <w:tc>
          <w:tcPr>
            <w:tcW w:w="1565" w:type="dxa"/>
            <w:shd w:val="clear" w:color="auto" w:fill="auto"/>
            <w:hideMark/>
          </w:tcPr>
          <w:p w14:paraId="4DE1D7AA"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2,</w:t>
            </w:r>
            <w:r w:rsidR="00B9746D" w:rsidRPr="005350AF">
              <w:rPr>
                <w:lang w:val="en-US"/>
              </w:rPr>
              <w:t>0</w:t>
            </w:r>
          </w:p>
        </w:tc>
        <w:tc>
          <w:tcPr>
            <w:tcW w:w="1701" w:type="dxa"/>
            <w:shd w:val="clear" w:color="auto" w:fill="auto"/>
            <w:hideMark/>
          </w:tcPr>
          <w:p w14:paraId="6C1B7796"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2,</w:t>
            </w:r>
            <w:r w:rsidR="00B9746D" w:rsidRPr="005350AF">
              <w:rPr>
                <w:lang w:val="en-US"/>
              </w:rPr>
              <w:t>2</w:t>
            </w:r>
          </w:p>
        </w:tc>
        <w:tc>
          <w:tcPr>
            <w:tcW w:w="1842" w:type="dxa"/>
            <w:shd w:val="clear" w:color="auto" w:fill="auto"/>
            <w:hideMark/>
          </w:tcPr>
          <w:p w14:paraId="74C7A5BB"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0,886 (0,701, 1,</w:t>
            </w:r>
            <w:r w:rsidR="00B9746D" w:rsidRPr="005350AF">
              <w:rPr>
                <w:lang w:val="en-US"/>
              </w:rPr>
              <w:t>118)</w:t>
            </w:r>
          </w:p>
        </w:tc>
        <w:tc>
          <w:tcPr>
            <w:tcW w:w="1701" w:type="dxa"/>
            <w:shd w:val="clear" w:color="auto" w:fill="auto"/>
            <w:hideMark/>
          </w:tcPr>
          <w:p w14:paraId="2A2DFB09"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307</w:t>
            </w:r>
          </w:p>
        </w:tc>
      </w:tr>
      <w:tr w:rsidR="00AC383B" w:rsidRPr="00217AE9" w14:paraId="692F98BA" w14:textId="77777777" w:rsidTr="00B0468F">
        <w:tc>
          <w:tcPr>
            <w:tcW w:w="2371" w:type="dxa"/>
            <w:shd w:val="clear" w:color="auto" w:fill="auto"/>
            <w:hideMark/>
          </w:tcPr>
          <w:p w14:paraId="5BCDD08A" w14:textId="77777777" w:rsidR="00B9746D" w:rsidRPr="005350AF" w:rsidRDefault="006D7E09" w:rsidP="005350AF">
            <w:pPr>
              <w:widowControl w:val="0"/>
              <w:tabs>
                <w:tab w:val="clear" w:pos="567"/>
              </w:tabs>
              <w:spacing w:line="240" w:lineRule="auto"/>
              <w:ind w:right="566"/>
              <w:rPr>
                <w:lang w:val="en-US"/>
              </w:rPr>
            </w:pPr>
            <w:r w:rsidRPr="005350AF">
              <w:rPr>
                <w:lang w:val="en-US"/>
              </w:rPr>
              <w:t>Nemirtinas</w:t>
            </w:r>
            <w:r w:rsidR="00B9746D" w:rsidRPr="005350AF">
              <w:rPr>
                <w:lang w:val="en-US"/>
              </w:rPr>
              <w:t xml:space="preserve"> MI </w:t>
            </w:r>
          </w:p>
        </w:tc>
        <w:tc>
          <w:tcPr>
            <w:tcW w:w="1565" w:type="dxa"/>
            <w:shd w:val="clear" w:color="auto" w:fill="auto"/>
            <w:hideMark/>
          </w:tcPr>
          <w:p w14:paraId="01C61BB9"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7,</w:t>
            </w:r>
            <w:r w:rsidR="00B9746D" w:rsidRPr="005350AF">
              <w:rPr>
                <w:lang w:val="en-US"/>
              </w:rPr>
              <w:t>0</w:t>
            </w:r>
          </w:p>
        </w:tc>
        <w:tc>
          <w:tcPr>
            <w:tcW w:w="1701" w:type="dxa"/>
            <w:shd w:val="clear" w:color="auto" w:fill="auto"/>
            <w:hideMark/>
          </w:tcPr>
          <w:p w14:paraId="282236AA"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9,</w:t>
            </w:r>
            <w:r w:rsidR="00B9746D" w:rsidRPr="005350AF">
              <w:rPr>
                <w:lang w:val="en-US"/>
              </w:rPr>
              <w:t>1</w:t>
            </w:r>
          </w:p>
        </w:tc>
        <w:tc>
          <w:tcPr>
            <w:tcW w:w="1842" w:type="dxa"/>
            <w:shd w:val="clear" w:color="auto" w:fill="auto"/>
            <w:hideMark/>
          </w:tcPr>
          <w:p w14:paraId="4397E2EA"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0,757 (0,672, 0,</w:t>
            </w:r>
            <w:r w:rsidR="00B9746D" w:rsidRPr="005350AF">
              <w:rPr>
                <w:lang w:val="en-US"/>
              </w:rPr>
              <w:t>853)</w:t>
            </w:r>
          </w:p>
        </w:tc>
        <w:tc>
          <w:tcPr>
            <w:tcW w:w="1701" w:type="dxa"/>
            <w:shd w:val="clear" w:color="auto" w:fill="auto"/>
            <w:hideMark/>
          </w:tcPr>
          <w:p w14:paraId="34E8FC9B" w14:textId="77777777" w:rsidR="00B9746D" w:rsidRPr="005350AF" w:rsidRDefault="00B9746D" w:rsidP="005350AF">
            <w:pPr>
              <w:widowControl w:val="0"/>
              <w:tabs>
                <w:tab w:val="clear" w:pos="567"/>
              </w:tabs>
              <w:spacing w:line="240" w:lineRule="auto"/>
              <w:ind w:right="566"/>
              <w:jc w:val="center"/>
              <w:rPr>
                <w:lang w:val="en-US"/>
              </w:rPr>
            </w:pPr>
            <w:r w:rsidRPr="005350AF">
              <w:rPr>
                <w:lang w:val="en-US"/>
              </w:rPr>
              <w:t>&lt; </w:t>
            </w:r>
            <w:r w:rsidR="009D5B69" w:rsidRPr="005350AF">
              <w:rPr>
                <w:lang w:val="en-US"/>
              </w:rPr>
              <w:t>0,</w:t>
            </w:r>
            <w:r w:rsidRPr="005350AF">
              <w:rPr>
                <w:lang w:val="en-US"/>
              </w:rPr>
              <w:t>001</w:t>
            </w:r>
          </w:p>
        </w:tc>
      </w:tr>
      <w:tr w:rsidR="00AC383B" w:rsidRPr="00217AE9" w14:paraId="06503CAB" w14:textId="77777777" w:rsidTr="00B0468F">
        <w:tc>
          <w:tcPr>
            <w:tcW w:w="2371" w:type="dxa"/>
            <w:shd w:val="clear" w:color="auto" w:fill="auto"/>
            <w:hideMark/>
          </w:tcPr>
          <w:p w14:paraId="62031047" w14:textId="77777777" w:rsidR="00B9746D" w:rsidRPr="005350AF" w:rsidRDefault="006D7E09" w:rsidP="005350AF">
            <w:pPr>
              <w:widowControl w:val="0"/>
              <w:tabs>
                <w:tab w:val="clear" w:pos="567"/>
              </w:tabs>
              <w:spacing w:line="240" w:lineRule="auto"/>
              <w:ind w:right="566"/>
              <w:rPr>
                <w:lang w:val="en-US"/>
              </w:rPr>
            </w:pPr>
            <w:r w:rsidRPr="005350AF">
              <w:rPr>
                <w:lang w:val="en-US"/>
              </w:rPr>
              <w:t>Nemirtinas insultas</w:t>
            </w:r>
            <w:r w:rsidR="00B9746D" w:rsidRPr="005350AF">
              <w:rPr>
                <w:lang w:val="en-US"/>
              </w:rPr>
              <w:t xml:space="preserve"> </w:t>
            </w:r>
          </w:p>
        </w:tc>
        <w:tc>
          <w:tcPr>
            <w:tcW w:w="1565" w:type="dxa"/>
            <w:shd w:val="clear" w:color="auto" w:fill="auto"/>
            <w:hideMark/>
          </w:tcPr>
          <w:p w14:paraId="2A946589"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9</w:t>
            </w:r>
          </w:p>
        </w:tc>
        <w:tc>
          <w:tcPr>
            <w:tcW w:w="1701" w:type="dxa"/>
            <w:shd w:val="clear" w:color="auto" w:fill="auto"/>
            <w:hideMark/>
          </w:tcPr>
          <w:p w14:paraId="1A080845" w14:textId="77777777" w:rsidR="00B9746D" w:rsidRPr="005350AF" w:rsidRDefault="009D5B69"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9</w:t>
            </w:r>
          </w:p>
        </w:tc>
        <w:tc>
          <w:tcPr>
            <w:tcW w:w="1842" w:type="dxa"/>
            <w:shd w:val="clear" w:color="auto" w:fill="auto"/>
            <w:hideMark/>
          </w:tcPr>
          <w:p w14:paraId="41320E31" w14:textId="77777777" w:rsidR="00B9746D" w:rsidRPr="005350AF" w:rsidRDefault="00192863" w:rsidP="005350AF">
            <w:pPr>
              <w:widowControl w:val="0"/>
              <w:tabs>
                <w:tab w:val="clear" w:pos="567"/>
              </w:tabs>
              <w:spacing w:line="240" w:lineRule="auto"/>
              <w:ind w:right="566"/>
              <w:jc w:val="center"/>
              <w:rPr>
                <w:lang w:val="en-US"/>
              </w:rPr>
            </w:pPr>
            <w:r w:rsidRPr="005350AF">
              <w:rPr>
                <w:lang w:val="en-US"/>
              </w:rPr>
              <w:t>1,</w:t>
            </w:r>
            <w:r w:rsidR="005071E2" w:rsidRPr="005350AF">
              <w:rPr>
                <w:lang w:val="en-US"/>
              </w:rPr>
              <w:t>016 (0,</w:t>
            </w:r>
            <w:r w:rsidR="00B9746D" w:rsidRPr="005350AF">
              <w:rPr>
                <w:lang w:val="en-US"/>
              </w:rPr>
              <w:t xml:space="preserve">712, </w:t>
            </w:r>
            <w:r w:rsidR="005071E2" w:rsidRPr="005350AF">
              <w:rPr>
                <w:lang w:val="en-US"/>
              </w:rPr>
              <w:t>1,</w:t>
            </w:r>
            <w:r w:rsidR="00B9746D" w:rsidRPr="005350AF">
              <w:rPr>
                <w:lang w:val="en-US"/>
              </w:rPr>
              <w:t>451)</w:t>
            </w:r>
          </w:p>
        </w:tc>
        <w:tc>
          <w:tcPr>
            <w:tcW w:w="1701" w:type="dxa"/>
            <w:shd w:val="clear" w:color="auto" w:fill="auto"/>
            <w:hideMark/>
          </w:tcPr>
          <w:p w14:paraId="38574073" w14:textId="77777777" w:rsidR="00B9746D" w:rsidRPr="005350AF" w:rsidRDefault="00192863"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930</w:t>
            </w:r>
          </w:p>
        </w:tc>
      </w:tr>
      <w:tr w:rsidR="00AC383B" w:rsidRPr="00217AE9" w14:paraId="638EF883" w14:textId="77777777" w:rsidTr="00B0468F">
        <w:tc>
          <w:tcPr>
            <w:tcW w:w="2371" w:type="dxa"/>
            <w:shd w:val="clear" w:color="auto" w:fill="auto"/>
            <w:hideMark/>
          </w:tcPr>
          <w:p w14:paraId="4F342B23" w14:textId="77777777" w:rsidR="00B9746D" w:rsidRPr="00FD696A" w:rsidRDefault="00B9746D" w:rsidP="005350AF">
            <w:pPr>
              <w:widowControl w:val="0"/>
              <w:tabs>
                <w:tab w:val="clear" w:pos="567"/>
              </w:tabs>
              <w:spacing w:line="240" w:lineRule="auto"/>
              <w:ind w:right="566"/>
              <w:rPr>
                <w:b/>
                <w:lang w:val="pt-PT"/>
              </w:rPr>
            </w:pPr>
            <w:r w:rsidRPr="00FD696A">
              <w:rPr>
                <w:b/>
                <w:lang w:val="pt-PT"/>
              </w:rPr>
              <w:t>UA/NSTEMI</w:t>
            </w:r>
          </w:p>
          <w:p w14:paraId="1F67AE57" w14:textId="77777777" w:rsidR="00B9746D" w:rsidRPr="00FD696A" w:rsidRDefault="005071E2" w:rsidP="005350AF">
            <w:pPr>
              <w:widowControl w:val="0"/>
              <w:tabs>
                <w:tab w:val="clear" w:pos="567"/>
              </w:tabs>
              <w:spacing w:line="240" w:lineRule="auto"/>
              <w:ind w:right="566"/>
              <w:rPr>
                <w:lang w:val="pt-PT"/>
              </w:rPr>
            </w:pPr>
            <w:r w:rsidRPr="00FD696A">
              <w:rPr>
                <w:b/>
                <w:lang w:val="pt-PT"/>
              </w:rPr>
              <w:t>Pirminės jungtinės vertinamosios baigties reiškiniai</w:t>
            </w:r>
          </w:p>
        </w:tc>
        <w:tc>
          <w:tcPr>
            <w:tcW w:w="1565" w:type="dxa"/>
            <w:shd w:val="clear" w:color="auto" w:fill="auto"/>
            <w:hideMark/>
          </w:tcPr>
          <w:p w14:paraId="6798042A" w14:textId="71ECF7F5" w:rsidR="00B9746D" w:rsidRPr="005350AF" w:rsidRDefault="00B9746D" w:rsidP="005350AF">
            <w:pPr>
              <w:widowControl w:val="0"/>
              <w:tabs>
                <w:tab w:val="clear" w:pos="567"/>
                <w:tab w:val="left" w:pos="1349"/>
              </w:tabs>
              <w:spacing w:line="240" w:lineRule="auto"/>
              <w:ind w:right="-108"/>
              <w:jc w:val="center"/>
              <w:rPr>
                <w:lang w:val="en-US"/>
              </w:rPr>
            </w:pPr>
            <w:r w:rsidRPr="005350AF">
              <w:rPr>
                <w:b/>
                <w:lang w:val="en-US"/>
              </w:rPr>
              <w:t>(N</w:t>
            </w:r>
            <w:r w:rsidR="004B62F6">
              <w:rPr>
                <w:b/>
                <w:lang w:val="en-US"/>
              </w:rPr>
              <w:t> </w:t>
            </w:r>
            <w:r w:rsidRPr="005350AF">
              <w:rPr>
                <w:b/>
                <w:lang w:val="en-US"/>
              </w:rPr>
              <w:t>=</w:t>
            </w:r>
            <w:r w:rsidR="004B62F6">
              <w:rPr>
                <w:b/>
                <w:lang w:val="en-US"/>
              </w:rPr>
              <w:t> </w:t>
            </w:r>
            <w:r w:rsidRPr="005350AF">
              <w:rPr>
                <w:b/>
                <w:lang w:val="en-US"/>
              </w:rPr>
              <w:t>5044)</w:t>
            </w:r>
          </w:p>
          <w:p w14:paraId="4DE4A0D0" w14:textId="77777777" w:rsidR="00B9746D" w:rsidRPr="005350AF" w:rsidRDefault="00B9746D" w:rsidP="005350AF">
            <w:pPr>
              <w:widowControl w:val="0"/>
              <w:tabs>
                <w:tab w:val="clear" w:pos="567"/>
                <w:tab w:val="left" w:pos="1349"/>
              </w:tabs>
              <w:spacing w:line="240" w:lineRule="auto"/>
              <w:ind w:right="-108"/>
              <w:jc w:val="center"/>
              <w:rPr>
                <w:lang w:val="en-US"/>
              </w:rPr>
            </w:pPr>
            <w:r w:rsidRPr="005350AF">
              <w:rPr>
                <w:b/>
                <w:lang w:val="en-US"/>
              </w:rPr>
              <w:t>%</w:t>
            </w:r>
          </w:p>
        </w:tc>
        <w:tc>
          <w:tcPr>
            <w:tcW w:w="1701" w:type="dxa"/>
            <w:shd w:val="clear" w:color="auto" w:fill="auto"/>
            <w:hideMark/>
          </w:tcPr>
          <w:p w14:paraId="56FA386F" w14:textId="2AF15DE7" w:rsidR="00B9746D" w:rsidRPr="005350AF" w:rsidRDefault="00B9746D" w:rsidP="005350AF">
            <w:pPr>
              <w:widowControl w:val="0"/>
              <w:tabs>
                <w:tab w:val="clear" w:pos="567"/>
              </w:tabs>
              <w:spacing w:line="240" w:lineRule="auto"/>
              <w:jc w:val="center"/>
              <w:rPr>
                <w:lang w:val="en-US"/>
              </w:rPr>
            </w:pPr>
            <w:r w:rsidRPr="005350AF">
              <w:rPr>
                <w:b/>
                <w:lang w:val="en-US"/>
              </w:rPr>
              <w:t>(N</w:t>
            </w:r>
            <w:r w:rsidR="004B62F6">
              <w:rPr>
                <w:b/>
                <w:lang w:val="en-US"/>
              </w:rPr>
              <w:t> </w:t>
            </w:r>
            <w:r w:rsidRPr="005350AF">
              <w:rPr>
                <w:b/>
                <w:lang w:val="en-US"/>
              </w:rPr>
              <w:t>=</w:t>
            </w:r>
            <w:r w:rsidR="004B62F6">
              <w:rPr>
                <w:b/>
                <w:lang w:val="en-US"/>
              </w:rPr>
              <w:t> </w:t>
            </w:r>
            <w:r w:rsidRPr="005350AF">
              <w:rPr>
                <w:b/>
                <w:lang w:val="en-US"/>
              </w:rPr>
              <w:t>5030)</w:t>
            </w:r>
          </w:p>
          <w:p w14:paraId="5853D13D" w14:textId="77777777" w:rsidR="00B9746D" w:rsidRPr="005350AF" w:rsidRDefault="00B9746D" w:rsidP="005350AF">
            <w:pPr>
              <w:widowControl w:val="0"/>
              <w:tabs>
                <w:tab w:val="clear" w:pos="567"/>
              </w:tabs>
              <w:spacing w:line="240" w:lineRule="auto"/>
              <w:jc w:val="center"/>
              <w:rPr>
                <w:lang w:val="en-US"/>
              </w:rPr>
            </w:pPr>
            <w:r w:rsidRPr="005350AF">
              <w:rPr>
                <w:b/>
                <w:lang w:val="en-US"/>
              </w:rPr>
              <w:t>%</w:t>
            </w:r>
          </w:p>
        </w:tc>
        <w:tc>
          <w:tcPr>
            <w:tcW w:w="1842" w:type="dxa"/>
            <w:shd w:val="clear" w:color="auto" w:fill="auto"/>
            <w:hideMark/>
          </w:tcPr>
          <w:p w14:paraId="228F05FA" w14:textId="77777777" w:rsidR="00B9746D" w:rsidRPr="005350AF" w:rsidRDefault="00B9746D" w:rsidP="005350AF">
            <w:pPr>
              <w:widowControl w:val="0"/>
              <w:tabs>
                <w:tab w:val="clear" w:pos="567"/>
              </w:tabs>
              <w:spacing w:line="240" w:lineRule="auto"/>
              <w:ind w:right="566"/>
              <w:jc w:val="center"/>
              <w:rPr>
                <w:lang w:val="en-US"/>
              </w:rPr>
            </w:pPr>
          </w:p>
        </w:tc>
        <w:tc>
          <w:tcPr>
            <w:tcW w:w="1701" w:type="dxa"/>
            <w:shd w:val="clear" w:color="auto" w:fill="auto"/>
            <w:hideMark/>
          </w:tcPr>
          <w:p w14:paraId="63E5021D" w14:textId="77777777" w:rsidR="00B9746D" w:rsidRPr="005350AF" w:rsidRDefault="00B9746D" w:rsidP="005350AF">
            <w:pPr>
              <w:widowControl w:val="0"/>
              <w:tabs>
                <w:tab w:val="clear" w:pos="567"/>
              </w:tabs>
              <w:spacing w:line="240" w:lineRule="auto"/>
              <w:ind w:right="566"/>
              <w:jc w:val="center"/>
              <w:rPr>
                <w:lang w:val="en-US"/>
              </w:rPr>
            </w:pPr>
          </w:p>
        </w:tc>
      </w:tr>
      <w:tr w:rsidR="00AC383B" w:rsidRPr="00217AE9" w14:paraId="392406D9" w14:textId="77777777" w:rsidTr="00B0468F">
        <w:tc>
          <w:tcPr>
            <w:tcW w:w="2371" w:type="dxa"/>
            <w:shd w:val="clear" w:color="auto" w:fill="auto"/>
            <w:hideMark/>
          </w:tcPr>
          <w:p w14:paraId="7EE09B98" w14:textId="77777777" w:rsidR="00B9746D" w:rsidRPr="005350AF" w:rsidRDefault="005071E2" w:rsidP="005350AF">
            <w:pPr>
              <w:widowControl w:val="0"/>
              <w:tabs>
                <w:tab w:val="clear" w:pos="567"/>
              </w:tabs>
              <w:spacing w:line="240" w:lineRule="auto"/>
              <w:ind w:right="566"/>
              <w:rPr>
                <w:lang w:val="fi-FI"/>
              </w:rPr>
            </w:pPr>
            <w:r w:rsidRPr="005350AF">
              <w:rPr>
                <w:lang w:val="fi-FI"/>
              </w:rPr>
              <w:t>Kardiovaskulinė (KV) mirtis, nemirtinas MI arba nemirtinas insultas</w:t>
            </w:r>
          </w:p>
        </w:tc>
        <w:tc>
          <w:tcPr>
            <w:tcW w:w="1565" w:type="dxa"/>
            <w:shd w:val="clear" w:color="auto" w:fill="auto"/>
            <w:hideMark/>
          </w:tcPr>
          <w:p w14:paraId="09BE068A" w14:textId="77777777" w:rsidR="00B9746D" w:rsidRPr="005350AF" w:rsidRDefault="00B9746D" w:rsidP="005350AF">
            <w:pPr>
              <w:widowControl w:val="0"/>
              <w:tabs>
                <w:tab w:val="clear" w:pos="567"/>
              </w:tabs>
              <w:spacing w:line="240" w:lineRule="auto"/>
              <w:ind w:right="566"/>
              <w:jc w:val="center"/>
              <w:rPr>
                <w:lang w:val="en-US"/>
              </w:rPr>
            </w:pPr>
            <w:r w:rsidRPr="005350AF">
              <w:rPr>
                <w:lang w:val="en-US"/>
              </w:rPr>
              <w:t>9.3</w:t>
            </w:r>
          </w:p>
        </w:tc>
        <w:tc>
          <w:tcPr>
            <w:tcW w:w="1701" w:type="dxa"/>
            <w:shd w:val="clear" w:color="auto" w:fill="auto"/>
            <w:hideMark/>
          </w:tcPr>
          <w:p w14:paraId="5A0D9A66"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11,</w:t>
            </w:r>
            <w:r w:rsidR="00B9746D" w:rsidRPr="005350AF">
              <w:rPr>
                <w:lang w:val="en-US"/>
              </w:rPr>
              <w:t>2</w:t>
            </w:r>
          </w:p>
        </w:tc>
        <w:tc>
          <w:tcPr>
            <w:tcW w:w="1842" w:type="dxa"/>
            <w:shd w:val="clear" w:color="auto" w:fill="auto"/>
            <w:hideMark/>
          </w:tcPr>
          <w:p w14:paraId="56E912B8"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0,820 (0,726, 0,</w:t>
            </w:r>
            <w:r w:rsidR="00B9746D" w:rsidRPr="005350AF">
              <w:rPr>
                <w:lang w:val="en-US"/>
              </w:rPr>
              <w:t>927)</w:t>
            </w:r>
          </w:p>
        </w:tc>
        <w:tc>
          <w:tcPr>
            <w:tcW w:w="1701" w:type="dxa"/>
            <w:shd w:val="clear" w:color="auto" w:fill="auto"/>
            <w:hideMark/>
          </w:tcPr>
          <w:p w14:paraId="46800A9D"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002</w:t>
            </w:r>
          </w:p>
        </w:tc>
      </w:tr>
      <w:tr w:rsidR="00AC383B" w:rsidRPr="00217AE9" w14:paraId="7C591861" w14:textId="77777777" w:rsidTr="00B0468F">
        <w:tc>
          <w:tcPr>
            <w:tcW w:w="2371" w:type="dxa"/>
            <w:shd w:val="clear" w:color="auto" w:fill="auto"/>
            <w:hideMark/>
          </w:tcPr>
          <w:p w14:paraId="36277632" w14:textId="77777777" w:rsidR="00B9746D" w:rsidRPr="005350AF" w:rsidRDefault="005071E2" w:rsidP="005350AF">
            <w:pPr>
              <w:widowControl w:val="0"/>
              <w:tabs>
                <w:tab w:val="clear" w:pos="567"/>
              </w:tabs>
              <w:spacing w:line="240" w:lineRule="auto"/>
              <w:ind w:right="566"/>
              <w:rPr>
                <w:lang w:val="en-US"/>
              </w:rPr>
            </w:pPr>
            <w:r w:rsidRPr="005350AF">
              <w:rPr>
                <w:lang w:val="en-US"/>
              </w:rPr>
              <w:t>KV mirtis</w:t>
            </w:r>
            <w:r w:rsidR="00B9746D" w:rsidRPr="005350AF">
              <w:rPr>
                <w:lang w:val="en-US"/>
              </w:rPr>
              <w:t xml:space="preserve"> </w:t>
            </w:r>
          </w:p>
        </w:tc>
        <w:tc>
          <w:tcPr>
            <w:tcW w:w="1565" w:type="dxa"/>
            <w:shd w:val="clear" w:color="auto" w:fill="auto"/>
            <w:hideMark/>
          </w:tcPr>
          <w:p w14:paraId="22EE1AF5"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1,</w:t>
            </w:r>
            <w:r w:rsidR="00B9746D" w:rsidRPr="005350AF">
              <w:rPr>
                <w:lang w:val="en-US"/>
              </w:rPr>
              <w:t>8</w:t>
            </w:r>
          </w:p>
        </w:tc>
        <w:tc>
          <w:tcPr>
            <w:tcW w:w="1701" w:type="dxa"/>
            <w:shd w:val="clear" w:color="auto" w:fill="auto"/>
            <w:hideMark/>
          </w:tcPr>
          <w:p w14:paraId="238CE4B9"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1,</w:t>
            </w:r>
            <w:r w:rsidR="00B9746D" w:rsidRPr="005350AF">
              <w:rPr>
                <w:lang w:val="en-US"/>
              </w:rPr>
              <w:t>8</w:t>
            </w:r>
          </w:p>
        </w:tc>
        <w:tc>
          <w:tcPr>
            <w:tcW w:w="1842" w:type="dxa"/>
            <w:shd w:val="clear" w:color="auto" w:fill="auto"/>
            <w:hideMark/>
          </w:tcPr>
          <w:p w14:paraId="6F2F5E21"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0,979 (0,732,1,</w:t>
            </w:r>
            <w:r w:rsidR="00B9746D" w:rsidRPr="005350AF">
              <w:rPr>
                <w:lang w:val="en-US"/>
              </w:rPr>
              <w:t>309)</w:t>
            </w:r>
          </w:p>
        </w:tc>
        <w:tc>
          <w:tcPr>
            <w:tcW w:w="1701" w:type="dxa"/>
            <w:shd w:val="clear" w:color="auto" w:fill="auto"/>
            <w:hideMark/>
          </w:tcPr>
          <w:p w14:paraId="073AF86D"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885</w:t>
            </w:r>
          </w:p>
        </w:tc>
      </w:tr>
      <w:tr w:rsidR="00AC383B" w:rsidRPr="00217AE9" w14:paraId="3E359932" w14:textId="77777777" w:rsidTr="00B0468F">
        <w:tc>
          <w:tcPr>
            <w:tcW w:w="2371" w:type="dxa"/>
            <w:shd w:val="clear" w:color="auto" w:fill="auto"/>
            <w:hideMark/>
          </w:tcPr>
          <w:p w14:paraId="01093695" w14:textId="77777777" w:rsidR="00B9746D" w:rsidRPr="005350AF" w:rsidRDefault="005071E2" w:rsidP="005350AF">
            <w:pPr>
              <w:widowControl w:val="0"/>
              <w:tabs>
                <w:tab w:val="clear" w:pos="567"/>
              </w:tabs>
              <w:spacing w:line="240" w:lineRule="auto"/>
              <w:ind w:right="566"/>
              <w:rPr>
                <w:lang w:val="en-US"/>
              </w:rPr>
            </w:pPr>
            <w:r w:rsidRPr="005350AF">
              <w:rPr>
                <w:lang w:val="en-US"/>
              </w:rPr>
              <w:t>Nemirtinas</w:t>
            </w:r>
            <w:r w:rsidR="00B9746D" w:rsidRPr="005350AF">
              <w:rPr>
                <w:lang w:val="en-US"/>
              </w:rPr>
              <w:t xml:space="preserve"> MI </w:t>
            </w:r>
          </w:p>
        </w:tc>
        <w:tc>
          <w:tcPr>
            <w:tcW w:w="1565" w:type="dxa"/>
            <w:shd w:val="clear" w:color="auto" w:fill="auto"/>
            <w:hideMark/>
          </w:tcPr>
          <w:p w14:paraId="597F90A0"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7,</w:t>
            </w:r>
            <w:r w:rsidR="00B9746D" w:rsidRPr="005350AF">
              <w:rPr>
                <w:lang w:val="en-US"/>
              </w:rPr>
              <w:t>1</w:t>
            </w:r>
          </w:p>
        </w:tc>
        <w:tc>
          <w:tcPr>
            <w:tcW w:w="1701" w:type="dxa"/>
            <w:shd w:val="clear" w:color="auto" w:fill="auto"/>
            <w:hideMark/>
          </w:tcPr>
          <w:p w14:paraId="0DDC2132"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9,</w:t>
            </w:r>
            <w:r w:rsidR="00B9746D" w:rsidRPr="005350AF">
              <w:rPr>
                <w:lang w:val="en-US"/>
              </w:rPr>
              <w:t>2</w:t>
            </w:r>
          </w:p>
        </w:tc>
        <w:tc>
          <w:tcPr>
            <w:tcW w:w="1842" w:type="dxa"/>
            <w:shd w:val="clear" w:color="auto" w:fill="auto"/>
            <w:hideMark/>
          </w:tcPr>
          <w:p w14:paraId="50F23CA7"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0,761 (0,663,0,</w:t>
            </w:r>
            <w:r w:rsidR="00B9746D" w:rsidRPr="005350AF">
              <w:rPr>
                <w:lang w:val="en-US"/>
              </w:rPr>
              <w:t>873)</w:t>
            </w:r>
          </w:p>
        </w:tc>
        <w:tc>
          <w:tcPr>
            <w:tcW w:w="1701" w:type="dxa"/>
            <w:shd w:val="clear" w:color="auto" w:fill="auto"/>
            <w:hideMark/>
          </w:tcPr>
          <w:p w14:paraId="780DA310" w14:textId="77777777" w:rsidR="00B9746D" w:rsidRPr="005350AF" w:rsidRDefault="00B9746D" w:rsidP="005350AF">
            <w:pPr>
              <w:widowControl w:val="0"/>
              <w:tabs>
                <w:tab w:val="clear" w:pos="567"/>
              </w:tabs>
              <w:spacing w:line="240" w:lineRule="auto"/>
              <w:ind w:right="566"/>
              <w:jc w:val="center"/>
              <w:rPr>
                <w:lang w:val="en-US"/>
              </w:rPr>
            </w:pPr>
            <w:r w:rsidRPr="005350AF">
              <w:rPr>
                <w:lang w:val="en-US"/>
              </w:rPr>
              <w:t>&lt; </w:t>
            </w:r>
            <w:r w:rsidR="00D042DA" w:rsidRPr="005350AF">
              <w:rPr>
                <w:lang w:val="en-US"/>
              </w:rPr>
              <w:t>0,</w:t>
            </w:r>
            <w:r w:rsidRPr="005350AF">
              <w:rPr>
                <w:lang w:val="en-US"/>
              </w:rPr>
              <w:t>001</w:t>
            </w:r>
          </w:p>
        </w:tc>
      </w:tr>
      <w:tr w:rsidR="00AC383B" w:rsidRPr="00217AE9" w14:paraId="0C9455C3" w14:textId="77777777" w:rsidTr="00B0468F">
        <w:tc>
          <w:tcPr>
            <w:tcW w:w="2371" w:type="dxa"/>
            <w:shd w:val="clear" w:color="auto" w:fill="auto"/>
            <w:hideMark/>
          </w:tcPr>
          <w:p w14:paraId="2942DAB9" w14:textId="77777777" w:rsidR="00B9746D" w:rsidRPr="005350AF" w:rsidRDefault="005071E2" w:rsidP="005350AF">
            <w:pPr>
              <w:widowControl w:val="0"/>
              <w:tabs>
                <w:tab w:val="clear" w:pos="567"/>
              </w:tabs>
              <w:spacing w:line="240" w:lineRule="auto"/>
              <w:ind w:right="566"/>
              <w:rPr>
                <w:lang w:val="en-US"/>
              </w:rPr>
            </w:pPr>
            <w:r w:rsidRPr="005350AF">
              <w:rPr>
                <w:lang w:val="en-US"/>
              </w:rPr>
              <w:t>Nemirtinas insultas</w:t>
            </w:r>
            <w:r w:rsidR="00B9746D" w:rsidRPr="005350AF">
              <w:rPr>
                <w:lang w:val="en-US"/>
              </w:rPr>
              <w:t xml:space="preserve"> </w:t>
            </w:r>
          </w:p>
        </w:tc>
        <w:tc>
          <w:tcPr>
            <w:tcW w:w="1565" w:type="dxa"/>
            <w:shd w:val="clear" w:color="auto" w:fill="auto"/>
            <w:hideMark/>
          </w:tcPr>
          <w:p w14:paraId="04CDB098"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8</w:t>
            </w:r>
          </w:p>
        </w:tc>
        <w:tc>
          <w:tcPr>
            <w:tcW w:w="1701" w:type="dxa"/>
            <w:shd w:val="clear" w:color="auto" w:fill="auto"/>
            <w:hideMark/>
          </w:tcPr>
          <w:p w14:paraId="61FC7256" w14:textId="77777777" w:rsidR="00B9746D" w:rsidRPr="005350AF" w:rsidRDefault="005071E2"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8</w:t>
            </w:r>
          </w:p>
        </w:tc>
        <w:tc>
          <w:tcPr>
            <w:tcW w:w="1842" w:type="dxa"/>
            <w:shd w:val="clear" w:color="auto" w:fill="auto"/>
            <w:hideMark/>
          </w:tcPr>
          <w:p w14:paraId="2CBB3325" w14:textId="77777777" w:rsidR="00B9746D" w:rsidRPr="005350AF" w:rsidRDefault="00D956A3" w:rsidP="005350AF">
            <w:pPr>
              <w:widowControl w:val="0"/>
              <w:tabs>
                <w:tab w:val="clear" w:pos="567"/>
              </w:tabs>
              <w:spacing w:line="240" w:lineRule="auto"/>
              <w:ind w:right="566"/>
              <w:jc w:val="center"/>
              <w:rPr>
                <w:lang w:val="en-US"/>
              </w:rPr>
            </w:pPr>
            <w:r w:rsidRPr="005350AF">
              <w:rPr>
                <w:lang w:val="en-US"/>
              </w:rPr>
              <w:t>0,979 (0,</w:t>
            </w:r>
            <w:r w:rsidR="00573069" w:rsidRPr="005350AF">
              <w:rPr>
                <w:lang w:val="en-US"/>
              </w:rPr>
              <w:t>633,1,</w:t>
            </w:r>
            <w:r w:rsidR="00B9746D" w:rsidRPr="005350AF">
              <w:rPr>
                <w:lang w:val="en-US"/>
              </w:rPr>
              <w:t>51</w:t>
            </w:r>
            <w:r w:rsidR="00B9746D" w:rsidRPr="005350AF">
              <w:rPr>
                <w:lang w:val="en-US"/>
              </w:rPr>
              <w:lastRenderedPageBreak/>
              <w:t>3)</w:t>
            </w:r>
          </w:p>
        </w:tc>
        <w:tc>
          <w:tcPr>
            <w:tcW w:w="1701" w:type="dxa"/>
            <w:shd w:val="clear" w:color="auto" w:fill="auto"/>
            <w:hideMark/>
          </w:tcPr>
          <w:p w14:paraId="24A5ED7B" w14:textId="77777777" w:rsidR="00B9746D" w:rsidRPr="005350AF" w:rsidRDefault="00192863" w:rsidP="005350AF">
            <w:pPr>
              <w:widowControl w:val="0"/>
              <w:tabs>
                <w:tab w:val="clear" w:pos="567"/>
              </w:tabs>
              <w:spacing w:line="240" w:lineRule="auto"/>
              <w:ind w:right="566"/>
              <w:rPr>
                <w:lang w:val="en-US"/>
              </w:rPr>
            </w:pPr>
            <w:r w:rsidRPr="005350AF">
              <w:rPr>
                <w:lang w:val="en-US"/>
              </w:rPr>
              <w:lastRenderedPageBreak/>
              <w:t>0,</w:t>
            </w:r>
            <w:r w:rsidR="00B9746D" w:rsidRPr="005350AF">
              <w:rPr>
                <w:lang w:val="en-US"/>
              </w:rPr>
              <w:t xml:space="preserve">922 </w:t>
            </w:r>
          </w:p>
        </w:tc>
      </w:tr>
      <w:tr w:rsidR="00AC383B" w:rsidRPr="00217AE9" w14:paraId="0CD7227E" w14:textId="77777777" w:rsidTr="00B0468F">
        <w:tc>
          <w:tcPr>
            <w:tcW w:w="2371" w:type="dxa"/>
            <w:shd w:val="clear" w:color="auto" w:fill="auto"/>
            <w:hideMark/>
          </w:tcPr>
          <w:p w14:paraId="31AAD7A8" w14:textId="77777777" w:rsidR="00B9746D" w:rsidRPr="00FD696A" w:rsidRDefault="00B9746D" w:rsidP="005350AF">
            <w:pPr>
              <w:widowControl w:val="0"/>
              <w:tabs>
                <w:tab w:val="clear" w:pos="567"/>
              </w:tabs>
              <w:spacing w:line="240" w:lineRule="auto"/>
              <w:ind w:right="566"/>
              <w:rPr>
                <w:lang w:val="pt-PT"/>
              </w:rPr>
            </w:pPr>
            <w:r w:rsidRPr="00FD696A">
              <w:rPr>
                <w:b/>
                <w:lang w:val="pt-PT"/>
              </w:rPr>
              <w:t>STEMI</w:t>
            </w:r>
          </w:p>
          <w:p w14:paraId="02201C41" w14:textId="77777777" w:rsidR="00B9746D" w:rsidRPr="00FD696A" w:rsidRDefault="005071E2" w:rsidP="005350AF">
            <w:pPr>
              <w:widowControl w:val="0"/>
              <w:tabs>
                <w:tab w:val="clear" w:pos="567"/>
              </w:tabs>
              <w:spacing w:line="240" w:lineRule="auto"/>
              <w:ind w:right="566"/>
              <w:rPr>
                <w:lang w:val="pt-PT"/>
              </w:rPr>
            </w:pPr>
            <w:r w:rsidRPr="00FD696A">
              <w:rPr>
                <w:b/>
                <w:lang w:val="pt-PT"/>
              </w:rPr>
              <w:t>Pirminės jungtinės vertinamosios baigties reiškiniai</w:t>
            </w:r>
          </w:p>
        </w:tc>
        <w:tc>
          <w:tcPr>
            <w:tcW w:w="1565" w:type="dxa"/>
            <w:shd w:val="clear" w:color="auto" w:fill="auto"/>
            <w:hideMark/>
          </w:tcPr>
          <w:p w14:paraId="24E8A363" w14:textId="08AC2FFA" w:rsidR="00B9746D" w:rsidRPr="005350AF" w:rsidRDefault="00B9746D" w:rsidP="005350AF">
            <w:pPr>
              <w:widowControl w:val="0"/>
              <w:tabs>
                <w:tab w:val="clear" w:pos="567"/>
              </w:tabs>
              <w:spacing w:line="240" w:lineRule="auto"/>
              <w:ind w:right="-108"/>
              <w:jc w:val="center"/>
              <w:rPr>
                <w:lang w:val="en-US"/>
              </w:rPr>
            </w:pPr>
            <w:r w:rsidRPr="005350AF">
              <w:rPr>
                <w:b/>
                <w:lang w:val="en-US"/>
              </w:rPr>
              <w:t>(N</w:t>
            </w:r>
            <w:r w:rsidR="004B62F6">
              <w:rPr>
                <w:b/>
                <w:lang w:val="en-US"/>
              </w:rPr>
              <w:t> </w:t>
            </w:r>
            <w:r w:rsidRPr="005350AF">
              <w:rPr>
                <w:b/>
                <w:lang w:val="en-US"/>
              </w:rPr>
              <w:t>=</w:t>
            </w:r>
            <w:r w:rsidR="004B62F6">
              <w:rPr>
                <w:b/>
                <w:lang w:val="en-US"/>
              </w:rPr>
              <w:t> </w:t>
            </w:r>
            <w:r w:rsidRPr="005350AF">
              <w:rPr>
                <w:b/>
                <w:lang w:val="en-US"/>
              </w:rPr>
              <w:t>1769)</w:t>
            </w:r>
          </w:p>
          <w:p w14:paraId="0BD0C22B" w14:textId="77777777" w:rsidR="00B9746D" w:rsidRPr="005350AF" w:rsidRDefault="00B9746D" w:rsidP="005350AF">
            <w:pPr>
              <w:widowControl w:val="0"/>
              <w:tabs>
                <w:tab w:val="clear" w:pos="567"/>
              </w:tabs>
              <w:spacing w:line="240" w:lineRule="auto"/>
              <w:ind w:right="-108"/>
              <w:jc w:val="center"/>
              <w:rPr>
                <w:lang w:val="en-US"/>
              </w:rPr>
            </w:pPr>
            <w:r w:rsidRPr="005350AF">
              <w:rPr>
                <w:b/>
                <w:lang w:val="en-US"/>
              </w:rPr>
              <w:t>%</w:t>
            </w:r>
          </w:p>
        </w:tc>
        <w:tc>
          <w:tcPr>
            <w:tcW w:w="1701" w:type="dxa"/>
            <w:shd w:val="clear" w:color="auto" w:fill="auto"/>
            <w:hideMark/>
          </w:tcPr>
          <w:p w14:paraId="62B5B4C0" w14:textId="50B9411E" w:rsidR="00B9746D" w:rsidRPr="005350AF" w:rsidRDefault="00B9746D" w:rsidP="005350AF">
            <w:pPr>
              <w:widowControl w:val="0"/>
              <w:tabs>
                <w:tab w:val="clear" w:pos="567"/>
              </w:tabs>
              <w:spacing w:line="240" w:lineRule="auto"/>
              <w:ind w:right="-108"/>
              <w:jc w:val="center"/>
              <w:rPr>
                <w:lang w:val="en-US"/>
              </w:rPr>
            </w:pPr>
            <w:r w:rsidRPr="005350AF">
              <w:rPr>
                <w:b/>
                <w:lang w:val="en-US"/>
              </w:rPr>
              <w:t>(N</w:t>
            </w:r>
            <w:r w:rsidR="004B62F6">
              <w:rPr>
                <w:b/>
                <w:lang w:val="en-US"/>
              </w:rPr>
              <w:t> </w:t>
            </w:r>
            <w:r w:rsidRPr="005350AF">
              <w:rPr>
                <w:b/>
                <w:lang w:val="en-US"/>
              </w:rPr>
              <w:t>=</w:t>
            </w:r>
            <w:r w:rsidR="004B62F6">
              <w:rPr>
                <w:b/>
                <w:lang w:val="en-US"/>
              </w:rPr>
              <w:t> </w:t>
            </w:r>
            <w:r w:rsidRPr="005350AF">
              <w:rPr>
                <w:b/>
                <w:lang w:val="en-US"/>
              </w:rPr>
              <w:t>1765)</w:t>
            </w:r>
          </w:p>
          <w:p w14:paraId="6FE40E60" w14:textId="77777777" w:rsidR="00B9746D" w:rsidRPr="005350AF" w:rsidRDefault="00B9746D" w:rsidP="005350AF">
            <w:pPr>
              <w:widowControl w:val="0"/>
              <w:tabs>
                <w:tab w:val="clear" w:pos="567"/>
              </w:tabs>
              <w:spacing w:line="240" w:lineRule="auto"/>
              <w:ind w:right="-108"/>
              <w:jc w:val="center"/>
              <w:rPr>
                <w:lang w:val="en-US"/>
              </w:rPr>
            </w:pPr>
            <w:r w:rsidRPr="005350AF">
              <w:rPr>
                <w:b/>
                <w:lang w:val="en-US"/>
              </w:rPr>
              <w:t>%</w:t>
            </w:r>
          </w:p>
        </w:tc>
        <w:tc>
          <w:tcPr>
            <w:tcW w:w="1842" w:type="dxa"/>
            <w:shd w:val="clear" w:color="auto" w:fill="auto"/>
            <w:hideMark/>
          </w:tcPr>
          <w:p w14:paraId="1B0876E8" w14:textId="77777777" w:rsidR="00B9746D" w:rsidRPr="005350AF" w:rsidRDefault="00B9746D" w:rsidP="005350AF">
            <w:pPr>
              <w:widowControl w:val="0"/>
              <w:tabs>
                <w:tab w:val="clear" w:pos="567"/>
              </w:tabs>
              <w:spacing w:line="240" w:lineRule="auto"/>
              <w:ind w:right="566"/>
              <w:rPr>
                <w:lang w:val="en-US"/>
              </w:rPr>
            </w:pPr>
          </w:p>
        </w:tc>
        <w:tc>
          <w:tcPr>
            <w:tcW w:w="1701" w:type="dxa"/>
            <w:shd w:val="clear" w:color="auto" w:fill="auto"/>
            <w:hideMark/>
          </w:tcPr>
          <w:p w14:paraId="2EC669D7" w14:textId="77777777" w:rsidR="00B9746D" w:rsidRPr="005350AF" w:rsidRDefault="00B9746D" w:rsidP="005350AF">
            <w:pPr>
              <w:widowControl w:val="0"/>
              <w:tabs>
                <w:tab w:val="clear" w:pos="567"/>
              </w:tabs>
              <w:spacing w:line="240" w:lineRule="auto"/>
              <w:ind w:right="566"/>
              <w:rPr>
                <w:lang w:val="en-US"/>
              </w:rPr>
            </w:pPr>
          </w:p>
        </w:tc>
      </w:tr>
      <w:tr w:rsidR="00AC383B" w:rsidRPr="00217AE9" w14:paraId="5A5B859A" w14:textId="77777777" w:rsidTr="00B0468F">
        <w:tc>
          <w:tcPr>
            <w:tcW w:w="2371" w:type="dxa"/>
            <w:shd w:val="clear" w:color="auto" w:fill="auto"/>
            <w:hideMark/>
          </w:tcPr>
          <w:p w14:paraId="3452F6E5" w14:textId="77777777" w:rsidR="00B9746D" w:rsidRPr="005350AF" w:rsidRDefault="005071E2" w:rsidP="005350AF">
            <w:pPr>
              <w:widowControl w:val="0"/>
              <w:tabs>
                <w:tab w:val="clear" w:pos="567"/>
              </w:tabs>
              <w:spacing w:line="240" w:lineRule="auto"/>
              <w:ind w:right="566"/>
              <w:rPr>
                <w:lang w:val="fi-FI"/>
              </w:rPr>
            </w:pPr>
            <w:r w:rsidRPr="005350AF">
              <w:rPr>
                <w:lang w:val="fi-FI"/>
              </w:rPr>
              <w:t>Kardiovaskulinė (KV) mirtis, nemirtinas MI arba nemirtinas insultas</w:t>
            </w:r>
          </w:p>
        </w:tc>
        <w:tc>
          <w:tcPr>
            <w:tcW w:w="1565" w:type="dxa"/>
            <w:shd w:val="clear" w:color="auto" w:fill="auto"/>
            <w:hideMark/>
          </w:tcPr>
          <w:p w14:paraId="6DD66EBA"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9,</w:t>
            </w:r>
            <w:r w:rsidR="00B9746D" w:rsidRPr="005350AF">
              <w:rPr>
                <w:lang w:val="en-US"/>
              </w:rPr>
              <w:t>8</w:t>
            </w:r>
          </w:p>
        </w:tc>
        <w:tc>
          <w:tcPr>
            <w:tcW w:w="1701" w:type="dxa"/>
            <w:shd w:val="clear" w:color="auto" w:fill="auto"/>
            <w:hideMark/>
          </w:tcPr>
          <w:p w14:paraId="5662D6F8"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12,</w:t>
            </w:r>
            <w:r w:rsidR="00B9746D" w:rsidRPr="005350AF">
              <w:rPr>
                <w:lang w:val="en-US"/>
              </w:rPr>
              <w:t>2</w:t>
            </w:r>
          </w:p>
        </w:tc>
        <w:tc>
          <w:tcPr>
            <w:tcW w:w="1842" w:type="dxa"/>
            <w:shd w:val="clear" w:color="auto" w:fill="auto"/>
            <w:hideMark/>
          </w:tcPr>
          <w:p w14:paraId="28DDDC9C"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0,793 (0,649, 0,</w:t>
            </w:r>
            <w:r w:rsidR="00B9746D" w:rsidRPr="005350AF">
              <w:rPr>
                <w:lang w:val="en-US"/>
              </w:rPr>
              <w:t>968)</w:t>
            </w:r>
          </w:p>
        </w:tc>
        <w:tc>
          <w:tcPr>
            <w:tcW w:w="1701" w:type="dxa"/>
            <w:shd w:val="clear" w:color="auto" w:fill="auto"/>
            <w:hideMark/>
          </w:tcPr>
          <w:p w14:paraId="62651174"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019</w:t>
            </w:r>
          </w:p>
        </w:tc>
      </w:tr>
      <w:tr w:rsidR="00AC383B" w:rsidRPr="00217AE9" w14:paraId="7B69F3C2" w14:textId="77777777" w:rsidTr="00B0468F">
        <w:tc>
          <w:tcPr>
            <w:tcW w:w="2371" w:type="dxa"/>
            <w:shd w:val="clear" w:color="auto" w:fill="auto"/>
            <w:hideMark/>
          </w:tcPr>
          <w:p w14:paraId="04214575" w14:textId="77777777" w:rsidR="00B9746D" w:rsidRPr="005350AF" w:rsidRDefault="00D042DA" w:rsidP="005350AF">
            <w:pPr>
              <w:widowControl w:val="0"/>
              <w:tabs>
                <w:tab w:val="clear" w:pos="567"/>
              </w:tabs>
              <w:spacing w:line="240" w:lineRule="auto"/>
              <w:ind w:right="566"/>
              <w:rPr>
                <w:lang w:val="en-US"/>
              </w:rPr>
            </w:pPr>
            <w:r w:rsidRPr="005350AF">
              <w:rPr>
                <w:lang w:val="en-US"/>
              </w:rPr>
              <w:t>KV mirtis</w:t>
            </w:r>
          </w:p>
        </w:tc>
        <w:tc>
          <w:tcPr>
            <w:tcW w:w="1565" w:type="dxa"/>
            <w:shd w:val="clear" w:color="auto" w:fill="auto"/>
            <w:hideMark/>
          </w:tcPr>
          <w:p w14:paraId="0B724B2F"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2,</w:t>
            </w:r>
            <w:r w:rsidR="00B9746D" w:rsidRPr="005350AF">
              <w:rPr>
                <w:lang w:val="en-US"/>
              </w:rPr>
              <w:t>4</w:t>
            </w:r>
          </w:p>
        </w:tc>
        <w:tc>
          <w:tcPr>
            <w:tcW w:w="1701" w:type="dxa"/>
            <w:shd w:val="clear" w:color="auto" w:fill="auto"/>
            <w:hideMark/>
          </w:tcPr>
          <w:p w14:paraId="3ABB0DF6"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3,</w:t>
            </w:r>
            <w:r w:rsidR="00B9746D" w:rsidRPr="005350AF">
              <w:rPr>
                <w:lang w:val="en-US"/>
              </w:rPr>
              <w:t>3</w:t>
            </w:r>
          </w:p>
        </w:tc>
        <w:tc>
          <w:tcPr>
            <w:tcW w:w="1842" w:type="dxa"/>
            <w:shd w:val="clear" w:color="auto" w:fill="auto"/>
            <w:hideMark/>
          </w:tcPr>
          <w:p w14:paraId="35135F93"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w:t>
            </w:r>
            <w:r w:rsidR="00573069" w:rsidRPr="005350AF">
              <w:rPr>
                <w:lang w:val="en-US"/>
              </w:rPr>
              <w:t>738 (0.497,1,</w:t>
            </w:r>
            <w:r w:rsidR="00B9746D" w:rsidRPr="005350AF">
              <w:rPr>
                <w:lang w:val="en-US"/>
              </w:rPr>
              <w:t>094)</w:t>
            </w:r>
          </w:p>
        </w:tc>
        <w:tc>
          <w:tcPr>
            <w:tcW w:w="1701" w:type="dxa"/>
            <w:shd w:val="clear" w:color="auto" w:fill="auto"/>
            <w:hideMark/>
          </w:tcPr>
          <w:p w14:paraId="43464FA3"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129</w:t>
            </w:r>
          </w:p>
        </w:tc>
      </w:tr>
      <w:tr w:rsidR="00AC383B" w:rsidRPr="00217AE9" w14:paraId="10107561" w14:textId="77777777" w:rsidTr="00B0468F">
        <w:tc>
          <w:tcPr>
            <w:tcW w:w="2371" w:type="dxa"/>
            <w:shd w:val="clear" w:color="auto" w:fill="auto"/>
            <w:hideMark/>
          </w:tcPr>
          <w:p w14:paraId="2AB9479F" w14:textId="77777777" w:rsidR="00B9746D" w:rsidRPr="005350AF" w:rsidRDefault="00D042DA" w:rsidP="005350AF">
            <w:pPr>
              <w:widowControl w:val="0"/>
              <w:tabs>
                <w:tab w:val="clear" w:pos="567"/>
              </w:tabs>
              <w:spacing w:line="240" w:lineRule="auto"/>
              <w:ind w:right="566"/>
              <w:rPr>
                <w:lang w:val="en-US"/>
              </w:rPr>
            </w:pPr>
            <w:r w:rsidRPr="005350AF">
              <w:rPr>
                <w:lang w:val="en-US"/>
              </w:rPr>
              <w:t>Nemirtinas</w:t>
            </w:r>
            <w:r w:rsidR="00B9746D" w:rsidRPr="005350AF">
              <w:rPr>
                <w:lang w:val="en-US"/>
              </w:rPr>
              <w:t xml:space="preserve"> MI </w:t>
            </w:r>
          </w:p>
        </w:tc>
        <w:tc>
          <w:tcPr>
            <w:tcW w:w="1565" w:type="dxa"/>
            <w:shd w:val="clear" w:color="auto" w:fill="auto"/>
            <w:hideMark/>
          </w:tcPr>
          <w:p w14:paraId="20FD7934"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6,</w:t>
            </w:r>
            <w:r w:rsidR="00B9746D" w:rsidRPr="005350AF">
              <w:rPr>
                <w:lang w:val="en-US"/>
              </w:rPr>
              <w:t>7</w:t>
            </w:r>
          </w:p>
        </w:tc>
        <w:tc>
          <w:tcPr>
            <w:tcW w:w="1701" w:type="dxa"/>
            <w:shd w:val="clear" w:color="auto" w:fill="auto"/>
            <w:hideMark/>
          </w:tcPr>
          <w:p w14:paraId="371F7C95"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8,</w:t>
            </w:r>
            <w:r w:rsidR="00B9746D" w:rsidRPr="005350AF">
              <w:rPr>
                <w:lang w:val="en-US"/>
              </w:rPr>
              <w:t>8</w:t>
            </w:r>
          </w:p>
        </w:tc>
        <w:tc>
          <w:tcPr>
            <w:tcW w:w="1842" w:type="dxa"/>
            <w:shd w:val="clear" w:color="auto" w:fill="auto"/>
            <w:hideMark/>
          </w:tcPr>
          <w:p w14:paraId="4DFB3EEA"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0,746 (0,</w:t>
            </w:r>
            <w:r w:rsidR="00B9746D" w:rsidRPr="005350AF">
              <w:rPr>
                <w:lang w:val="en-US"/>
              </w:rPr>
              <w:t>58</w:t>
            </w:r>
            <w:r w:rsidRPr="005350AF">
              <w:rPr>
                <w:lang w:val="en-US"/>
              </w:rPr>
              <w:t>8,0,</w:t>
            </w:r>
            <w:r w:rsidR="00B9746D" w:rsidRPr="005350AF">
              <w:rPr>
                <w:lang w:val="en-US"/>
              </w:rPr>
              <w:t>948)</w:t>
            </w:r>
          </w:p>
        </w:tc>
        <w:tc>
          <w:tcPr>
            <w:tcW w:w="1701" w:type="dxa"/>
            <w:shd w:val="clear" w:color="auto" w:fill="auto"/>
            <w:hideMark/>
          </w:tcPr>
          <w:p w14:paraId="3AA9683B"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016</w:t>
            </w:r>
          </w:p>
        </w:tc>
      </w:tr>
      <w:tr w:rsidR="00AC383B" w:rsidRPr="00217AE9" w14:paraId="691EB80C" w14:textId="77777777" w:rsidTr="00B0468F">
        <w:tc>
          <w:tcPr>
            <w:tcW w:w="2371" w:type="dxa"/>
            <w:shd w:val="clear" w:color="auto" w:fill="auto"/>
            <w:hideMark/>
          </w:tcPr>
          <w:p w14:paraId="6273CAD3" w14:textId="77777777" w:rsidR="00B9746D" w:rsidRPr="005350AF" w:rsidRDefault="00D042DA" w:rsidP="005350AF">
            <w:pPr>
              <w:widowControl w:val="0"/>
              <w:tabs>
                <w:tab w:val="clear" w:pos="567"/>
              </w:tabs>
              <w:spacing w:line="240" w:lineRule="auto"/>
              <w:ind w:right="566"/>
              <w:rPr>
                <w:lang w:val="en-US"/>
              </w:rPr>
            </w:pPr>
            <w:r w:rsidRPr="005350AF">
              <w:rPr>
                <w:lang w:val="en-US"/>
              </w:rPr>
              <w:t>Nemirtinas insultas</w:t>
            </w:r>
            <w:r w:rsidR="00B9746D" w:rsidRPr="005350AF">
              <w:rPr>
                <w:lang w:val="en-US"/>
              </w:rPr>
              <w:t xml:space="preserve"> </w:t>
            </w:r>
          </w:p>
        </w:tc>
        <w:tc>
          <w:tcPr>
            <w:tcW w:w="1565" w:type="dxa"/>
            <w:shd w:val="clear" w:color="auto" w:fill="auto"/>
            <w:hideMark/>
          </w:tcPr>
          <w:p w14:paraId="0F38F086"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1,</w:t>
            </w:r>
            <w:r w:rsidR="00B9746D" w:rsidRPr="005350AF">
              <w:rPr>
                <w:lang w:val="en-US"/>
              </w:rPr>
              <w:t>2</w:t>
            </w:r>
          </w:p>
        </w:tc>
        <w:tc>
          <w:tcPr>
            <w:tcW w:w="1701" w:type="dxa"/>
            <w:shd w:val="clear" w:color="auto" w:fill="auto"/>
            <w:hideMark/>
          </w:tcPr>
          <w:p w14:paraId="166FFF6D"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1,</w:t>
            </w:r>
            <w:r w:rsidR="00B9746D" w:rsidRPr="005350AF">
              <w:rPr>
                <w:lang w:val="en-US"/>
              </w:rPr>
              <w:t>1</w:t>
            </w:r>
          </w:p>
        </w:tc>
        <w:tc>
          <w:tcPr>
            <w:tcW w:w="1842" w:type="dxa"/>
            <w:shd w:val="clear" w:color="auto" w:fill="auto"/>
            <w:hideMark/>
          </w:tcPr>
          <w:p w14:paraId="61A6BBA8"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1,097 (0,590,2,</w:t>
            </w:r>
            <w:r w:rsidR="00B9746D" w:rsidRPr="005350AF">
              <w:rPr>
                <w:lang w:val="en-US"/>
              </w:rPr>
              <w:t>040)</w:t>
            </w:r>
          </w:p>
        </w:tc>
        <w:tc>
          <w:tcPr>
            <w:tcW w:w="1701" w:type="dxa"/>
            <w:shd w:val="clear" w:color="auto" w:fill="auto"/>
            <w:hideMark/>
          </w:tcPr>
          <w:p w14:paraId="547A0BAC" w14:textId="77777777" w:rsidR="00B9746D" w:rsidRPr="005350AF" w:rsidRDefault="00D042DA" w:rsidP="005350AF">
            <w:pPr>
              <w:widowControl w:val="0"/>
              <w:tabs>
                <w:tab w:val="clear" w:pos="567"/>
              </w:tabs>
              <w:spacing w:line="240" w:lineRule="auto"/>
              <w:ind w:right="566"/>
              <w:jc w:val="center"/>
              <w:rPr>
                <w:lang w:val="en-US"/>
              </w:rPr>
            </w:pPr>
            <w:r w:rsidRPr="005350AF">
              <w:rPr>
                <w:lang w:val="en-US"/>
              </w:rPr>
              <w:t>0,</w:t>
            </w:r>
            <w:r w:rsidR="00B9746D" w:rsidRPr="005350AF">
              <w:rPr>
                <w:lang w:val="en-US"/>
              </w:rPr>
              <w:t>770</w:t>
            </w:r>
          </w:p>
        </w:tc>
      </w:tr>
    </w:tbl>
    <w:p w14:paraId="5A879A25" w14:textId="77777777" w:rsidR="002D5EC6" w:rsidRPr="00B0468F" w:rsidRDefault="002D5EC6" w:rsidP="00B0468F">
      <w:pPr>
        <w:widowControl w:val="0"/>
        <w:tabs>
          <w:tab w:val="clear" w:pos="567"/>
        </w:tabs>
        <w:autoSpaceDE w:val="0"/>
        <w:autoSpaceDN w:val="0"/>
        <w:adjustRightInd w:val="0"/>
        <w:spacing w:line="240" w:lineRule="auto"/>
        <w:ind w:right="566"/>
        <w:rPr>
          <w:rFonts w:eastAsia="Calibri"/>
          <w:color w:val="000000"/>
          <w:lang w:val="lt-LT"/>
        </w:rPr>
      </w:pPr>
    </w:p>
    <w:p w14:paraId="1F316BF7" w14:textId="77777777" w:rsidR="002D5EC6" w:rsidRPr="00B0468F" w:rsidRDefault="002D5EC6"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Visų ŪKS populiacijos kiekvienos antrinės vertinamosios baigties duomenų analizė parodė reikšmingą praz</w:t>
      </w:r>
      <w:r w:rsidR="00192863" w:rsidRPr="00B0468F">
        <w:rPr>
          <w:rFonts w:eastAsia="Calibri"/>
          <w:color w:val="000000"/>
          <w:lang w:val="lt-LT"/>
        </w:rPr>
        <w:t>ugrelio naudingumą (p &lt; </w:t>
      </w:r>
      <w:r w:rsidRPr="00B0468F">
        <w:rPr>
          <w:rFonts w:eastAsia="Calibri"/>
          <w:color w:val="000000"/>
          <w:lang w:val="lt-LT"/>
        </w:rPr>
        <w:t>0,001), palyginti su klopidogreliu. Tai buvo susiję su neabejotina ar galima stento tromboze tyrimo pabaigoje (0,9%, palyginti su 1,8%, SR 0,498, PI 0,364, 0,683), KV mirtimi, nemirtinu MI ar skubiai per 30 parų atlikta kraujagyslių revaskuliarizacijos procedūra (5,9%, palyginti su 7,4%, SR 0,784, PI 0,688, 0,894), mirtimi dėl visų priežasčių, nemirtinu MI ar nemirtinu insultu iki tyrimo pabaigos (10,2%, palyginti su 12,1%, SR 0,831, PI 0,751, 0,919), KV mirtis, nemirtinas MI, nemirtinas insultas ar pakartotinis gydymas ligoninėje dėl širdies išemijos reiškinių iki tyrimo pabaigos (11,7%, palyginti su 13,8%, SR 0,838, PI 0,762, 0,921). Visų mirties priežasčių analizė jokių reikšmingų prazugrelio ir klopidogrelio skirtumų neparodė visose ŪKS populiacijose (2,76%, palyginti su 2,90%), UA/NSTEMI</w:t>
      </w:r>
      <w:r w:rsidRPr="00B0468F">
        <w:rPr>
          <w:rFonts w:eastAsia="Calibri"/>
          <w:i/>
          <w:color w:val="000000"/>
          <w:lang w:val="lt-LT"/>
        </w:rPr>
        <w:t xml:space="preserve"> </w:t>
      </w:r>
      <w:r w:rsidRPr="00B0468F">
        <w:rPr>
          <w:rFonts w:eastAsia="Calibri"/>
          <w:color w:val="000000"/>
          <w:lang w:val="lt-LT"/>
        </w:rPr>
        <w:t>populiacijoje (2,58%, palyginti su 2,41%) ir STEMI populiacijoje (3,28%, palyginti 4,31%).</w:t>
      </w:r>
    </w:p>
    <w:p w14:paraId="46079322" w14:textId="77777777" w:rsidR="002D5EC6" w:rsidRPr="00B0468F" w:rsidRDefault="002D5EC6" w:rsidP="00B0468F">
      <w:pPr>
        <w:widowControl w:val="0"/>
        <w:tabs>
          <w:tab w:val="clear" w:pos="567"/>
        </w:tabs>
        <w:autoSpaceDE w:val="0"/>
        <w:autoSpaceDN w:val="0"/>
        <w:adjustRightInd w:val="0"/>
        <w:spacing w:line="240" w:lineRule="auto"/>
        <w:ind w:right="566"/>
        <w:rPr>
          <w:rFonts w:eastAsia="Calibri"/>
          <w:color w:val="000000"/>
          <w:lang w:val="lt-LT"/>
        </w:rPr>
      </w:pPr>
    </w:p>
    <w:p w14:paraId="2BA4663B" w14:textId="77777777" w:rsidR="002D5EC6" w:rsidRPr="00B0468F" w:rsidRDefault="002D5EC6" w:rsidP="00B0468F">
      <w:pPr>
        <w:pStyle w:val="Antrat4"/>
        <w:keepNext w:val="0"/>
        <w:widowControl w:val="0"/>
        <w:spacing w:line="240" w:lineRule="auto"/>
        <w:ind w:right="566"/>
        <w:rPr>
          <w:rFonts w:eastAsia="Calibri"/>
          <w:color w:val="000000"/>
          <w:lang w:val="lt-LT"/>
        </w:rPr>
      </w:pPr>
      <w:r w:rsidRPr="00B0468F">
        <w:rPr>
          <w:rFonts w:ascii="Times New Roman" w:eastAsia="Calibri" w:hAnsi="Times New Roman"/>
          <w:b w:val="0"/>
          <w:color w:val="000000"/>
          <w:sz w:val="22"/>
          <w:lang w:val="lt-LT"/>
        </w:rPr>
        <w:t>Prazugrelis susijęs su stento trombozės atvejų per 15 mėnesių stebėjimo laikotarpį sumažėjimu 50%. Nustatytas ir ankstyvos, ir per 30 parų pasireiškusios stento trombozės atvejų sumažėjimas, vartojant prazugrelį, tiek naudojant vien metalo, tiek vaistinį preparatą išskiriančius stentus.</w:t>
      </w:r>
    </w:p>
    <w:p w14:paraId="5CF2A7F8" w14:textId="77777777" w:rsidR="00214C22" w:rsidRPr="00B0468F" w:rsidRDefault="00214C22" w:rsidP="00B0468F">
      <w:pPr>
        <w:widowControl w:val="0"/>
        <w:spacing w:line="240" w:lineRule="auto"/>
        <w:ind w:right="566"/>
        <w:rPr>
          <w:lang w:val="lt-LT"/>
        </w:rPr>
      </w:pPr>
    </w:p>
    <w:p w14:paraId="6422BA52" w14:textId="77777777" w:rsidR="00214C22" w:rsidRPr="00B0468F" w:rsidRDefault="00214C22"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Remiantis pacientų, kurie pasveiko po išemijos reiškinių, duomenų analize, prazugrelis buvo susijęs su vėliau pasireiškiančių pirminės vertinamosios baigties reiški</w:t>
      </w:r>
      <w:r w:rsidR="002E0D60" w:rsidRPr="00B0468F">
        <w:rPr>
          <w:rFonts w:eastAsia="Calibri"/>
          <w:color w:val="000000"/>
          <w:lang w:val="lt-LT"/>
        </w:rPr>
        <w:t>nių dažnio sumažėjimu (7,8% praz</w:t>
      </w:r>
      <w:r w:rsidRPr="00B0468F">
        <w:rPr>
          <w:rFonts w:eastAsia="Calibri"/>
          <w:color w:val="000000"/>
          <w:lang w:val="lt-LT"/>
        </w:rPr>
        <w:t>ugrelio grupėje, palyginti su 11,9% klopidogrelio grupėje).</w:t>
      </w:r>
    </w:p>
    <w:p w14:paraId="2352C4D7" w14:textId="77777777" w:rsidR="00214C22" w:rsidRPr="00B0468F" w:rsidRDefault="00214C22" w:rsidP="00B0468F">
      <w:pPr>
        <w:widowControl w:val="0"/>
        <w:tabs>
          <w:tab w:val="clear" w:pos="567"/>
        </w:tabs>
        <w:autoSpaceDE w:val="0"/>
        <w:autoSpaceDN w:val="0"/>
        <w:adjustRightInd w:val="0"/>
        <w:spacing w:line="240" w:lineRule="auto"/>
        <w:ind w:right="566"/>
        <w:rPr>
          <w:rFonts w:eastAsia="Calibri"/>
          <w:color w:val="000000"/>
          <w:lang w:val="lt-LT"/>
        </w:rPr>
      </w:pPr>
    </w:p>
    <w:p w14:paraId="395638E8" w14:textId="69EE33CD" w:rsidR="00214C22" w:rsidRPr="00B0468F" w:rsidRDefault="00214C22"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Vartojant prazugrelį, padaugėjo kraujavimo atvejų, vis dėlto jungtinės mirties dėl bet kurių priežasčių, nemirtino miokardo infarkto, nemirtino insulto ir su TVAŠ nesusijusio masyvaus kraujavimo pagal TIMI vertinamosios baigties analizė parodė prazugrelio pranašumą, palyginti su klopidogreliu (santykinė rizika, 0,87, 95% PI, nuo 0,79 iki 0,95, p</w:t>
      </w:r>
      <w:r w:rsidR="004B62F6">
        <w:rPr>
          <w:rFonts w:eastAsia="Calibri"/>
          <w:color w:val="000000"/>
          <w:lang w:val="lt-LT"/>
        </w:rPr>
        <w:t> </w:t>
      </w:r>
      <w:r w:rsidRPr="00B0468F">
        <w:rPr>
          <w:rFonts w:eastAsia="Calibri"/>
          <w:color w:val="000000"/>
          <w:lang w:val="lt-LT"/>
        </w:rPr>
        <w:t>=</w:t>
      </w:r>
      <w:r w:rsidR="004B62F6">
        <w:rPr>
          <w:rFonts w:eastAsia="Calibri"/>
          <w:color w:val="000000"/>
          <w:lang w:val="lt-LT"/>
        </w:rPr>
        <w:t> </w:t>
      </w:r>
      <w:r w:rsidRPr="00B0468F">
        <w:rPr>
          <w:rFonts w:eastAsia="Calibri"/>
          <w:color w:val="000000"/>
          <w:lang w:val="lt-LT"/>
        </w:rPr>
        <w:t>0,004). TRITON</w:t>
      </w:r>
      <w:r w:rsidRPr="00B0468F">
        <w:rPr>
          <w:rFonts w:eastAsia="Calibri"/>
          <w:i/>
          <w:color w:val="000000"/>
          <w:lang w:val="lt-LT"/>
        </w:rPr>
        <w:t xml:space="preserve"> </w:t>
      </w:r>
      <w:r w:rsidRPr="00B0468F">
        <w:rPr>
          <w:rFonts w:eastAsia="Calibri"/>
          <w:color w:val="000000"/>
          <w:lang w:val="lt-LT"/>
        </w:rPr>
        <w:t>tyrimo duomenimis, kiekvienam 1000 prazugrelį vartojusių pacientų, miokardo infarktas pasireiškė 22 atvejais rečiau, o su TVAŠ nesusijusio masyvaus kraujavimo pagal TIMI</w:t>
      </w:r>
      <w:r w:rsidRPr="00B0468F">
        <w:rPr>
          <w:rFonts w:eastAsia="Calibri"/>
          <w:i/>
          <w:color w:val="000000"/>
          <w:lang w:val="lt-LT"/>
        </w:rPr>
        <w:t xml:space="preserve"> </w:t>
      </w:r>
      <w:r w:rsidRPr="00B0468F">
        <w:rPr>
          <w:rFonts w:eastAsia="Calibri"/>
          <w:color w:val="000000"/>
          <w:lang w:val="lt-LT"/>
        </w:rPr>
        <w:t>atvejų buvo 5 daugiau, palyginti su pacienta</w:t>
      </w:r>
      <w:r w:rsidR="008A1FCE" w:rsidRPr="00B0468F">
        <w:rPr>
          <w:rFonts w:eastAsia="Calibri"/>
          <w:color w:val="000000"/>
          <w:lang w:val="lt-LT"/>
        </w:rPr>
        <w:t>is, kurie vartojo klopidogrelį.</w:t>
      </w:r>
    </w:p>
    <w:p w14:paraId="3BD1FD17" w14:textId="77777777" w:rsidR="008A1FCE" w:rsidRPr="00B0468F" w:rsidRDefault="008A1FCE" w:rsidP="00B0468F">
      <w:pPr>
        <w:widowControl w:val="0"/>
        <w:tabs>
          <w:tab w:val="clear" w:pos="567"/>
        </w:tabs>
        <w:autoSpaceDE w:val="0"/>
        <w:autoSpaceDN w:val="0"/>
        <w:adjustRightInd w:val="0"/>
        <w:spacing w:line="240" w:lineRule="auto"/>
        <w:ind w:right="566"/>
        <w:rPr>
          <w:rFonts w:eastAsia="Calibri"/>
          <w:color w:val="000000"/>
          <w:lang w:val="lt-LT"/>
        </w:rPr>
      </w:pPr>
    </w:p>
    <w:p w14:paraId="01E728E9" w14:textId="77777777" w:rsidR="00214C22" w:rsidRPr="00B0468F" w:rsidRDefault="00214C22"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Farmakodinaminis/farmakogenominis 720 azijiečių pacientų, kuriems yra ūminis koronarinis sindromas (ŪKS) ir kuriems atliekama PVAP, tyrim</w:t>
      </w:r>
      <w:r w:rsidR="008A1FCE" w:rsidRPr="00B0468F">
        <w:rPr>
          <w:rFonts w:eastAsia="Calibri"/>
          <w:color w:val="000000"/>
          <w:lang w:val="lt-LT"/>
        </w:rPr>
        <w:t>as parodė, kad skiriant praz</w:t>
      </w:r>
      <w:r w:rsidRPr="00B0468F">
        <w:rPr>
          <w:rFonts w:eastAsia="Calibri"/>
          <w:color w:val="000000"/>
          <w:lang w:val="lt-LT"/>
        </w:rPr>
        <w:t>ugrelį pasiektas aukštesnio lygio trombocitų agregacijos slopinimas palygin</w:t>
      </w:r>
      <w:r w:rsidR="008A1FCE" w:rsidRPr="00B0468F">
        <w:rPr>
          <w:rFonts w:eastAsia="Calibri"/>
          <w:color w:val="000000"/>
          <w:lang w:val="lt-LT"/>
        </w:rPr>
        <w:t>ti su klopidogreliu, ir kad praz</w:t>
      </w:r>
      <w:r w:rsidR="00192863" w:rsidRPr="00B0468F">
        <w:rPr>
          <w:rFonts w:eastAsia="Calibri"/>
          <w:color w:val="000000"/>
          <w:lang w:val="lt-LT"/>
        </w:rPr>
        <w:t>ugrelio 60 mg įsotinimo dozė/10 </w:t>
      </w:r>
      <w:r w:rsidRPr="00B0468F">
        <w:rPr>
          <w:rFonts w:eastAsia="Calibri"/>
          <w:color w:val="000000"/>
          <w:lang w:val="lt-LT"/>
        </w:rPr>
        <w:t xml:space="preserve">mg palaikomoji dozė yra tinkamas dozavimas azijiečiams, </w:t>
      </w:r>
      <w:r w:rsidR="00192863" w:rsidRPr="00B0468F">
        <w:rPr>
          <w:rFonts w:eastAsia="Calibri"/>
          <w:color w:val="000000"/>
          <w:lang w:val="lt-LT"/>
        </w:rPr>
        <w:t>kurie sveria ne mažiau kaip 60 </w:t>
      </w:r>
      <w:r w:rsidRPr="00B0468F">
        <w:rPr>
          <w:rFonts w:eastAsia="Calibri"/>
          <w:color w:val="000000"/>
          <w:lang w:val="lt-LT"/>
        </w:rPr>
        <w:t>kg ir yra jaunesni nei 75</w:t>
      </w:r>
      <w:r w:rsidR="008A1FCE" w:rsidRPr="00B0468F">
        <w:rPr>
          <w:rFonts w:eastAsia="Calibri"/>
          <w:color w:val="000000"/>
          <w:lang w:val="lt-LT"/>
        </w:rPr>
        <w:t xml:space="preserve"> metų amžiaus (žr. 4.2 skyrių).</w:t>
      </w:r>
    </w:p>
    <w:p w14:paraId="1C19260C" w14:textId="77777777" w:rsidR="008A1FCE" w:rsidRPr="00B0468F" w:rsidRDefault="008A1FCE" w:rsidP="00B0468F">
      <w:pPr>
        <w:widowControl w:val="0"/>
        <w:tabs>
          <w:tab w:val="clear" w:pos="567"/>
        </w:tabs>
        <w:autoSpaceDE w:val="0"/>
        <w:autoSpaceDN w:val="0"/>
        <w:adjustRightInd w:val="0"/>
        <w:spacing w:line="240" w:lineRule="auto"/>
        <w:ind w:right="566"/>
        <w:rPr>
          <w:rFonts w:eastAsia="Calibri"/>
          <w:color w:val="000000"/>
          <w:lang w:val="lt-LT"/>
        </w:rPr>
      </w:pPr>
    </w:p>
    <w:p w14:paraId="0BD56512" w14:textId="31399E74" w:rsidR="002D5EC6" w:rsidRPr="00B0468F" w:rsidRDefault="00214C22" w:rsidP="00B0468F">
      <w:pPr>
        <w:pStyle w:val="Antrat4"/>
        <w:keepNext w:val="0"/>
        <w:widowControl w:val="0"/>
        <w:spacing w:line="240" w:lineRule="auto"/>
        <w:ind w:right="566"/>
        <w:jc w:val="left"/>
        <w:rPr>
          <w:rFonts w:eastAsia="Calibri"/>
          <w:color w:val="000000"/>
          <w:lang w:val="lt-LT"/>
        </w:rPr>
      </w:pPr>
      <w:r w:rsidRPr="00B0468F">
        <w:rPr>
          <w:rFonts w:ascii="Times New Roman" w:eastAsia="Calibri" w:hAnsi="Times New Roman"/>
          <w:b w:val="0"/>
          <w:color w:val="000000"/>
          <w:sz w:val="22"/>
          <w:lang w:val="lt-LT"/>
        </w:rPr>
        <w:lastRenderedPageBreak/>
        <w:t xml:space="preserve">Trisdešimties (30) mėnesių trukmės tyrimo (TRILOGY–ACS), kuriame dalyvavo 9 326 pacientai, kuriems pasireiškė </w:t>
      </w:r>
      <w:r w:rsidRPr="00B0468F">
        <w:rPr>
          <w:rFonts w:ascii="Times New Roman" w:eastAsia="Calibri" w:hAnsi="Times New Roman"/>
          <w:b w:val="0"/>
          <w:i/>
          <w:color w:val="000000"/>
          <w:sz w:val="22"/>
          <w:lang w:val="lt-LT"/>
        </w:rPr>
        <w:t xml:space="preserve">UA/NSTEMI </w:t>
      </w:r>
      <w:r w:rsidRPr="00B0468F">
        <w:rPr>
          <w:rFonts w:ascii="Times New Roman" w:eastAsia="Calibri" w:hAnsi="Times New Roman"/>
          <w:b w:val="0"/>
          <w:color w:val="000000"/>
          <w:sz w:val="22"/>
          <w:lang w:val="lt-LT"/>
        </w:rPr>
        <w:t>ŪKS ir kurie buvo gydyti vaistiniais preparatais neatliekant revaskuliarizacijos (šiai indikacijai licenci</w:t>
      </w:r>
      <w:r w:rsidR="008A1FCE" w:rsidRPr="00B0468F">
        <w:rPr>
          <w:rFonts w:ascii="Times New Roman" w:eastAsia="Calibri" w:hAnsi="Times New Roman"/>
          <w:b w:val="0"/>
          <w:color w:val="000000"/>
          <w:sz w:val="22"/>
          <w:lang w:val="lt-LT"/>
        </w:rPr>
        <w:t>ja nesuteikta), duomenimis, praz</w:t>
      </w:r>
      <w:r w:rsidRPr="00B0468F">
        <w:rPr>
          <w:rFonts w:ascii="Times New Roman" w:eastAsia="Calibri" w:hAnsi="Times New Roman"/>
          <w:b w:val="0"/>
          <w:color w:val="000000"/>
          <w:sz w:val="22"/>
          <w:lang w:val="lt-LT"/>
        </w:rPr>
        <w:t>ugrelis nereikšmingai mažino bendrosios KV mirties, MI ar insulto vertinamosios baigties dažnį, palyginti su klopidogreliu. Masyvaus kraujavimo pagal TIMI</w:t>
      </w:r>
      <w:r w:rsidRPr="00B0468F">
        <w:rPr>
          <w:rFonts w:ascii="Times New Roman" w:eastAsia="Calibri" w:hAnsi="Times New Roman"/>
          <w:b w:val="0"/>
          <w:i/>
          <w:color w:val="000000"/>
          <w:sz w:val="22"/>
          <w:lang w:val="lt-LT"/>
        </w:rPr>
        <w:t xml:space="preserve"> </w:t>
      </w:r>
      <w:r w:rsidRPr="00B0468F">
        <w:rPr>
          <w:rFonts w:ascii="Times New Roman" w:eastAsia="Calibri" w:hAnsi="Times New Roman"/>
          <w:b w:val="0"/>
          <w:color w:val="000000"/>
          <w:sz w:val="22"/>
          <w:lang w:val="lt-LT"/>
        </w:rPr>
        <w:t>(įskaitant gyvybei pavojingą, mirtiną ir intrakranijinį kraujavimą) daž</w:t>
      </w:r>
      <w:r w:rsidR="008A1FCE" w:rsidRPr="00B0468F">
        <w:rPr>
          <w:rFonts w:ascii="Times New Roman" w:eastAsia="Calibri" w:hAnsi="Times New Roman"/>
          <w:b w:val="0"/>
          <w:color w:val="000000"/>
          <w:sz w:val="22"/>
          <w:lang w:val="lt-LT"/>
        </w:rPr>
        <w:t>nis praz</w:t>
      </w:r>
      <w:r w:rsidRPr="00B0468F">
        <w:rPr>
          <w:rFonts w:ascii="Times New Roman" w:eastAsia="Calibri" w:hAnsi="Times New Roman"/>
          <w:b w:val="0"/>
          <w:color w:val="000000"/>
          <w:sz w:val="22"/>
          <w:lang w:val="lt-LT"/>
        </w:rPr>
        <w:t>ugreliu ar klopidogreliu gydytiems pacientams buvo pa</w:t>
      </w:r>
      <w:r w:rsidR="00192863" w:rsidRPr="00B0468F">
        <w:rPr>
          <w:rFonts w:ascii="Times New Roman" w:eastAsia="Calibri" w:hAnsi="Times New Roman"/>
          <w:b w:val="0"/>
          <w:color w:val="000000"/>
          <w:sz w:val="22"/>
          <w:lang w:val="lt-LT"/>
        </w:rPr>
        <w:t>našus. Pacientams, kuriems buvo </w:t>
      </w:r>
      <w:r w:rsidRPr="00B0468F">
        <w:rPr>
          <w:rFonts w:ascii="Times New Roman" w:eastAsia="Calibri" w:hAnsi="Times New Roman"/>
          <w:b w:val="0"/>
          <w:color w:val="000000"/>
          <w:sz w:val="22"/>
          <w:lang w:val="lt-LT"/>
        </w:rPr>
        <w:t>≥ 75 metų arba kurių</w:t>
      </w:r>
      <w:r w:rsidR="00192863" w:rsidRPr="00B0468F">
        <w:rPr>
          <w:rFonts w:ascii="Times New Roman" w:eastAsia="Calibri" w:hAnsi="Times New Roman"/>
          <w:b w:val="0"/>
          <w:color w:val="000000"/>
          <w:sz w:val="22"/>
          <w:lang w:val="lt-LT"/>
        </w:rPr>
        <w:t xml:space="preserve"> kūno masė buvo mažesnė kaip 60 </w:t>
      </w:r>
      <w:r w:rsidRPr="00B0468F">
        <w:rPr>
          <w:rFonts w:ascii="Times New Roman" w:eastAsia="Calibri" w:hAnsi="Times New Roman"/>
          <w:b w:val="0"/>
          <w:color w:val="000000"/>
          <w:sz w:val="22"/>
          <w:lang w:val="lt-LT"/>
        </w:rPr>
        <w:t>kg (N</w:t>
      </w:r>
      <w:r w:rsidR="004B62F6">
        <w:rPr>
          <w:rFonts w:ascii="Times New Roman" w:eastAsia="Calibri" w:hAnsi="Times New Roman"/>
          <w:b w:val="0"/>
          <w:color w:val="000000"/>
          <w:sz w:val="22"/>
          <w:lang w:val="lt-LT"/>
        </w:rPr>
        <w:t> </w:t>
      </w:r>
      <w:r w:rsidRPr="00B0468F">
        <w:rPr>
          <w:rFonts w:ascii="Times New Roman" w:eastAsia="Calibri" w:hAnsi="Times New Roman"/>
          <w:b w:val="0"/>
          <w:color w:val="000000"/>
          <w:sz w:val="22"/>
          <w:lang w:val="lt-LT"/>
        </w:rPr>
        <w:t>=</w:t>
      </w:r>
      <w:r w:rsidR="004B62F6">
        <w:rPr>
          <w:rFonts w:ascii="Times New Roman" w:eastAsia="Calibri" w:hAnsi="Times New Roman"/>
          <w:b w:val="0"/>
          <w:color w:val="000000"/>
          <w:sz w:val="22"/>
          <w:lang w:val="lt-LT"/>
        </w:rPr>
        <w:t> </w:t>
      </w:r>
      <w:r w:rsidRPr="00B0468F">
        <w:rPr>
          <w:rFonts w:ascii="Times New Roman" w:eastAsia="Calibri" w:hAnsi="Times New Roman"/>
          <w:b w:val="0"/>
          <w:color w:val="000000"/>
          <w:sz w:val="22"/>
          <w:lang w:val="lt-LT"/>
        </w:rPr>
        <w:t>3 022), atsitiktiniu bū</w:t>
      </w:r>
      <w:r w:rsidR="008A1FCE" w:rsidRPr="00B0468F">
        <w:rPr>
          <w:rFonts w:ascii="Times New Roman" w:eastAsia="Calibri" w:hAnsi="Times New Roman"/>
          <w:b w:val="0"/>
          <w:color w:val="000000"/>
          <w:sz w:val="22"/>
          <w:lang w:val="lt-LT"/>
        </w:rPr>
        <w:t>du buvo paskirta 5 mg praz</w:t>
      </w:r>
      <w:r w:rsidRPr="00B0468F">
        <w:rPr>
          <w:rFonts w:ascii="Times New Roman" w:eastAsia="Calibri" w:hAnsi="Times New Roman"/>
          <w:b w:val="0"/>
          <w:color w:val="000000"/>
          <w:sz w:val="22"/>
          <w:lang w:val="lt-LT"/>
        </w:rPr>
        <w:t>ugrelio dozė. Kaip ir pacientams, kurie buvo jaunesni kaip 75 metų arba svė</w:t>
      </w:r>
      <w:r w:rsidR="00192863" w:rsidRPr="00B0468F">
        <w:rPr>
          <w:rFonts w:ascii="Times New Roman" w:eastAsia="Calibri" w:hAnsi="Times New Roman"/>
          <w:b w:val="0"/>
          <w:color w:val="000000"/>
          <w:sz w:val="22"/>
          <w:lang w:val="lt-LT"/>
        </w:rPr>
        <w:t>rė ≥ </w:t>
      </w:r>
      <w:r w:rsidR="002E0D60" w:rsidRPr="00B0468F">
        <w:rPr>
          <w:rFonts w:ascii="Times New Roman" w:eastAsia="Calibri" w:hAnsi="Times New Roman"/>
          <w:b w:val="0"/>
          <w:color w:val="000000"/>
          <w:sz w:val="22"/>
          <w:lang w:val="lt-LT"/>
        </w:rPr>
        <w:t>60 kg, gydytiems 10 mg praz</w:t>
      </w:r>
      <w:r w:rsidRPr="00B0468F">
        <w:rPr>
          <w:rFonts w:ascii="Times New Roman" w:eastAsia="Calibri" w:hAnsi="Times New Roman"/>
          <w:b w:val="0"/>
          <w:color w:val="000000"/>
          <w:sz w:val="22"/>
          <w:lang w:val="lt-LT"/>
        </w:rPr>
        <w:t>ugrelio doze, KV baigčių skirtumų</w:t>
      </w:r>
      <w:r w:rsidR="008A1FCE" w:rsidRPr="00B0468F">
        <w:rPr>
          <w:rFonts w:ascii="Times New Roman" w:eastAsia="Calibri" w:hAnsi="Times New Roman"/>
          <w:b w:val="0"/>
          <w:color w:val="000000"/>
          <w:sz w:val="22"/>
          <w:lang w:val="lt-LT"/>
        </w:rPr>
        <w:t xml:space="preserve"> vartojant 5 mg praz</w:t>
      </w:r>
      <w:r w:rsidRPr="00B0468F">
        <w:rPr>
          <w:rFonts w:ascii="Times New Roman" w:eastAsia="Calibri" w:hAnsi="Times New Roman"/>
          <w:b w:val="0"/>
          <w:color w:val="000000"/>
          <w:sz w:val="22"/>
          <w:lang w:val="lt-LT"/>
        </w:rPr>
        <w:t>ugrelio ir 75 mg klopidogrelio nebuvo. Masyvaus kraujavimo dažnis</w:t>
      </w:r>
      <w:r w:rsidR="008A1FCE" w:rsidRPr="00B0468F">
        <w:rPr>
          <w:rFonts w:ascii="Times New Roman" w:eastAsia="Calibri" w:hAnsi="Times New Roman"/>
          <w:b w:val="0"/>
          <w:color w:val="000000"/>
          <w:sz w:val="22"/>
          <w:lang w:val="lt-LT"/>
        </w:rPr>
        <w:t xml:space="preserve"> pacientams, gydytiems 5 mg praz</w:t>
      </w:r>
      <w:r w:rsidRPr="00B0468F">
        <w:rPr>
          <w:rFonts w:ascii="Times New Roman" w:eastAsia="Calibri" w:hAnsi="Times New Roman"/>
          <w:b w:val="0"/>
          <w:color w:val="000000"/>
          <w:sz w:val="22"/>
          <w:lang w:val="lt-LT"/>
        </w:rPr>
        <w:t>ugrelio do</w:t>
      </w:r>
      <w:r w:rsidR="00192863" w:rsidRPr="00B0468F">
        <w:rPr>
          <w:rFonts w:ascii="Times New Roman" w:eastAsia="Calibri" w:hAnsi="Times New Roman"/>
          <w:b w:val="0"/>
          <w:color w:val="000000"/>
          <w:sz w:val="22"/>
          <w:lang w:val="lt-LT"/>
        </w:rPr>
        <w:t>ze, ir pacientams, gydytiems 75 </w:t>
      </w:r>
      <w:r w:rsidRPr="00B0468F">
        <w:rPr>
          <w:rFonts w:ascii="Times New Roman" w:eastAsia="Calibri" w:hAnsi="Times New Roman"/>
          <w:b w:val="0"/>
          <w:color w:val="000000"/>
          <w:sz w:val="22"/>
          <w:lang w:val="lt-LT"/>
        </w:rPr>
        <w:t>mg klopidogrelio doze, buvo panaš</w:t>
      </w:r>
      <w:r w:rsidR="008A1FCE" w:rsidRPr="00B0468F">
        <w:rPr>
          <w:rFonts w:ascii="Times New Roman" w:eastAsia="Calibri" w:hAnsi="Times New Roman"/>
          <w:b w:val="0"/>
          <w:color w:val="000000"/>
          <w:sz w:val="22"/>
          <w:lang w:val="lt-LT"/>
        </w:rPr>
        <w:t>us. 5 mg praz</w:t>
      </w:r>
      <w:r w:rsidRPr="00B0468F">
        <w:rPr>
          <w:rFonts w:ascii="Times New Roman" w:eastAsia="Calibri" w:hAnsi="Times New Roman"/>
          <w:b w:val="0"/>
          <w:color w:val="000000"/>
          <w:sz w:val="22"/>
          <w:lang w:val="lt-LT"/>
        </w:rPr>
        <w:t>ugrelio dozė stipriau slopino tromb</w:t>
      </w:r>
      <w:r w:rsidR="00192863" w:rsidRPr="00B0468F">
        <w:rPr>
          <w:rFonts w:ascii="Times New Roman" w:eastAsia="Calibri" w:hAnsi="Times New Roman"/>
          <w:b w:val="0"/>
          <w:color w:val="000000"/>
          <w:sz w:val="22"/>
          <w:lang w:val="lt-LT"/>
        </w:rPr>
        <w:t>ocitų funkciją, palyginti su 75 </w:t>
      </w:r>
      <w:r w:rsidRPr="00B0468F">
        <w:rPr>
          <w:rFonts w:ascii="Times New Roman" w:eastAsia="Calibri" w:hAnsi="Times New Roman"/>
          <w:b w:val="0"/>
          <w:color w:val="000000"/>
          <w:sz w:val="22"/>
          <w:lang w:val="lt-LT"/>
        </w:rPr>
        <w:t>mg klopidogrelio doze. Pacientams, kuriems yra 75 metai ar daugiau, ir pacientams, kurių kūno masė</w:t>
      </w:r>
      <w:r w:rsidR="00192863" w:rsidRPr="00B0468F">
        <w:rPr>
          <w:rFonts w:ascii="Times New Roman" w:eastAsia="Calibri" w:hAnsi="Times New Roman"/>
          <w:b w:val="0"/>
          <w:color w:val="000000"/>
          <w:sz w:val="22"/>
          <w:lang w:val="lt-LT"/>
        </w:rPr>
        <w:t xml:space="preserve"> yra &lt; 60 </w:t>
      </w:r>
      <w:r w:rsidR="008A1FCE" w:rsidRPr="00B0468F">
        <w:rPr>
          <w:rFonts w:ascii="Times New Roman" w:eastAsia="Calibri" w:hAnsi="Times New Roman"/>
          <w:b w:val="0"/>
          <w:color w:val="000000"/>
          <w:sz w:val="22"/>
          <w:lang w:val="lt-LT"/>
        </w:rPr>
        <w:t>kg, vartoti praz</w:t>
      </w:r>
      <w:r w:rsidRPr="00B0468F">
        <w:rPr>
          <w:rFonts w:ascii="Times New Roman" w:eastAsia="Calibri" w:hAnsi="Times New Roman"/>
          <w:b w:val="0"/>
          <w:color w:val="000000"/>
          <w:sz w:val="22"/>
          <w:lang w:val="lt-LT"/>
        </w:rPr>
        <w:t>ugrelį reikia atsargiai (žr. 4.2, 4.4 ir 4.8 skyrius).</w:t>
      </w:r>
    </w:p>
    <w:p w14:paraId="14930B54" w14:textId="77777777" w:rsidR="006F1A64" w:rsidRPr="00B0468F" w:rsidRDefault="006F1A64" w:rsidP="00B0468F">
      <w:pPr>
        <w:widowControl w:val="0"/>
        <w:spacing w:line="240" w:lineRule="auto"/>
        <w:ind w:right="566"/>
        <w:rPr>
          <w:lang w:val="lt-LT"/>
        </w:rPr>
      </w:pPr>
    </w:p>
    <w:p w14:paraId="68265A4C" w14:textId="02BEF846" w:rsidR="002D5EC6" w:rsidRPr="00B0468F" w:rsidRDefault="006F1A64" w:rsidP="00FD696A">
      <w:pPr>
        <w:rPr>
          <w:lang w:val="lt-LT"/>
        </w:rPr>
      </w:pPr>
      <w:r w:rsidRPr="00B0468F">
        <w:rPr>
          <w:lang w:val="lt-LT"/>
        </w:rPr>
        <w:t>Trisdešimt (30) dienų trukusiame tyrime (ACCOAST) dalyvavo 4 033 pacientai, sergantys MI be ST pakilimo, esant troponino koncentracijos padidėjimui, kuriems buvo planuojama atlikti vainikinių kraujagyslių angiografiją, o po jos PVAP per 2-48 valandas po suskirstymo į grupes atsitiktiniu būdu. Nustatyta, kad tiriamie</w:t>
      </w:r>
      <w:r w:rsidR="00B0737D" w:rsidRPr="00B0468F">
        <w:rPr>
          <w:lang w:val="lt-LT"/>
        </w:rPr>
        <w:t>siems, kuriems buvo paskirta 30 </w:t>
      </w:r>
      <w:r w:rsidRPr="00B0468F">
        <w:rPr>
          <w:lang w:val="lt-LT"/>
        </w:rPr>
        <w:t>mg įsotinamoji dozė likus vidutiniškai 4 valandoms iki vainikinių kraujagyslių angiografijos, o po to skirta 30 mg įsotinamoji dozė PVAP metu (</w:t>
      </w:r>
      <w:r w:rsidR="005B5AED">
        <w:rPr>
          <w:lang w:val="lt-LT"/>
        </w:rPr>
        <w:t>N </w:t>
      </w:r>
      <w:r w:rsidRPr="00B0468F">
        <w:rPr>
          <w:lang w:val="lt-LT"/>
        </w:rPr>
        <w:t>=</w:t>
      </w:r>
      <w:r w:rsidR="005B5AED">
        <w:rPr>
          <w:lang w:val="lt-LT"/>
        </w:rPr>
        <w:t> </w:t>
      </w:r>
      <w:r w:rsidRPr="00B0468F">
        <w:rPr>
          <w:lang w:val="lt-LT"/>
        </w:rPr>
        <w:t xml:space="preserve">2 037), padidėjo nesusijusio su TVAŠ kraujavimo procedūros metu rizika ir nebuvo papildomos naudos, lygant su pacientais, kuriems buvo skirta 60 mg įsotinamoji dozė PVAP metu </w:t>
      </w:r>
      <w:r w:rsidR="005B5AED">
        <w:rPr>
          <w:lang w:val="lt-LT"/>
        </w:rPr>
        <w:t>N </w:t>
      </w:r>
      <w:r w:rsidRPr="00B0468F">
        <w:rPr>
          <w:lang w:val="lt-LT"/>
        </w:rPr>
        <w:t>=</w:t>
      </w:r>
      <w:r w:rsidR="005B5AED">
        <w:rPr>
          <w:lang w:val="lt-LT"/>
        </w:rPr>
        <w:t> </w:t>
      </w:r>
      <w:r w:rsidRPr="00B0468F">
        <w:rPr>
          <w:lang w:val="lt-LT"/>
        </w:rPr>
        <w:t>1 996). Konkrečiau, prazugrelis reikšmingai nesumažino sudėtinės vertinamosios baigties (kardiovaskulinės [KV] mirties, miokardo infarkto [MI], insulto, skubios revaskuliarizacijos [SR] arba glikoproteino [GP] IIb/IIIa inhibitoriaus kaip gelbstinčio gydymo skyrimo) dažnio 7 parų laikotarpiu po suskirstymo į grupes atsitiktiniu būdu tiriamiesiems, kuriems prazugrelis buvo skirtas prieš vainikinių kraujagyslių angiografiją, lyginant su pacientais, kuriems visa įsotinamoji prazugrelio dozė buvo skirta PVAP metu. Svarbiausiojo saugumo tikslo - visų masyvaus kraujavimo pagal TIMI atvejų (TVAŠ ir ne TVAŠ atvejų) dažnis 7 parų laikotarpiu po visų gydytų tiriamųjų suskirstymo į grupes atsitiktiniu būdu buvo reikšmingai didesnis tiriamiesiems, kuriems prazugrelis buvo skirtas prieš vainikinių kraujagyslių angiografiją, lyginant su pacientais, kuriems visa įsotinamoji prazugrelio dozė buvo skirta PVAP metu. Todėl pacientams, kuriems pasireiškia NKA/MI be ST pakilimo ir vainikinių kraujagyslių angiografija atliekama per 48 valandas po patekimo į gydymo įstaigą, įsotinamąją vaistinio preparato dozę reikia skirti PVAP metu (žr. 4.2, 4.4 ir 4.8 skyrius).</w:t>
      </w:r>
    </w:p>
    <w:p w14:paraId="22630C13" w14:textId="77777777" w:rsidR="00BC4728" w:rsidRPr="00B0468F" w:rsidRDefault="00BC4728" w:rsidP="00B0468F">
      <w:pPr>
        <w:widowControl w:val="0"/>
        <w:spacing w:line="240" w:lineRule="auto"/>
        <w:ind w:right="566"/>
        <w:rPr>
          <w:lang w:val="lt-LT"/>
        </w:rPr>
      </w:pPr>
    </w:p>
    <w:p w14:paraId="4CD2EF0C" w14:textId="77777777" w:rsidR="00BC4728" w:rsidRPr="00B0468F" w:rsidRDefault="00BC4728" w:rsidP="00B0468F">
      <w:pPr>
        <w:widowControl w:val="0"/>
        <w:spacing w:line="240" w:lineRule="auto"/>
        <w:ind w:right="566"/>
        <w:rPr>
          <w:u w:val="single"/>
          <w:lang w:val="lt-LT"/>
        </w:rPr>
      </w:pPr>
      <w:r w:rsidRPr="00B0468F">
        <w:rPr>
          <w:u w:val="single"/>
          <w:lang w:val="lt-LT"/>
        </w:rPr>
        <w:t>Vaikų populiacija</w:t>
      </w:r>
    </w:p>
    <w:p w14:paraId="53297766" w14:textId="127F6A0B" w:rsidR="006F1A64" w:rsidRPr="00B0468F" w:rsidRDefault="00BC4728" w:rsidP="00B0468F">
      <w:pPr>
        <w:widowControl w:val="0"/>
        <w:spacing w:line="240" w:lineRule="auto"/>
        <w:ind w:right="566"/>
        <w:rPr>
          <w:lang w:val="lt-LT"/>
        </w:rPr>
      </w:pPr>
      <w:r w:rsidRPr="00B0468F">
        <w:rPr>
          <w:lang w:val="lt-LT"/>
        </w:rPr>
        <w:t>III fazės TADO tyrime vertintas prazugrelio (</w:t>
      </w:r>
      <w:r w:rsidR="005B5AED">
        <w:rPr>
          <w:lang w:val="lt-LT"/>
        </w:rPr>
        <w:t>N </w:t>
      </w:r>
      <w:r w:rsidRPr="00B0468F">
        <w:rPr>
          <w:lang w:val="lt-LT"/>
        </w:rPr>
        <w:t>=</w:t>
      </w:r>
      <w:r w:rsidR="005B5AED">
        <w:rPr>
          <w:lang w:val="lt-LT"/>
        </w:rPr>
        <w:t> </w:t>
      </w:r>
      <w:r w:rsidRPr="00B0468F">
        <w:rPr>
          <w:lang w:val="lt-LT"/>
        </w:rPr>
        <w:t>171), lyginant su placebu (</w:t>
      </w:r>
      <w:r w:rsidR="005B5AED">
        <w:rPr>
          <w:lang w:val="lt-LT"/>
        </w:rPr>
        <w:t>N </w:t>
      </w:r>
      <w:r w:rsidRPr="00B0468F">
        <w:rPr>
          <w:lang w:val="lt-LT"/>
        </w:rPr>
        <w:t>=</w:t>
      </w:r>
      <w:r w:rsidR="005B5AED">
        <w:rPr>
          <w:lang w:val="lt-LT"/>
        </w:rPr>
        <w:t> </w:t>
      </w:r>
      <w:r w:rsidRPr="00B0468F">
        <w:rPr>
          <w:lang w:val="lt-LT"/>
        </w:rPr>
        <w:t>170), veiksmingumas ir saugumas mažinant kraujagyslių okliuzijos krizes 2-18 metų pacientams, sergantiems pjautuvo pavidalo ląstelių anemija. Tyrimo metu nepasiekta nė viena pirminė ar antrinė vertinamoji baigtis. Šioje pacientų populiacijoje naujų saugumo radinių, skiriant prazugrelio monoterapiją, nenustatyta.</w:t>
      </w:r>
    </w:p>
    <w:p w14:paraId="78D66E4D" w14:textId="77777777" w:rsidR="00BC4728" w:rsidRPr="00B0468F" w:rsidRDefault="00BC4728" w:rsidP="00B0468F">
      <w:pPr>
        <w:widowControl w:val="0"/>
        <w:spacing w:line="240" w:lineRule="auto"/>
        <w:ind w:right="566"/>
        <w:rPr>
          <w:lang w:val="lt-LT"/>
        </w:rPr>
      </w:pPr>
    </w:p>
    <w:p w14:paraId="55526F8A"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5.2</w:t>
      </w:r>
      <w:r w:rsidRPr="00B0468F">
        <w:rPr>
          <w:rFonts w:ascii="Times New Roman" w:hAnsi="Times New Roman"/>
          <w:sz w:val="22"/>
          <w:lang w:val="lt-LT"/>
        </w:rPr>
        <w:tab/>
        <w:t>Farmakokinetinės savybės</w:t>
      </w:r>
    </w:p>
    <w:p w14:paraId="568DECCE" w14:textId="77777777" w:rsidR="00F34163" w:rsidRPr="00B0468F" w:rsidRDefault="00F34163" w:rsidP="005350AF">
      <w:pPr>
        <w:widowControl w:val="0"/>
        <w:tabs>
          <w:tab w:val="clear" w:pos="567"/>
        </w:tabs>
        <w:spacing w:line="240" w:lineRule="auto"/>
        <w:ind w:right="566"/>
        <w:rPr>
          <w:lang w:val="lt-LT"/>
        </w:rPr>
      </w:pPr>
    </w:p>
    <w:p w14:paraId="1DC2755A" w14:textId="77777777" w:rsidR="00BC4728" w:rsidRPr="00B0468F" w:rsidRDefault="00AB1173"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lang w:val="lt-LT"/>
        </w:rPr>
        <w:t>Praz</w:t>
      </w:r>
      <w:r w:rsidR="00BC4728" w:rsidRPr="00B0468F">
        <w:rPr>
          <w:lang w:val="lt-LT"/>
        </w:rPr>
        <w:t xml:space="preserve">ugrelis yra veikliosios medžiagos pirmtakas, jis greitai metabolizuojamas </w:t>
      </w:r>
      <w:r w:rsidR="00BC4728" w:rsidRPr="00B0468F">
        <w:rPr>
          <w:i/>
          <w:lang w:val="lt-LT"/>
        </w:rPr>
        <w:t xml:space="preserve">in vivo </w:t>
      </w:r>
      <w:r w:rsidR="00BC4728" w:rsidRPr="00B0468F">
        <w:rPr>
          <w:lang w:val="lt-LT"/>
        </w:rPr>
        <w:t xml:space="preserve">ir atsiranda </w:t>
      </w:r>
      <w:r w:rsidR="00BC4728" w:rsidRPr="00B0468F">
        <w:rPr>
          <w:rFonts w:eastAsia="Calibri"/>
          <w:color w:val="000000"/>
          <w:lang w:val="lt-LT"/>
        </w:rPr>
        <w:t>veiklusis bei neveiklūs metabolitai. Veikliojo metabolito ekspozicija (AUC) vidutiniškai ar nežymiai skiriasi skirtingų asmenų (27%) bei to pat</w:t>
      </w:r>
      <w:r w:rsidRPr="00B0468F">
        <w:rPr>
          <w:rFonts w:eastAsia="Calibri"/>
          <w:color w:val="000000"/>
          <w:lang w:val="lt-LT"/>
        </w:rPr>
        <w:t>ies asmens (19%) organizme. Praz</w:t>
      </w:r>
      <w:r w:rsidR="00BC4728" w:rsidRPr="00B0468F">
        <w:rPr>
          <w:rFonts w:eastAsia="Calibri"/>
          <w:color w:val="000000"/>
          <w:lang w:val="lt-LT"/>
        </w:rPr>
        <w:t>ugrelio farmakokinetika sveikų asmenų, pacientų, kurie serga stabilia ateroskleroze, ir pacientų, kuriems atliekama perkutaninė vainikinių kraujagyslių pr</w:t>
      </w:r>
      <w:r w:rsidRPr="00B0468F">
        <w:rPr>
          <w:rFonts w:eastAsia="Calibri"/>
          <w:color w:val="000000"/>
          <w:lang w:val="lt-LT"/>
        </w:rPr>
        <w:t>ocedūra, organizme būna panaši.</w:t>
      </w:r>
    </w:p>
    <w:p w14:paraId="481CC15B" w14:textId="77777777" w:rsidR="00AB1173" w:rsidRPr="00B0468F" w:rsidRDefault="00AB1173" w:rsidP="00B0468F">
      <w:pPr>
        <w:widowControl w:val="0"/>
        <w:tabs>
          <w:tab w:val="clear" w:pos="567"/>
        </w:tabs>
        <w:autoSpaceDE w:val="0"/>
        <w:autoSpaceDN w:val="0"/>
        <w:adjustRightInd w:val="0"/>
        <w:spacing w:line="240" w:lineRule="auto"/>
        <w:ind w:right="566"/>
        <w:rPr>
          <w:rFonts w:eastAsia="Calibri"/>
          <w:color w:val="000000"/>
          <w:lang w:val="lt-LT"/>
        </w:rPr>
      </w:pPr>
    </w:p>
    <w:p w14:paraId="12329ABA" w14:textId="77777777" w:rsidR="00BC4728" w:rsidRPr="00B0468F" w:rsidRDefault="00AB1173" w:rsidP="00B0468F">
      <w:pPr>
        <w:widowControl w:val="0"/>
        <w:tabs>
          <w:tab w:val="clear" w:pos="567"/>
        </w:tabs>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Absorbcija</w:t>
      </w:r>
    </w:p>
    <w:p w14:paraId="3A667CCE" w14:textId="7838AB9B" w:rsidR="00BC4728" w:rsidRPr="00B0468F" w:rsidRDefault="007C77E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Praz</w:t>
      </w:r>
      <w:r w:rsidR="00BC4728" w:rsidRPr="00B0468F">
        <w:rPr>
          <w:rFonts w:eastAsia="Calibri"/>
          <w:color w:val="000000"/>
          <w:lang w:val="lt-LT"/>
        </w:rPr>
        <w:t>ugrelis greitai absorbuojamas ir metabolizuojamas, didžiausia veikliojo metabolito koncentracija plazmoje (C</w:t>
      </w:r>
      <w:r w:rsidR="00BC4728" w:rsidRPr="00FD696A">
        <w:rPr>
          <w:rFonts w:eastAsia="Calibri"/>
          <w:color w:val="000000"/>
          <w:vertAlign w:val="subscript"/>
          <w:lang w:val="lt-LT"/>
        </w:rPr>
        <w:t>max</w:t>
      </w:r>
      <w:r w:rsidR="00BC4728" w:rsidRPr="00B0468F">
        <w:rPr>
          <w:rFonts w:eastAsia="Calibri"/>
          <w:color w:val="000000"/>
          <w:lang w:val="lt-LT"/>
        </w:rPr>
        <w:t xml:space="preserve">) atsiranda per maždaug 30 minučių. Vartojant gydomąsias vaistinio preparato dozes, veikliojo metabolito ekspozicija (AUC) didėja proporcingai dozei. Tyrimo su sveikais asmenimis duomenimis, vartojant labai riebų ar daug kalorijų turinį maistą, </w:t>
      </w:r>
      <w:r w:rsidR="00BC4728" w:rsidRPr="00B0468F">
        <w:rPr>
          <w:rFonts w:eastAsia="Calibri"/>
          <w:color w:val="000000"/>
          <w:lang w:val="lt-LT"/>
        </w:rPr>
        <w:lastRenderedPageBreak/>
        <w:t>veikliojo metabolito AUC</w:t>
      </w:r>
      <w:r w:rsidR="00BC4728" w:rsidRPr="00B0468F">
        <w:rPr>
          <w:rFonts w:eastAsia="Calibri"/>
          <w:i/>
          <w:color w:val="000000"/>
          <w:lang w:val="lt-LT"/>
        </w:rPr>
        <w:t xml:space="preserve"> </w:t>
      </w:r>
      <w:r w:rsidR="00BC4728" w:rsidRPr="00B0468F">
        <w:rPr>
          <w:rFonts w:eastAsia="Calibri"/>
          <w:color w:val="000000"/>
          <w:lang w:val="lt-LT"/>
        </w:rPr>
        <w:t xml:space="preserve">nepakinta, bet </w:t>
      </w:r>
      <w:r w:rsidR="00BC4728" w:rsidRPr="00B0468F">
        <w:rPr>
          <w:rFonts w:eastAsia="Calibri"/>
          <w:i/>
          <w:color w:val="000000"/>
          <w:lang w:val="lt-LT"/>
        </w:rPr>
        <w:t>C</w:t>
      </w:r>
      <w:r w:rsidR="00BC4728" w:rsidRPr="00FD696A">
        <w:rPr>
          <w:rFonts w:eastAsia="Calibri"/>
          <w:i/>
          <w:color w:val="000000"/>
          <w:vertAlign w:val="subscript"/>
          <w:lang w:val="lt-LT"/>
        </w:rPr>
        <w:t>max</w:t>
      </w:r>
      <w:r w:rsidR="00BC4728" w:rsidRPr="00B0468F">
        <w:rPr>
          <w:rFonts w:eastAsia="Calibri"/>
          <w:i/>
          <w:color w:val="000000"/>
          <w:lang w:val="lt-LT"/>
        </w:rPr>
        <w:t xml:space="preserve"> </w:t>
      </w:r>
      <w:r w:rsidR="00BC4728" w:rsidRPr="00B0468F">
        <w:rPr>
          <w:rFonts w:eastAsia="Calibri"/>
          <w:color w:val="000000"/>
          <w:lang w:val="lt-LT"/>
        </w:rPr>
        <w:t>sumažėjo 49%, o laikotarpis, per kurį atsirado Cmax</w:t>
      </w:r>
      <w:r w:rsidR="00BC4728" w:rsidRPr="00B0468F">
        <w:rPr>
          <w:rFonts w:eastAsia="Calibri"/>
          <w:i/>
          <w:color w:val="000000"/>
          <w:lang w:val="lt-LT"/>
        </w:rPr>
        <w:t xml:space="preserve"> </w:t>
      </w:r>
      <w:r w:rsidR="00BC4728" w:rsidRPr="00B0468F">
        <w:rPr>
          <w:rFonts w:eastAsia="Calibri"/>
          <w:color w:val="000000"/>
          <w:lang w:val="lt-LT"/>
        </w:rPr>
        <w:t>(</w:t>
      </w:r>
      <w:r w:rsidR="008B103C">
        <w:rPr>
          <w:rFonts w:eastAsia="Calibri"/>
          <w:color w:val="000000"/>
          <w:lang w:val="lt-LT"/>
        </w:rPr>
        <w:t>t</w:t>
      </w:r>
      <w:r w:rsidR="00BC4728" w:rsidRPr="00FD696A">
        <w:rPr>
          <w:rFonts w:eastAsia="Calibri"/>
          <w:color w:val="000000"/>
          <w:vertAlign w:val="subscript"/>
          <w:lang w:val="lt-LT"/>
        </w:rPr>
        <w:t>max</w:t>
      </w:r>
      <w:r w:rsidR="00BC4728" w:rsidRPr="00B0468F">
        <w:rPr>
          <w:rFonts w:eastAsia="Calibri"/>
          <w:color w:val="000000"/>
          <w:lang w:val="lt-LT"/>
        </w:rPr>
        <w:t>) pailgėjo nuo 0,5 iki 1,5 valandos. TRITON</w:t>
      </w:r>
      <w:r w:rsidR="00BC4728" w:rsidRPr="00B0468F">
        <w:rPr>
          <w:rFonts w:eastAsia="Calibri"/>
          <w:i/>
          <w:color w:val="000000"/>
          <w:lang w:val="lt-LT"/>
        </w:rPr>
        <w:t xml:space="preserve"> </w:t>
      </w:r>
      <w:r w:rsidRPr="00B0468F">
        <w:rPr>
          <w:rFonts w:eastAsia="Calibri"/>
          <w:color w:val="000000"/>
          <w:lang w:val="lt-LT"/>
        </w:rPr>
        <w:t>tyrimo metu prazugrelis</w:t>
      </w:r>
      <w:r w:rsidR="00BC4728" w:rsidRPr="00B0468F">
        <w:rPr>
          <w:rFonts w:eastAsia="Calibri"/>
          <w:color w:val="000000"/>
          <w:lang w:val="lt-LT"/>
        </w:rPr>
        <w:t xml:space="preserve"> buvo vartotas neatsižvelg</w:t>
      </w:r>
      <w:r w:rsidRPr="00B0468F">
        <w:rPr>
          <w:rFonts w:eastAsia="Calibri"/>
          <w:color w:val="000000"/>
          <w:lang w:val="lt-LT"/>
        </w:rPr>
        <w:t>iant į maitinimąsi. Taigi prazugrelį</w:t>
      </w:r>
      <w:r w:rsidR="00BC4728" w:rsidRPr="00B0468F">
        <w:rPr>
          <w:rFonts w:eastAsia="Calibri"/>
          <w:color w:val="000000"/>
          <w:lang w:val="lt-LT"/>
        </w:rPr>
        <w:t xml:space="preserve"> galima vartoti, neatsižvelgiant į maitini</w:t>
      </w:r>
      <w:r w:rsidR="002E0D60" w:rsidRPr="00B0468F">
        <w:rPr>
          <w:rFonts w:eastAsia="Calibri"/>
          <w:color w:val="000000"/>
          <w:lang w:val="lt-LT"/>
        </w:rPr>
        <w:t>mąsi. Vis dėlto įsotinamąją praz</w:t>
      </w:r>
      <w:r w:rsidR="00BC4728" w:rsidRPr="00B0468F">
        <w:rPr>
          <w:rFonts w:eastAsia="Calibri"/>
          <w:color w:val="000000"/>
          <w:lang w:val="lt-LT"/>
        </w:rPr>
        <w:t>ugrelio dozę vartojant nevalgius, poveikis gali pradėti reik</w:t>
      </w:r>
      <w:r w:rsidRPr="00B0468F">
        <w:rPr>
          <w:rFonts w:eastAsia="Calibri"/>
          <w:color w:val="000000"/>
          <w:lang w:val="lt-LT"/>
        </w:rPr>
        <w:t>štis greičiau (žr. 4.2 skyrių).</w:t>
      </w:r>
    </w:p>
    <w:p w14:paraId="08CEBD43" w14:textId="77777777" w:rsidR="007C77E4" w:rsidRPr="00B0468F" w:rsidRDefault="007C77E4" w:rsidP="00B0468F">
      <w:pPr>
        <w:widowControl w:val="0"/>
        <w:tabs>
          <w:tab w:val="clear" w:pos="567"/>
        </w:tabs>
        <w:autoSpaceDE w:val="0"/>
        <w:autoSpaceDN w:val="0"/>
        <w:adjustRightInd w:val="0"/>
        <w:spacing w:line="240" w:lineRule="auto"/>
        <w:ind w:right="566"/>
        <w:rPr>
          <w:rFonts w:eastAsia="Calibri"/>
          <w:color w:val="000000"/>
          <w:lang w:val="lt-LT"/>
        </w:rPr>
      </w:pPr>
    </w:p>
    <w:p w14:paraId="7E3F5F52" w14:textId="77777777" w:rsidR="00BC4728" w:rsidRPr="00B0468F" w:rsidRDefault="007C77E4" w:rsidP="00B0468F">
      <w:pPr>
        <w:widowControl w:val="0"/>
        <w:tabs>
          <w:tab w:val="clear" w:pos="567"/>
        </w:tabs>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Pasiskirstymas</w:t>
      </w:r>
    </w:p>
    <w:p w14:paraId="6038BE87" w14:textId="77777777" w:rsidR="00BC4728" w:rsidRPr="00B0468F" w:rsidRDefault="00BC4728"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98% veikliojo metabolito prisijungia prie žmogaus serumo albuminų (4% buferinis tirpa</w:t>
      </w:r>
      <w:r w:rsidR="007C77E4" w:rsidRPr="00B0468F">
        <w:rPr>
          <w:rFonts w:eastAsia="Calibri"/>
          <w:color w:val="000000"/>
          <w:lang w:val="lt-LT"/>
        </w:rPr>
        <w:t>las).</w:t>
      </w:r>
    </w:p>
    <w:p w14:paraId="7BF2370D" w14:textId="77777777" w:rsidR="007C77E4" w:rsidRPr="00B0468F" w:rsidRDefault="007C77E4" w:rsidP="00B0468F">
      <w:pPr>
        <w:widowControl w:val="0"/>
        <w:tabs>
          <w:tab w:val="clear" w:pos="567"/>
        </w:tabs>
        <w:autoSpaceDE w:val="0"/>
        <w:autoSpaceDN w:val="0"/>
        <w:adjustRightInd w:val="0"/>
        <w:spacing w:line="240" w:lineRule="auto"/>
        <w:ind w:right="566"/>
        <w:rPr>
          <w:rFonts w:eastAsia="Calibri"/>
          <w:color w:val="000000"/>
          <w:lang w:val="lt-LT"/>
        </w:rPr>
      </w:pPr>
    </w:p>
    <w:p w14:paraId="1636F126" w14:textId="77777777" w:rsidR="00BC4728" w:rsidRPr="00B0468F" w:rsidRDefault="007C77E4" w:rsidP="00B0468F">
      <w:pPr>
        <w:widowControl w:val="0"/>
        <w:tabs>
          <w:tab w:val="clear" w:pos="567"/>
        </w:tabs>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Biotransformacija</w:t>
      </w:r>
    </w:p>
    <w:p w14:paraId="54CE095B" w14:textId="77777777" w:rsidR="00BC4728" w:rsidRPr="00B0468F" w:rsidRDefault="007C77E4"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Per burną pavartoto praz</w:t>
      </w:r>
      <w:r w:rsidR="00BC4728" w:rsidRPr="00B0468F">
        <w:rPr>
          <w:rFonts w:eastAsia="Calibri"/>
          <w:color w:val="000000"/>
          <w:lang w:val="lt-LT"/>
        </w:rPr>
        <w:t>ugrelio plazmoje neaptikta. Žarnyne vaistinis preparatas greitai hidrolizuojamas ir atsiranda tiolaktonas, kuris metabolizuojant citochromo P450 CYP3A4 ir CYP2B6 bei mažesne apimtimi CYP2C9 ir CYP2C19, iš karto verčiamas veikliuoju metabolitu. Veiklusis metabolitas toliau metabolizuojamas ir S–metilinimo ar cisteino prijungimo būdu atsiranda dvi neveikl</w:t>
      </w:r>
      <w:r w:rsidR="00573069" w:rsidRPr="00B0468F">
        <w:rPr>
          <w:rFonts w:eastAsia="Calibri"/>
          <w:color w:val="000000"/>
          <w:lang w:val="lt-LT"/>
        </w:rPr>
        <w:t>ios medžiagos.</w:t>
      </w:r>
    </w:p>
    <w:p w14:paraId="7F49DDFE" w14:textId="77777777" w:rsidR="00716533" w:rsidRPr="00B0468F" w:rsidRDefault="00716533" w:rsidP="00B0468F">
      <w:pPr>
        <w:widowControl w:val="0"/>
        <w:tabs>
          <w:tab w:val="clear" w:pos="567"/>
        </w:tabs>
        <w:autoSpaceDE w:val="0"/>
        <w:autoSpaceDN w:val="0"/>
        <w:adjustRightInd w:val="0"/>
        <w:spacing w:line="240" w:lineRule="auto"/>
        <w:ind w:right="566"/>
        <w:rPr>
          <w:rFonts w:eastAsia="Calibri"/>
          <w:color w:val="000000"/>
          <w:lang w:val="lt-LT"/>
        </w:rPr>
      </w:pPr>
    </w:p>
    <w:p w14:paraId="4FD655BB" w14:textId="77777777" w:rsidR="00BC4728" w:rsidRPr="00B0468F" w:rsidRDefault="00BC4728"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color w:val="000000"/>
          <w:lang w:val="lt-LT"/>
        </w:rPr>
        <w:t>Remiantis sveikų asmenų, pacientų, kurie serga stabilia ateroskleroze, ir pacientų, kuriems pa</w:t>
      </w:r>
      <w:r w:rsidR="007C77E4" w:rsidRPr="00B0468F">
        <w:rPr>
          <w:rFonts w:eastAsia="Calibri"/>
          <w:color w:val="000000"/>
          <w:lang w:val="lt-LT"/>
        </w:rPr>
        <w:t>sireiškia ŪKS, vartojusių prazugrelį</w:t>
      </w:r>
      <w:r w:rsidRPr="00B0468F">
        <w:rPr>
          <w:rFonts w:eastAsia="Calibri"/>
          <w:color w:val="000000"/>
          <w:lang w:val="lt-LT"/>
        </w:rPr>
        <w:t>, duomenimis, genetiniai CYP3A5, CYP2B6, CYP2C9 ar CYP2C1</w:t>
      </w:r>
      <w:r w:rsidR="007C77E4" w:rsidRPr="00B0468F">
        <w:rPr>
          <w:rFonts w:eastAsia="Calibri"/>
          <w:color w:val="000000"/>
          <w:lang w:val="lt-LT"/>
        </w:rPr>
        <w:t>9 skirtumai svarbios įtakos praz</w:t>
      </w:r>
      <w:r w:rsidRPr="00B0468F">
        <w:rPr>
          <w:rFonts w:eastAsia="Calibri"/>
          <w:color w:val="000000"/>
          <w:lang w:val="lt-LT"/>
        </w:rPr>
        <w:t>ugrelio farmakokinetikai ar vaistinio preparato sukeltam trombocitų a</w:t>
      </w:r>
      <w:r w:rsidR="007C77E4" w:rsidRPr="00B0468F">
        <w:rPr>
          <w:rFonts w:eastAsia="Calibri"/>
          <w:color w:val="000000"/>
          <w:lang w:val="lt-LT"/>
        </w:rPr>
        <w:t>gregacijos slopinimui neturėjo.</w:t>
      </w:r>
    </w:p>
    <w:p w14:paraId="6CA3B588" w14:textId="77777777" w:rsidR="007C77E4" w:rsidRPr="00B0468F" w:rsidRDefault="007C77E4" w:rsidP="00B0468F">
      <w:pPr>
        <w:widowControl w:val="0"/>
        <w:tabs>
          <w:tab w:val="clear" w:pos="567"/>
        </w:tabs>
        <w:autoSpaceDE w:val="0"/>
        <w:autoSpaceDN w:val="0"/>
        <w:adjustRightInd w:val="0"/>
        <w:spacing w:line="240" w:lineRule="auto"/>
        <w:ind w:right="566"/>
        <w:rPr>
          <w:rFonts w:eastAsia="Calibri"/>
          <w:color w:val="000000"/>
          <w:lang w:val="lt-LT"/>
        </w:rPr>
      </w:pPr>
    </w:p>
    <w:p w14:paraId="5F781100" w14:textId="77777777" w:rsidR="00BC4728" w:rsidRPr="00B0468F" w:rsidRDefault="007C77E4" w:rsidP="00B0468F">
      <w:pPr>
        <w:widowControl w:val="0"/>
        <w:tabs>
          <w:tab w:val="clear" w:pos="567"/>
        </w:tabs>
        <w:autoSpaceDE w:val="0"/>
        <w:autoSpaceDN w:val="0"/>
        <w:adjustRightInd w:val="0"/>
        <w:spacing w:line="240" w:lineRule="auto"/>
        <w:ind w:right="566"/>
        <w:rPr>
          <w:rFonts w:eastAsia="Calibri"/>
          <w:i/>
          <w:color w:val="000000"/>
          <w:u w:val="single"/>
          <w:lang w:val="lt-LT"/>
        </w:rPr>
      </w:pPr>
      <w:r w:rsidRPr="00B0468F">
        <w:rPr>
          <w:rFonts w:eastAsia="Calibri"/>
          <w:i/>
          <w:color w:val="000000"/>
          <w:u w:val="single"/>
          <w:lang w:val="lt-LT"/>
        </w:rPr>
        <w:t>Eliminacija</w:t>
      </w:r>
    </w:p>
    <w:p w14:paraId="1C310ABD" w14:textId="77777777" w:rsidR="00F34163" w:rsidRPr="00B0468F" w:rsidRDefault="00BC4728" w:rsidP="00B0468F">
      <w:pPr>
        <w:pStyle w:val="Antrat4"/>
        <w:keepNext w:val="0"/>
        <w:widowControl w:val="0"/>
        <w:spacing w:line="240" w:lineRule="auto"/>
        <w:ind w:right="566"/>
        <w:rPr>
          <w:rFonts w:eastAsia="Calibri"/>
          <w:color w:val="000000"/>
          <w:lang w:val="lt-LT"/>
        </w:rPr>
      </w:pPr>
      <w:r w:rsidRPr="00B0468F">
        <w:rPr>
          <w:rFonts w:ascii="Times New Roman" w:eastAsia="Calibri" w:hAnsi="Times New Roman"/>
          <w:b w:val="0"/>
          <w:color w:val="000000"/>
          <w:sz w:val="22"/>
          <w:lang w:val="lt-LT"/>
        </w:rPr>
        <w:t>Maž</w:t>
      </w:r>
      <w:r w:rsidR="007C77E4" w:rsidRPr="00B0468F">
        <w:rPr>
          <w:rFonts w:ascii="Times New Roman" w:eastAsia="Calibri" w:hAnsi="Times New Roman"/>
          <w:b w:val="0"/>
          <w:color w:val="000000"/>
          <w:sz w:val="22"/>
          <w:lang w:val="lt-LT"/>
        </w:rPr>
        <w:t>daug 68% praz</w:t>
      </w:r>
      <w:r w:rsidRPr="00B0468F">
        <w:rPr>
          <w:rFonts w:ascii="Times New Roman" w:eastAsia="Calibri" w:hAnsi="Times New Roman"/>
          <w:b w:val="0"/>
          <w:color w:val="000000"/>
          <w:sz w:val="22"/>
          <w:lang w:val="lt-LT"/>
        </w:rPr>
        <w:t>ugrelio dozės šalinama su šlapimu ir 27% su išmatomis neveiklaus metabolito pavidalu. Veikliojo metabolito pusinės eliminacijos periodas trunka maždaug 7,4 valandos (nuo 2 iki 15 valandų).</w:t>
      </w:r>
    </w:p>
    <w:p w14:paraId="2075B10E" w14:textId="77777777" w:rsidR="007C77E4" w:rsidRPr="00B0468F" w:rsidRDefault="007C77E4" w:rsidP="00B0468F">
      <w:pPr>
        <w:widowControl w:val="0"/>
        <w:spacing w:line="240" w:lineRule="auto"/>
        <w:ind w:right="566"/>
        <w:rPr>
          <w:lang w:val="lt-LT"/>
        </w:rPr>
      </w:pPr>
    </w:p>
    <w:p w14:paraId="5E1628FF" w14:textId="77777777" w:rsidR="007C77E4" w:rsidRPr="00B0468F" w:rsidRDefault="007C77E4" w:rsidP="00B0468F">
      <w:pPr>
        <w:widowControl w:val="0"/>
        <w:spacing w:line="240" w:lineRule="auto"/>
        <w:ind w:right="566"/>
        <w:rPr>
          <w:u w:val="single"/>
          <w:lang w:val="lt-LT"/>
        </w:rPr>
      </w:pPr>
      <w:r w:rsidRPr="00B0468F">
        <w:rPr>
          <w:u w:val="single"/>
          <w:lang w:val="lt-LT"/>
        </w:rPr>
        <w:t>Farmakokinetika ypatingų populiacijų pacientų organizmuose</w:t>
      </w:r>
    </w:p>
    <w:p w14:paraId="132FA059" w14:textId="77777777" w:rsidR="007E12B3" w:rsidRPr="00B0468F" w:rsidRDefault="007E12B3" w:rsidP="00B0468F">
      <w:pPr>
        <w:widowControl w:val="0"/>
        <w:spacing w:line="240" w:lineRule="auto"/>
        <w:ind w:right="566"/>
        <w:rPr>
          <w:u w:val="single"/>
          <w:lang w:val="lt-LT"/>
        </w:rPr>
      </w:pPr>
    </w:p>
    <w:p w14:paraId="2527246A" w14:textId="77777777" w:rsidR="007E12B3" w:rsidRPr="00B0468F" w:rsidRDefault="007C77E4" w:rsidP="00B0468F">
      <w:pPr>
        <w:widowControl w:val="0"/>
        <w:spacing w:line="240" w:lineRule="auto"/>
        <w:ind w:right="566"/>
        <w:rPr>
          <w:lang w:val="lt-LT"/>
        </w:rPr>
      </w:pPr>
      <w:r w:rsidRPr="00B0468F">
        <w:rPr>
          <w:i/>
          <w:u w:val="single"/>
          <w:lang w:val="lt-LT"/>
        </w:rPr>
        <w:t>Senyvi pacientai</w:t>
      </w:r>
    </w:p>
    <w:p w14:paraId="69ACC52E" w14:textId="77777777" w:rsidR="007C77E4" w:rsidRPr="00B0468F" w:rsidRDefault="007C77E4" w:rsidP="00B0468F">
      <w:pPr>
        <w:widowControl w:val="0"/>
        <w:spacing w:line="240" w:lineRule="auto"/>
        <w:ind w:right="566"/>
        <w:rPr>
          <w:lang w:val="lt-LT"/>
        </w:rPr>
      </w:pPr>
      <w:r w:rsidRPr="00B0468F">
        <w:rPr>
          <w:lang w:val="lt-LT"/>
        </w:rPr>
        <w:t>Tyrimo su sveikais asmenimis, kurių amžius buvo nuo 20 iki 80 metų, duomenimis</w:t>
      </w:r>
      <w:r w:rsidR="00125010" w:rsidRPr="00B0468F">
        <w:rPr>
          <w:lang w:val="lt-LT"/>
        </w:rPr>
        <w:t>, amžius reikšmingos įtakos praz</w:t>
      </w:r>
      <w:r w:rsidRPr="00B0468F">
        <w:rPr>
          <w:lang w:val="lt-LT"/>
        </w:rPr>
        <w:t>ugrelio farmakokinetikai ir vaistinio preparato sukeltam trombocitų agregacijos slopinimui neturėjo. Didelio klinikinio 3 fazės tyrimo duomenimis, vidutinė nustatyta veikliojo metabolito ekspozicija (AUC) labai senų pacientų (75 metų ir vyresnių) organizme buvo 19% didesnė, palyginti su jaunesnių kaip 75 metų pacientų. 75 me</w:t>
      </w:r>
      <w:r w:rsidR="00125010" w:rsidRPr="00B0468F">
        <w:rPr>
          <w:lang w:val="lt-LT"/>
        </w:rPr>
        <w:t>tų ir vyresniems pacientams praz</w:t>
      </w:r>
      <w:r w:rsidRPr="00B0468F">
        <w:rPr>
          <w:lang w:val="lt-LT"/>
        </w:rPr>
        <w:t>ugrelį reikia vartoti atsargiai, nes šios grupės pacientams gali būti padidėjusi kraujavimo rizika (žr. 4.2 ir 4.4 skyrius). Tyrimo, kuriame dalyvavo tiriamieji, sergantys stabilia ateroskleroze, duomenimis, veikliojo metabolito vidutinis AUC pacientų, kuriems yra 75 metai a</w:t>
      </w:r>
      <w:r w:rsidR="00956153" w:rsidRPr="00B0468F">
        <w:rPr>
          <w:lang w:val="lt-LT"/>
        </w:rPr>
        <w:t>r daugiau, vartojančių 5 </w:t>
      </w:r>
      <w:r w:rsidR="00125010" w:rsidRPr="00B0468F">
        <w:rPr>
          <w:lang w:val="lt-LT"/>
        </w:rPr>
        <w:t>mg praz</w:t>
      </w:r>
      <w:r w:rsidRPr="00B0468F">
        <w:rPr>
          <w:lang w:val="lt-LT"/>
        </w:rPr>
        <w:t xml:space="preserve">ugrelio dozę, organizme buvo maždaug perpus mažesnė nei jaunesnių kaip 65 metų </w:t>
      </w:r>
      <w:r w:rsidR="00956153" w:rsidRPr="00B0468F">
        <w:rPr>
          <w:lang w:val="lt-LT"/>
        </w:rPr>
        <w:t>pacientų, vartojančių 10 </w:t>
      </w:r>
      <w:r w:rsidR="00125010" w:rsidRPr="00B0468F">
        <w:rPr>
          <w:lang w:val="lt-LT"/>
        </w:rPr>
        <w:t>mg praz</w:t>
      </w:r>
      <w:r w:rsidRPr="00B0468F">
        <w:rPr>
          <w:lang w:val="lt-LT"/>
        </w:rPr>
        <w:t>ugrelio dozę, o trombocitų f</w:t>
      </w:r>
      <w:r w:rsidR="00956153" w:rsidRPr="00B0468F">
        <w:rPr>
          <w:lang w:val="lt-LT"/>
        </w:rPr>
        <w:t>unkcijos slopinimas vartojant 5 </w:t>
      </w:r>
      <w:r w:rsidRPr="00B0468F">
        <w:rPr>
          <w:lang w:val="lt-LT"/>
        </w:rPr>
        <w:t>mg dozę buvo silpnesnis, bet poveikis buv</w:t>
      </w:r>
      <w:r w:rsidR="00956153" w:rsidRPr="00B0468F">
        <w:rPr>
          <w:lang w:val="lt-LT"/>
        </w:rPr>
        <w:t>o ne blogesnis, palyginti su 10 </w:t>
      </w:r>
      <w:r w:rsidRPr="00B0468F">
        <w:rPr>
          <w:lang w:val="lt-LT"/>
        </w:rPr>
        <w:t>mg doze.</w:t>
      </w:r>
    </w:p>
    <w:p w14:paraId="24156B47" w14:textId="77777777" w:rsidR="0007076E" w:rsidRPr="00B0468F" w:rsidRDefault="0007076E" w:rsidP="00B0468F">
      <w:pPr>
        <w:widowControl w:val="0"/>
        <w:spacing w:line="240" w:lineRule="auto"/>
        <w:ind w:right="566"/>
        <w:rPr>
          <w:lang w:val="lt-LT"/>
        </w:rPr>
      </w:pPr>
    </w:p>
    <w:p w14:paraId="64C1360B" w14:textId="77777777" w:rsidR="007E12B3" w:rsidRPr="00B0468F" w:rsidRDefault="007E12B3" w:rsidP="00B0468F">
      <w:pPr>
        <w:widowControl w:val="0"/>
        <w:spacing w:line="240" w:lineRule="auto"/>
        <w:ind w:right="566"/>
        <w:rPr>
          <w:u w:val="single"/>
          <w:lang w:val="lt-LT"/>
        </w:rPr>
      </w:pPr>
      <w:r w:rsidRPr="00B0468F">
        <w:rPr>
          <w:i/>
          <w:u w:val="single"/>
          <w:lang w:val="lt-LT"/>
        </w:rPr>
        <w:t>Sutrikusi kepenų funkcija</w:t>
      </w:r>
    </w:p>
    <w:p w14:paraId="63432720" w14:textId="77777777" w:rsidR="0007076E" w:rsidRPr="00B0468F" w:rsidRDefault="0007076E" w:rsidP="00B0468F">
      <w:pPr>
        <w:widowControl w:val="0"/>
        <w:spacing w:line="240" w:lineRule="auto"/>
        <w:ind w:right="566"/>
        <w:rPr>
          <w:u w:val="single"/>
          <w:lang w:val="lt-LT"/>
        </w:rPr>
      </w:pPr>
      <w:r w:rsidRPr="00B0468F">
        <w:rPr>
          <w:lang w:val="lt-LT"/>
        </w:rPr>
        <w:t xml:space="preserve">Dozės keisti nebūtina pacientams, kurie serga lengvu ar vidutinio sunkumo kepenų funkcijos sutrikimu (A ir B klasės pagal </w:t>
      </w:r>
      <w:r w:rsidRPr="00B0468F">
        <w:rPr>
          <w:i/>
          <w:lang w:val="lt-LT"/>
        </w:rPr>
        <w:t>Child Pugh</w:t>
      </w:r>
      <w:r w:rsidRPr="00B0468F">
        <w:rPr>
          <w:lang w:val="lt-LT"/>
        </w:rPr>
        <w:t>). Asmenų, kurie serga lengvu ar vidutinio sunkumo kepenų funkcijos sutrikimu, organizme prazugrelio farmakokinetika ir vaistinio preparato sukeltas trombocitų agregacijos slopinimas buvo panašūs į sveikų asmenų. Prazugrelio farmakokinetikos ir farmakodinamikos tyrimų su pacientais, kurie serga sunkiu kepenų funkcijos sutrikimu, neatlikta. Prazugrelio negalima vartoti pacientams, kurie serga sunkiu kepenų funkcijos sutrikimu (žr. 4.3 skyrių).</w:t>
      </w:r>
    </w:p>
    <w:p w14:paraId="2240DC61" w14:textId="77777777" w:rsidR="0007076E" w:rsidRPr="00B0468F" w:rsidRDefault="0007076E" w:rsidP="00B0468F">
      <w:pPr>
        <w:widowControl w:val="0"/>
        <w:spacing w:line="240" w:lineRule="auto"/>
        <w:ind w:right="566"/>
        <w:rPr>
          <w:lang w:val="lt-LT"/>
        </w:rPr>
      </w:pPr>
    </w:p>
    <w:p w14:paraId="2D534257" w14:textId="77777777" w:rsidR="007E12B3" w:rsidRPr="00B0468F" w:rsidRDefault="007E12B3" w:rsidP="00B0468F">
      <w:pPr>
        <w:widowControl w:val="0"/>
        <w:spacing w:line="240" w:lineRule="auto"/>
        <w:ind w:right="566"/>
        <w:rPr>
          <w:u w:val="single"/>
          <w:lang w:val="lt-LT"/>
        </w:rPr>
      </w:pPr>
      <w:r w:rsidRPr="00B0468F">
        <w:rPr>
          <w:i/>
          <w:u w:val="single"/>
          <w:lang w:val="lt-LT"/>
        </w:rPr>
        <w:t>Sutrikusi inkstų funkcija</w:t>
      </w:r>
    </w:p>
    <w:p w14:paraId="6E24D9EC" w14:textId="77777777" w:rsidR="0007076E" w:rsidRPr="00B0468F" w:rsidRDefault="0007076E" w:rsidP="00B0468F">
      <w:pPr>
        <w:widowControl w:val="0"/>
        <w:spacing w:line="240" w:lineRule="auto"/>
        <w:ind w:right="566"/>
        <w:rPr>
          <w:lang w:val="lt-LT"/>
        </w:rPr>
      </w:pPr>
      <w:r w:rsidRPr="00B0468F">
        <w:rPr>
          <w:lang w:val="lt-LT"/>
        </w:rPr>
        <w:t>Dozės keisti nebūtina pacientams, kurie serga inkstų funkcijos sutrikimu, įskaitant pacientus, kurie serga galutinės s</w:t>
      </w:r>
      <w:r w:rsidR="00385BDC" w:rsidRPr="00B0468F">
        <w:rPr>
          <w:lang w:val="lt-LT"/>
        </w:rPr>
        <w:t>tadijos inkstų liga (GSIL). Praz</w:t>
      </w:r>
      <w:r w:rsidRPr="00B0468F">
        <w:rPr>
          <w:lang w:val="lt-LT"/>
        </w:rPr>
        <w:t>ugrelio farmakokinetika ir vaistinio preparato sukeltas trombocitų agregacijos slopinimas pacientų, kurie serga vidutinio sunkumo inkstų funkcijos sutrikimu (GFG 30 &lt; 50 ml/min./1,73 m2) organiz</w:t>
      </w:r>
      <w:r w:rsidR="00385BDC" w:rsidRPr="00B0468F">
        <w:rPr>
          <w:lang w:val="lt-LT"/>
        </w:rPr>
        <w:t>me panašus į sveikų asmenų. Praz</w:t>
      </w:r>
      <w:r w:rsidRPr="00B0468F">
        <w:rPr>
          <w:lang w:val="lt-LT"/>
        </w:rPr>
        <w:t xml:space="preserve">ugrelio sukeltas trombocitų agregacijos slopinimas buvo panašus ir GSIL sergančių </w:t>
      </w:r>
      <w:r w:rsidRPr="00B0468F">
        <w:rPr>
          <w:lang w:val="lt-LT"/>
        </w:rPr>
        <w:lastRenderedPageBreak/>
        <w:t>pacientų, kuriems reikia hemodializės, organizme, palyginti su sveikų asmenų, vis dėlto veikliojo metabolito Cmax ir AUC pacientų, kurie serga GSIL, organizme sumažėjo atitinkamai 51% ir 42%.</w:t>
      </w:r>
    </w:p>
    <w:p w14:paraId="16C9162B" w14:textId="77777777" w:rsidR="0007076E" w:rsidRPr="00B0468F" w:rsidRDefault="0007076E" w:rsidP="00B0468F">
      <w:pPr>
        <w:widowControl w:val="0"/>
        <w:spacing w:line="240" w:lineRule="auto"/>
        <w:ind w:right="566"/>
        <w:rPr>
          <w:u w:val="single"/>
          <w:lang w:val="lt-LT"/>
        </w:rPr>
      </w:pPr>
    </w:p>
    <w:p w14:paraId="3B642499" w14:textId="77777777" w:rsidR="0026339E" w:rsidRPr="00B0468F" w:rsidRDefault="0007076E" w:rsidP="00B0468F">
      <w:pPr>
        <w:widowControl w:val="0"/>
        <w:spacing w:line="240" w:lineRule="auto"/>
        <w:ind w:right="566"/>
        <w:rPr>
          <w:lang w:val="lt-LT"/>
        </w:rPr>
      </w:pPr>
      <w:r w:rsidRPr="00B0468F">
        <w:rPr>
          <w:i/>
          <w:u w:val="single"/>
          <w:lang w:val="lt-LT"/>
        </w:rPr>
        <w:t>Kūno masė</w:t>
      </w:r>
    </w:p>
    <w:p w14:paraId="0BDCC52C" w14:textId="77777777" w:rsidR="0007076E" w:rsidRPr="00B0468F" w:rsidRDefault="00385BDC" w:rsidP="00B0468F">
      <w:pPr>
        <w:widowControl w:val="0"/>
        <w:spacing w:line="240" w:lineRule="auto"/>
        <w:ind w:right="566"/>
        <w:rPr>
          <w:lang w:val="lt-LT"/>
        </w:rPr>
      </w:pPr>
      <w:r w:rsidRPr="00B0468F">
        <w:rPr>
          <w:lang w:val="lt-LT"/>
        </w:rPr>
        <w:t>Praz</w:t>
      </w:r>
      <w:r w:rsidR="0007076E" w:rsidRPr="00B0468F">
        <w:rPr>
          <w:lang w:val="lt-LT"/>
        </w:rPr>
        <w:t>ugrelio veikliojo metabolito vidutinė ekspozicija (AUC) yra maždaug 30-40% didesnė sveikų asmenų</w:t>
      </w:r>
      <w:r w:rsidR="00405243" w:rsidRPr="00B0468F">
        <w:rPr>
          <w:lang w:val="lt-LT"/>
        </w:rPr>
        <w:t xml:space="preserve"> ir pacientų, kurių kūno masė &lt; 60 </w:t>
      </w:r>
      <w:r w:rsidR="0007076E" w:rsidRPr="00B0468F">
        <w:rPr>
          <w:lang w:val="lt-LT"/>
        </w:rPr>
        <w:t xml:space="preserve">kg, palyginti su </w:t>
      </w:r>
      <w:r w:rsidR="00405243" w:rsidRPr="00B0468F">
        <w:rPr>
          <w:lang w:val="lt-LT"/>
        </w:rPr>
        <w:t>tais, kurie sveria ≥ 60 </w:t>
      </w:r>
      <w:r w:rsidR="00994DDA" w:rsidRPr="00B0468F">
        <w:rPr>
          <w:lang w:val="lt-LT"/>
        </w:rPr>
        <w:t>kg. Praz</w:t>
      </w:r>
      <w:r w:rsidR="0007076E" w:rsidRPr="00B0468F">
        <w:rPr>
          <w:lang w:val="lt-LT"/>
        </w:rPr>
        <w:t>ugrelį reikia atsargiai vartot</w:t>
      </w:r>
      <w:r w:rsidR="00405243" w:rsidRPr="00B0468F">
        <w:rPr>
          <w:lang w:val="lt-LT"/>
        </w:rPr>
        <w:t>i pacientams, kurių kūno masė &lt; 60 </w:t>
      </w:r>
      <w:r w:rsidR="0007076E" w:rsidRPr="00B0468F">
        <w:rPr>
          <w:lang w:val="lt-LT"/>
        </w:rPr>
        <w:t>kg, nes šios grupės pacientams gali būti padidėjusi kraujavimo rizika (žr. 4.4 skyrių). Tyrimo, kuriame dalyvavo tiriamieji, sergantys stabilia ateroskleroze, duomenimis, veikliojo metabolito vidutinis AUC pacientų, kurių kūno masė yra mažesnė k</w:t>
      </w:r>
      <w:r w:rsidR="00852751" w:rsidRPr="00B0468F">
        <w:rPr>
          <w:lang w:val="lt-LT"/>
        </w:rPr>
        <w:t>aip 60 kg, vartojančių 5 mg praz</w:t>
      </w:r>
      <w:r w:rsidR="0007076E" w:rsidRPr="00B0468F">
        <w:rPr>
          <w:lang w:val="lt-LT"/>
        </w:rPr>
        <w:t>ugrelio dozę, organizme buvo 38 % mažesnė nei pacientų, kurių kūno masė yra</w:t>
      </w:r>
      <w:r w:rsidR="00852751" w:rsidRPr="00B0468F">
        <w:rPr>
          <w:lang w:val="lt-LT"/>
        </w:rPr>
        <w:t xml:space="preserve"> ≥ 60 kg, vartojančių 10 mg praz</w:t>
      </w:r>
      <w:r w:rsidR="0007076E" w:rsidRPr="00B0468F">
        <w:rPr>
          <w:lang w:val="lt-LT"/>
        </w:rPr>
        <w:t>ugrelio dozę, o trombocitų f</w:t>
      </w:r>
      <w:r w:rsidR="00852751" w:rsidRPr="00B0468F">
        <w:rPr>
          <w:lang w:val="lt-LT"/>
        </w:rPr>
        <w:t>unkcijos slopinimas vartojant 5 </w:t>
      </w:r>
      <w:r w:rsidR="0007076E" w:rsidRPr="00B0468F">
        <w:rPr>
          <w:lang w:val="lt-LT"/>
        </w:rPr>
        <w:t>mg dozę buvo pana</w:t>
      </w:r>
      <w:r w:rsidR="00852751" w:rsidRPr="00B0468F">
        <w:rPr>
          <w:lang w:val="lt-LT"/>
        </w:rPr>
        <w:t>šus į pasireiškusį vartojant 10 </w:t>
      </w:r>
      <w:r w:rsidR="0007076E" w:rsidRPr="00B0468F">
        <w:rPr>
          <w:lang w:val="lt-LT"/>
        </w:rPr>
        <w:t>mg dozę.</w:t>
      </w:r>
    </w:p>
    <w:p w14:paraId="2F84D651" w14:textId="77777777" w:rsidR="00696E1F" w:rsidRPr="00B0468F" w:rsidRDefault="00696E1F" w:rsidP="00B0468F">
      <w:pPr>
        <w:widowControl w:val="0"/>
        <w:spacing w:line="240" w:lineRule="auto"/>
        <w:ind w:right="566"/>
        <w:rPr>
          <w:lang w:val="lt-LT"/>
        </w:rPr>
      </w:pPr>
    </w:p>
    <w:p w14:paraId="161EB726" w14:textId="77777777" w:rsidR="00797DCD" w:rsidRPr="00B0468F" w:rsidRDefault="0007076E" w:rsidP="00B0468F">
      <w:pPr>
        <w:widowControl w:val="0"/>
        <w:spacing w:line="240" w:lineRule="auto"/>
        <w:ind w:right="566"/>
        <w:rPr>
          <w:lang w:val="lt-LT"/>
        </w:rPr>
      </w:pPr>
      <w:r w:rsidRPr="00B0468F">
        <w:rPr>
          <w:i/>
          <w:u w:val="single"/>
          <w:lang w:val="lt-LT"/>
        </w:rPr>
        <w:t>Etninė grupė</w:t>
      </w:r>
    </w:p>
    <w:p w14:paraId="3364D87D" w14:textId="77777777" w:rsidR="0007076E" w:rsidRPr="00B0468F" w:rsidRDefault="0007076E" w:rsidP="00B0468F">
      <w:pPr>
        <w:widowControl w:val="0"/>
        <w:spacing w:line="240" w:lineRule="auto"/>
        <w:ind w:right="566"/>
        <w:rPr>
          <w:lang w:val="lt-LT"/>
        </w:rPr>
      </w:pPr>
      <w:r w:rsidRPr="00B0468F">
        <w:rPr>
          <w:lang w:val="lt-LT"/>
        </w:rPr>
        <w:t>Klinikinių farmakologijos tyrimų duomenimis, veikliojo metabolito AUC, apskaičiavus pagal kūno svorį, buvo maždaug 19% didesnis kinų, japonų ir korėjiečių organizme, palyginti su baltaodžiais. Didesnė ekspozicija ypač susijusi su tais</w:t>
      </w:r>
      <w:r w:rsidR="00797DCD" w:rsidRPr="00B0468F">
        <w:rPr>
          <w:lang w:val="lt-LT"/>
        </w:rPr>
        <w:t xml:space="preserve"> azijiečiais, kurių kūno masė &lt; 60 </w:t>
      </w:r>
      <w:r w:rsidRPr="00B0468F">
        <w:rPr>
          <w:lang w:val="lt-LT"/>
        </w:rPr>
        <w:t>kg. Ekspozicijos skirtumų kinų, japonų ir korėjiečių organizme nenustatyta. Ekspozicijos afrikiečių ir ispanų organizme panašios į baltaodžių. Atsižvelgiant vien tik į priklausomybę etinei grupei, dozės keisti nerekomenduojama.</w:t>
      </w:r>
    </w:p>
    <w:p w14:paraId="3ED20947" w14:textId="77777777" w:rsidR="00E654D0" w:rsidRPr="00B0468F" w:rsidRDefault="00E654D0" w:rsidP="00B0468F">
      <w:pPr>
        <w:widowControl w:val="0"/>
        <w:spacing w:line="240" w:lineRule="auto"/>
        <w:ind w:right="566"/>
        <w:rPr>
          <w:lang w:val="lt-LT"/>
        </w:rPr>
      </w:pPr>
    </w:p>
    <w:p w14:paraId="1ABAC8C7" w14:textId="77777777" w:rsidR="00797DCD" w:rsidRPr="00B0468F" w:rsidRDefault="0007076E" w:rsidP="00B0468F">
      <w:pPr>
        <w:widowControl w:val="0"/>
        <w:spacing w:line="240" w:lineRule="auto"/>
        <w:ind w:right="566"/>
        <w:rPr>
          <w:i/>
          <w:lang w:val="lt-LT"/>
        </w:rPr>
      </w:pPr>
      <w:r w:rsidRPr="00B0468F">
        <w:rPr>
          <w:i/>
          <w:u w:val="single"/>
          <w:lang w:val="lt-LT"/>
        </w:rPr>
        <w:t>Lytis</w:t>
      </w:r>
    </w:p>
    <w:p w14:paraId="0AB547EC" w14:textId="77777777" w:rsidR="0007076E" w:rsidRPr="00B0468F" w:rsidRDefault="00E654D0" w:rsidP="00B0468F">
      <w:pPr>
        <w:widowControl w:val="0"/>
        <w:spacing w:line="240" w:lineRule="auto"/>
        <w:ind w:right="566"/>
        <w:rPr>
          <w:lang w:val="lt-LT"/>
        </w:rPr>
      </w:pPr>
      <w:r w:rsidRPr="00B0468F">
        <w:rPr>
          <w:lang w:val="lt-LT"/>
        </w:rPr>
        <w:t>Praz</w:t>
      </w:r>
      <w:r w:rsidR="0007076E" w:rsidRPr="00B0468F">
        <w:rPr>
          <w:lang w:val="lt-LT"/>
        </w:rPr>
        <w:t>ugrelio farmakokinetika sveikų ir pacientų vyrų bei moterų organizme yra panaši.</w:t>
      </w:r>
    </w:p>
    <w:p w14:paraId="6794E31A" w14:textId="77777777" w:rsidR="00E654D0" w:rsidRPr="00B0468F" w:rsidRDefault="00E654D0" w:rsidP="00B0468F">
      <w:pPr>
        <w:widowControl w:val="0"/>
        <w:spacing w:line="240" w:lineRule="auto"/>
        <w:ind w:right="566"/>
        <w:rPr>
          <w:lang w:val="lt-LT"/>
        </w:rPr>
      </w:pPr>
    </w:p>
    <w:p w14:paraId="55D94964" w14:textId="77777777" w:rsidR="00797DCD" w:rsidRPr="00B0468F" w:rsidRDefault="0007076E" w:rsidP="00B0468F">
      <w:pPr>
        <w:widowControl w:val="0"/>
        <w:spacing w:line="240" w:lineRule="auto"/>
        <w:ind w:right="566"/>
        <w:rPr>
          <w:i/>
          <w:lang w:val="lt-LT"/>
        </w:rPr>
      </w:pPr>
      <w:r w:rsidRPr="00B0468F">
        <w:rPr>
          <w:i/>
          <w:u w:val="single"/>
          <w:lang w:val="lt-LT"/>
        </w:rPr>
        <w:t>Vaikų populiacija</w:t>
      </w:r>
    </w:p>
    <w:p w14:paraId="0BE15F37" w14:textId="77777777" w:rsidR="007C77E4" w:rsidRPr="00B0468F" w:rsidRDefault="00AE1484" w:rsidP="00B0468F">
      <w:pPr>
        <w:widowControl w:val="0"/>
        <w:spacing w:line="240" w:lineRule="auto"/>
        <w:ind w:right="566"/>
        <w:rPr>
          <w:lang w:val="lt-LT"/>
        </w:rPr>
      </w:pPr>
      <w:r w:rsidRPr="00B0468F">
        <w:rPr>
          <w:lang w:val="lt-LT"/>
        </w:rPr>
        <w:t>Praz</w:t>
      </w:r>
      <w:r w:rsidR="0007076E" w:rsidRPr="00B0468F">
        <w:rPr>
          <w:lang w:val="lt-LT"/>
        </w:rPr>
        <w:t>ugrelio farmakokinetika ir farmakodinamika vaikų ir paauglių organizme netirta (žr. 4.2 skyrių).</w:t>
      </w:r>
    </w:p>
    <w:p w14:paraId="600E8B4F" w14:textId="77777777" w:rsidR="00AE1484" w:rsidRPr="00B0468F" w:rsidRDefault="00AE1484" w:rsidP="00B0468F">
      <w:pPr>
        <w:widowControl w:val="0"/>
        <w:spacing w:line="240" w:lineRule="auto"/>
        <w:ind w:right="566"/>
        <w:rPr>
          <w:lang w:val="lt-LT"/>
        </w:rPr>
      </w:pPr>
    </w:p>
    <w:p w14:paraId="290336BC"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5.3</w:t>
      </w:r>
      <w:r w:rsidRPr="00B0468F">
        <w:rPr>
          <w:rFonts w:ascii="Times New Roman" w:hAnsi="Times New Roman"/>
          <w:sz w:val="22"/>
          <w:lang w:val="lt-LT"/>
        </w:rPr>
        <w:tab/>
        <w:t>Ikiklinikinių saugumo tyrimų duomenys</w:t>
      </w:r>
    </w:p>
    <w:p w14:paraId="7B578663" w14:textId="77777777" w:rsidR="00F34163" w:rsidRPr="00B0468F" w:rsidRDefault="00F34163" w:rsidP="005350AF">
      <w:pPr>
        <w:widowControl w:val="0"/>
        <w:tabs>
          <w:tab w:val="clear" w:pos="567"/>
        </w:tabs>
        <w:spacing w:line="240" w:lineRule="auto"/>
        <w:ind w:right="566"/>
        <w:rPr>
          <w:lang w:val="lt-LT"/>
        </w:rPr>
      </w:pPr>
    </w:p>
    <w:p w14:paraId="67CB77BA" w14:textId="77777777" w:rsidR="00F34163" w:rsidRPr="00B0468F" w:rsidRDefault="009D4D18" w:rsidP="005350AF">
      <w:pPr>
        <w:widowControl w:val="0"/>
        <w:tabs>
          <w:tab w:val="clear" w:pos="567"/>
        </w:tabs>
        <w:spacing w:line="240" w:lineRule="auto"/>
        <w:ind w:right="566"/>
        <w:rPr>
          <w:lang w:val="lt-LT"/>
        </w:rPr>
      </w:pPr>
      <w:r w:rsidRPr="00B0468F">
        <w:rPr>
          <w:lang w:val="lt-LT"/>
        </w:rPr>
        <w:t>Įprastų farmakologinio saugumo, kartotinių dozių toksiškumo, genotoksiškumo, galimo kancerogeniškumo ir toksinio poveikio reprodukcijai ikiklinikinių tyrimų duomenys specifinio pavojaus žmogui nerodo. Ikiklinikinių tyrimų metu poveikis pastebėtas tik tada, kai ekspozicija buvo tokia, kuri laikoma pakankamai viršijančia maksimalią žmogui, todėl jo klinikinė reikšmė yra maža.</w:t>
      </w:r>
    </w:p>
    <w:p w14:paraId="03BD0CD7" w14:textId="77777777" w:rsidR="00E649B5" w:rsidRPr="00B0468F" w:rsidRDefault="00E649B5" w:rsidP="005350AF">
      <w:pPr>
        <w:widowControl w:val="0"/>
        <w:tabs>
          <w:tab w:val="clear" w:pos="567"/>
        </w:tabs>
        <w:spacing w:line="240" w:lineRule="auto"/>
        <w:ind w:right="566"/>
        <w:rPr>
          <w:lang w:val="lt-LT"/>
        </w:rPr>
      </w:pPr>
    </w:p>
    <w:p w14:paraId="06A247A9" w14:textId="77777777" w:rsidR="00F34163" w:rsidRPr="00B0468F" w:rsidRDefault="00E649B5" w:rsidP="005350AF">
      <w:pPr>
        <w:widowControl w:val="0"/>
        <w:tabs>
          <w:tab w:val="clear" w:pos="567"/>
        </w:tabs>
        <w:spacing w:line="240" w:lineRule="auto"/>
        <w:ind w:right="566"/>
        <w:rPr>
          <w:lang w:val="lt-LT"/>
        </w:rPr>
      </w:pPr>
      <w:r w:rsidRPr="00B0468F">
        <w:rPr>
          <w:lang w:val="lt-LT"/>
        </w:rPr>
        <w:t>Toksinio poveikio embriono ir vaisiaus vystymuisi tyrimai su žiurkėmis ir triušiais sklaidos defektų vartojant prazugrelį neparodė.</w:t>
      </w:r>
      <w:r w:rsidR="005F0943" w:rsidRPr="00B0468F">
        <w:rPr>
          <w:lang w:val="lt-LT"/>
        </w:rPr>
        <w:t xml:space="preserve"> Vartojant labai didelę dozę (&gt; </w:t>
      </w:r>
      <w:r w:rsidRPr="00B0468F">
        <w:rPr>
          <w:lang w:val="lt-LT"/>
        </w:rPr>
        <w:t>240 didesnė už tą, kuri atsiranda rekomenduojamą palaikomąją paros dozę vartojančio žmogaus orga</w:t>
      </w:r>
      <w:r w:rsidR="005F0943" w:rsidRPr="00B0468F">
        <w:rPr>
          <w:lang w:val="lt-LT"/>
        </w:rPr>
        <w:t>nizme, apskaičiuotą </w:t>
      </w:r>
      <w:r w:rsidRPr="00B0468F">
        <w:rPr>
          <w:lang w:val="lt-LT"/>
        </w:rPr>
        <w:t xml:space="preserve">mg/m2), kuri turėjo įtakos patelės kūno svoriui ir (arba) maisto suvartojimui, šiek tiek sumažėjo jauniklių kūno masė (palyginti su kontrolinės grupės). Prenatalinių ir postanatalinių tyrimų su žiurkėmis duomenimis, patelei taikytas gydymas įtakos jauniklių elgsenai ar reprodukcijai neturėjo, kai ekspozicija buvo tokia, kuri yra 240 kartų didesnė už tą, kuri atsiranda rekomenduojamą palaikomąją paros dozę vartojančio </w:t>
      </w:r>
      <w:r w:rsidR="005F0943" w:rsidRPr="00B0468F">
        <w:rPr>
          <w:lang w:val="lt-LT"/>
        </w:rPr>
        <w:t>žmogaus organizme (apskaičiuotą </w:t>
      </w:r>
      <w:r w:rsidRPr="00B0468F">
        <w:rPr>
          <w:lang w:val="lt-LT"/>
        </w:rPr>
        <w:t>mg/m2).</w:t>
      </w:r>
    </w:p>
    <w:p w14:paraId="1AA3D0AD" w14:textId="77777777" w:rsidR="00E649B5" w:rsidRPr="00B0468F" w:rsidRDefault="00E649B5" w:rsidP="005350AF">
      <w:pPr>
        <w:widowControl w:val="0"/>
        <w:tabs>
          <w:tab w:val="clear" w:pos="567"/>
        </w:tabs>
        <w:spacing w:line="240" w:lineRule="auto"/>
        <w:ind w:right="566"/>
        <w:rPr>
          <w:lang w:val="lt-LT"/>
        </w:rPr>
      </w:pPr>
    </w:p>
    <w:p w14:paraId="19892BC1" w14:textId="77777777" w:rsidR="00E649B5" w:rsidRPr="00B0468F" w:rsidRDefault="00E649B5" w:rsidP="005350AF">
      <w:pPr>
        <w:widowControl w:val="0"/>
        <w:tabs>
          <w:tab w:val="clear" w:pos="567"/>
        </w:tabs>
        <w:spacing w:line="240" w:lineRule="auto"/>
        <w:ind w:right="566"/>
        <w:rPr>
          <w:lang w:val="lt-LT"/>
        </w:rPr>
      </w:pPr>
      <w:r w:rsidRPr="00B0468F">
        <w:rPr>
          <w:lang w:val="lt-LT"/>
        </w:rPr>
        <w:t>Du metus trukusio tyrimo su žiurkėmis metu su medžiaga susijusių auglių nenustatyta, kai prazugrelio ekspozicija buvo 75 kartų didesnė už tą, kuri būna rekomenduojamą gydomąją dozę vartojančio žmogaus organizme (pagal veiklaus ir svarbiausio žmogaus kraujyje cirkuliuojančio metabolito ekspoziciją plazmoje). Padažnėjo auglių (kepenų ląstelių adenomų) pelėms, kurios du metus gavo didel</w:t>
      </w:r>
      <w:r w:rsidR="005F0943" w:rsidRPr="00B0468F">
        <w:rPr>
          <w:lang w:val="lt-LT"/>
        </w:rPr>
        <w:t>es vaistinio preparato dozes (&gt; </w:t>
      </w:r>
      <w:r w:rsidRPr="00B0468F">
        <w:rPr>
          <w:lang w:val="lt-LT"/>
        </w:rPr>
        <w:t>75 kartus didesnę ekspoziciją už tą, kuri būna žmogaus organizme), bet manoma, kad jie yra antriniai ir atsiranda dėl prazugrelio sukelto fermentų sužadinimo. Literatūroje yra daug duomenų apie graužikams būdingus kepenų auglius ir vaistinių preparatų sukeltą fermentų sužadinimą. Manoma, kad prazugrelio sukelti kepenų augliai pelėms nėra susiję su rizika žmogui.</w:t>
      </w:r>
    </w:p>
    <w:p w14:paraId="3E6059B7" w14:textId="77777777" w:rsidR="00E649B5" w:rsidRPr="00B0468F" w:rsidRDefault="00E649B5" w:rsidP="005350AF">
      <w:pPr>
        <w:widowControl w:val="0"/>
        <w:tabs>
          <w:tab w:val="clear" w:pos="567"/>
        </w:tabs>
        <w:spacing w:line="240" w:lineRule="auto"/>
        <w:ind w:right="566"/>
        <w:rPr>
          <w:lang w:val="lt-LT"/>
        </w:rPr>
      </w:pPr>
    </w:p>
    <w:p w14:paraId="115E89B7" w14:textId="77777777" w:rsidR="005F0943" w:rsidRPr="00B0468F" w:rsidRDefault="005F0943" w:rsidP="005350AF">
      <w:pPr>
        <w:widowControl w:val="0"/>
        <w:tabs>
          <w:tab w:val="clear" w:pos="567"/>
        </w:tabs>
        <w:spacing w:line="240" w:lineRule="auto"/>
        <w:ind w:right="566"/>
        <w:rPr>
          <w:lang w:val="lt-LT"/>
        </w:rPr>
      </w:pPr>
    </w:p>
    <w:p w14:paraId="72D5E8DA"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6.</w:t>
      </w:r>
      <w:r w:rsidRPr="00B0468F">
        <w:rPr>
          <w:rFonts w:ascii="Times New Roman" w:hAnsi="Times New Roman"/>
          <w:sz w:val="22"/>
          <w:lang w:val="lt-LT"/>
        </w:rPr>
        <w:tab/>
        <w:t>FARMACINĖ INFORMACIJA</w:t>
      </w:r>
    </w:p>
    <w:p w14:paraId="1352D5F4" w14:textId="77777777" w:rsidR="00F34163" w:rsidRPr="00B0468F" w:rsidRDefault="00F34163" w:rsidP="005350AF">
      <w:pPr>
        <w:widowControl w:val="0"/>
        <w:tabs>
          <w:tab w:val="clear" w:pos="567"/>
        </w:tabs>
        <w:spacing w:line="240" w:lineRule="auto"/>
        <w:ind w:right="566"/>
        <w:rPr>
          <w:lang w:val="lt-LT"/>
        </w:rPr>
      </w:pPr>
    </w:p>
    <w:p w14:paraId="6BE6B4B3"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6.1</w:t>
      </w:r>
      <w:r w:rsidRPr="00B0468F">
        <w:rPr>
          <w:rFonts w:ascii="Times New Roman" w:hAnsi="Times New Roman"/>
          <w:sz w:val="22"/>
          <w:lang w:val="lt-LT"/>
        </w:rPr>
        <w:tab/>
        <w:t>Pagalbinių medžiagų sąrašas</w:t>
      </w:r>
    </w:p>
    <w:p w14:paraId="0CAF26AD" w14:textId="77777777" w:rsidR="00F34163" w:rsidRPr="00B0468F" w:rsidRDefault="00F34163" w:rsidP="005350AF">
      <w:pPr>
        <w:widowControl w:val="0"/>
        <w:tabs>
          <w:tab w:val="clear" w:pos="567"/>
        </w:tabs>
        <w:spacing w:line="240" w:lineRule="auto"/>
        <w:ind w:right="566"/>
        <w:rPr>
          <w:lang w:val="lt-LT"/>
        </w:rPr>
      </w:pPr>
    </w:p>
    <w:p w14:paraId="366B60D6" w14:textId="77777777" w:rsidR="001A3612" w:rsidRPr="00B0468F" w:rsidRDefault="001A3612" w:rsidP="005350AF">
      <w:pPr>
        <w:widowControl w:val="0"/>
        <w:tabs>
          <w:tab w:val="clear" w:pos="567"/>
        </w:tabs>
        <w:spacing w:line="240" w:lineRule="auto"/>
        <w:ind w:right="566"/>
        <w:rPr>
          <w:u w:val="single"/>
          <w:lang w:val="lt-LT"/>
        </w:rPr>
      </w:pPr>
      <w:r w:rsidRPr="00B0468F">
        <w:rPr>
          <w:u w:val="single"/>
          <w:lang w:val="lt-LT"/>
        </w:rPr>
        <w:t>Tabletės šerdis</w:t>
      </w:r>
    </w:p>
    <w:p w14:paraId="506ECF1A" w14:textId="77777777" w:rsidR="001A3612" w:rsidRPr="00B0468F" w:rsidRDefault="00F53684" w:rsidP="005350AF">
      <w:pPr>
        <w:widowControl w:val="0"/>
        <w:tabs>
          <w:tab w:val="clear" w:pos="567"/>
        </w:tabs>
        <w:spacing w:line="240" w:lineRule="auto"/>
        <w:ind w:right="566"/>
        <w:rPr>
          <w:lang w:val="lt-LT"/>
        </w:rPr>
      </w:pPr>
      <w:r w:rsidRPr="00B0468F">
        <w:rPr>
          <w:lang w:val="lt-LT"/>
        </w:rPr>
        <w:t>Mikrokristalinė celiuliozė</w:t>
      </w:r>
    </w:p>
    <w:p w14:paraId="460BFEB9" w14:textId="77777777" w:rsidR="00F53684" w:rsidRPr="00B0468F" w:rsidRDefault="009833BA" w:rsidP="005350AF">
      <w:pPr>
        <w:widowControl w:val="0"/>
        <w:tabs>
          <w:tab w:val="clear" w:pos="567"/>
        </w:tabs>
        <w:spacing w:line="240" w:lineRule="auto"/>
        <w:ind w:right="566"/>
        <w:rPr>
          <w:lang w:val="lt-LT"/>
        </w:rPr>
      </w:pPr>
      <w:r w:rsidRPr="00B0468F">
        <w:rPr>
          <w:lang w:val="lt-LT"/>
        </w:rPr>
        <w:t>Makrogolis 4000</w:t>
      </w:r>
    </w:p>
    <w:p w14:paraId="5537D6B9" w14:textId="77777777" w:rsidR="009833BA" w:rsidRPr="00B0468F" w:rsidRDefault="009833BA" w:rsidP="005350AF">
      <w:pPr>
        <w:widowControl w:val="0"/>
        <w:tabs>
          <w:tab w:val="clear" w:pos="567"/>
        </w:tabs>
        <w:spacing w:line="240" w:lineRule="auto"/>
        <w:ind w:right="566"/>
        <w:rPr>
          <w:lang w:val="lt-LT"/>
        </w:rPr>
      </w:pPr>
      <w:r w:rsidRPr="00B0468F">
        <w:rPr>
          <w:lang w:val="lt-LT"/>
        </w:rPr>
        <w:t>Poloksameras 188</w:t>
      </w:r>
    </w:p>
    <w:p w14:paraId="5A35570A" w14:textId="77777777" w:rsidR="009833BA" w:rsidRPr="00B0468F" w:rsidRDefault="009833BA" w:rsidP="005350AF">
      <w:pPr>
        <w:widowControl w:val="0"/>
        <w:tabs>
          <w:tab w:val="clear" w:pos="567"/>
        </w:tabs>
        <w:spacing w:line="240" w:lineRule="auto"/>
        <w:ind w:right="566"/>
        <w:rPr>
          <w:lang w:val="lt-LT"/>
        </w:rPr>
      </w:pPr>
      <w:r w:rsidRPr="00B0468F">
        <w:rPr>
          <w:lang w:val="lt-LT"/>
        </w:rPr>
        <w:t xml:space="preserve">Fumaro rūgštis </w:t>
      </w:r>
      <w:r w:rsidRPr="00B0468F">
        <w:rPr>
          <w:i/>
          <w:lang w:val="lt-LT"/>
        </w:rPr>
        <w:t xml:space="preserve">– </w:t>
      </w:r>
      <w:r w:rsidR="007E12B3" w:rsidRPr="00B0468F">
        <w:rPr>
          <w:i/>
          <w:lang w:val="lt-LT"/>
        </w:rPr>
        <w:t>pH</w:t>
      </w:r>
      <w:r w:rsidRPr="00B0468F">
        <w:rPr>
          <w:i/>
          <w:lang w:val="lt-LT"/>
        </w:rPr>
        <w:t xml:space="preserve"> reguliavimui</w:t>
      </w:r>
    </w:p>
    <w:p w14:paraId="4B5900AF" w14:textId="77777777" w:rsidR="001A3612" w:rsidRPr="00B0468F" w:rsidRDefault="00F53684" w:rsidP="005350AF">
      <w:pPr>
        <w:widowControl w:val="0"/>
        <w:tabs>
          <w:tab w:val="clear" w:pos="567"/>
        </w:tabs>
        <w:spacing w:line="240" w:lineRule="auto"/>
        <w:ind w:right="566"/>
        <w:rPr>
          <w:lang w:val="lt-LT"/>
        </w:rPr>
      </w:pPr>
      <w:r w:rsidRPr="00B0468F">
        <w:rPr>
          <w:lang w:val="lt-LT"/>
        </w:rPr>
        <w:t>Kroskarmeliozės natrio druska</w:t>
      </w:r>
    </w:p>
    <w:p w14:paraId="307C228D" w14:textId="77777777" w:rsidR="009833BA" w:rsidRPr="00B0468F" w:rsidRDefault="007E12B3" w:rsidP="005350AF">
      <w:pPr>
        <w:widowControl w:val="0"/>
        <w:tabs>
          <w:tab w:val="clear" w:pos="567"/>
        </w:tabs>
        <w:spacing w:line="240" w:lineRule="auto"/>
        <w:ind w:right="566"/>
        <w:rPr>
          <w:lang w:val="lt-LT"/>
        </w:rPr>
      </w:pPr>
      <w:r w:rsidRPr="00B0468F">
        <w:rPr>
          <w:lang w:val="lt-LT"/>
        </w:rPr>
        <w:t>Koloidinis hidrofobinis</w:t>
      </w:r>
      <w:r w:rsidR="009833BA" w:rsidRPr="00B0468F">
        <w:rPr>
          <w:lang w:val="lt-LT"/>
        </w:rPr>
        <w:t xml:space="preserve"> silicio dioksidas</w:t>
      </w:r>
    </w:p>
    <w:p w14:paraId="2546410F" w14:textId="77777777" w:rsidR="009833BA" w:rsidRPr="00B0468F" w:rsidRDefault="006C1946" w:rsidP="005350AF">
      <w:pPr>
        <w:widowControl w:val="0"/>
        <w:tabs>
          <w:tab w:val="clear" w:pos="567"/>
        </w:tabs>
        <w:spacing w:line="240" w:lineRule="auto"/>
        <w:ind w:right="566"/>
        <w:rPr>
          <w:lang w:val="lt-LT"/>
        </w:rPr>
      </w:pPr>
      <w:r w:rsidRPr="00B0468F">
        <w:rPr>
          <w:lang w:val="lt-LT"/>
        </w:rPr>
        <w:t>Manitolis</w:t>
      </w:r>
    </w:p>
    <w:p w14:paraId="133A9B04" w14:textId="77777777" w:rsidR="001A3612" w:rsidRPr="00B0468F" w:rsidRDefault="001A3612" w:rsidP="005350AF">
      <w:pPr>
        <w:widowControl w:val="0"/>
        <w:tabs>
          <w:tab w:val="clear" w:pos="567"/>
        </w:tabs>
        <w:spacing w:line="240" w:lineRule="auto"/>
        <w:ind w:right="566"/>
        <w:rPr>
          <w:lang w:val="lt-LT"/>
        </w:rPr>
      </w:pPr>
      <w:r w:rsidRPr="00B0468F">
        <w:rPr>
          <w:lang w:val="lt-LT"/>
        </w:rPr>
        <w:t>Magnio stearatas</w:t>
      </w:r>
    </w:p>
    <w:p w14:paraId="4A59B5A1" w14:textId="77777777" w:rsidR="00F53684" w:rsidRPr="00B0468F" w:rsidRDefault="00F53684" w:rsidP="005350AF">
      <w:pPr>
        <w:widowControl w:val="0"/>
        <w:tabs>
          <w:tab w:val="clear" w:pos="567"/>
        </w:tabs>
        <w:spacing w:line="240" w:lineRule="auto"/>
        <w:ind w:right="566"/>
        <w:rPr>
          <w:lang w:val="lt-LT"/>
        </w:rPr>
      </w:pPr>
    </w:p>
    <w:p w14:paraId="6E99BEC6" w14:textId="77777777" w:rsidR="001A3612" w:rsidRPr="00B0468F" w:rsidRDefault="00F53684" w:rsidP="005350AF">
      <w:pPr>
        <w:widowControl w:val="0"/>
        <w:tabs>
          <w:tab w:val="clear" w:pos="567"/>
        </w:tabs>
        <w:spacing w:line="240" w:lineRule="auto"/>
        <w:ind w:right="566"/>
        <w:rPr>
          <w:u w:val="single"/>
          <w:lang w:val="lt-LT"/>
        </w:rPr>
      </w:pPr>
      <w:r w:rsidRPr="00B0468F">
        <w:rPr>
          <w:u w:val="single"/>
          <w:lang w:val="lt-LT"/>
        </w:rPr>
        <w:t>Tabletės plėvelė</w:t>
      </w:r>
    </w:p>
    <w:p w14:paraId="1B38913E" w14:textId="77777777" w:rsidR="00AE6D5D" w:rsidRPr="00B0468F" w:rsidRDefault="00EE4B90" w:rsidP="005350AF">
      <w:pPr>
        <w:widowControl w:val="0"/>
        <w:tabs>
          <w:tab w:val="clear" w:pos="567"/>
        </w:tabs>
        <w:spacing w:line="240" w:lineRule="auto"/>
        <w:ind w:right="566"/>
        <w:rPr>
          <w:lang w:val="lt-LT"/>
        </w:rPr>
      </w:pPr>
      <w:r w:rsidRPr="00B0468F">
        <w:rPr>
          <w:lang w:val="lt-LT"/>
        </w:rPr>
        <w:t>Hipromeliozė</w:t>
      </w:r>
    </w:p>
    <w:p w14:paraId="6428ACCC" w14:textId="77777777" w:rsidR="00AE6D5D" w:rsidRPr="00B0468F" w:rsidRDefault="00AE6D5D" w:rsidP="005350AF">
      <w:pPr>
        <w:widowControl w:val="0"/>
        <w:tabs>
          <w:tab w:val="clear" w:pos="567"/>
        </w:tabs>
        <w:spacing w:line="240" w:lineRule="auto"/>
        <w:ind w:right="566"/>
        <w:rPr>
          <w:lang w:val="lt-LT"/>
        </w:rPr>
      </w:pPr>
      <w:r w:rsidRPr="00B0468F">
        <w:rPr>
          <w:lang w:val="lt-LT"/>
        </w:rPr>
        <w:t>Laktozė monohidratas</w:t>
      </w:r>
    </w:p>
    <w:p w14:paraId="0779ED92" w14:textId="77777777" w:rsidR="00AE6D5D" w:rsidRPr="00B0468F" w:rsidRDefault="00AE6D5D" w:rsidP="005350AF">
      <w:pPr>
        <w:widowControl w:val="0"/>
        <w:tabs>
          <w:tab w:val="clear" w:pos="567"/>
        </w:tabs>
        <w:spacing w:line="240" w:lineRule="auto"/>
        <w:ind w:right="566"/>
        <w:rPr>
          <w:lang w:val="lt-LT"/>
        </w:rPr>
      </w:pPr>
      <w:r w:rsidRPr="00B0468F">
        <w:rPr>
          <w:lang w:val="lt-LT"/>
        </w:rPr>
        <w:t>Titano dioksidas (E 171)</w:t>
      </w:r>
    </w:p>
    <w:p w14:paraId="6B9BBD3F" w14:textId="77777777" w:rsidR="00AE6D5D" w:rsidRPr="00B0468F" w:rsidRDefault="00EE4B90" w:rsidP="005350AF">
      <w:pPr>
        <w:widowControl w:val="0"/>
        <w:tabs>
          <w:tab w:val="clear" w:pos="567"/>
        </w:tabs>
        <w:spacing w:line="240" w:lineRule="auto"/>
        <w:ind w:right="566"/>
        <w:rPr>
          <w:lang w:val="lt-LT"/>
        </w:rPr>
      </w:pPr>
      <w:r w:rsidRPr="00B0468F">
        <w:rPr>
          <w:lang w:val="lt-LT"/>
        </w:rPr>
        <w:t>Triacetinas</w:t>
      </w:r>
    </w:p>
    <w:p w14:paraId="50B81777" w14:textId="77777777" w:rsidR="005E7928" w:rsidRPr="00B0468F" w:rsidRDefault="005E7928" w:rsidP="005350AF">
      <w:pPr>
        <w:widowControl w:val="0"/>
        <w:tabs>
          <w:tab w:val="clear" w:pos="567"/>
        </w:tabs>
        <w:spacing w:line="240" w:lineRule="auto"/>
        <w:ind w:right="566"/>
        <w:rPr>
          <w:lang w:val="lt-LT"/>
        </w:rPr>
      </w:pPr>
      <w:r w:rsidRPr="00B0468F">
        <w:rPr>
          <w:lang w:val="lt-LT"/>
        </w:rPr>
        <w:t>Geltonasis geležies oksidas (E172)</w:t>
      </w:r>
      <w:r w:rsidRPr="00B0468F">
        <w:rPr>
          <w:i/>
          <w:lang w:val="lt-LT"/>
        </w:rPr>
        <w:t xml:space="preserve"> – tik 5 mg plėvele </w:t>
      </w:r>
      <w:r w:rsidR="007E12B3" w:rsidRPr="00B0468F">
        <w:rPr>
          <w:i/>
          <w:lang w:val="lt-LT"/>
        </w:rPr>
        <w:t>dengtose tabletėse</w:t>
      </w:r>
    </w:p>
    <w:p w14:paraId="41691A8E" w14:textId="77777777" w:rsidR="006E65FF" w:rsidRPr="00B0468F" w:rsidRDefault="006E65FF" w:rsidP="005350AF">
      <w:pPr>
        <w:widowControl w:val="0"/>
        <w:tabs>
          <w:tab w:val="clear" w:pos="567"/>
        </w:tabs>
        <w:spacing w:line="240" w:lineRule="auto"/>
        <w:ind w:right="566"/>
        <w:rPr>
          <w:lang w:val="lt-LT"/>
        </w:rPr>
      </w:pPr>
      <w:r w:rsidRPr="00B0468F">
        <w:rPr>
          <w:lang w:val="lt-LT"/>
        </w:rPr>
        <w:t>Raudonas</w:t>
      </w:r>
      <w:r w:rsidR="001C318A" w:rsidRPr="00B0468F">
        <w:rPr>
          <w:lang w:val="lt-LT"/>
        </w:rPr>
        <w:t>is</w:t>
      </w:r>
      <w:r w:rsidRPr="00B0468F">
        <w:rPr>
          <w:lang w:val="lt-LT"/>
        </w:rPr>
        <w:t xml:space="preserve"> geležies oksidas (E172)</w:t>
      </w:r>
      <w:r w:rsidR="00FA1E4D" w:rsidRPr="00B0468F">
        <w:rPr>
          <w:i/>
          <w:lang w:val="lt-LT"/>
        </w:rPr>
        <w:t xml:space="preserve"> </w:t>
      </w:r>
      <w:r w:rsidR="00A77104" w:rsidRPr="00B0468F">
        <w:rPr>
          <w:i/>
          <w:lang w:val="lt-LT"/>
        </w:rPr>
        <w:t>– tik</w:t>
      </w:r>
      <w:r w:rsidR="00FA1E4D" w:rsidRPr="00B0468F">
        <w:rPr>
          <w:i/>
          <w:lang w:val="lt-LT"/>
        </w:rPr>
        <w:t xml:space="preserve"> </w:t>
      </w:r>
      <w:r w:rsidR="005E7928" w:rsidRPr="00B0468F">
        <w:rPr>
          <w:i/>
          <w:lang w:val="lt-LT"/>
        </w:rPr>
        <w:t>10</w:t>
      </w:r>
      <w:r w:rsidR="00FA1E4D" w:rsidRPr="00B0468F">
        <w:rPr>
          <w:i/>
          <w:lang w:val="lt-LT"/>
        </w:rPr>
        <w:t> mg</w:t>
      </w:r>
      <w:r w:rsidR="00A77104" w:rsidRPr="00B0468F">
        <w:rPr>
          <w:i/>
          <w:lang w:val="lt-LT"/>
        </w:rPr>
        <w:t xml:space="preserve"> plėvele </w:t>
      </w:r>
      <w:r w:rsidR="007E12B3" w:rsidRPr="00B0468F">
        <w:rPr>
          <w:i/>
          <w:lang w:val="lt-LT"/>
        </w:rPr>
        <w:t>dengtose tabletėse</w:t>
      </w:r>
    </w:p>
    <w:p w14:paraId="782C89C2" w14:textId="77777777" w:rsidR="00F34163" w:rsidRPr="00B0468F" w:rsidRDefault="00F34163" w:rsidP="005350AF">
      <w:pPr>
        <w:widowControl w:val="0"/>
        <w:tabs>
          <w:tab w:val="clear" w:pos="567"/>
        </w:tabs>
        <w:spacing w:line="240" w:lineRule="auto"/>
        <w:ind w:right="566"/>
        <w:rPr>
          <w:lang w:val="lt-LT"/>
        </w:rPr>
      </w:pPr>
    </w:p>
    <w:p w14:paraId="5FADBEF3"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6.2</w:t>
      </w:r>
      <w:r w:rsidRPr="00B0468F">
        <w:rPr>
          <w:rFonts w:ascii="Times New Roman" w:hAnsi="Times New Roman"/>
          <w:sz w:val="22"/>
          <w:lang w:val="lt-LT"/>
        </w:rPr>
        <w:tab/>
        <w:t>Nesuderinamumas</w:t>
      </w:r>
    </w:p>
    <w:p w14:paraId="27836AA3" w14:textId="77777777" w:rsidR="00F34163" w:rsidRPr="00B0468F" w:rsidRDefault="00F34163" w:rsidP="005350AF">
      <w:pPr>
        <w:widowControl w:val="0"/>
        <w:tabs>
          <w:tab w:val="clear" w:pos="567"/>
        </w:tabs>
        <w:spacing w:line="240" w:lineRule="auto"/>
        <w:ind w:right="566"/>
        <w:rPr>
          <w:lang w:val="lt-LT"/>
        </w:rPr>
      </w:pPr>
    </w:p>
    <w:p w14:paraId="779EBA71" w14:textId="77777777" w:rsidR="00F34163" w:rsidRPr="00B0468F" w:rsidRDefault="00F34163" w:rsidP="005350AF">
      <w:pPr>
        <w:widowControl w:val="0"/>
        <w:tabs>
          <w:tab w:val="clear" w:pos="567"/>
        </w:tabs>
        <w:spacing w:line="240" w:lineRule="auto"/>
        <w:ind w:right="566"/>
        <w:rPr>
          <w:lang w:val="lt-LT"/>
        </w:rPr>
      </w:pPr>
      <w:r w:rsidRPr="00B0468F">
        <w:rPr>
          <w:lang w:val="lt-LT"/>
        </w:rPr>
        <w:t>Duomen</w:t>
      </w:r>
      <w:r w:rsidR="006E65FF" w:rsidRPr="00B0468F">
        <w:rPr>
          <w:lang w:val="lt-LT"/>
        </w:rPr>
        <w:t>ys nebūtini.</w:t>
      </w:r>
    </w:p>
    <w:p w14:paraId="1F6368FB" w14:textId="77777777" w:rsidR="00F34163" w:rsidRPr="00B0468F" w:rsidRDefault="00F34163" w:rsidP="005350AF">
      <w:pPr>
        <w:widowControl w:val="0"/>
        <w:tabs>
          <w:tab w:val="clear" w:pos="567"/>
        </w:tabs>
        <w:spacing w:line="240" w:lineRule="auto"/>
        <w:ind w:right="566"/>
        <w:rPr>
          <w:lang w:val="lt-LT"/>
        </w:rPr>
      </w:pPr>
    </w:p>
    <w:p w14:paraId="43BF1643"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6.3</w:t>
      </w:r>
      <w:r w:rsidRPr="00B0468F">
        <w:rPr>
          <w:rFonts w:ascii="Times New Roman" w:hAnsi="Times New Roman"/>
          <w:sz w:val="22"/>
          <w:lang w:val="lt-LT"/>
        </w:rPr>
        <w:tab/>
        <w:t>Tinkamumo laikas</w:t>
      </w:r>
    </w:p>
    <w:p w14:paraId="14C5E135" w14:textId="77777777" w:rsidR="00F34163" w:rsidRPr="00B0468F" w:rsidRDefault="00F34163" w:rsidP="005350AF">
      <w:pPr>
        <w:widowControl w:val="0"/>
        <w:tabs>
          <w:tab w:val="clear" w:pos="567"/>
        </w:tabs>
        <w:spacing w:line="240" w:lineRule="auto"/>
        <w:ind w:right="566"/>
        <w:rPr>
          <w:lang w:val="lt-LT"/>
        </w:rPr>
      </w:pPr>
    </w:p>
    <w:p w14:paraId="065D7211" w14:textId="77777777" w:rsidR="007364E6" w:rsidRPr="00145640" w:rsidRDefault="007364E6" w:rsidP="007364E6">
      <w:pPr>
        <w:widowControl w:val="0"/>
        <w:tabs>
          <w:tab w:val="clear" w:pos="567"/>
        </w:tabs>
        <w:spacing w:line="240" w:lineRule="auto"/>
        <w:ind w:right="566"/>
        <w:rPr>
          <w:i/>
          <w:szCs w:val="22"/>
          <w:lang w:val="lt-LT"/>
        </w:rPr>
      </w:pPr>
      <w:r w:rsidRPr="00145640">
        <w:rPr>
          <w:i/>
          <w:szCs w:val="22"/>
          <w:lang w:val="lt-LT"/>
        </w:rPr>
        <w:t>Eliskardia 5 mg plėvele dengtos tabletės</w:t>
      </w:r>
    </w:p>
    <w:p w14:paraId="49EDB86A" w14:textId="1F309087" w:rsidR="007364E6" w:rsidRPr="00B0468F" w:rsidRDefault="007364E6" w:rsidP="005350AF">
      <w:pPr>
        <w:widowControl w:val="0"/>
        <w:tabs>
          <w:tab w:val="clear" w:pos="567"/>
        </w:tabs>
        <w:spacing w:line="240" w:lineRule="auto"/>
        <w:ind w:right="566"/>
        <w:rPr>
          <w:lang w:val="lt-LT"/>
        </w:rPr>
      </w:pPr>
      <w:r w:rsidRPr="00B0468F">
        <w:rPr>
          <w:lang w:val="lt-LT"/>
        </w:rPr>
        <w:t>18</w:t>
      </w:r>
      <w:r>
        <w:rPr>
          <w:szCs w:val="22"/>
          <w:lang w:val="lt-LT"/>
        </w:rPr>
        <w:t> </w:t>
      </w:r>
      <w:r w:rsidRPr="00B0468F">
        <w:rPr>
          <w:lang w:val="lt-LT"/>
        </w:rPr>
        <w:t>mėnesių</w:t>
      </w:r>
    </w:p>
    <w:p w14:paraId="3FC883DD" w14:textId="77777777" w:rsidR="007364E6" w:rsidRPr="00145640" w:rsidRDefault="007364E6" w:rsidP="007364E6">
      <w:pPr>
        <w:widowControl w:val="0"/>
        <w:tabs>
          <w:tab w:val="clear" w:pos="567"/>
        </w:tabs>
        <w:spacing w:line="240" w:lineRule="auto"/>
        <w:ind w:right="566"/>
        <w:rPr>
          <w:i/>
          <w:szCs w:val="22"/>
          <w:lang w:val="lt-LT"/>
        </w:rPr>
      </w:pPr>
      <w:r w:rsidRPr="00145640">
        <w:rPr>
          <w:i/>
          <w:szCs w:val="22"/>
          <w:lang w:val="lt-LT"/>
        </w:rPr>
        <w:t>Eliskardia 10 mg plėvele dengtos tabletės</w:t>
      </w:r>
    </w:p>
    <w:p w14:paraId="0A778876" w14:textId="3191CE9E" w:rsidR="00F34163" w:rsidRPr="00217AE9" w:rsidRDefault="007364E6" w:rsidP="007364E6">
      <w:pPr>
        <w:widowControl w:val="0"/>
        <w:tabs>
          <w:tab w:val="clear" w:pos="567"/>
        </w:tabs>
        <w:spacing w:line="240" w:lineRule="auto"/>
        <w:ind w:right="566"/>
        <w:rPr>
          <w:szCs w:val="22"/>
          <w:lang w:val="lt-LT"/>
        </w:rPr>
      </w:pPr>
      <w:r>
        <w:rPr>
          <w:szCs w:val="22"/>
          <w:lang w:val="lt-LT"/>
        </w:rPr>
        <w:t>2 metai</w:t>
      </w:r>
    </w:p>
    <w:p w14:paraId="26BABBCF" w14:textId="77777777" w:rsidR="00F34163" w:rsidRPr="00B0468F" w:rsidRDefault="00F34163" w:rsidP="005350AF">
      <w:pPr>
        <w:widowControl w:val="0"/>
        <w:tabs>
          <w:tab w:val="clear" w:pos="567"/>
        </w:tabs>
        <w:spacing w:line="240" w:lineRule="auto"/>
        <w:ind w:right="566"/>
        <w:rPr>
          <w:lang w:val="lt-LT"/>
        </w:rPr>
      </w:pPr>
    </w:p>
    <w:p w14:paraId="64C3BCBA"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6.4</w:t>
      </w:r>
      <w:r w:rsidRPr="00B0468F">
        <w:rPr>
          <w:rFonts w:ascii="Times New Roman" w:hAnsi="Times New Roman"/>
          <w:sz w:val="22"/>
          <w:lang w:val="lt-LT"/>
        </w:rPr>
        <w:tab/>
        <w:t>Specialios laikymo sąlygos</w:t>
      </w:r>
    </w:p>
    <w:p w14:paraId="442C252E" w14:textId="77777777" w:rsidR="00F34163" w:rsidRPr="00B0468F" w:rsidRDefault="00F34163" w:rsidP="005350AF">
      <w:pPr>
        <w:widowControl w:val="0"/>
        <w:tabs>
          <w:tab w:val="clear" w:pos="567"/>
        </w:tabs>
        <w:spacing w:line="240" w:lineRule="auto"/>
        <w:ind w:right="566"/>
        <w:rPr>
          <w:lang w:val="lt-LT"/>
        </w:rPr>
      </w:pPr>
    </w:p>
    <w:p w14:paraId="6C9B27FB" w14:textId="77777777" w:rsidR="00F24FEC" w:rsidRDefault="00F24FEC" w:rsidP="00217AE9">
      <w:pPr>
        <w:widowControl w:val="0"/>
        <w:tabs>
          <w:tab w:val="clear" w:pos="567"/>
        </w:tabs>
        <w:spacing w:line="240" w:lineRule="auto"/>
        <w:ind w:right="566"/>
        <w:rPr>
          <w:color w:val="0D0D0D"/>
          <w:szCs w:val="22"/>
          <w:lang w:val="lt-LT"/>
        </w:rPr>
      </w:pPr>
      <w:r w:rsidRPr="005350AF">
        <w:rPr>
          <w:i/>
          <w:color w:val="0D0D0D"/>
          <w:szCs w:val="22"/>
          <w:lang w:val="lt-LT"/>
        </w:rPr>
        <w:t>Eliskardia 5 mg plėvele dengtos tabletės</w:t>
      </w:r>
      <w:r w:rsidRPr="00F24FEC">
        <w:rPr>
          <w:color w:val="0D0D0D"/>
          <w:szCs w:val="22"/>
          <w:lang w:val="lt-LT"/>
        </w:rPr>
        <w:t xml:space="preserve"> </w:t>
      </w:r>
    </w:p>
    <w:p w14:paraId="1759B2F6" w14:textId="77777777" w:rsidR="00F714D5" w:rsidRPr="00B0468F" w:rsidRDefault="00B35E10" w:rsidP="005350AF">
      <w:pPr>
        <w:widowControl w:val="0"/>
        <w:tabs>
          <w:tab w:val="clear" w:pos="567"/>
        </w:tabs>
        <w:spacing w:line="240" w:lineRule="auto"/>
        <w:ind w:right="566"/>
        <w:rPr>
          <w:color w:val="0D0D0D"/>
          <w:lang w:val="lt-LT"/>
        </w:rPr>
      </w:pPr>
      <w:r w:rsidRPr="00B0468F">
        <w:rPr>
          <w:color w:val="0D0D0D"/>
          <w:lang w:val="lt-LT"/>
        </w:rPr>
        <w:t xml:space="preserve">Laikyti ne aukštesnėje kaip </w:t>
      </w:r>
      <w:r w:rsidR="00F714D5" w:rsidRPr="00B0468F">
        <w:rPr>
          <w:color w:val="0D0D0D"/>
          <w:lang w:val="lt-LT"/>
        </w:rPr>
        <w:t>30</w:t>
      </w:r>
      <w:r w:rsidR="007364E6">
        <w:rPr>
          <w:color w:val="0D0D0D"/>
          <w:szCs w:val="22"/>
          <w:lang w:val="lt-LT"/>
        </w:rPr>
        <w:t> </w:t>
      </w:r>
      <w:r w:rsidR="00F714D5" w:rsidRPr="005350AF">
        <w:rPr>
          <w:lang w:val="en-US"/>
        </w:rPr>
        <w:sym w:font="Symbol" w:char="F0B0"/>
      </w:r>
      <w:r w:rsidR="00F714D5" w:rsidRPr="005350AF">
        <w:rPr>
          <w:lang w:val="fi-FI"/>
        </w:rPr>
        <w:t>C</w:t>
      </w:r>
      <w:r w:rsidR="00706214" w:rsidRPr="005350AF">
        <w:rPr>
          <w:lang w:val="fi-FI"/>
        </w:rPr>
        <w:t xml:space="preserve"> tem</w:t>
      </w:r>
      <w:r w:rsidR="00F714D5" w:rsidRPr="005350AF">
        <w:rPr>
          <w:lang w:val="fi-FI"/>
        </w:rPr>
        <w:t>p</w:t>
      </w:r>
      <w:r w:rsidR="00706214" w:rsidRPr="005350AF">
        <w:rPr>
          <w:lang w:val="fi-FI"/>
        </w:rPr>
        <w:t>e</w:t>
      </w:r>
      <w:r w:rsidR="00F714D5" w:rsidRPr="005350AF">
        <w:rPr>
          <w:lang w:val="fi-FI"/>
        </w:rPr>
        <w:t>ratūroje.</w:t>
      </w:r>
    </w:p>
    <w:p w14:paraId="673334B2" w14:textId="77777777" w:rsidR="00F34163" w:rsidRPr="00217AE9" w:rsidRDefault="00FA01C9" w:rsidP="00217AE9">
      <w:pPr>
        <w:widowControl w:val="0"/>
        <w:tabs>
          <w:tab w:val="clear" w:pos="567"/>
        </w:tabs>
        <w:spacing w:line="240" w:lineRule="auto"/>
        <w:ind w:right="566"/>
        <w:rPr>
          <w:bCs/>
          <w:snapToGrid/>
          <w:szCs w:val="22"/>
          <w:lang w:val="lt-LT"/>
        </w:rPr>
      </w:pPr>
      <w:r w:rsidRPr="00217AE9">
        <w:rPr>
          <w:bCs/>
          <w:snapToGrid/>
          <w:szCs w:val="22"/>
          <w:lang w:val="lt-LT"/>
        </w:rPr>
        <w:t xml:space="preserve">Laikyti gamintojo pakuotėje, kad </w:t>
      </w:r>
      <w:r w:rsidR="007E12B3" w:rsidRPr="00217AE9">
        <w:rPr>
          <w:bCs/>
          <w:snapToGrid/>
          <w:szCs w:val="22"/>
          <w:lang w:val="lt-LT"/>
        </w:rPr>
        <w:t xml:space="preserve">vaistinis </w:t>
      </w:r>
      <w:r w:rsidRPr="00217AE9">
        <w:rPr>
          <w:bCs/>
          <w:snapToGrid/>
          <w:szCs w:val="22"/>
          <w:lang w:val="lt-LT"/>
        </w:rPr>
        <w:t>preparatas būtų apsaugotas nuo drėgmės.</w:t>
      </w:r>
    </w:p>
    <w:p w14:paraId="32798CBF" w14:textId="77777777" w:rsidR="00F34163" w:rsidRDefault="00F34163" w:rsidP="00217AE9">
      <w:pPr>
        <w:widowControl w:val="0"/>
        <w:tabs>
          <w:tab w:val="clear" w:pos="567"/>
        </w:tabs>
        <w:spacing w:line="240" w:lineRule="auto"/>
        <w:ind w:right="566"/>
        <w:rPr>
          <w:szCs w:val="22"/>
          <w:lang w:val="lt-LT"/>
        </w:rPr>
      </w:pPr>
    </w:p>
    <w:p w14:paraId="7C194D6E" w14:textId="77777777" w:rsidR="00F24FEC" w:rsidRDefault="00F24FEC" w:rsidP="00217AE9">
      <w:pPr>
        <w:widowControl w:val="0"/>
        <w:tabs>
          <w:tab w:val="clear" w:pos="567"/>
        </w:tabs>
        <w:spacing w:line="240" w:lineRule="auto"/>
        <w:ind w:right="566"/>
        <w:rPr>
          <w:i/>
          <w:szCs w:val="22"/>
          <w:lang w:val="lt-LT"/>
        </w:rPr>
      </w:pPr>
      <w:r w:rsidRPr="00F24FEC">
        <w:rPr>
          <w:i/>
          <w:szCs w:val="22"/>
          <w:lang w:val="lt-LT"/>
        </w:rPr>
        <w:t>Eliskardia 10 mg plėvele dengtos tabletės</w:t>
      </w:r>
    </w:p>
    <w:p w14:paraId="71BC7130" w14:textId="77777777" w:rsidR="00F24FEC" w:rsidRPr="00F24FEC" w:rsidRDefault="00F24FEC" w:rsidP="00F24FEC">
      <w:pPr>
        <w:widowControl w:val="0"/>
        <w:tabs>
          <w:tab w:val="clear" w:pos="567"/>
        </w:tabs>
        <w:spacing w:line="240" w:lineRule="auto"/>
        <w:ind w:right="566"/>
        <w:rPr>
          <w:szCs w:val="22"/>
          <w:lang w:val="lt-LT"/>
        </w:rPr>
      </w:pPr>
      <w:r w:rsidRPr="00F24FEC">
        <w:rPr>
          <w:szCs w:val="22"/>
          <w:lang w:val="lt-LT"/>
        </w:rPr>
        <w:t xml:space="preserve">Laikyti ne aukštesnėje kaip </w:t>
      </w:r>
      <w:r>
        <w:rPr>
          <w:szCs w:val="22"/>
          <w:lang w:val="lt-LT"/>
        </w:rPr>
        <w:t>25</w:t>
      </w:r>
      <w:r w:rsidRPr="00F24FEC">
        <w:rPr>
          <w:szCs w:val="22"/>
          <w:lang w:val="lt-LT"/>
        </w:rPr>
        <w:t> </w:t>
      </w:r>
      <w:r w:rsidRPr="00F24FEC">
        <w:rPr>
          <w:szCs w:val="22"/>
          <w:lang w:val="en-US"/>
        </w:rPr>
        <w:sym w:font="Symbol" w:char="F0B0"/>
      </w:r>
      <w:r w:rsidRPr="00F24FEC">
        <w:rPr>
          <w:szCs w:val="22"/>
          <w:lang w:val="fi-FI"/>
        </w:rPr>
        <w:t>C temperatūroje.</w:t>
      </w:r>
    </w:p>
    <w:p w14:paraId="654F44EF" w14:textId="77777777" w:rsidR="00F24FEC" w:rsidRPr="00B0468F" w:rsidRDefault="00F24FEC" w:rsidP="005350AF">
      <w:pPr>
        <w:widowControl w:val="0"/>
        <w:tabs>
          <w:tab w:val="clear" w:pos="567"/>
        </w:tabs>
        <w:spacing w:line="240" w:lineRule="auto"/>
        <w:ind w:right="566"/>
        <w:rPr>
          <w:lang w:val="lt-LT"/>
        </w:rPr>
      </w:pPr>
      <w:r w:rsidRPr="00B0468F">
        <w:rPr>
          <w:lang w:val="lt-LT"/>
        </w:rPr>
        <w:t>Laikyti gamintojo pakuotėje, kad vaistinis preparatas būtų apsaugotas nuo drėgmės.</w:t>
      </w:r>
    </w:p>
    <w:p w14:paraId="2D146077" w14:textId="77777777" w:rsidR="00F24FEC" w:rsidRPr="00B0468F" w:rsidRDefault="00F24FEC" w:rsidP="005350AF">
      <w:pPr>
        <w:widowControl w:val="0"/>
        <w:tabs>
          <w:tab w:val="clear" w:pos="567"/>
        </w:tabs>
        <w:spacing w:line="240" w:lineRule="auto"/>
        <w:ind w:right="566"/>
        <w:rPr>
          <w:lang w:val="lt-LT"/>
        </w:rPr>
      </w:pPr>
    </w:p>
    <w:p w14:paraId="01C56E54"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6.5</w:t>
      </w:r>
      <w:r w:rsidRPr="00B0468F">
        <w:rPr>
          <w:rFonts w:ascii="Times New Roman" w:hAnsi="Times New Roman"/>
          <w:sz w:val="22"/>
          <w:lang w:val="lt-LT"/>
        </w:rPr>
        <w:tab/>
        <w:t>Talpyklės pobūdis ir jos turinys</w:t>
      </w:r>
    </w:p>
    <w:p w14:paraId="0E264FBB" w14:textId="77777777" w:rsidR="00F34163" w:rsidRPr="00B0468F" w:rsidRDefault="00F34163" w:rsidP="005350AF">
      <w:pPr>
        <w:widowControl w:val="0"/>
        <w:tabs>
          <w:tab w:val="clear" w:pos="567"/>
        </w:tabs>
        <w:spacing w:line="240" w:lineRule="auto"/>
        <w:ind w:right="566"/>
        <w:rPr>
          <w:lang w:val="lt-LT"/>
        </w:rPr>
      </w:pPr>
    </w:p>
    <w:p w14:paraId="6ECD69C9" w14:textId="77777777" w:rsidR="002F5C27" w:rsidRPr="00B0468F" w:rsidRDefault="008012D8" w:rsidP="005350AF">
      <w:pPr>
        <w:widowControl w:val="0"/>
        <w:tabs>
          <w:tab w:val="clear" w:pos="567"/>
        </w:tabs>
        <w:spacing w:line="240" w:lineRule="auto"/>
        <w:ind w:right="566"/>
        <w:rPr>
          <w:lang w:val="lt-LT"/>
        </w:rPr>
      </w:pPr>
      <w:r w:rsidRPr="00B0468F">
        <w:rPr>
          <w:lang w:val="lt-LT"/>
        </w:rPr>
        <w:t>O</w:t>
      </w:r>
      <w:r w:rsidR="002F5C27" w:rsidRPr="00B0468F">
        <w:rPr>
          <w:lang w:val="lt-LT"/>
        </w:rPr>
        <w:t>PA/aliuminio</w:t>
      </w:r>
      <w:r w:rsidRPr="00B0468F">
        <w:rPr>
          <w:lang w:val="lt-LT"/>
        </w:rPr>
        <w:t>/PE+DES//</w:t>
      </w:r>
      <w:r w:rsidR="002F5C27" w:rsidRPr="00B0468F">
        <w:rPr>
          <w:lang w:val="lt-LT"/>
        </w:rPr>
        <w:t>aliumini</w:t>
      </w:r>
      <w:r w:rsidRPr="00B0468F">
        <w:rPr>
          <w:lang w:val="lt-LT"/>
        </w:rPr>
        <w:t>o/PE</w:t>
      </w:r>
      <w:r w:rsidR="002F5C27" w:rsidRPr="00B0468F">
        <w:rPr>
          <w:lang w:val="lt-LT"/>
        </w:rPr>
        <w:t xml:space="preserve"> lizdinės plokštelės</w:t>
      </w:r>
      <w:r w:rsidRPr="00B0468F">
        <w:rPr>
          <w:lang w:val="lt-LT"/>
        </w:rPr>
        <w:t xml:space="preserve">: 14, 28, 30, 56, 60, 84, 90 </w:t>
      </w:r>
      <w:r w:rsidR="007E12B3" w:rsidRPr="00B0468F">
        <w:rPr>
          <w:lang w:val="lt-LT"/>
        </w:rPr>
        <w:t>arba</w:t>
      </w:r>
      <w:r w:rsidRPr="00B0468F">
        <w:rPr>
          <w:lang w:val="lt-LT"/>
        </w:rPr>
        <w:t xml:space="preserve"> 98 plėvele dengtos tabletės dėžutėje.</w:t>
      </w:r>
    </w:p>
    <w:p w14:paraId="59604558" w14:textId="77777777" w:rsidR="002F5C27" w:rsidRPr="00B0468F" w:rsidRDefault="002F5C27" w:rsidP="005350AF">
      <w:pPr>
        <w:widowControl w:val="0"/>
        <w:tabs>
          <w:tab w:val="clear" w:pos="567"/>
        </w:tabs>
        <w:spacing w:line="240" w:lineRule="auto"/>
        <w:ind w:right="566"/>
        <w:rPr>
          <w:lang w:val="lt-LT"/>
        </w:rPr>
      </w:pPr>
    </w:p>
    <w:p w14:paraId="5D512E96" w14:textId="77777777" w:rsidR="00F34163" w:rsidRPr="00B0468F" w:rsidRDefault="00F34163" w:rsidP="005350AF">
      <w:pPr>
        <w:widowControl w:val="0"/>
        <w:tabs>
          <w:tab w:val="clear" w:pos="567"/>
        </w:tabs>
        <w:spacing w:line="240" w:lineRule="auto"/>
        <w:ind w:right="566"/>
        <w:rPr>
          <w:lang w:val="lt-LT"/>
        </w:rPr>
      </w:pPr>
      <w:r w:rsidRPr="00B0468F">
        <w:rPr>
          <w:lang w:val="lt-LT"/>
        </w:rPr>
        <w:t>Gali būti tie</w:t>
      </w:r>
      <w:r w:rsidR="002F5C27" w:rsidRPr="00B0468F">
        <w:rPr>
          <w:lang w:val="lt-LT"/>
        </w:rPr>
        <w:t>kiamos ne visų dydžių pakuotės.</w:t>
      </w:r>
    </w:p>
    <w:p w14:paraId="0E7526BB" w14:textId="77777777" w:rsidR="00F34163" w:rsidRPr="00B0468F" w:rsidRDefault="00F34163" w:rsidP="005350AF">
      <w:pPr>
        <w:widowControl w:val="0"/>
        <w:tabs>
          <w:tab w:val="clear" w:pos="567"/>
        </w:tabs>
        <w:spacing w:line="240" w:lineRule="auto"/>
        <w:ind w:right="566"/>
        <w:rPr>
          <w:lang w:val="lt-LT"/>
        </w:rPr>
      </w:pPr>
    </w:p>
    <w:p w14:paraId="3F5B9F89" w14:textId="77777777" w:rsidR="00F34163" w:rsidRPr="00B0468F" w:rsidRDefault="00F34163" w:rsidP="00B0468F">
      <w:pPr>
        <w:pStyle w:val="Antrat4"/>
        <w:keepNext w:val="0"/>
        <w:widowControl w:val="0"/>
        <w:spacing w:line="240" w:lineRule="auto"/>
        <w:ind w:right="566"/>
        <w:rPr>
          <w:b w:val="0"/>
          <w:lang w:val="lt-LT"/>
        </w:rPr>
      </w:pPr>
      <w:bookmarkStart w:id="1" w:name="OLE_LINK1"/>
      <w:r w:rsidRPr="00B0468F">
        <w:rPr>
          <w:rFonts w:ascii="Times New Roman" w:hAnsi="Times New Roman"/>
          <w:sz w:val="22"/>
          <w:lang w:val="lt-LT"/>
        </w:rPr>
        <w:t>6.6</w:t>
      </w:r>
      <w:r w:rsidRPr="00B0468F">
        <w:rPr>
          <w:rFonts w:ascii="Times New Roman" w:hAnsi="Times New Roman"/>
          <w:sz w:val="22"/>
          <w:lang w:val="lt-LT"/>
        </w:rPr>
        <w:tab/>
        <w:t xml:space="preserve">Specialūs </w:t>
      </w:r>
      <w:r w:rsidR="002F5C27" w:rsidRPr="00B0468F">
        <w:rPr>
          <w:rFonts w:ascii="Times New Roman" w:hAnsi="Times New Roman"/>
          <w:sz w:val="22"/>
          <w:lang w:val="lt-LT"/>
        </w:rPr>
        <w:t>reikalavimai atliekoms tvarkyti</w:t>
      </w:r>
    </w:p>
    <w:bookmarkEnd w:id="1"/>
    <w:p w14:paraId="39042F2D" w14:textId="77777777" w:rsidR="00F34163" w:rsidRPr="00B0468F" w:rsidRDefault="00F34163" w:rsidP="005350AF">
      <w:pPr>
        <w:widowControl w:val="0"/>
        <w:tabs>
          <w:tab w:val="clear" w:pos="567"/>
        </w:tabs>
        <w:spacing w:line="240" w:lineRule="auto"/>
        <w:ind w:right="566"/>
        <w:rPr>
          <w:lang w:val="lt-LT"/>
        </w:rPr>
      </w:pPr>
    </w:p>
    <w:p w14:paraId="7092941B" w14:textId="77777777" w:rsidR="00590FEE" w:rsidRPr="00B0468F" w:rsidRDefault="007E12B3" w:rsidP="005350AF">
      <w:pPr>
        <w:widowControl w:val="0"/>
        <w:tabs>
          <w:tab w:val="clear" w:pos="567"/>
        </w:tabs>
        <w:spacing w:line="240" w:lineRule="auto"/>
        <w:ind w:right="566"/>
        <w:rPr>
          <w:lang w:val="lt-LT"/>
        </w:rPr>
      </w:pPr>
      <w:r w:rsidRPr="00B0468F">
        <w:rPr>
          <w:lang w:val="lt-LT"/>
        </w:rPr>
        <w:t>Specialių</w:t>
      </w:r>
      <w:r w:rsidR="00590FEE" w:rsidRPr="00B0468F">
        <w:rPr>
          <w:lang w:val="lt-LT"/>
        </w:rPr>
        <w:t xml:space="preserve"> reikalavimų</w:t>
      </w:r>
      <w:r w:rsidRPr="00B0468F">
        <w:rPr>
          <w:lang w:val="lt-LT"/>
        </w:rPr>
        <w:t xml:space="preserve"> atliekoms tvarkyti</w:t>
      </w:r>
      <w:r w:rsidR="00590FEE" w:rsidRPr="00B0468F">
        <w:rPr>
          <w:lang w:val="lt-LT"/>
        </w:rPr>
        <w:t xml:space="preserve"> nėra.</w:t>
      </w:r>
    </w:p>
    <w:p w14:paraId="4248C9F1" w14:textId="77777777" w:rsidR="00F34163" w:rsidRPr="00B0468F" w:rsidRDefault="00F34163" w:rsidP="005350AF">
      <w:pPr>
        <w:widowControl w:val="0"/>
        <w:tabs>
          <w:tab w:val="clear" w:pos="567"/>
        </w:tabs>
        <w:spacing w:line="240" w:lineRule="auto"/>
        <w:ind w:right="566"/>
        <w:rPr>
          <w:lang w:val="lt-LT"/>
        </w:rPr>
      </w:pPr>
    </w:p>
    <w:p w14:paraId="7D77FF62" w14:textId="77777777" w:rsidR="004250F9" w:rsidRPr="00B0468F" w:rsidRDefault="004250F9" w:rsidP="005350AF">
      <w:pPr>
        <w:widowControl w:val="0"/>
        <w:tabs>
          <w:tab w:val="clear" w:pos="567"/>
        </w:tabs>
        <w:spacing w:line="240" w:lineRule="auto"/>
        <w:ind w:right="566"/>
        <w:rPr>
          <w:lang w:val="lt-LT"/>
        </w:rPr>
      </w:pPr>
      <w:r w:rsidRPr="00B0468F">
        <w:rPr>
          <w:lang w:val="lt-LT"/>
        </w:rPr>
        <w:t>Nesuvartotą vaistinį preparatą ar atliekas reikia tvarkyti laikantis vietinių reikalavimų.</w:t>
      </w:r>
    </w:p>
    <w:p w14:paraId="7F8D54D3" w14:textId="77777777" w:rsidR="004250F9" w:rsidRPr="00B0468F" w:rsidRDefault="004250F9" w:rsidP="005350AF">
      <w:pPr>
        <w:widowControl w:val="0"/>
        <w:tabs>
          <w:tab w:val="clear" w:pos="567"/>
        </w:tabs>
        <w:spacing w:line="240" w:lineRule="auto"/>
        <w:ind w:right="566"/>
        <w:rPr>
          <w:lang w:val="lt-LT"/>
        </w:rPr>
      </w:pPr>
    </w:p>
    <w:p w14:paraId="6BFC172A" w14:textId="77777777" w:rsidR="00F34163" w:rsidRPr="00B0468F" w:rsidRDefault="00F34163" w:rsidP="005350AF">
      <w:pPr>
        <w:widowControl w:val="0"/>
        <w:tabs>
          <w:tab w:val="clear" w:pos="567"/>
        </w:tabs>
        <w:spacing w:line="240" w:lineRule="auto"/>
        <w:ind w:right="566"/>
        <w:rPr>
          <w:lang w:val="lt-LT"/>
        </w:rPr>
      </w:pPr>
    </w:p>
    <w:p w14:paraId="4111917B"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7.</w:t>
      </w:r>
      <w:r w:rsidRPr="00B0468F">
        <w:rPr>
          <w:rFonts w:ascii="Times New Roman" w:hAnsi="Times New Roman"/>
          <w:sz w:val="22"/>
          <w:lang w:val="lt-LT"/>
        </w:rPr>
        <w:tab/>
      </w:r>
      <w:r w:rsidR="00126F6D" w:rsidRPr="00B0468F">
        <w:rPr>
          <w:rFonts w:ascii="Times New Roman" w:hAnsi="Times New Roman"/>
          <w:sz w:val="22"/>
          <w:lang w:val="lt-LT"/>
        </w:rPr>
        <w:t>REGISTRUOTOJAS</w:t>
      </w:r>
    </w:p>
    <w:p w14:paraId="5A06F2D3" w14:textId="77777777" w:rsidR="003861B0" w:rsidRPr="00B0468F" w:rsidRDefault="003861B0" w:rsidP="005350AF">
      <w:pPr>
        <w:widowControl w:val="0"/>
        <w:tabs>
          <w:tab w:val="clear" w:pos="567"/>
        </w:tabs>
        <w:spacing w:line="240" w:lineRule="auto"/>
        <w:ind w:right="566"/>
        <w:rPr>
          <w:highlight w:val="yellow"/>
          <w:lang w:val="lt-LT"/>
        </w:rPr>
      </w:pPr>
    </w:p>
    <w:p w14:paraId="579E6C02" w14:textId="77777777" w:rsidR="003861B0" w:rsidRPr="00B0468F" w:rsidRDefault="00FC0300" w:rsidP="00B0468F">
      <w:pPr>
        <w:widowControl w:val="0"/>
        <w:tabs>
          <w:tab w:val="clear" w:pos="567"/>
        </w:tabs>
        <w:spacing w:line="240" w:lineRule="auto"/>
        <w:ind w:right="566"/>
        <w:rPr>
          <w:lang w:val="lt-LT"/>
        </w:rPr>
      </w:pPr>
      <w:r w:rsidRPr="00B0468F">
        <w:rPr>
          <w:lang w:val="lt-LT"/>
        </w:rPr>
        <w:t>KRKA</w:t>
      </w:r>
      <w:r w:rsidR="003861B0" w:rsidRPr="00B0468F">
        <w:rPr>
          <w:lang w:val="lt-LT"/>
        </w:rPr>
        <w:t>, d.d., Novo mesto</w:t>
      </w:r>
    </w:p>
    <w:p w14:paraId="73A25D05" w14:textId="77777777" w:rsidR="003861B0" w:rsidRPr="00B0468F" w:rsidRDefault="003861B0" w:rsidP="00B0468F">
      <w:pPr>
        <w:widowControl w:val="0"/>
        <w:tabs>
          <w:tab w:val="clear" w:pos="567"/>
        </w:tabs>
        <w:spacing w:line="240" w:lineRule="auto"/>
        <w:ind w:right="566"/>
        <w:rPr>
          <w:lang w:val="lt-LT"/>
        </w:rPr>
      </w:pPr>
      <w:r w:rsidRPr="00B0468F">
        <w:rPr>
          <w:lang w:val="lt-LT"/>
        </w:rPr>
        <w:t>Šmarješka cesta 6</w:t>
      </w:r>
    </w:p>
    <w:p w14:paraId="36D76FEB" w14:textId="77777777" w:rsidR="003861B0" w:rsidRPr="00B0468F" w:rsidRDefault="003861B0" w:rsidP="00B0468F">
      <w:pPr>
        <w:widowControl w:val="0"/>
        <w:tabs>
          <w:tab w:val="clear" w:pos="567"/>
        </w:tabs>
        <w:spacing w:line="240" w:lineRule="auto"/>
        <w:ind w:right="566"/>
        <w:rPr>
          <w:lang w:val="lt-LT"/>
        </w:rPr>
      </w:pPr>
      <w:r w:rsidRPr="00B0468F">
        <w:rPr>
          <w:lang w:val="lt-LT"/>
        </w:rPr>
        <w:t>8501 Novo mesto</w:t>
      </w:r>
    </w:p>
    <w:p w14:paraId="01ED61D1" w14:textId="77777777" w:rsidR="003861B0" w:rsidRPr="00B0468F" w:rsidRDefault="003861B0" w:rsidP="00B0468F">
      <w:pPr>
        <w:widowControl w:val="0"/>
        <w:tabs>
          <w:tab w:val="clear" w:pos="567"/>
        </w:tabs>
        <w:spacing w:line="240" w:lineRule="auto"/>
        <w:ind w:right="566"/>
        <w:rPr>
          <w:lang w:val="lt-LT"/>
        </w:rPr>
      </w:pPr>
      <w:r w:rsidRPr="00B0468F">
        <w:rPr>
          <w:lang w:val="lt-LT"/>
        </w:rPr>
        <w:t>Slovėnija</w:t>
      </w:r>
    </w:p>
    <w:p w14:paraId="0ACE416E" w14:textId="77777777" w:rsidR="003861B0" w:rsidRPr="00B0468F" w:rsidRDefault="003861B0" w:rsidP="005350AF">
      <w:pPr>
        <w:widowControl w:val="0"/>
        <w:tabs>
          <w:tab w:val="clear" w:pos="567"/>
        </w:tabs>
        <w:spacing w:line="240" w:lineRule="auto"/>
        <w:ind w:right="566"/>
        <w:rPr>
          <w:lang w:val="lt-LT"/>
        </w:rPr>
      </w:pPr>
    </w:p>
    <w:p w14:paraId="25B0DCC6" w14:textId="77777777" w:rsidR="00F34163" w:rsidRPr="00B0468F" w:rsidRDefault="00F34163" w:rsidP="005350AF">
      <w:pPr>
        <w:widowControl w:val="0"/>
        <w:tabs>
          <w:tab w:val="clear" w:pos="567"/>
        </w:tabs>
        <w:spacing w:line="240" w:lineRule="auto"/>
        <w:ind w:right="566"/>
        <w:rPr>
          <w:lang w:val="lt-LT"/>
        </w:rPr>
      </w:pPr>
    </w:p>
    <w:p w14:paraId="0D12712A" w14:textId="19C46DDF" w:rsidR="00217AE9" w:rsidRPr="00FD696A" w:rsidRDefault="00F34163" w:rsidP="00B0468F">
      <w:pPr>
        <w:pStyle w:val="Antrat3"/>
        <w:keepNext w:val="0"/>
        <w:keepLines w:val="0"/>
        <w:widowControl w:val="0"/>
        <w:spacing w:before="0" w:after="0" w:line="240" w:lineRule="auto"/>
        <w:ind w:right="566"/>
        <w:rPr>
          <w:b w:val="0"/>
          <w:lang w:val="pt-PT"/>
        </w:rPr>
      </w:pPr>
      <w:r w:rsidRPr="00B0468F">
        <w:rPr>
          <w:rFonts w:ascii="Times New Roman" w:hAnsi="Times New Roman"/>
          <w:sz w:val="22"/>
          <w:lang w:val="lt-LT"/>
        </w:rPr>
        <w:t>8.</w:t>
      </w:r>
      <w:r w:rsidRPr="00B0468F">
        <w:rPr>
          <w:rFonts w:ascii="Times New Roman" w:hAnsi="Times New Roman"/>
          <w:sz w:val="22"/>
          <w:lang w:val="lt-LT"/>
        </w:rPr>
        <w:tab/>
      </w:r>
      <w:r w:rsidR="00826CB6" w:rsidRPr="00B0468F">
        <w:rPr>
          <w:rFonts w:ascii="Times New Roman" w:hAnsi="Times New Roman"/>
          <w:sz w:val="22"/>
          <w:lang w:val="lt-LT"/>
        </w:rPr>
        <w:t xml:space="preserve">REGISTRACIJOS </w:t>
      </w:r>
      <w:r w:rsidRPr="00B0468F">
        <w:rPr>
          <w:rFonts w:ascii="Times New Roman" w:hAnsi="Times New Roman"/>
          <w:sz w:val="22"/>
          <w:lang w:val="lt-LT"/>
        </w:rPr>
        <w:t>PAŽYMĖJIMO NUMERIS (-IAI)</w:t>
      </w:r>
    </w:p>
    <w:p w14:paraId="178C094D" w14:textId="77777777" w:rsidR="00F34163" w:rsidRPr="00B0468F" w:rsidRDefault="00F34163" w:rsidP="005350AF">
      <w:pPr>
        <w:widowControl w:val="0"/>
        <w:tabs>
          <w:tab w:val="clear" w:pos="567"/>
        </w:tabs>
        <w:spacing w:line="240" w:lineRule="auto"/>
        <w:ind w:right="566"/>
        <w:rPr>
          <w:lang w:val="lt-LT"/>
        </w:rPr>
      </w:pPr>
    </w:p>
    <w:p w14:paraId="724D912B" w14:textId="77777777" w:rsidR="002C0D1F" w:rsidRPr="00B0468F" w:rsidRDefault="002C0D1F" w:rsidP="00B0468F">
      <w:pPr>
        <w:widowControl w:val="0"/>
        <w:tabs>
          <w:tab w:val="clear" w:pos="567"/>
        </w:tabs>
        <w:autoSpaceDE w:val="0"/>
        <w:autoSpaceDN w:val="0"/>
        <w:adjustRightInd w:val="0"/>
        <w:spacing w:line="240" w:lineRule="auto"/>
        <w:rPr>
          <w:rFonts w:eastAsia="Calibri"/>
          <w:lang w:val="lt-LT"/>
        </w:rPr>
        <w:sectPr w:rsidR="002C0D1F" w:rsidRPr="00B0468F" w:rsidSect="00FA7D7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pPr>
    </w:p>
    <w:p w14:paraId="24C71E0A" w14:textId="65F2E8FC" w:rsidR="00217AE9" w:rsidRPr="00FD696A" w:rsidRDefault="007E12B3" w:rsidP="00B0468F">
      <w:pPr>
        <w:widowControl w:val="0"/>
        <w:tabs>
          <w:tab w:val="clear" w:pos="567"/>
        </w:tabs>
        <w:autoSpaceDE w:val="0"/>
        <w:autoSpaceDN w:val="0"/>
        <w:adjustRightInd w:val="0"/>
        <w:spacing w:line="240" w:lineRule="auto"/>
        <w:rPr>
          <w:lang w:val="pt-PT"/>
        </w:rPr>
      </w:pPr>
      <w:r w:rsidRPr="00B0468F">
        <w:rPr>
          <w:rFonts w:eastAsia="Calibri"/>
          <w:lang w:val="lt-LT"/>
        </w:rPr>
        <w:t>Eliskardia 5 mg</w:t>
      </w:r>
    </w:p>
    <w:p w14:paraId="05D827CC"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LT/1/18/4251/001 – N14</w:t>
      </w:r>
    </w:p>
    <w:p w14:paraId="507B7F7F"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LT/1/18/4251/002 – N28</w:t>
      </w:r>
    </w:p>
    <w:p w14:paraId="2CD7026E"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LT/1/18/4251/003 – N30</w:t>
      </w:r>
    </w:p>
    <w:p w14:paraId="4F8500E3"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LT/1/18/4251/004 – N56</w:t>
      </w:r>
    </w:p>
    <w:p w14:paraId="3C7FF6E2"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LT/1/18/4251/005 – N60</w:t>
      </w:r>
    </w:p>
    <w:p w14:paraId="142EFD98"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LT/1/18/4251/006 – N84</w:t>
      </w:r>
    </w:p>
    <w:p w14:paraId="69C35A40"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LT/1/18/4251/007 – N90</w:t>
      </w:r>
    </w:p>
    <w:p w14:paraId="066A45A3" w14:textId="77777777" w:rsidR="007E12B3" w:rsidRPr="00B0468F" w:rsidRDefault="007E12B3" w:rsidP="005350AF">
      <w:pPr>
        <w:widowControl w:val="0"/>
        <w:tabs>
          <w:tab w:val="clear" w:pos="567"/>
        </w:tabs>
        <w:spacing w:line="240" w:lineRule="auto"/>
        <w:ind w:right="566"/>
        <w:rPr>
          <w:rFonts w:eastAsia="Calibri"/>
          <w:lang w:val="lt-LT"/>
        </w:rPr>
      </w:pPr>
      <w:r w:rsidRPr="00B0468F">
        <w:rPr>
          <w:rFonts w:eastAsia="Calibri"/>
          <w:lang w:val="lt-LT"/>
        </w:rPr>
        <w:t>LT/1/18/4251/008 – N98</w:t>
      </w:r>
    </w:p>
    <w:p w14:paraId="35FE1F69" w14:textId="77777777" w:rsidR="007E12B3" w:rsidRPr="00B0468F" w:rsidRDefault="007E12B3" w:rsidP="005350AF">
      <w:pPr>
        <w:widowControl w:val="0"/>
        <w:tabs>
          <w:tab w:val="clear" w:pos="567"/>
        </w:tabs>
        <w:spacing w:line="240" w:lineRule="auto"/>
        <w:ind w:right="566"/>
        <w:rPr>
          <w:rFonts w:eastAsia="Calibri"/>
          <w:lang w:val="lt-LT"/>
        </w:rPr>
      </w:pPr>
      <w:r w:rsidRPr="00B0468F">
        <w:rPr>
          <w:rFonts w:eastAsia="Calibri"/>
          <w:lang w:val="lt-LT"/>
        </w:rPr>
        <w:t>Eliskardia 10 mg</w:t>
      </w:r>
    </w:p>
    <w:p w14:paraId="7107C487"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LT/1/18/4252/001 – N14</w:t>
      </w:r>
    </w:p>
    <w:p w14:paraId="520B5086"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LT/1/18/4252/002 – N28</w:t>
      </w:r>
    </w:p>
    <w:p w14:paraId="171D0AA9"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LT/1/18/4252/003 – N30</w:t>
      </w:r>
    </w:p>
    <w:p w14:paraId="502EB109"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LT/1/18/4252/004 – N56</w:t>
      </w:r>
    </w:p>
    <w:p w14:paraId="2A4A9697"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LT/1/18/4252/005 – N60</w:t>
      </w:r>
    </w:p>
    <w:p w14:paraId="0A7FDD0D"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LT/1/18/4252/006 – N84</w:t>
      </w:r>
    </w:p>
    <w:p w14:paraId="664FE60E" w14:textId="77777777" w:rsidR="007E12B3" w:rsidRPr="00B0468F" w:rsidRDefault="007E12B3" w:rsidP="00B0468F">
      <w:pPr>
        <w:widowControl w:val="0"/>
        <w:tabs>
          <w:tab w:val="clear" w:pos="567"/>
        </w:tabs>
        <w:autoSpaceDE w:val="0"/>
        <w:autoSpaceDN w:val="0"/>
        <w:adjustRightInd w:val="0"/>
        <w:spacing w:line="240" w:lineRule="auto"/>
        <w:rPr>
          <w:rFonts w:eastAsia="Calibri"/>
          <w:lang w:val="lt-LT"/>
        </w:rPr>
      </w:pPr>
      <w:r w:rsidRPr="00B0468F">
        <w:rPr>
          <w:rFonts w:eastAsia="Calibri"/>
          <w:lang w:val="lt-LT"/>
        </w:rPr>
        <w:t>LT/1/18/4252/007 – N90</w:t>
      </w:r>
    </w:p>
    <w:p w14:paraId="18E20748" w14:textId="77777777" w:rsidR="007E12B3" w:rsidRDefault="007E12B3" w:rsidP="005350AF">
      <w:pPr>
        <w:widowControl w:val="0"/>
        <w:tabs>
          <w:tab w:val="clear" w:pos="567"/>
        </w:tabs>
        <w:spacing w:line="240" w:lineRule="auto"/>
        <w:ind w:right="566"/>
        <w:rPr>
          <w:rFonts w:eastAsia="Calibri"/>
          <w:lang w:val="lt-LT"/>
        </w:rPr>
      </w:pPr>
      <w:r w:rsidRPr="00B0468F">
        <w:rPr>
          <w:rFonts w:eastAsia="Calibri"/>
          <w:lang w:val="lt-LT"/>
        </w:rPr>
        <w:t>LT/1/18/4252/008 – N98</w:t>
      </w:r>
    </w:p>
    <w:p w14:paraId="223998FB" w14:textId="77777777" w:rsidR="00C64EAC" w:rsidRPr="00B0468F" w:rsidRDefault="00C64EAC" w:rsidP="005350AF">
      <w:pPr>
        <w:widowControl w:val="0"/>
        <w:tabs>
          <w:tab w:val="clear" w:pos="567"/>
        </w:tabs>
        <w:spacing w:line="240" w:lineRule="auto"/>
        <w:ind w:right="566"/>
        <w:rPr>
          <w:rFonts w:eastAsia="Calibri"/>
          <w:lang w:val="lt-LT"/>
        </w:rPr>
        <w:sectPr w:rsidR="00C64EAC" w:rsidRPr="00B0468F" w:rsidSect="00FA7D75">
          <w:type w:val="continuous"/>
          <w:pgSz w:w="11906" w:h="16838"/>
          <w:pgMar w:top="1134" w:right="1418" w:bottom="1134" w:left="1418" w:header="567" w:footer="567" w:gutter="0"/>
          <w:cols w:num="2" w:space="1296"/>
          <w:docGrid w:linePitch="360"/>
        </w:sectPr>
      </w:pPr>
    </w:p>
    <w:p w14:paraId="16AE8C42" w14:textId="77777777" w:rsidR="00F34163" w:rsidRDefault="00F34163" w:rsidP="005350AF">
      <w:pPr>
        <w:widowControl w:val="0"/>
        <w:tabs>
          <w:tab w:val="clear" w:pos="567"/>
        </w:tabs>
        <w:spacing w:line="240" w:lineRule="auto"/>
        <w:ind w:right="566"/>
        <w:rPr>
          <w:lang w:val="lt-LT"/>
        </w:rPr>
      </w:pPr>
    </w:p>
    <w:p w14:paraId="6CDFFD77" w14:textId="77777777" w:rsidR="00C64EAC" w:rsidRPr="00B0468F" w:rsidRDefault="00C64EAC" w:rsidP="005350AF">
      <w:pPr>
        <w:widowControl w:val="0"/>
        <w:tabs>
          <w:tab w:val="clear" w:pos="567"/>
        </w:tabs>
        <w:spacing w:line="240" w:lineRule="auto"/>
        <w:ind w:right="566"/>
        <w:rPr>
          <w:lang w:val="lt-LT"/>
        </w:rPr>
      </w:pPr>
    </w:p>
    <w:p w14:paraId="414786DC"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9.</w:t>
      </w:r>
      <w:r w:rsidRPr="00B0468F">
        <w:rPr>
          <w:rFonts w:ascii="Times New Roman" w:hAnsi="Times New Roman"/>
          <w:sz w:val="22"/>
          <w:lang w:val="lt-LT"/>
        </w:rPr>
        <w:tab/>
      </w:r>
      <w:r w:rsidR="00826CB6" w:rsidRPr="00B0468F">
        <w:rPr>
          <w:rFonts w:ascii="Times New Roman" w:hAnsi="Times New Roman"/>
          <w:sz w:val="22"/>
          <w:lang w:val="lt-LT"/>
        </w:rPr>
        <w:t>REGISTRA</w:t>
      </w:r>
      <w:r w:rsidR="00B51C06" w:rsidRPr="00B0468F">
        <w:rPr>
          <w:rFonts w:ascii="Times New Roman" w:hAnsi="Times New Roman"/>
          <w:sz w:val="22"/>
          <w:lang w:val="lt-LT"/>
        </w:rPr>
        <w:t>VIMO</w:t>
      </w:r>
      <w:r w:rsidRPr="00B0468F">
        <w:rPr>
          <w:rFonts w:ascii="Times New Roman" w:hAnsi="Times New Roman"/>
          <w:sz w:val="22"/>
          <w:lang w:val="lt-LT"/>
        </w:rPr>
        <w:t xml:space="preserve"> / </w:t>
      </w:r>
      <w:r w:rsidR="00CE6EC2" w:rsidRPr="00B0468F">
        <w:rPr>
          <w:rFonts w:ascii="Times New Roman" w:hAnsi="Times New Roman"/>
          <w:sz w:val="22"/>
          <w:lang w:val="lt-LT"/>
        </w:rPr>
        <w:t xml:space="preserve">PERREGISTRAVIMO </w:t>
      </w:r>
      <w:r w:rsidRPr="00B0468F">
        <w:rPr>
          <w:rFonts w:ascii="Times New Roman" w:hAnsi="Times New Roman"/>
          <w:sz w:val="22"/>
          <w:lang w:val="lt-LT"/>
        </w:rPr>
        <w:t>DATA</w:t>
      </w:r>
    </w:p>
    <w:p w14:paraId="700D7951" w14:textId="77777777" w:rsidR="00F34163" w:rsidRPr="00B0468F" w:rsidRDefault="00F34163" w:rsidP="005350AF">
      <w:pPr>
        <w:widowControl w:val="0"/>
        <w:tabs>
          <w:tab w:val="clear" w:pos="567"/>
        </w:tabs>
        <w:spacing w:line="240" w:lineRule="auto"/>
        <w:ind w:right="566"/>
        <w:rPr>
          <w:lang w:val="lt-LT"/>
        </w:rPr>
      </w:pPr>
    </w:p>
    <w:p w14:paraId="4FF3F8A2" w14:textId="32E101C9" w:rsidR="00F34163" w:rsidRPr="00B0468F" w:rsidRDefault="00C8680A" w:rsidP="005350AF">
      <w:pPr>
        <w:widowControl w:val="0"/>
        <w:tabs>
          <w:tab w:val="clear" w:pos="567"/>
        </w:tabs>
        <w:spacing w:line="240" w:lineRule="auto"/>
        <w:ind w:right="566"/>
        <w:rPr>
          <w:lang w:val="lt-LT"/>
        </w:rPr>
      </w:pPr>
      <w:r w:rsidRPr="00B0468F">
        <w:rPr>
          <w:lang w:val="lt-LT"/>
        </w:rPr>
        <w:t>Registra</w:t>
      </w:r>
      <w:r w:rsidR="00B51C06" w:rsidRPr="00B0468F">
        <w:rPr>
          <w:lang w:val="lt-LT"/>
        </w:rPr>
        <w:t>vimo</w:t>
      </w:r>
      <w:r w:rsidRPr="00B0468F">
        <w:rPr>
          <w:lang w:val="lt-LT"/>
        </w:rPr>
        <w:t xml:space="preserve"> data</w:t>
      </w:r>
      <w:r w:rsidR="00217AE9" w:rsidRPr="00B0468F">
        <w:rPr>
          <w:lang w:val="lt-LT"/>
        </w:rPr>
        <w:t xml:space="preserve"> </w:t>
      </w:r>
      <w:r w:rsidR="007E12B3" w:rsidRPr="00B0468F">
        <w:rPr>
          <w:lang w:val="lt-LT"/>
        </w:rPr>
        <w:t>2018 m. rugsėjo 10 d.</w:t>
      </w:r>
    </w:p>
    <w:p w14:paraId="5D964161" w14:textId="1411BE6F" w:rsidR="00F34163" w:rsidRDefault="00FD696A" w:rsidP="005350AF">
      <w:pPr>
        <w:widowControl w:val="0"/>
        <w:tabs>
          <w:tab w:val="clear" w:pos="567"/>
        </w:tabs>
        <w:spacing w:line="240" w:lineRule="auto"/>
        <w:ind w:right="566"/>
        <w:rPr>
          <w:lang w:val="lt-LT"/>
        </w:rPr>
      </w:pPr>
      <w:r>
        <w:rPr>
          <w:lang w:val="lt-LT"/>
        </w:rPr>
        <w:t>Paskutinio perregistravimo data</w:t>
      </w:r>
      <w:r w:rsidR="00C64EAC">
        <w:rPr>
          <w:lang w:val="lt-LT"/>
        </w:rPr>
        <w:t xml:space="preserve"> 2025 m. sausio 31 d.</w:t>
      </w:r>
    </w:p>
    <w:p w14:paraId="64CCD2D9" w14:textId="77777777" w:rsidR="00FD696A" w:rsidRPr="00B0468F" w:rsidRDefault="00FD696A" w:rsidP="005350AF">
      <w:pPr>
        <w:widowControl w:val="0"/>
        <w:tabs>
          <w:tab w:val="clear" w:pos="567"/>
        </w:tabs>
        <w:spacing w:line="240" w:lineRule="auto"/>
        <w:ind w:right="566"/>
        <w:rPr>
          <w:lang w:val="lt-LT"/>
        </w:rPr>
      </w:pPr>
    </w:p>
    <w:p w14:paraId="685720F8" w14:textId="77777777" w:rsidR="00064FB6" w:rsidRPr="00B0468F" w:rsidRDefault="00064FB6" w:rsidP="005350AF">
      <w:pPr>
        <w:widowControl w:val="0"/>
        <w:tabs>
          <w:tab w:val="clear" w:pos="567"/>
        </w:tabs>
        <w:spacing w:line="240" w:lineRule="auto"/>
        <w:ind w:right="566"/>
        <w:rPr>
          <w:lang w:val="lt-LT"/>
        </w:rPr>
      </w:pPr>
    </w:p>
    <w:p w14:paraId="7198B829"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10.</w:t>
      </w:r>
      <w:r w:rsidRPr="00B0468F">
        <w:rPr>
          <w:rFonts w:ascii="Times New Roman" w:hAnsi="Times New Roman"/>
          <w:sz w:val="22"/>
          <w:lang w:val="lt-LT"/>
        </w:rPr>
        <w:tab/>
        <w:t>TEKSTO PERŽIŪROS DATA</w:t>
      </w:r>
    </w:p>
    <w:p w14:paraId="0ADDF695" w14:textId="77777777" w:rsidR="00F34163" w:rsidRPr="00B0468F" w:rsidRDefault="00F34163" w:rsidP="005350AF">
      <w:pPr>
        <w:widowControl w:val="0"/>
        <w:tabs>
          <w:tab w:val="clear" w:pos="567"/>
        </w:tabs>
        <w:spacing w:line="240" w:lineRule="auto"/>
        <w:ind w:right="566"/>
        <w:rPr>
          <w:lang w:val="lt-LT"/>
        </w:rPr>
      </w:pPr>
    </w:p>
    <w:p w14:paraId="1AB4BE05" w14:textId="500D5075" w:rsidR="00F34163" w:rsidRDefault="00C64EAC" w:rsidP="005350AF">
      <w:pPr>
        <w:widowControl w:val="0"/>
        <w:tabs>
          <w:tab w:val="clear" w:pos="567"/>
        </w:tabs>
        <w:spacing w:line="240" w:lineRule="auto"/>
        <w:ind w:right="566"/>
        <w:rPr>
          <w:lang w:val="lt-LT"/>
        </w:rPr>
      </w:pPr>
      <w:r>
        <w:rPr>
          <w:lang w:val="lt-LT"/>
        </w:rPr>
        <w:t>2025 m. sausio 31 d.</w:t>
      </w:r>
    </w:p>
    <w:p w14:paraId="6B74E6DA" w14:textId="77777777" w:rsidR="00C64EAC" w:rsidRPr="00B0468F" w:rsidRDefault="00C64EAC" w:rsidP="005350AF">
      <w:pPr>
        <w:widowControl w:val="0"/>
        <w:tabs>
          <w:tab w:val="clear" w:pos="567"/>
        </w:tabs>
        <w:spacing w:line="240" w:lineRule="auto"/>
        <w:ind w:right="566"/>
        <w:rPr>
          <w:lang w:val="lt-LT"/>
        </w:rPr>
      </w:pPr>
    </w:p>
    <w:p w14:paraId="22EA7374" w14:textId="350CD0D8" w:rsidR="00F34163" w:rsidRPr="00B0468F" w:rsidRDefault="00F34163" w:rsidP="00B0468F">
      <w:pPr>
        <w:pStyle w:val="Paprastasistekstas"/>
        <w:widowControl w:val="0"/>
        <w:tabs>
          <w:tab w:val="left" w:pos="5954"/>
          <w:tab w:val="left" w:pos="6237"/>
          <w:tab w:val="left" w:pos="6663"/>
          <w:tab w:val="left" w:pos="6946"/>
        </w:tabs>
        <w:ind w:right="566"/>
        <w:rPr>
          <w:lang w:val="lt-LT"/>
        </w:rPr>
      </w:pPr>
      <w:r w:rsidRPr="00B0468F">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8B103C">
        <w:rPr>
          <w:rFonts w:ascii="Times New Roman" w:hAnsi="Times New Roman"/>
          <w:i/>
          <w:sz w:val="22"/>
          <w:lang w:val="lt-LT"/>
        </w:rPr>
        <w:t xml:space="preserve"> </w:t>
      </w:r>
      <w:r w:rsidR="005F23CD" w:rsidRPr="005F23CD">
        <w:rPr>
          <w:rFonts w:ascii="Times New Roman" w:eastAsia="Times New Roman" w:hAnsi="Times New Roman"/>
          <w:color w:val="0000EE"/>
          <w:sz w:val="22"/>
          <w:szCs w:val="22"/>
          <w:u w:val="single"/>
          <w:lang w:val="lt-LT" w:eastAsia="lt-LT"/>
        </w:rPr>
        <w:t>https://vvkt.lrv.lt/lt/</w:t>
      </w:r>
      <w:r w:rsidR="005F23CD">
        <w:rPr>
          <w:rFonts w:ascii="Times New Roman" w:eastAsia="Times New Roman" w:hAnsi="Times New Roman"/>
          <w:color w:val="0000EE"/>
          <w:sz w:val="22"/>
          <w:szCs w:val="22"/>
          <w:u w:val="single"/>
          <w:lang w:val="lt-LT" w:eastAsia="lt-LT"/>
        </w:rPr>
        <w:t>.</w:t>
      </w:r>
    </w:p>
    <w:p w14:paraId="175BDC65" w14:textId="77777777" w:rsidR="00F34163" w:rsidRPr="00B0468F" w:rsidRDefault="00F34163" w:rsidP="00B0468F">
      <w:pPr>
        <w:pStyle w:val="Paprastasistekstas"/>
        <w:widowControl w:val="0"/>
        <w:tabs>
          <w:tab w:val="left" w:pos="5954"/>
          <w:tab w:val="left" w:pos="6237"/>
          <w:tab w:val="left" w:pos="6663"/>
          <w:tab w:val="left" w:pos="6946"/>
        </w:tabs>
        <w:ind w:right="566"/>
        <w:jc w:val="center"/>
        <w:rPr>
          <w:lang w:val="lt-LT"/>
        </w:rPr>
      </w:pPr>
    </w:p>
    <w:p w14:paraId="3A22CB75" w14:textId="77777777" w:rsidR="00F34163" w:rsidRPr="00B0468F" w:rsidRDefault="00331196" w:rsidP="00B0468F">
      <w:pPr>
        <w:pStyle w:val="Paprastasistekstas"/>
        <w:widowControl w:val="0"/>
        <w:tabs>
          <w:tab w:val="left" w:pos="4962"/>
        </w:tabs>
        <w:ind w:right="566"/>
        <w:rPr>
          <w:color w:val="000000"/>
          <w:lang w:val="lt-LT"/>
        </w:rPr>
      </w:pPr>
      <w:r w:rsidRPr="00B0468F">
        <w:rPr>
          <w:rFonts w:ascii="Times New Roman" w:hAnsi="Times New Roman"/>
          <w:sz w:val="22"/>
          <w:lang w:val="lt-LT"/>
        </w:rPr>
        <w:br w:type="page"/>
      </w:r>
    </w:p>
    <w:p w14:paraId="63E42D41" w14:textId="77777777" w:rsidR="007E12B3" w:rsidRPr="00B0468F" w:rsidRDefault="007E12B3" w:rsidP="00B0468F">
      <w:pPr>
        <w:widowControl w:val="0"/>
        <w:spacing w:line="240" w:lineRule="auto"/>
        <w:ind w:right="566"/>
        <w:rPr>
          <w:lang w:val="lt-LT"/>
        </w:rPr>
      </w:pPr>
    </w:p>
    <w:p w14:paraId="43A90A14" w14:textId="77777777" w:rsidR="00F34163" w:rsidRPr="00B0468F" w:rsidRDefault="00F34163" w:rsidP="00B0468F">
      <w:pPr>
        <w:widowControl w:val="0"/>
        <w:spacing w:line="240" w:lineRule="auto"/>
        <w:ind w:right="566"/>
        <w:rPr>
          <w:lang w:val="lt-LT"/>
        </w:rPr>
      </w:pPr>
    </w:p>
    <w:p w14:paraId="46F47795" w14:textId="77777777" w:rsidR="00F34163" w:rsidRPr="00B0468F" w:rsidRDefault="00F34163" w:rsidP="00B0468F">
      <w:pPr>
        <w:widowControl w:val="0"/>
        <w:spacing w:line="240" w:lineRule="auto"/>
        <w:ind w:right="566"/>
        <w:rPr>
          <w:lang w:val="lt-LT"/>
        </w:rPr>
      </w:pPr>
    </w:p>
    <w:p w14:paraId="2B9C728F" w14:textId="77777777" w:rsidR="00F34163" w:rsidRPr="00B0468F" w:rsidRDefault="00F34163" w:rsidP="00B0468F">
      <w:pPr>
        <w:widowControl w:val="0"/>
        <w:spacing w:line="240" w:lineRule="auto"/>
        <w:ind w:right="566"/>
        <w:rPr>
          <w:lang w:val="lt-LT"/>
        </w:rPr>
      </w:pPr>
    </w:p>
    <w:p w14:paraId="2BE3B337" w14:textId="77777777" w:rsidR="00F34163" w:rsidRPr="00B0468F" w:rsidRDefault="00F34163" w:rsidP="00B0468F">
      <w:pPr>
        <w:widowControl w:val="0"/>
        <w:spacing w:line="240" w:lineRule="auto"/>
        <w:ind w:right="566"/>
        <w:rPr>
          <w:lang w:val="lt-LT"/>
        </w:rPr>
      </w:pPr>
    </w:p>
    <w:p w14:paraId="595F0199" w14:textId="77777777" w:rsidR="00F34163" w:rsidRPr="00B0468F" w:rsidRDefault="00F34163" w:rsidP="00B0468F">
      <w:pPr>
        <w:widowControl w:val="0"/>
        <w:spacing w:line="240" w:lineRule="auto"/>
        <w:ind w:right="566"/>
        <w:rPr>
          <w:lang w:val="lt-LT"/>
        </w:rPr>
      </w:pPr>
    </w:p>
    <w:p w14:paraId="2CCD2266" w14:textId="77777777" w:rsidR="00F34163" w:rsidRPr="00B0468F" w:rsidRDefault="00F34163" w:rsidP="00B0468F">
      <w:pPr>
        <w:widowControl w:val="0"/>
        <w:spacing w:line="240" w:lineRule="auto"/>
        <w:ind w:right="566"/>
        <w:rPr>
          <w:lang w:val="lt-LT"/>
        </w:rPr>
      </w:pPr>
    </w:p>
    <w:p w14:paraId="54AD7866" w14:textId="77777777" w:rsidR="00F34163" w:rsidRPr="00B0468F" w:rsidRDefault="00F34163" w:rsidP="00B0468F">
      <w:pPr>
        <w:widowControl w:val="0"/>
        <w:spacing w:line="240" w:lineRule="auto"/>
        <w:ind w:right="566"/>
        <w:rPr>
          <w:lang w:val="lt-LT"/>
        </w:rPr>
      </w:pPr>
    </w:p>
    <w:p w14:paraId="1DF0B6A0" w14:textId="77777777" w:rsidR="00F34163" w:rsidRPr="00B0468F" w:rsidRDefault="00F34163" w:rsidP="00B0468F">
      <w:pPr>
        <w:widowControl w:val="0"/>
        <w:spacing w:line="240" w:lineRule="auto"/>
        <w:ind w:right="566"/>
        <w:rPr>
          <w:lang w:val="lt-LT"/>
        </w:rPr>
      </w:pPr>
    </w:p>
    <w:p w14:paraId="369ADC3C" w14:textId="77777777" w:rsidR="00F34163" w:rsidRPr="00B0468F" w:rsidRDefault="00F34163" w:rsidP="00B0468F">
      <w:pPr>
        <w:widowControl w:val="0"/>
        <w:spacing w:line="240" w:lineRule="auto"/>
        <w:ind w:right="566"/>
        <w:rPr>
          <w:lang w:val="lt-LT"/>
        </w:rPr>
      </w:pPr>
    </w:p>
    <w:p w14:paraId="6DFFC7E8" w14:textId="77777777" w:rsidR="00F34163" w:rsidRPr="00B0468F" w:rsidRDefault="00F34163" w:rsidP="00B0468F">
      <w:pPr>
        <w:widowControl w:val="0"/>
        <w:spacing w:line="240" w:lineRule="auto"/>
        <w:ind w:right="566"/>
        <w:rPr>
          <w:lang w:val="lt-LT"/>
        </w:rPr>
      </w:pPr>
    </w:p>
    <w:p w14:paraId="08A4EE85" w14:textId="77777777" w:rsidR="00F34163" w:rsidRPr="00B0468F" w:rsidRDefault="00F34163" w:rsidP="00B0468F">
      <w:pPr>
        <w:widowControl w:val="0"/>
        <w:spacing w:line="240" w:lineRule="auto"/>
        <w:ind w:right="566"/>
        <w:rPr>
          <w:lang w:val="lt-LT"/>
        </w:rPr>
      </w:pPr>
    </w:p>
    <w:p w14:paraId="3A5F12B3" w14:textId="77777777" w:rsidR="00F34163" w:rsidRPr="00B0468F" w:rsidRDefault="00F34163" w:rsidP="00B0468F">
      <w:pPr>
        <w:widowControl w:val="0"/>
        <w:spacing w:line="240" w:lineRule="auto"/>
        <w:ind w:right="566"/>
        <w:rPr>
          <w:lang w:val="lt-LT"/>
        </w:rPr>
      </w:pPr>
    </w:p>
    <w:p w14:paraId="6C5D2136" w14:textId="77777777" w:rsidR="00F34163" w:rsidRPr="00B0468F" w:rsidRDefault="00F34163" w:rsidP="00B0468F">
      <w:pPr>
        <w:widowControl w:val="0"/>
        <w:spacing w:line="240" w:lineRule="auto"/>
        <w:ind w:right="566"/>
        <w:rPr>
          <w:lang w:val="lt-LT"/>
        </w:rPr>
      </w:pPr>
    </w:p>
    <w:p w14:paraId="4BCFF9B2" w14:textId="77777777" w:rsidR="00F34163" w:rsidRPr="00B0468F" w:rsidRDefault="00F34163" w:rsidP="00B0468F">
      <w:pPr>
        <w:widowControl w:val="0"/>
        <w:spacing w:line="240" w:lineRule="auto"/>
        <w:ind w:right="566"/>
        <w:rPr>
          <w:lang w:val="lt-LT"/>
        </w:rPr>
      </w:pPr>
    </w:p>
    <w:p w14:paraId="04AAFCDB" w14:textId="77777777" w:rsidR="00C6476A" w:rsidRPr="00B0468F" w:rsidRDefault="00C6476A" w:rsidP="00B0468F">
      <w:pPr>
        <w:widowControl w:val="0"/>
        <w:spacing w:line="240" w:lineRule="auto"/>
        <w:ind w:right="566"/>
        <w:rPr>
          <w:lang w:val="lt-LT"/>
        </w:rPr>
      </w:pPr>
    </w:p>
    <w:p w14:paraId="2EB31335" w14:textId="77777777" w:rsidR="00C6476A" w:rsidRPr="00B0468F" w:rsidRDefault="00C6476A" w:rsidP="00B0468F">
      <w:pPr>
        <w:widowControl w:val="0"/>
        <w:spacing w:line="240" w:lineRule="auto"/>
        <w:ind w:right="566"/>
        <w:rPr>
          <w:lang w:val="lt-LT"/>
        </w:rPr>
      </w:pPr>
    </w:p>
    <w:p w14:paraId="26F4B431" w14:textId="77777777" w:rsidR="00C6476A" w:rsidRPr="00B0468F" w:rsidRDefault="00C6476A" w:rsidP="00B0468F">
      <w:pPr>
        <w:widowControl w:val="0"/>
        <w:spacing w:line="240" w:lineRule="auto"/>
        <w:ind w:right="566"/>
        <w:rPr>
          <w:lang w:val="lt-LT"/>
        </w:rPr>
      </w:pPr>
    </w:p>
    <w:p w14:paraId="14B190C6" w14:textId="77777777" w:rsidR="00C6476A" w:rsidRPr="00B0468F" w:rsidRDefault="00C6476A" w:rsidP="00B0468F">
      <w:pPr>
        <w:widowControl w:val="0"/>
        <w:spacing w:line="240" w:lineRule="auto"/>
        <w:ind w:right="566"/>
        <w:rPr>
          <w:lang w:val="lt-LT"/>
        </w:rPr>
      </w:pPr>
    </w:p>
    <w:p w14:paraId="7B0BAEA7" w14:textId="77777777" w:rsidR="00C6476A" w:rsidRPr="00B0468F" w:rsidRDefault="00C6476A" w:rsidP="00B0468F">
      <w:pPr>
        <w:widowControl w:val="0"/>
        <w:spacing w:line="240" w:lineRule="auto"/>
        <w:ind w:right="566"/>
        <w:rPr>
          <w:lang w:val="lt-LT"/>
        </w:rPr>
      </w:pPr>
    </w:p>
    <w:p w14:paraId="0A383BC0" w14:textId="77777777" w:rsidR="00F34163" w:rsidRPr="00B0468F" w:rsidRDefault="00F34163" w:rsidP="00B0468F">
      <w:pPr>
        <w:widowControl w:val="0"/>
        <w:spacing w:line="240" w:lineRule="auto"/>
        <w:ind w:right="566"/>
        <w:rPr>
          <w:lang w:val="lt-LT"/>
        </w:rPr>
      </w:pPr>
    </w:p>
    <w:p w14:paraId="2A58EAA0" w14:textId="77777777" w:rsidR="00F34163" w:rsidRPr="00B0468F" w:rsidRDefault="00F34163" w:rsidP="00B0468F">
      <w:pPr>
        <w:widowControl w:val="0"/>
        <w:spacing w:line="240" w:lineRule="auto"/>
        <w:ind w:right="566"/>
        <w:rPr>
          <w:lang w:val="lt-LT"/>
        </w:rPr>
      </w:pPr>
    </w:p>
    <w:p w14:paraId="302DC69B" w14:textId="77777777" w:rsidR="00F34163" w:rsidRPr="00B0468F" w:rsidRDefault="00F34163" w:rsidP="00B0468F">
      <w:pPr>
        <w:widowControl w:val="0"/>
        <w:spacing w:line="240" w:lineRule="auto"/>
        <w:ind w:right="566"/>
        <w:jc w:val="center"/>
        <w:rPr>
          <w:b/>
          <w:lang w:val="lt-LT"/>
        </w:rPr>
      </w:pPr>
    </w:p>
    <w:p w14:paraId="6728F0E9" w14:textId="77777777" w:rsidR="00F34163" w:rsidRPr="00B0468F" w:rsidRDefault="00F34163" w:rsidP="00B0468F">
      <w:pPr>
        <w:widowControl w:val="0"/>
        <w:spacing w:line="240" w:lineRule="auto"/>
        <w:ind w:right="566"/>
        <w:jc w:val="center"/>
        <w:rPr>
          <w:b/>
          <w:lang w:val="lt-LT"/>
        </w:rPr>
      </w:pPr>
      <w:r w:rsidRPr="00B0468F">
        <w:rPr>
          <w:b/>
          <w:lang w:val="lt-LT"/>
        </w:rPr>
        <w:t>II PRIEDAS</w:t>
      </w:r>
    </w:p>
    <w:p w14:paraId="28AF1B39" w14:textId="77777777" w:rsidR="00F34163" w:rsidRPr="00B0468F" w:rsidRDefault="00F34163" w:rsidP="00B0468F">
      <w:pPr>
        <w:widowControl w:val="0"/>
        <w:spacing w:line="240" w:lineRule="auto"/>
        <w:ind w:left="1701" w:right="566" w:hanging="567"/>
        <w:rPr>
          <w:lang w:val="lt-LT"/>
        </w:rPr>
      </w:pPr>
    </w:p>
    <w:p w14:paraId="60B427DB" w14:textId="77777777" w:rsidR="00F34163" w:rsidRPr="00B0468F" w:rsidRDefault="00CE6EC2" w:rsidP="00B0468F">
      <w:pPr>
        <w:widowControl w:val="0"/>
        <w:spacing w:line="240" w:lineRule="auto"/>
        <w:ind w:right="566"/>
        <w:jc w:val="center"/>
        <w:rPr>
          <w:i/>
          <w:lang w:val="lt-LT"/>
        </w:rPr>
      </w:pPr>
      <w:r w:rsidRPr="00B0468F">
        <w:rPr>
          <w:b/>
          <w:lang w:val="lt-LT"/>
        </w:rPr>
        <w:t xml:space="preserve">REGISTRACIJOS </w:t>
      </w:r>
      <w:r w:rsidR="00F34163" w:rsidRPr="00B0468F">
        <w:rPr>
          <w:b/>
          <w:lang w:val="lt-LT"/>
        </w:rPr>
        <w:t>SĄLYGOS</w:t>
      </w:r>
    </w:p>
    <w:p w14:paraId="7A69E7B4" w14:textId="77777777" w:rsidR="00F34163" w:rsidRPr="00B0468F" w:rsidRDefault="00F34163" w:rsidP="00B0468F">
      <w:pPr>
        <w:widowControl w:val="0"/>
        <w:spacing w:line="240" w:lineRule="auto"/>
        <w:ind w:right="566"/>
        <w:rPr>
          <w:lang w:val="lt-LT"/>
        </w:rPr>
      </w:pPr>
    </w:p>
    <w:p w14:paraId="4BEADADA" w14:textId="77777777" w:rsidR="00F34163" w:rsidRPr="00B0468F" w:rsidRDefault="00F34163" w:rsidP="00B0468F">
      <w:pPr>
        <w:widowControl w:val="0"/>
        <w:tabs>
          <w:tab w:val="clear" w:pos="567"/>
          <w:tab w:val="left" w:pos="1701"/>
        </w:tabs>
        <w:spacing w:line="240" w:lineRule="auto"/>
        <w:ind w:left="1701" w:right="566" w:hanging="567"/>
        <w:rPr>
          <w:b/>
          <w:lang w:val="lt-LT"/>
        </w:rPr>
      </w:pPr>
      <w:r w:rsidRPr="00B0468F">
        <w:rPr>
          <w:b/>
          <w:lang w:val="lt-LT"/>
        </w:rPr>
        <w:t>A.</w:t>
      </w:r>
      <w:r w:rsidRPr="00B0468F">
        <w:rPr>
          <w:b/>
          <w:lang w:val="lt-LT"/>
        </w:rPr>
        <w:tab/>
        <w:t>GAMINTOJAS (-AI), ATSAKINGAS (-I) UŽ SERIJŲ IŠLEIDIMĄ</w:t>
      </w:r>
    </w:p>
    <w:p w14:paraId="0BDABDC8" w14:textId="77777777" w:rsidR="00F34163" w:rsidRPr="00B0468F" w:rsidRDefault="00F34163" w:rsidP="00B0468F">
      <w:pPr>
        <w:widowControl w:val="0"/>
        <w:tabs>
          <w:tab w:val="clear" w:pos="567"/>
          <w:tab w:val="left" w:pos="1701"/>
        </w:tabs>
        <w:spacing w:line="240" w:lineRule="auto"/>
        <w:ind w:left="567" w:right="566" w:hanging="567"/>
        <w:rPr>
          <w:lang w:val="lt-LT"/>
        </w:rPr>
      </w:pPr>
    </w:p>
    <w:p w14:paraId="61AF5A4D" w14:textId="77777777" w:rsidR="00F34163" w:rsidRPr="00B0468F" w:rsidRDefault="00F34163" w:rsidP="00B0468F">
      <w:pPr>
        <w:widowControl w:val="0"/>
        <w:tabs>
          <w:tab w:val="clear" w:pos="567"/>
          <w:tab w:val="left" w:pos="1701"/>
        </w:tabs>
        <w:spacing w:line="240" w:lineRule="auto"/>
        <w:ind w:left="1701" w:right="566" w:hanging="567"/>
        <w:rPr>
          <w:b/>
          <w:lang w:val="lt-LT"/>
        </w:rPr>
      </w:pPr>
      <w:r w:rsidRPr="00B0468F">
        <w:rPr>
          <w:b/>
          <w:lang w:val="lt-LT"/>
        </w:rPr>
        <w:t>B.</w:t>
      </w:r>
      <w:r w:rsidRPr="00B0468F">
        <w:rPr>
          <w:b/>
          <w:lang w:val="lt-LT"/>
        </w:rPr>
        <w:tab/>
        <w:t>TIEKIMO IR VARTOJIMO SĄLYGOS AR APRIBOJIMAI</w:t>
      </w:r>
    </w:p>
    <w:p w14:paraId="1F28221A" w14:textId="77777777" w:rsidR="00F34163" w:rsidRPr="00B0468F" w:rsidRDefault="00F34163" w:rsidP="00B0468F">
      <w:pPr>
        <w:widowControl w:val="0"/>
        <w:spacing w:line="240" w:lineRule="auto"/>
        <w:ind w:left="1701" w:right="566" w:hanging="850"/>
        <w:rPr>
          <w:b/>
          <w:lang w:val="lt-LT"/>
        </w:rPr>
      </w:pPr>
    </w:p>
    <w:p w14:paraId="61B10906" w14:textId="77777777" w:rsidR="00F34163" w:rsidRPr="00B0468F" w:rsidRDefault="00F34163" w:rsidP="00B0468F">
      <w:pPr>
        <w:widowControl w:val="0"/>
        <w:spacing w:line="240" w:lineRule="auto"/>
        <w:ind w:left="567" w:right="566" w:hanging="567"/>
        <w:rPr>
          <w:lang w:val="lt-LT"/>
        </w:rPr>
      </w:pPr>
    </w:p>
    <w:p w14:paraId="5FB41341" w14:textId="77777777" w:rsidR="00F34163" w:rsidRPr="00B0468F" w:rsidRDefault="00F34163" w:rsidP="00B0468F">
      <w:pPr>
        <w:widowControl w:val="0"/>
        <w:spacing w:line="240" w:lineRule="auto"/>
        <w:ind w:right="566"/>
        <w:rPr>
          <w:lang w:val="lt-LT"/>
        </w:rPr>
      </w:pPr>
    </w:p>
    <w:p w14:paraId="1A5389EB" w14:textId="77777777" w:rsidR="00F34163" w:rsidRPr="00B0468F" w:rsidRDefault="00F34163" w:rsidP="00B0468F">
      <w:pPr>
        <w:widowControl w:val="0"/>
        <w:spacing w:line="240" w:lineRule="auto"/>
        <w:ind w:left="567" w:right="566" w:hanging="567"/>
        <w:rPr>
          <w:b/>
          <w:lang w:val="lt-LT"/>
        </w:rPr>
      </w:pPr>
      <w:r w:rsidRPr="00B0468F">
        <w:rPr>
          <w:lang w:val="lt-LT"/>
        </w:rPr>
        <w:br w:type="page"/>
      </w:r>
      <w:r w:rsidRPr="00B0468F">
        <w:rPr>
          <w:b/>
          <w:lang w:val="lt-LT"/>
        </w:rPr>
        <w:lastRenderedPageBreak/>
        <w:t>A.</w:t>
      </w:r>
      <w:r w:rsidRPr="00B0468F">
        <w:rPr>
          <w:b/>
          <w:lang w:val="lt-LT"/>
        </w:rPr>
        <w:tab/>
        <w:t>GAMINTOJAS (-AI), ATSAKINGAS (-I) UŽ SERIJŲ IŠLEIDIMĄ</w:t>
      </w:r>
    </w:p>
    <w:p w14:paraId="11DEC607" w14:textId="77777777" w:rsidR="00F34163" w:rsidRPr="00B0468F" w:rsidRDefault="00F34163" w:rsidP="00B0468F">
      <w:pPr>
        <w:widowControl w:val="0"/>
        <w:spacing w:line="240" w:lineRule="auto"/>
        <w:ind w:right="566"/>
        <w:rPr>
          <w:lang w:val="lt-LT"/>
        </w:rPr>
      </w:pPr>
    </w:p>
    <w:p w14:paraId="2A5FC33A" w14:textId="77777777" w:rsidR="00F34163" w:rsidRPr="00B0468F" w:rsidRDefault="00F34163" w:rsidP="00B0468F">
      <w:pPr>
        <w:widowControl w:val="0"/>
        <w:spacing w:line="240" w:lineRule="auto"/>
        <w:ind w:right="566"/>
        <w:jc w:val="both"/>
        <w:rPr>
          <w:lang w:val="lt-LT"/>
        </w:rPr>
      </w:pPr>
      <w:r w:rsidRPr="00B0468F">
        <w:rPr>
          <w:u w:val="single"/>
          <w:lang w:val="lt-LT"/>
        </w:rPr>
        <w:t>Gamintojo (-ų), atsakingo (-ų) už serijų išleidimą, pavadinimas (-ai) ir adresas (-ai)</w:t>
      </w:r>
    </w:p>
    <w:p w14:paraId="36D142E4" w14:textId="77777777" w:rsidR="003861B0" w:rsidRPr="00B0468F" w:rsidRDefault="003861B0" w:rsidP="005350AF">
      <w:pPr>
        <w:widowControl w:val="0"/>
        <w:tabs>
          <w:tab w:val="clear" w:pos="567"/>
        </w:tabs>
        <w:spacing w:line="240" w:lineRule="auto"/>
        <w:ind w:right="566"/>
        <w:rPr>
          <w:lang w:val="lt-LT"/>
        </w:rPr>
      </w:pPr>
    </w:p>
    <w:p w14:paraId="14FFEEDC" w14:textId="77777777" w:rsidR="003861B0" w:rsidRPr="00B0468F" w:rsidRDefault="00FC0300" w:rsidP="00B0468F">
      <w:pPr>
        <w:widowControl w:val="0"/>
        <w:tabs>
          <w:tab w:val="clear" w:pos="567"/>
        </w:tabs>
        <w:spacing w:line="240" w:lineRule="auto"/>
        <w:ind w:right="566"/>
        <w:rPr>
          <w:lang w:val="lt-LT"/>
        </w:rPr>
      </w:pPr>
      <w:r w:rsidRPr="00B0468F">
        <w:rPr>
          <w:lang w:val="lt-LT"/>
        </w:rPr>
        <w:t>KRKA</w:t>
      </w:r>
      <w:r w:rsidR="003861B0" w:rsidRPr="00B0468F">
        <w:rPr>
          <w:lang w:val="lt-LT"/>
        </w:rPr>
        <w:t>, d.d., Novo mesto</w:t>
      </w:r>
    </w:p>
    <w:p w14:paraId="397B3315" w14:textId="77777777" w:rsidR="003861B0" w:rsidRPr="00B0468F" w:rsidRDefault="003861B0" w:rsidP="00B0468F">
      <w:pPr>
        <w:widowControl w:val="0"/>
        <w:tabs>
          <w:tab w:val="clear" w:pos="567"/>
        </w:tabs>
        <w:spacing w:line="240" w:lineRule="auto"/>
        <w:ind w:right="566"/>
        <w:rPr>
          <w:lang w:val="lt-LT"/>
        </w:rPr>
      </w:pPr>
      <w:r w:rsidRPr="00B0468F">
        <w:rPr>
          <w:lang w:val="lt-LT"/>
        </w:rPr>
        <w:t>Šmarješka cesta 6</w:t>
      </w:r>
    </w:p>
    <w:p w14:paraId="46637935" w14:textId="77777777" w:rsidR="003861B0" w:rsidRPr="00B0468F" w:rsidRDefault="003861B0" w:rsidP="00B0468F">
      <w:pPr>
        <w:widowControl w:val="0"/>
        <w:tabs>
          <w:tab w:val="clear" w:pos="567"/>
        </w:tabs>
        <w:spacing w:line="240" w:lineRule="auto"/>
        <w:ind w:right="566"/>
        <w:rPr>
          <w:lang w:val="lt-LT"/>
        </w:rPr>
      </w:pPr>
      <w:r w:rsidRPr="00B0468F">
        <w:rPr>
          <w:lang w:val="lt-LT"/>
        </w:rPr>
        <w:t>8501 Novo mesto</w:t>
      </w:r>
    </w:p>
    <w:p w14:paraId="712DB227" w14:textId="77777777" w:rsidR="003861B0" w:rsidRPr="00B0468F" w:rsidRDefault="003861B0" w:rsidP="00B0468F">
      <w:pPr>
        <w:widowControl w:val="0"/>
        <w:tabs>
          <w:tab w:val="clear" w:pos="567"/>
        </w:tabs>
        <w:spacing w:line="240" w:lineRule="auto"/>
        <w:ind w:right="566"/>
        <w:rPr>
          <w:lang w:val="lt-LT"/>
        </w:rPr>
      </w:pPr>
      <w:r w:rsidRPr="00B0468F">
        <w:rPr>
          <w:lang w:val="lt-LT"/>
        </w:rPr>
        <w:t>Slovėnija</w:t>
      </w:r>
    </w:p>
    <w:p w14:paraId="01188273" w14:textId="77777777" w:rsidR="00F34163" w:rsidRPr="00B0468F" w:rsidRDefault="00F34163" w:rsidP="00B0468F">
      <w:pPr>
        <w:widowControl w:val="0"/>
        <w:spacing w:line="240" w:lineRule="auto"/>
        <w:ind w:right="566"/>
        <w:rPr>
          <w:highlight w:val="yellow"/>
          <w:lang w:val="lt-LT"/>
        </w:rPr>
      </w:pPr>
    </w:p>
    <w:p w14:paraId="2451280E" w14:textId="77777777" w:rsidR="00F34163" w:rsidRPr="00B0468F" w:rsidRDefault="00F34163" w:rsidP="00B0468F">
      <w:pPr>
        <w:widowControl w:val="0"/>
        <w:spacing w:line="240" w:lineRule="auto"/>
        <w:ind w:right="566"/>
        <w:rPr>
          <w:lang w:val="lt-LT"/>
        </w:rPr>
      </w:pPr>
    </w:p>
    <w:p w14:paraId="587A765B" w14:textId="77777777" w:rsidR="00F34163" w:rsidRPr="00B0468F" w:rsidRDefault="00F34163" w:rsidP="00B0468F">
      <w:pPr>
        <w:widowControl w:val="0"/>
        <w:spacing w:line="240" w:lineRule="auto"/>
        <w:ind w:left="567" w:right="566" w:hanging="567"/>
        <w:rPr>
          <w:lang w:val="lt-LT"/>
        </w:rPr>
      </w:pPr>
      <w:r w:rsidRPr="00B0468F">
        <w:rPr>
          <w:b/>
          <w:lang w:val="lt-LT"/>
        </w:rPr>
        <w:t>B.</w:t>
      </w:r>
      <w:r w:rsidRPr="00B0468F">
        <w:rPr>
          <w:b/>
          <w:lang w:val="lt-LT"/>
        </w:rPr>
        <w:tab/>
        <w:t>TIEKIMO IR VARTOJIMO SĄLYGOS AR APRIBOJIMAI</w:t>
      </w:r>
    </w:p>
    <w:p w14:paraId="6D1B5B28" w14:textId="77777777" w:rsidR="00F34163" w:rsidRPr="00B0468F" w:rsidRDefault="00F34163" w:rsidP="00B0468F">
      <w:pPr>
        <w:widowControl w:val="0"/>
        <w:spacing w:line="240" w:lineRule="auto"/>
        <w:ind w:right="566"/>
        <w:rPr>
          <w:lang w:val="lt-LT"/>
        </w:rPr>
      </w:pPr>
    </w:p>
    <w:p w14:paraId="4D850AD0" w14:textId="77777777" w:rsidR="00F34163" w:rsidRPr="00B0468F" w:rsidRDefault="00F34163" w:rsidP="00B0468F">
      <w:pPr>
        <w:widowControl w:val="0"/>
        <w:spacing w:line="240" w:lineRule="auto"/>
        <w:ind w:right="566"/>
        <w:rPr>
          <w:lang w:val="lt-LT"/>
        </w:rPr>
      </w:pPr>
      <w:r w:rsidRPr="00B0468F">
        <w:rPr>
          <w:lang w:val="lt-LT"/>
        </w:rPr>
        <w:t>R</w:t>
      </w:r>
      <w:r w:rsidR="0007451C" w:rsidRPr="00B0468F">
        <w:rPr>
          <w:lang w:val="lt-LT"/>
        </w:rPr>
        <w:t>eceptinis vaistinis preparatas.</w:t>
      </w:r>
    </w:p>
    <w:p w14:paraId="03FC9C04" w14:textId="77777777" w:rsidR="00F34163" w:rsidRPr="00B0468F" w:rsidRDefault="00F34163" w:rsidP="00B0468F">
      <w:pPr>
        <w:widowControl w:val="0"/>
        <w:spacing w:line="240" w:lineRule="auto"/>
        <w:ind w:right="566"/>
        <w:rPr>
          <w:highlight w:val="yellow"/>
          <w:lang w:val="lt-LT"/>
        </w:rPr>
      </w:pPr>
    </w:p>
    <w:p w14:paraId="0CF9FFC0" w14:textId="77777777" w:rsidR="00F34163" w:rsidRPr="00B0468F" w:rsidRDefault="00F34163" w:rsidP="00B0468F">
      <w:pPr>
        <w:widowControl w:val="0"/>
        <w:spacing w:line="240" w:lineRule="auto"/>
        <w:ind w:right="566"/>
        <w:rPr>
          <w:lang w:val="lt-LT"/>
        </w:rPr>
      </w:pPr>
    </w:p>
    <w:p w14:paraId="6DD5285D" w14:textId="77777777" w:rsidR="00F34163" w:rsidRPr="00B0468F" w:rsidRDefault="00F34163" w:rsidP="00B0468F">
      <w:pPr>
        <w:pStyle w:val="Paprastasistekstas"/>
        <w:widowControl w:val="0"/>
        <w:tabs>
          <w:tab w:val="left" w:pos="4962"/>
        </w:tabs>
        <w:ind w:right="566"/>
        <w:rPr>
          <w:rFonts w:ascii="Times New Roman" w:hAnsi="Times New Roman"/>
          <w:lang w:val="lt-LT"/>
        </w:rPr>
      </w:pPr>
      <w:r w:rsidRPr="00B0468F">
        <w:rPr>
          <w:rFonts w:ascii="Times New Roman" w:hAnsi="Times New Roman"/>
          <w:b/>
          <w:sz w:val="22"/>
          <w:lang w:val="lt-LT"/>
        </w:rPr>
        <w:br w:type="page"/>
      </w:r>
    </w:p>
    <w:p w14:paraId="257A59CB" w14:textId="77777777" w:rsidR="00F34163" w:rsidRPr="00B0468F" w:rsidRDefault="00F34163" w:rsidP="00B0468F">
      <w:pPr>
        <w:widowControl w:val="0"/>
        <w:spacing w:line="240" w:lineRule="auto"/>
        <w:ind w:right="566"/>
        <w:rPr>
          <w:lang w:val="lt-LT"/>
        </w:rPr>
      </w:pPr>
    </w:p>
    <w:p w14:paraId="61D38AB3" w14:textId="77777777" w:rsidR="00F34163" w:rsidRPr="00B0468F" w:rsidRDefault="00F34163" w:rsidP="00B0468F">
      <w:pPr>
        <w:widowControl w:val="0"/>
        <w:spacing w:line="240" w:lineRule="auto"/>
        <w:ind w:right="566"/>
        <w:rPr>
          <w:lang w:val="lt-LT"/>
        </w:rPr>
      </w:pPr>
    </w:p>
    <w:p w14:paraId="0B7CD996" w14:textId="77777777" w:rsidR="00F34163" w:rsidRPr="00B0468F" w:rsidRDefault="00F34163" w:rsidP="00B0468F">
      <w:pPr>
        <w:widowControl w:val="0"/>
        <w:spacing w:line="240" w:lineRule="auto"/>
        <w:ind w:right="566"/>
        <w:rPr>
          <w:lang w:val="lt-LT"/>
        </w:rPr>
      </w:pPr>
    </w:p>
    <w:p w14:paraId="4FB3F9D3" w14:textId="77777777" w:rsidR="00F34163" w:rsidRPr="00B0468F" w:rsidRDefault="00F34163" w:rsidP="00B0468F">
      <w:pPr>
        <w:widowControl w:val="0"/>
        <w:spacing w:line="240" w:lineRule="auto"/>
        <w:ind w:right="566"/>
        <w:rPr>
          <w:lang w:val="lt-LT"/>
        </w:rPr>
      </w:pPr>
    </w:p>
    <w:p w14:paraId="4684058B" w14:textId="77777777" w:rsidR="00F34163" w:rsidRPr="00B0468F" w:rsidRDefault="00F34163" w:rsidP="00B0468F">
      <w:pPr>
        <w:widowControl w:val="0"/>
        <w:spacing w:line="240" w:lineRule="auto"/>
        <w:ind w:right="566"/>
        <w:rPr>
          <w:lang w:val="lt-LT"/>
        </w:rPr>
      </w:pPr>
    </w:p>
    <w:p w14:paraId="51D582EE" w14:textId="77777777" w:rsidR="00F34163" w:rsidRPr="00B0468F" w:rsidRDefault="00F34163" w:rsidP="00B0468F">
      <w:pPr>
        <w:widowControl w:val="0"/>
        <w:spacing w:line="240" w:lineRule="auto"/>
        <w:ind w:right="566"/>
        <w:rPr>
          <w:lang w:val="lt-LT"/>
        </w:rPr>
      </w:pPr>
    </w:p>
    <w:p w14:paraId="070CD1B6" w14:textId="77777777" w:rsidR="00F34163" w:rsidRPr="00B0468F" w:rsidRDefault="00F34163" w:rsidP="00B0468F">
      <w:pPr>
        <w:widowControl w:val="0"/>
        <w:spacing w:line="240" w:lineRule="auto"/>
        <w:ind w:right="566"/>
        <w:rPr>
          <w:lang w:val="lt-LT"/>
        </w:rPr>
      </w:pPr>
    </w:p>
    <w:p w14:paraId="11D5E027" w14:textId="77777777" w:rsidR="00F34163" w:rsidRPr="00B0468F" w:rsidRDefault="00F34163" w:rsidP="00B0468F">
      <w:pPr>
        <w:widowControl w:val="0"/>
        <w:spacing w:line="240" w:lineRule="auto"/>
        <w:ind w:right="566"/>
        <w:rPr>
          <w:lang w:val="lt-LT"/>
        </w:rPr>
      </w:pPr>
    </w:p>
    <w:p w14:paraId="5504F203" w14:textId="77777777" w:rsidR="00F34163" w:rsidRPr="00B0468F" w:rsidRDefault="00F34163" w:rsidP="00B0468F">
      <w:pPr>
        <w:widowControl w:val="0"/>
        <w:spacing w:line="240" w:lineRule="auto"/>
        <w:ind w:right="566"/>
        <w:rPr>
          <w:lang w:val="lt-LT"/>
        </w:rPr>
      </w:pPr>
    </w:p>
    <w:p w14:paraId="39C53F9F" w14:textId="77777777" w:rsidR="00F34163" w:rsidRPr="00B0468F" w:rsidRDefault="00F34163" w:rsidP="00B0468F">
      <w:pPr>
        <w:widowControl w:val="0"/>
        <w:spacing w:line="240" w:lineRule="auto"/>
        <w:ind w:right="566"/>
        <w:rPr>
          <w:lang w:val="lt-LT"/>
        </w:rPr>
      </w:pPr>
    </w:p>
    <w:p w14:paraId="5F268B21" w14:textId="77777777" w:rsidR="00F34163" w:rsidRPr="00B0468F" w:rsidRDefault="00F34163" w:rsidP="00B0468F">
      <w:pPr>
        <w:widowControl w:val="0"/>
        <w:spacing w:line="240" w:lineRule="auto"/>
        <w:ind w:right="566"/>
        <w:rPr>
          <w:lang w:val="lt-LT"/>
        </w:rPr>
      </w:pPr>
    </w:p>
    <w:p w14:paraId="64B45F0E" w14:textId="77777777" w:rsidR="00F34163" w:rsidRPr="00B0468F" w:rsidRDefault="00F34163" w:rsidP="00B0468F">
      <w:pPr>
        <w:widowControl w:val="0"/>
        <w:spacing w:line="240" w:lineRule="auto"/>
        <w:ind w:right="566"/>
        <w:rPr>
          <w:lang w:val="lt-LT"/>
        </w:rPr>
      </w:pPr>
    </w:p>
    <w:p w14:paraId="76AF95C4" w14:textId="77777777" w:rsidR="00F34163" w:rsidRPr="00B0468F" w:rsidRDefault="00F34163" w:rsidP="00B0468F">
      <w:pPr>
        <w:widowControl w:val="0"/>
        <w:spacing w:line="240" w:lineRule="auto"/>
        <w:ind w:right="566"/>
        <w:rPr>
          <w:lang w:val="lt-LT"/>
        </w:rPr>
      </w:pPr>
    </w:p>
    <w:p w14:paraId="49117FCE" w14:textId="77777777" w:rsidR="00F34163" w:rsidRPr="00B0468F" w:rsidRDefault="00F34163" w:rsidP="00B0468F">
      <w:pPr>
        <w:widowControl w:val="0"/>
        <w:spacing w:line="240" w:lineRule="auto"/>
        <w:ind w:right="566"/>
        <w:rPr>
          <w:lang w:val="lt-LT"/>
        </w:rPr>
      </w:pPr>
    </w:p>
    <w:p w14:paraId="3F60E890" w14:textId="77777777" w:rsidR="00F34163" w:rsidRPr="00B0468F" w:rsidRDefault="00F34163" w:rsidP="00B0468F">
      <w:pPr>
        <w:widowControl w:val="0"/>
        <w:spacing w:line="240" w:lineRule="auto"/>
        <w:ind w:right="566"/>
        <w:rPr>
          <w:lang w:val="lt-LT"/>
        </w:rPr>
      </w:pPr>
    </w:p>
    <w:p w14:paraId="03C6B748" w14:textId="77777777" w:rsidR="00F34163" w:rsidRPr="00B0468F" w:rsidRDefault="00F34163" w:rsidP="00B0468F">
      <w:pPr>
        <w:widowControl w:val="0"/>
        <w:spacing w:line="240" w:lineRule="auto"/>
        <w:ind w:right="566"/>
        <w:rPr>
          <w:lang w:val="lt-LT"/>
        </w:rPr>
      </w:pPr>
    </w:p>
    <w:p w14:paraId="7971E5E6" w14:textId="77777777" w:rsidR="00F34163" w:rsidRPr="00B0468F" w:rsidRDefault="00F34163" w:rsidP="00B0468F">
      <w:pPr>
        <w:widowControl w:val="0"/>
        <w:spacing w:line="240" w:lineRule="auto"/>
        <w:ind w:right="566"/>
        <w:outlineLvl w:val="0"/>
        <w:rPr>
          <w:b/>
          <w:lang w:val="lt-LT"/>
        </w:rPr>
      </w:pPr>
    </w:p>
    <w:p w14:paraId="218D90DB" w14:textId="77777777" w:rsidR="00F34163" w:rsidRPr="00B0468F" w:rsidRDefault="00F34163" w:rsidP="00B0468F">
      <w:pPr>
        <w:widowControl w:val="0"/>
        <w:spacing w:line="240" w:lineRule="auto"/>
        <w:ind w:right="566"/>
        <w:outlineLvl w:val="0"/>
        <w:rPr>
          <w:b/>
          <w:lang w:val="lt-LT"/>
        </w:rPr>
      </w:pPr>
    </w:p>
    <w:p w14:paraId="4EFAF567" w14:textId="77777777" w:rsidR="00F34163" w:rsidRPr="00B0468F" w:rsidRDefault="00F34163" w:rsidP="00B0468F">
      <w:pPr>
        <w:widowControl w:val="0"/>
        <w:spacing w:line="240" w:lineRule="auto"/>
        <w:ind w:right="566"/>
        <w:outlineLvl w:val="0"/>
        <w:rPr>
          <w:b/>
          <w:lang w:val="lt-LT"/>
        </w:rPr>
      </w:pPr>
    </w:p>
    <w:p w14:paraId="0CA55413" w14:textId="77777777" w:rsidR="00F34163" w:rsidRPr="00B0468F" w:rsidRDefault="00F34163" w:rsidP="00B0468F">
      <w:pPr>
        <w:widowControl w:val="0"/>
        <w:spacing w:line="240" w:lineRule="auto"/>
        <w:ind w:right="566"/>
        <w:outlineLvl w:val="0"/>
        <w:rPr>
          <w:b/>
          <w:lang w:val="lt-LT"/>
        </w:rPr>
      </w:pPr>
    </w:p>
    <w:p w14:paraId="3D9726B5" w14:textId="77777777" w:rsidR="00F34163" w:rsidRPr="00B0468F" w:rsidRDefault="00F34163" w:rsidP="00B0468F">
      <w:pPr>
        <w:widowControl w:val="0"/>
        <w:spacing w:line="240" w:lineRule="auto"/>
        <w:ind w:right="566"/>
        <w:outlineLvl w:val="0"/>
        <w:rPr>
          <w:b/>
          <w:lang w:val="lt-LT"/>
        </w:rPr>
      </w:pPr>
    </w:p>
    <w:p w14:paraId="6AB4C45E" w14:textId="77777777" w:rsidR="00F34163" w:rsidRPr="00B0468F" w:rsidRDefault="00F34163" w:rsidP="00B0468F">
      <w:pPr>
        <w:widowControl w:val="0"/>
        <w:spacing w:line="240" w:lineRule="auto"/>
        <w:ind w:right="566"/>
        <w:outlineLvl w:val="0"/>
        <w:rPr>
          <w:b/>
          <w:lang w:val="lt-LT"/>
        </w:rPr>
      </w:pPr>
    </w:p>
    <w:p w14:paraId="33DE4974" w14:textId="77777777" w:rsidR="007E12B3" w:rsidRPr="00B0468F" w:rsidRDefault="007E12B3" w:rsidP="00B0468F">
      <w:pPr>
        <w:pStyle w:val="Antrat2"/>
        <w:keepNext w:val="0"/>
        <w:widowControl w:val="0"/>
        <w:spacing w:before="0" w:after="0" w:line="240" w:lineRule="auto"/>
        <w:ind w:right="566"/>
        <w:jc w:val="center"/>
        <w:rPr>
          <w:b w:val="0"/>
          <w:lang w:val="lt-LT"/>
        </w:rPr>
      </w:pPr>
    </w:p>
    <w:p w14:paraId="71B4B1EB" w14:textId="77777777" w:rsidR="00F34163" w:rsidRPr="00B0468F" w:rsidRDefault="00F34163" w:rsidP="00B0468F">
      <w:pPr>
        <w:pStyle w:val="Antrat2"/>
        <w:keepNext w:val="0"/>
        <w:widowControl w:val="0"/>
        <w:spacing w:before="0" w:after="0" w:line="240" w:lineRule="auto"/>
        <w:ind w:right="566"/>
        <w:jc w:val="center"/>
        <w:rPr>
          <w:b w:val="0"/>
          <w:lang w:val="lt-LT"/>
        </w:rPr>
      </w:pPr>
      <w:r w:rsidRPr="00B0468F">
        <w:rPr>
          <w:rFonts w:ascii="Times New Roman" w:hAnsi="Times New Roman"/>
          <w:i w:val="0"/>
          <w:sz w:val="22"/>
          <w:lang w:val="lt-LT"/>
        </w:rPr>
        <w:t>III PRIEDAS</w:t>
      </w:r>
    </w:p>
    <w:p w14:paraId="3C1A68DA" w14:textId="77777777" w:rsidR="00F34163" w:rsidRPr="00B0468F" w:rsidRDefault="00F34163" w:rsidP="00B0468F">
      <w:pPr>
        <w:widowControl w:val="0"/>
        <w:spacing w:line="240" w:lineRule="auto"/>
        <w:ind w:right="566"/>
        <w:rPr>
          <w:lang w:val="lt-LT"/>
        </w:rPr>
      </w:pPr>
    </w:p>
    <w:p w14:paraId="5C353D00" w14:textId="77777777" w:rsidR="00F34163" w:rsidRPr="00B0468F" w:rsidRDefault="00F34163" w:rsidP="00B0468F">
      <w:pPr>
        <w:pStyle w:val="Antrat2"/>
        <w:keepNext w:val="0"/>
        <w:widowControl w:val="0"/>
        <w:spacing w:before="0" w:after="0" w:line="240" w:lineRule="auto"/>
        <w:ind w:right="566"/>
        <w:jc w:val="center"/>
        <w:rPr>
          <w:b w:val="0"/>
          <w:lang w:val="lt-LT"/>
        </w:rPr>
      </w:pPr>
      <w:r w:rsidRPr="00B0468F">
        <w:rPr>
          <w:rFonts w:ascii="Times New Roman" w:hAnsi="Times New Roman"/>
          <w:i w:val="0"/>
          <w:sz w:val="22"/>
          <w:lang w:val="lt-LT"/>
        </w:rPr>
        <w:t>ŽENKLINIMAS IR PAKUOTĖS LAPELIS</w:t>
      </w:r>
    </w:p>
    <w:p w14:paraId="0171FF9F" w14:textId="77777777" w:rsidR="00F34163" w:rsidRPr="00B0468F" w:rsidRDefault="00F34163" w:rsidP="00B0468F">
      <w:pPr>
        <w:widowControl w:val="0"/>
        <w:spacing w:line="240" w:lineRule="auto"/>
        <w:ind w:right="566"/>
        <w:rPr>
          <w:lang w:val="lt-LT"/>
        </w:rPr>
      </w:pPr>
      <w:r w:rsidRPr="00B0468F">
        <w:rPr>
          <w:lang w:val="lt-LT"/>
        </w:rPr>
        <w:br w:type="page"/>
      </w:r>
    </w:p>
    <w:p w14:paraId="0D682957" w14:textId="77777777" w:rsidR="007E12B3" w:rsidRPr="00B0468F" w:rsidRDefault="007E12B3" w:rsidP="00B0468F">
      <w:pPr>
        <w:widowControl w:val="0"/>
        <w:spacing w:line="240" w:lineRule="auto"/>
        <w:ind w:right="566"/>
        <w:rPr>
          <w:lang w:val="lt-LT"/>
        </w:rPr>
      </w:pPr>
    </w:p>
    <w:p w14:paraId="7006B962" w14:textId="77777777" w:rsidR="00F34163" w:rsidRPr="00B0468F" w:rsidRDefault="00F34163" w:rsidP="00B0468F">
      <w:pPr>
        <w:widowControl w:val="0"/>
        <w:spacing w:line="240" w:lineRule="auto"/>
        <w:ind w:right="566"/>
        <w:rPr>
          <w:lang w:val="lt-LT"/>
        </w:rPr>
      </w:pPr>
    </w:p>
    <w:p w14:paraId="4D02D495" w14:textId="77777777" w:rsidR="00F34163" w:rsidRPr="00B0468F" w:rsidRDefault="00F34163" w:rsidP="00B0468F">
      <w:pPr>
        <w:widowControl w:val="0"/>
        <w:spacing w:line="240" w:lineRule="auto"/>
        <w:ind w:right="566"/>
        <w:rPr>
          <w:lang w:val="lt-LT"/>
        </w:rPr>
      </w:pPr>
    </w:p>
    <w:p w14:paraId="00A230A0" w14:textId="77777777" w:rsidR="00F34163" w:rsidRPr="00B0468F" w:rsidRDefault="00F34163" w:rsidP="00B0468F">
      <w:pPr>
        <w:widowControl w:val="0"/>
        <w:spacing w:line="240" w:lineRule="auto"/>
        <w:ind w:right="566"/>
        <w:rPr>
          <w:lang w:val="lt-LT"/>
        </w:rPr>
      </w:pPr>
    </w:p>
    <w:p w14:paraId="69300B17" w14:textId="77777777" w:rsidR="00F34163" w:rsidRPr="00B0468F" w:rsidRDefault="00F34163" w:rsidP="00B0468F">
      <w:pPr>
        <w:widowControl w:val="0"/>
        <w:spacing w:line="240" w:lineRule="auto"/>
        <w:ind w:right="566"/>
        <w:rPr>
          <w:lang w:val="lt-LT"/>
        </w:rPr>
      </w:pPr>
    </w:p>
    <w:p w14:paraId="73266E8F" w14:textId="77777777" w:rsidR="00F34163" w:rsidRPr="00B0468F" w:rsidRDefault="00F34163" w:rsidP="00B0468F">
      <w:pPr>
        <w:widowControl w:val="0"/>
        <w:spacing w:line="240" w:lineRule="auto"/>
        <w:ind w:right="566"/>
        <w:rPr>
          <w:lang w:val="lt-LT"/>
        </w:rPr>
      </w:pPr>
    </w:p>
    <w:p w14:paraId="246C5D43" w14:textId="77777777" w:rsidR="00F34163" w:rsidRPr="00B0468F" w:rsidRDefault="00F34163" w:rsidP="00B0468F">
      <w:pPr>
        <w:widowControl w:val="0"/>
        <w:spacing w:line="240" w:lineRule="auto"/>
        <w:ind w:right="566"/>
        <w:rPr>
          <w:lang w:val="lt-LT"/>
        </w:rPr>
      </w:pPr>
    </w:p>
    <w:p w14:paraId="6C4289CF" w14:textId="77777777" w:rsidR="00F34163" w:rsidRPr="00B0468F" w:rsidRDefault="00F34163" w:rsidP="00B0468F">
      <w:pPr>
        <w:widowControl w:val="0"/>
        <w:spacing w:line="240" w:lineRule="auto"/>
        <w:ind w:right="566"/>
        <w:rPr>
          <w:lang w:val="lt-LT"/>
        </w:rPr>
      </w:pPr>
    </w:p>
    <w:p w14:paraId="4FADCC6D" w14:textId="77777777" w:rsidR="00F34163" w:rsidRPr="00B0468F" w:rsidRDefault="00F34163" w:rsidP="00B0468F">
      <w:pPr>
        <w:widowControl w:val="0"/>
        <w:spacing w:line="240" w:lineRule="auto"/>
        <w:ind w:right="566"/>
        <w:rPr>
          <w:lang w:val="lt-LT"/>
        </w:rPr>
      </w:pPr>
    </w:p>
    <w:p w14:paraId="59883FBF" w14:textId="77777777" w:rsidR="00F34163" w:rsidRPr="00B0468F" w:rsidRDefault="00F34163" w:rsidP="00B0468F">
      <w:pPr>
        <w:widowControl w:val="0"/>
        <w:spacing w:line="240" w:lineRule="auto"/>
        <w:ind w:right="566"/>
        <w:rPr>
          <w:lang w:val="lt-LT"/>
        </w:rPr>
      </w:pPr>
    </w:p>
    <w:p w14:paraId="5B026D88" w14:textId="77777777" w:rsidR="00F34163" w:rsidRPr="00B0468F" w:rsidRDefault="00F34163" w:rsidP="00B0468F">
      <w:pPr>
        <w:widowControl w:val="0"/>
        <w:spacing w:line="240" w:lineRule="auto"/>
        <w:ind w:right="566"/>
        <w:rPr>
          <w:lang w:val="lt-LT"/>
        </w:rPr>
      </w:pPr>
    </w:p>
    <w:p w14:paraId="0730F0DF" w14:textId="77777777" w:rsidR="00F34163" w:rsidRPr="00B0468F" w:rsidRDefault="00F34163" w:rsidP="00B0468F">
      <w:pPr>
        <w:widowControl w:val="0"/>
        <w:spacing w:line="240" w:lineRule="auto"/>
        <w:ind w:right="566"/>
        <w:rPr>
          <w:lang w:val="lt-LT"/>
        </w:rPr>
      </w:pPr>
    </w:p>
    <w:p w14:paraId="7B955527" w14:textId="77777777" w:rsidR="00F34163" w:rsidRPr="00B0468F" w:rsidRDefault="00F34163" w:rsidP="00B0468F">
      <w:pPr>
        <w:widowControl w:val="0"/>
        <w:spacing w:line="240" w:lineRule="auto"/>
        <w:ind w:right="566"/>
        <w:rPr>
          <w:lang w:val="lt-LT"/>
        </w:rPr>
      </w:pPr>
    </w:p>
    <w:p w14:paraId="2AF0B793" w14:textId="77777777" w:rsidR="00F34163" w:rsidRPr="00B0468F" w:rsidRDefault="00F34163" w:rsidP="00B0468F">
      <w:pPr>
        <w:widowControl w:val="0"/>
        <w:spacing w:line="240" w:lineRule="auto"/>
        <w:ind w:right="566"/>
        <w:rPr>
          <w:lang w:val="lt-LT"/>
        </w:rPr>
      </w:pPr>
    </w:p>
    <w:p w14:paraId="6FBF465C" w14:textId="77777777" w:rsidR="00F34163" w:rsidRPr="00B0468F" w:rsidRDefault="00F34163" w:rsidP="00B0468F">
      <w:pPr>
        <w:widowControl w:val="0"/>
        <w:spacing w:line="240" w:lineRule="auto"/>
        <w:ind w:right="566"/>
        <w:rPr>
          <w:lang w:val="lt-LT"/>
        </w:rPr>
      </w:pPr>
    </w:p>
    <w:p w14:paraId="17FB2DF6" w14:textId="77777777" w:rsidR="00F34163" w:rsidRPr="00B0468F" w:rsidRDefault="00F34163" w:rsidP="00B0468F">
      <w:pPr>
        <w:widowControl w:val="0"/>
        <w:spacing w:line="240" w:lineRule="auto"/>
        <w:ind w:right="566"/>
        <w:rPr>
          <w:lang w:val="lt-LT"/>
        </w:rPr>
      </w:pPr>
    </w:p>
    <w:p w14:paraId="1A1EF7A2" w14:textId="77777777" w:rsidR="00F34163" w:rsidRPr="00B0468F" w:rsidRDefault="00F34163" w:rsidP="00B0468F">
      <w:pPr>
        <w:widowControl w:val="0"/>
        <w:spacing w:line="240" w:lineRule="auto"/>
        <w:ind w:right="566"/>
        <w:rPr>
          <w:lang w:val="lt-LT"/>
        </w:rPr>
      </w:pPr>
    </w:p>
    <w:p w14:paraId="310EBD59" w14:textId="77777777" w:rsidR="00F34163" w:rsidRPr="00B0468F" w:rsidRDefault="00F34163" w:rsidP="00B0468F">
      <w:pPr>
        <w:widowControl w:val="0"/>
        <w:spacing w:line="240" w:lineRule="auto"/>
        <w:ind w:right="566"/>
        <w:rPr>
          <w:lang w:val="lt-LT"/>
        </w:rPr>
      </w:pPr>
    </w:p>
    <w:p w14:paraId="1D82BB5A" w14:textId="77777777" w:rsidR="00F34163" w:rsidRPr="00B0468F" w:rsidRDefault="00F34163" w:rsidP="00B0468F">
      <w:pPr>
        <w:widowControl w:val="0"/>
        <w:spacing w:line="240" w:lineRule="auto"/>
        <w:ind w:right="566"/>
        <w:rPr>
          <w:lang w:val="lt-LT"/>
        </w:rPr>
      </w:pPr>
    </w:p>
    <w:p w14:paraId="3B5A3221" w14:textId="77777777" w:rsidR="00F34163" w:rsidRPr="00B0468F" w:rsidRDefault="00F34163" w:rsidP="00B0468F">
      <w:pPr>
        <w:widowControl w:val="0"/>
        <w:spacing w:line="240" w:lineRule="auto"/>
        <w:ind w:right="566"/>
        <w:rPr>
          <w:lang w:val="lt-LT"/>
        </w:rPr>
      </w:pPr>
    </w:p>
    <w:p w14:paraId="0E41EBF1" w14:textId="77777777" w:rsidR="00F34163" w:rsidRPr="00B0468F" w:rsidRDefault="00F34163" w:rsidP="00B0468F">
      <w:pPr>
        <w:widowControl w:val="0"/>
        <w:spacing w:line="240" w:lineRule="auto"/>
        <w:ind w:right="566"/>
        <w:rPr>
          <w:lang w:val="lt-LT"/>
        </w:rPr>
      </w:pPr>
    </w:p>
    <w:p w14:paraId="120528C3" w14:textId="77777777" w:rsidR="00F34163" w:rsidRPr="00B0468F" w:rsidRDefault="00F34163" w:rsidP="00B0468F">
      <w:pPr>
        <w:widowControl w:val="0"/>
        <w:spacing w:line="240" w:lineRule="auto"/>
        <w:ind w:right="566"/>
        <w:rPr>
          <w:lang w:val="lt-LT"/>
        </w:rPr>
      </w:pPr>
    </w:p>
    <w:p w14:paraId="6AF97AC2" w14:textId="77777777" w:rsidR="00F34163" w:rsidRPr="00B0468F" w:rsidRDefault="00F34163" w:rsidP="00B0468F">
      <w:pPr>
        <w:pStyle w:val="Antrat2"/>
        <w:keepNext w:val="0"/>
        <w:widowControl w:val="0"/>
        <w:spacing w:before="0" w:after="0" w:line="240" w:lineRule="auto"/>
        <w:ind w:right="566"/>
        <w:jc w:val="center"/>
        <w:rPr>
          <w:b w:val="0"/>
          <w:lang w:val="lt-LT"/>
        </w:rPr>
      </w:pPr>
    </w:p>
    <w:p w14:paraId="7FE74DF9" w14:textId="77777777" w:rsidR="00F34163" w:rsidRPr="00B0468F" w:rsidRDefault="00F34163" w:rsidP="00B0468F">
      <w:pPr>
        <w:pStyle w:val="Antrat2"/>
        <w:keepNext w:val="0"/>
        <w:widowControl w:val="0"/>
        <w:spacing w:before="0" w:after="0" w:line="240" w:lineRule="auto"/>
        <w:ind w:right="566"/>
        <w:jc w:val="center"/>
        <w:rPr>
          <w:b w:val="0"/>
          <w:lang w:val="lt-LT"/>
        </w:rPr>
      </w:pPr>
      <w:r w:rsidRPr="00B0468F">
        <w:rPr>
          <w:rFonts w:ascii="Times New Roman" w:hAnsi="Times New Roman"/>
          <w:i w:val="0"/>
          <w:sz w:val="22"/>
          <w:lang w:val="lt-LT"/>
        </w:rPr>
        <w:t>A. ŽENKLINIMAS</w:t>
      </w:r>
    </w:p>
    <w:p w14:paraId="67A74011" w14:textId="77777777" w:rsidR="00F34163" w:rsidRPr="00B0468F" w:rsidRDefault="00F34163" w:rsidP="00B0468F">
      <w:pPr>
        <w:widowControl w:val="0"/>
        <w:spacing w:line="240" w:lineRule="auto"/>
        <w:ind w:right="566"/>
        <w:rPr>
          <w:lang w:val="lt-LT"/>
        </w:rPr>
      </w:pPr>
      <w:r w:rsidRPr="00B0468F">
        <w:rPr>
          <w:lang w:val="lt-LT"/>
        </w:rPr>
        <w:br w:type="page"/>
      </w:r>
    </w:p>
    <w:p w14:paraId="1651BAB3" w14:textId="77777777" w:rsidR="00F34163" w:rsidRPr="00B0468F" w:rsidRDefault="006D6B1D" w:rsidP="00B0468F">
      <w:pPr>
        <w:widowControl w:val="0"/>
        <w:pBdr>
          <w:top w:val="single" w:sz="4" w:space="1" w:color="auto"/>
          <w:left w:val="single" w:sz="4" w:space="4" w:color="auto"/>
          <w:bottom w:val="single" w:sz="4" w:space="1" w:color="auto"/>
          <w:right w:val="single" w:sz="4" w:space="4" w:color="auto"/>
        </w:pBdr>
        <w:spacing w:line="240" w:lineRule="auto"/>
        <w:ind w:right="566"/>
        <w:rPr>
          <w:b/>
          <w:lang w:val="lt-LT"/>
        </w:rPr>
      </w:pPr>
      <w:r w:rsidRPr="00B0468F">
        <w:rPr>
          <w:b/>
          <w:lang w:val="lt-LT"/>
        </w:rPr>
        <w:lastRenderedPageBreak/>
        <w:t xml:space="preserve">INFORMACIJA ANT </w:t>
      </w:r>
      <w:r w:rsidR="00F34163" w:rsidRPr="00B0468F">
        <w:rPr>
          <w:b/>
          <w:lang w:val="lt-LT"/>
        </w:rPr>
        <w:t>IŠORINĖS PAKUOTĖS</w:t>
      </w:r>
    </w:p>
    <w:p w14:paraId="5874156E"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rPr>
          <w:b/>
          <w:lang w:val="lt-LT"/>
        </w:rPr>
      </w:pPr>
    </w:p>
    <w:p w14:paraId="786703D6" w14:textId="77777777" w:rsidR="00F34163" w:rsidRPr="00B0468F" w:rsidRDefault="006D6B1D" w:rsidP="00B0468F">
      <w:pPr>
        <w:widowControl w:val="0"/>
        <w:pBdr>
          <w:top w:val="single" w:sz="4" w:space="1" w:color="auto"/>
          <w:left w:val="single" w:sz="4" w:space="4" w:color="auto"/>
          <w:bottom w:val="single" w:sz="4" w:space="1" w:color="auto"/>
          <w:right w:val="single" w:sz="4" w:space="4" w:color="auto"/>
        </w:pBdr>
        <w:spacing w:line="240" w:lineRule="auto"/>
        <w:ind w:right="566"/>
        <w:rPr>
          <w:b/>
          <w:lang w:val="lt-LT"/>
        </w:rPr>
      </w:pPr>
      <w:r w:rsidRPr="00B0468F">
        <w:rPr>
          <w:b/>
          <w:lang w:val="lt-LT"/>
        </w:rPr>
        <w:t>DĖŽUTĖ</w:t>
      </w:r>
    </w:p>
    <w:p w14:paraId="230B11A5" w14:textId="77777777" w:rsidR="00F34163" w:rsidRPr="00B0468F" w:rsidRDefault="00F34163" w:rsidP="00B0468F">
      <w:pPr>
        <w:widowControl w:val="0"/>
        <w:spacing w:line="240" w:lineRule="auto"/>
        <w:ind w:right="566"/>
        <w:rPr>
          <w:lang w:val="lt-LT"/>
        </w:rPr>
      </w:pPr>
    </w:p>
    <w:p w14:paraId="7AB0A5CE" w14:textId="77777777" w:rsidR="00F34163" w:rsidRPr="00B0468F" w:rsidRDefault="00F34163" w:rsidP="00B0468F">
      <w:pPr>
        <w:widowControl w:val="0"/>
        <w:spacing w:line="240" w:lineRule="auto"/>
        <w:ind w:right="566"/>
        <w:rPr>
          <w:lang w:val="lt-LT"/>
        </w:rPr>
      </w:pPr>
    </w:p>
    <w:p w14:paraId="65D5B8E2"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1.</w:t>
      </w:r>
      <w:r w:rsidRPr="00B0468F">
        <w:rPr>
          <w:b/>
          <w:lang w:val="lt-LT"/>
        </w:rPr>
        <w:tab/>
      </w:r>
      <w:r w:rsidRPr="00B0468F">
        <w:rPr>
          <w:b/>
          <w:caps/>
          <w:lang w:val="lt-LT"/>
        </w:rPr>
        <w:t>VAISTINIO</w:t>
      </w:r>
      <w:r w:rsidRPr="00B0468F">
        <w:rPr>
          <w:b/>
          <w:lang w:val="lt-LT"/>
        </w:rPr>
        <w:t xml:space="preserve"> PREPARATO PAVADINIMAS</w:t>
      </w:r>
    </w:p>
    <w:p w14:paraId="5322A96A" w14:textId="77777777" w:rsidR="00F34163" w:rsidRPr="00B0468F" w:rsidRDefault="00F34163" w:rsidP="00B0468F">
      <w:pPr>
        <w:widowControl w:val="0"/>
        <w:spacing w:line="240" w:lineRule="auto"/>
        <w:ind w:right="566"/>
        <w:rPr>
          <w:lang w:val="lt-LT"/>
        </w:rPr>
      </w:pPr>
    </w:p>
    <w:p w14:paraId="73CA3640" w14:textId="77777777" w:rsidR="00C3576B" w:rsidRPr="00B0468F" w:rsidRDefault="00CB687A" w:rsidP="00B0468F">
      <w:pPr>
        <w:widowControl w:val="0"/>
        <w:spacing w:line="240" w:lineRule="auto"/>
        <w:ind w:right="566"/>
        <w:rPr>
          <w:lang w:val="lt-LT"/>
        </w:rPr>
      </w:pPr>
      <w:r w:rsidRPr="00B0468F">
        <w:rPr>
          <w:lang w:val="lt-LT"/>
        </w:rPr>
        <w:t>Eliskardia 5</w:t>
      </w:r>
      <w:r w:rsidR="00C3576B" w:rsidRPr="00B0468F">
        <w:rPr>
          <w:lang w:val="lt-LT"/>
        </w:rPr>
        <w:t> mg plėvele dengtos tabletės</w:t>
      </w:r>
      <w:r w:rsidR="00C3576B" w:rsidRPr="00B0468F">
        <w:rPr>
          <w:lang w:val="lt-LT"/>
        </w:rPr>
        <w:cr/>
      </w:r>
      <w:r w:rsidRPr="00B0468F">
        <w:rPr>
          <w:highlight w:val="lightGray"/>
          <w:lang w:val="lt-LT"/>
        </w:rPr>
        <w:t>Eliskardia 10 mg plėvele dengtos tabletės</w:t>
      </w:r>
    </w:p>
    <w:p w14:paraId="2F9020EC" w14:textId="77777777" w:rsidR="00CB687A" w:rsidRPr="00B0468F" w:rsidRDefault="00CB687A" w:rsidP="00B0468F">
      <w:pPr>
        <w:widowControl w:val="0"/>
        <w:spacing w:line="240" w:lineRule="auto"/>
        <w:ind w:right="566"/>
        <w:rPr>
          <w:lang w:val="lt-LT"/>
        </w:rPr>
      </w:pPr>
    </w:p>
    <w:p w14:paraId="474BD853" w14:textId="77777777" w:rsidR="00C3576B" w:rsidRPr="00B0468F" w:rsidRDefault="00CB687A" w:rsidP="00B0468F">
      <w:pPr>
        <w:widowControl w:val="0"/>
        <w:spacing w:line="240" w:lineRule="auto"/>
        <w:ind w:right="566"/>
        <w:rPr>
          <w:lang w:val="lt-LT"/>
        </w:rPr>
      </w:pPr>
      <w:r w:rsidRPr="00B0468F">
        <w:rPr>
          <w:lang w:val="lt-LT"/>
        </w:rPr>
        <w:t>prazugrel</w:t>
      </w:r>
      <w:r w:rsidR="005109A1" w:rsidRPr="00B0468F">
        <w:rPr>
          <w:lang w:val="lt-LT"/>
        </w:rPr>
        <w:t>is</w:t>
      </w:r>
    </w:p>
    <w:p w14:paraId="43B6B2C8" w14:textId="77777777" w:rsidR="00F34163" w:rsidRPr="00B0468F" w:rsidRDefault="00F34163" w:rsidP="00B0468F">
      <w:pPr>
        <w:widowControl w:val="0"/>
        <w:spacing w:line="240" w:lineRule="auto"/>
        <w:ind w:right="566"/>
        <w:rPr>
          <w:lang w:val="lt-LT"/>
        </w:rPr>
      </w:pPr>
    </w:p>
    <w:p w14:paraId="52F57933" w14:textId="77777777" w:rsidR="00F34163" w:rsidRPr="00B0468F" w:rsidRDefault="00F34163" w:rsidP="00B0468F">
      <w:pPr>
        <w:widowControl w:val="0"/>
        <w:spacing w:line="240" w:lineRule="auto"/>
        <w:ind w:right="566"/>
        <w:rPr>
          <w:lang w:val="lt-LT"/>
        </w:rPr>
      </w:pPr>
    </w:p>
    <w:p w14:paraId="2E376B80"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b/>
          <w:lang w:val="lt-LT"/>
        </w:rPr>
      </w:pPr>
      <w:r w:rsidRPr="00B0468F">
        <w:rPr>
          <w:b/>
          <w:lang w:val="lt-LT"/>
        </w:rPr>
        <w:t>2.</w:t>
      </w:r>
      <w:r w:rsidRPr="00B0468F">
        <w:rPr>
          <w:b/>
          <w:lang w:val="lt-LT"/>
        </w:rPr>
        <w:tab/>
        <w:t>VEIKLIOJI (-IOS) MEDŽIAGA (-OS) IR JOS (-Ų) KIEKIS (-IAI)</w:t>
      </w:r>
    </w:p>
    <w:p w14:paraId="1F23DC67" w14:textId="77777777" w:rsidR="00F34163" w:rsidRPr="00B0468F" w:rsidRDefault="00F34163" w:rsidP="00B0468F">
      <w:pPr>
        <w:widowControl w:val="0"/>
        <w:spacing w:line="240" w:lineRule="auto"/>
        <w:ind w:right="566"/>
        <w:rPr>
          <w:lang w:val="lt-LT"/>
        </w:rPr>
      </w:pPr>
    </w:p>
    <w:p w14:paraId="3DCB1929" w14:textId="77777777" w:rsidR="00C3576B" w:rsidRPr="00B0468F" w:rsidRDefault="00D55620" w:rsidP="00B0468F">
      <w:pPr>
        <w:widowControl w:val="0"/>
        <w:spacing w:line="240" w:lineRule="auto"/>
        <w:ind w:right="566"/>
        <w:rPr>
          <w:lang w:val="lt-LT"/>
        </w:rPr>
      </w:pPr>
      <w:r w:rsidRPr="00B0468F">
        <w:rPr>
          <w:lang w:val="lt-LT"/>
        </w:rPr>
        <w:t>Kiekvienoje</w:t>
      </w:r>
      <w:r w:rsidR="008E18E3" w:rsidRPr="00B0468F">
        <w:rPr>
          <w:lang w:val="lt-LT"/>
        </w:rPr>
        <w:t xml:space="preserve"> plėvele dengtoje</w:t>
      </w:r>
      <w:r w:rsidRPr="00B0468F">
        <w:rPr>
          <w:lang w:val="lt-LT"/>
        </w:rPr>
        <w:t xml:space="preserve"> tabletėje yra 5</w:t>
      </w:r>
      <w:r w:rsidR="00C3576B" w:rsidRPr="00B0468F">
        <w:rPr>
          <w:lang w:val="lt-LT"/>
        </w:rPr>
        <w:t> mg</w:t>
      </w:r>
      <w:r w:rsidRPr="00B0468F">
        <w:rPr>
          <w:lang w:val="lt-LT"/>
        </w:rPr>
        <w:t xml:space="preserve"> prazugrelio.</w:t>
      </w:r>
    </w:p>
    <w:p w14:paraId="33910726" w14:textId="77777777" w:rsidR="00D55620" w:rsidRPr="00B0468F" w:rsidRDefault="00D55620" w:rsidP="00B0468F">
      <w:pPr>
        <w:widowControl w:val="0"/>
        <w:spacing w:line="240" w:lineRule="auto"/>
        <w:ind w:right="566"/>
        <w:rPr>
          <w:lang w:val="lt-LT"/>
        </w:rPr>
      </w:pPr>
      <w:r w:rsidRPr="00B0468F">
        <w:rPr>
          <w:highlight w:val="lightGray"/>
          <w:lang w:val="lt-LT"/>
        </w:rPr>
        <w:t>Kiekvienoje</w:t>
      </w:r>
      <w:r w:rsidR="008E18E3" w:rsidRPr="00B0468F">
        <w:rPr>
          <w:highlight w:val="lightGray"/>
          <w:lang w:val="lt-LT"/>
        </w:rPr>
        <w:t xml:space="preserve"> plėvele dengtoje</w:t>
      </w:r>
      <w:r w:rsidRPr="00B0468F">
        <w:rPr>
          <w:highlight w:val="lightGray"/>
          <w:lang w:val="lt-LT"/>
        </w:rPr>
        <w:t xml:space="preserve"> tabletėje yra 10 mg prazugrelio.</w:t>
      </w:r>
    </w:p>
    <w:p w14:paraId="5DCBFAB2" w14:textId="77777777" w:rsidR="00F34163" w:rsidRPr="00B0468F" w:rsidRDefault="00F34163" w:rsidP="00B0468F">
      <w:pPr>
        <w:widowControl w:val="0"/>
        <w:spacing w:line="240" w:lineRule="auto"/>
        <w:ind w:right="566"/>
        <w:rPr>
          <w:lang w:val="lt-LT"/>
        </w:rPr>
      </w:pPr>
    </w:p>
    <w:p w14:paraId="755D59D9" w14:textId="77777777" w:rsidR="00F34163" w:rsidRPr="00B0468F" w:rsidRDefault="00F34163" w:rsidP="00B0468F">
      <w:pPr>
        <w:widowControl w:val="0"/>
        <w:spacing w:line="240" w:lineRule="auto"/>
        <w:ind w:right="566"/>
        <w:rPr>
          <w:lang w:val="lt-LT"/>
        </w:rPr>
      </w:pPr>
    </w:p>
    <w:p w14:paraId="194CDC36"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3.</w:t>
      </w:r>
      <w:r w:rsidRPr="00B0468F">
        <w:rPr>
          <w:b/>
          <w:lang w:val="lt-LT"/>
        </w:rPr>
        <w:tab/>
        <w:t>PAGALBINIŲ MEDŽIAGŲ SĄRAŠAS</w:t>
      </w:r>
    </w:p>
    <w:p w14:paraId="34A8B931" w14:textId="77777777" w:rsidR="00F34163" w:rsidRPr="00B0468F" w:rsidRDefault="00F34163" w:rsidP="00B0468F">
      <w:pPr>
        <w:widowControl w:val="0"/>
        <w:spacing w:line="240" w:lineRule="auto"/>
        <w:ind w:right="566"/>
        <w:rPr>
          <w:lang w:val="lt-LT"/>
        </w:rPr>
      </w:pPr>
    </w:p>
    <w:p w14:paraId="47D561C5" w14:textId="0003935C" w:rsidR="00D55620" w:rsidRPr="00B0468F" w:rsidRDefault="00C3576B" w:rsidP="00B0468F">
      <w:pPr>
        <w:widowControl w:val="0"/>
        <w:spacing w:line="240" w:lineRule="auto"/>
        <w:ind w:right="566"/>
        <w:rPr>
          <w:rFonts w:eastAsia="SimSun"/>
          <w:lang w:val="lt-LT"/>
        </w:rPr>
      </w:pPr>
      <w:r w:rsidRPr="00B0468F">
        <w:rPr>
          <w:lang w:val="lt-LT"/>
        </w:rPr>
        <w:t>Sudėtyje yra laktozės.</w:t>
      </w:r>
    </w:p>
    <w:p w14:paraId="60149BA8" w14:textId="77777777" w:rsidR="00F34163" w:rsidRPr="00B0468F" w:rsidRDefault="003861B0" w:rsidP="00B0468F">
      <w:pPr>
        <w:widowControl w:val="0"/>
        <w:spacing w:line="240" w:lineRule="auto"/>
        <w:ind w:right="566"/>
        <w:rPr>
          <w:rFonts w:eastAsia="SimSun"/>
          <w:lang w:val="lt-LT"/>
        </w:rPr>
      </w:pPr>
      <w:r w:rsidRPr="00B0468F">
        <w:rPr>
          <w:rFonts w:eastAsia="SimSun"/>
          <w:lang w:val="lt-LT"/>
        </w:rPr>
        <w:t>Daugiau informacijos žr. pakuotės lapelyje.</w:t>
      </w:r>
    </w:p>
    <w:p w14:paraId="11A454C0" w14:textId="77777777" w:rsidR="00C3576B" w:rsidRPr="00B0468F" w:rsidRDefault="00C3576B" w:rsidP="00B0468F">
      <w:pPr>
        <w:widowControl w:val="0"/>
        <w:spacing w:line="240" w:lineRule="auto"/>
        <w:ind w:right="566"/>
        <w:rPr>
          <w:lang w:val="lt-LT"/>
        </w:rPr>
      </w:pPr>
    </w:p>
    <w:p w14:paraId="6853FF9F" w14:textId="77777777" w:rsidR="00C3576B" w:rsidRPr="00B0468F" w:rsidRDefault="00C3576B" w:rsidP="00B0468F">
      <w:pPr>
        <w:widowControl w:val="0"/>
        <w:spacing w:line="240" w:lineRule="auto"/>
        <w:ind w:right="566"/>
        <w:rPr>
          <w:lang w:val="lt-LT"/>
        </w:rPr>
      </w:pPr>
    </w:p>
    <w:p w14:paraId="7982679A"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4.</w:t>
      </w:r>
      <w:r w:rsidRPr="00B0468F">
        <w:rPr>
          <w:b/>
          <w:lang w:val="lt-LT"/>
        </w:rPr>
        <w:tab/>
        <w:t>FARMACINĖ FORMA IR KIEKIS PAKUOTĖJE</w:t>
      </w:r>
    </w:p>
    <w:p w14:paraId="1ACD6DEB" w14:textId="77777777" w:rsidR="00F34163" w:rsidRPr="00B0468F" w:rsidRDefault="00F34163" w:rsidP="00B0468F">
      <w:pPr>
        <w:widowControl w:val="0"/>
        <w:spacing w:line="240" w:lineRule="auto"/>
        <w:ind w:right="566"/>
        <w:rPr>
          <w:lang w:val="lt-LT"/>
        </w:rPr>
      </w:pPr>
    </w:p>
    <w:p w14:paraId="55FE844C" w14:textId="77777777" w:rsidR="00F34163" w:rsidRPr="00B0468F" w:rsidRDefault="00C3576B" w:rsidP="00B0468F">
      <w:pPr>
        <w:widowControl w:val="0"/>
        <w:spacing w:line="240" w:lineRule="auto"/>
        <w:ind w:right="566"/>
        <w:rPr>
          <w:lang w:val="lt-LT"/>
        </w:rPr>
      </w:pPr>
      <w:r w:rsidRPr="00B0468F">
        <w:rPr>
          <w:highlight w:val="lightGray"/>
          <w:lang w:val="lt-LT"/>
        </w:rPr>
        <w:t>Plėvele dengtos tabletės</w:t>
      </w:r>
    </w:p>
    <w:p w14:paraId="20262CBB" w14:textId="77777777" w:rsidR="00706214" w:rsidRPr="00B0468F" w:rsidRDefault="00706214" w:rsidP="005350AF">
      <w:pPr>
        <w:widowControl w:val="0"/>
        <w:tabs>
          <w:tab w:val="clear" w:pos="567"/>
          <w:tab w:val="left" w:pos="1440"/>
        </w:tabs>
        <w:spacing w:line="240" w:lineRule="auto"/>
        <w:ind w:right="566"/>
        <w:rPr>
          <w:lang w:val="lt-LT"/>
        </w:rPr>
      </w:pPr>
    </w:p>
    <w:p w14:paraId="738EC298" w14:textId="77777777" w:rsidR="00706214" w:rsidRPr="005350AF" w:rsidRDefault="00706214" w:rsidP="005350AF">
      <w:pPr>
        <w:widowControl w:val="0"/>
        <w:tabs>
          <w:tab w:val="clear" w:pos="567"/>
          <w:tab w:val="left" w:pos="1440"/>
        </w:tabs>
        <w:spacing w:line="240" w:lineRule="auto"/>
        <w:ind w:right="566"/>
        <w:rPr>
          <w:lang w:val="en-US"/>
        </w:rPr>
      </w:pPr>
      <w:r w:rsidRPr="005350AF">
        <w:rPr>
          <w:lang w:val="en-US"/>
        </w:rPr>
        <w:t>14 plėvele dengtų tablečių</w:t>
      </w:r>
    </w:p>
    <w:p w14:paraId="46CC380E"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28 plėvele dengtos tabletės</w:t>
      </w:r>
    </w:p>
    <w:p w14:paraId="238F4E39"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30 plėvele dengtų tablečių</w:t>
      </w:r>
    </w:p>
    <w:p w14:paraId="4BB8B214"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56 plėvele dengtos tabletės</w:t>
      </w:r>
    </w:p>
    <w:p w14:paraId="07948D26"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60 plėvele dengtų tablečių</w:t>
      </w:r>
    </w:p>
    <w:p w14:paraId="68F7A326"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84 plėvele dengtos tabletės</w:t>
      </w:r>
    </w:p>
    <w:p w14:paraId="7F3AD96B"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90 plėvele dengtų tablečių</w:t>
      </w:r>
    </w:p>
    <w:p w14:paraId="0FB3DE4D" w14:textId="77777777" w:rsidR="00706214" w:rsidRPr="005350AF" w:rsidRDefault="00706214" w:rsidP="005350AF">
      <w:pPr>
        <w:widowControl w:val="0"/>
        <w:tabs>
          <w:tab w:val="clear" w:pos="567"/>
          <w:tab w:val="left" w:pos="1440"/>
        </w:tabs>
        <w:spacing w:line="240" w:lineRule="auto"/>
        <w:ind w:right="566"/>
        <w:rPr>
          <w:highlight w:val="lightGray"/>
          <w:lang w:val="en-US"/>
        </w:rPr>
      </w:pPr>
      <w:r w:rsidRPr="005350AF">
        <w:rPr>
          <w:highlight w:val="lightGray"/>
          <w:lang w:val="en-US"/>
        </w:rPr>
        <w:t>98 plėvele dengtos tabletės</w:t>
      </w:r>
    </w:p>
    <w:p w14:paraId="0263F057" w14:textId="77777777" w:rsidR="00C3576B" w:rsidRPr="00B0468F" w:rsidRDefault="00C3576B" w:rsidP="00B0468F">
      <w:pPr>
        <w:widowControl w:val="0"/>
        <w:spacing w:line="240" w:lineRule="auto"/>
        <w:ind w:right="566"/>
        <w:rPr>
          <w:lang w:val="lt-LT"/>
        </w:rPr>
      </w:pPr>
    </w:p>
    <w:p w14:paraId="4F07EE34" w14:textId="77777777" w:rsidR="00C3576B" w:rsidRPr="00B0468F" w:rsidRDefault="00C3576B" w:rsidP="00B0468F">
      <w:pPr>
        <w:widowControl w:val="0"/>
        <w:spacing w:line="240" w:lineRule="auto"/>
        <w:ind w:right="566"/>
        <w:rPr>
          <w:lang w:val="lt-LT"/>
        </w:rPr>
      </w:pPr>
    </w:p>
    <w:p w14:paraId="7E4A2E5C"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5.</w:t>
      </w:r>
      <w:r w:rsidRPr="00B0468F">
        <w:rPr>
          <w:b/>
          <w:lang w:val="lt-LT"/>
        </w:rPr>
        <w:tab/>
        <w:t>VARTOJIMO METODAS IR BŪDAS (-AI)</w:t>
      </w:r>
    </w:p>
    <w:p w14:paraId="7EE17EB9" w14:textId="77777777" w:rsidR="00F34163" w:rsidRPr="00B0468F" w:rsidRDefault="00F34163" w:rsidP="00B0468F">
      <w:pPr>
        <w:widowControl w:val="0"/>
        <w:spacing w:line="240" w:lineRule="auto"/>
        <w:ind w:right="566"/>
        <w:rPr>
          <w:lang w:val="lt-LT"/>
        </w:rPr>
      </w:pPr>
    </w:p>
    <w:p w14:paraId="2BC7706D" w14:textId="77777777" w:rsidR="00F34163" w:rsidRPr="00B0468F" w:rsidRDefault="00F34163" w:rsidP="00B0468F">
      <w:pPr>
        <w:widowControl w:val="0"/>
        <w:spacing w:line="240" w:lineRule="auto"/>
        <w:ind w:right="566"/>
        <w:rPr>
          <w:lang w:val="lt-LT"/>
        </w:rPr>
      </w:pPr>
      <w:r w:rsidRPr="00B0468F">
        <w:rPr>
          <w:lang w:val="lt-LT"/>
        </w:rPr>
        <w:t>Prieš vartojimą perskaitykite pakuotės lapelį.</w:t>
      </w:r>
    </w:p>
    <w:p w14:paraId="1D30CAC2" w14:textId="77777777" w:rsidR="00C3576B" w:rsidRPr="00B0468F" w:rsidRDefault="00C3576B" w:rsidP="00B0468F">
      <w:pPr>
        <w:widowControl w:val="0"/>
        <w:spacing w:line="240" w:lineRule="auto"/>
        <w:ind w:right="566"/>
        <w:rPr>
          <w:lang w:val="lt-LT"/>
        </w:rPr>
      </w:pPr>
      <w:r w:rsidRPr="00B0468F">
        <w:rPr>
          <w:lang w:val="lt-LT"/>
        </w:rPr>
        <w:t>Vartoti per burną.</w:t>
      </w:r>
    </w:p>
    <w:p w14:paraId="73DF410D" w14:textId="77777777" w:rsidR="00F34163" w:rsidRPr="00B0468F" w:rsidRDefault="00F34163" w:rsidP="00B0468F">
      <w:pPr>
        <w:widowControl w:val="0"/>
        <w:spacing w:line="240" w:lineRule="auto"/>
        <w:ind w:right="566"/>
        <w:rPr>
          <w:lang w:val="lt-LT"/>
        </w:rPr>
      </w:pPr>
    </w:p>
    <w:p w14:paraId="56CF81FD" w14:textId="77777777" w:rsidR="00F34163" w:rsidRPr="00B0468F" w:rsidRDefault="00F34163" w:rsidP="00B0468F">
      <w:pPr>
        <w:widowControl w:val="0"/>
        <w:spacing w:line="240" w:lineRule="auto"/>
        <w:ind w:right="566"/>
        <w:rPr>
          <w:lang w:val="lt-LT"/>
        </w:rPr>
      </w:pPr>
    </w:p>
    <w:p w14:paraId="71BAA0E5"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6.</w:t>
      </w:r>
      <w:r w:rsidRPr="00B0468F">
        <w:rPr>
          <w:b/>
          <w:lang w:val="lt-LT"/>
        </w:rPr>
        <w:tab/>
        <w:t>SPECIALUS ĮSPĖJIMAS, KAD VAISTINĮ PREPARATĄ BŪTINA LA</w:t>
      </w:r>
      <w:r w:rsidR="0058239A" w:rsidRPr="00B0468F">
        <w:rPr>
          <w:b/>
          <w:lang w:val="lt-LT"/>
        </w:rPr>
        <w:t xml:space="preserve">IKYTI VAIKAMS NEPASTEBIMOJE IR </w:t>
      </w:r>
      <w:r w:rsidRPr="00B0468F">
        <w:rPr>
          <w:b/>
          <w:lang w:val="lt-LT"/>
        </w:rPr>
        <w:t>NEPASIEKIAMOJE VIETOJE</w:t>
      </w:r>
    </w:p>
    <w:p w14:paraId="1FBB772A" w14:textId="77777777" w:rsidR="00F34163" w:rsidRPr="00B0468F" w:rsidRDefault="00F34163" w:rsidP="00B0468F">
      <w:pPr>
        <w:widowControl w:val="0"/>
        <w:spacing w:line="240" w:lineRule="auto"/>
        <w:ind w:right="566"/>
        <w:rPr>
          <w:lang w:val="lt-LT"/>
        </w:rPr>
      </w:pPr>
    </w:p>
    <w:p w14:paraId="75D75767" w14:textId="77777777" w:rsidR="00F34163" w:rsidRPr="00B0468F" w:rsidRDefault="00F34163" w:rsidP="00B0468F">
      <w:pPr>
        <w:widowControl w:val="0"/>
        <w:spacing w:line="240" w:lineRule="auto"/>
        <w:ind w:right="566"/>
        <w:rPr>
          <w:lang w:val="lt-LT"/>
        </w:rPr>
      </w:pPr>
      <w:r w:rsidRPr="00B0468F">
        <w:rPr>
          <w:lang w:val="lt-LT"/>
        </w:rPr>
        <w:t>Laikyti vaikams nepastebimoje ir nepasiekiamoje vietoje.</w:t>
      </w:r>
    </w:p>
    <w:p w14:paraId="6140FFC1" w14:textId="77777777" w:rsidR="00F34163" w:rsidRPr="00B0468F" w:rsidRDefault="00F34163" w:rsidP="00B0468F">
      <w:pPr>
        <w:widowControl w:val="0"/>
        <w:spacing w:line="240" w:lineRule="auto"/>
        <w:ind w:right="566"/>
        <w:rPr>
          <w:lang w:val="lt-LT"/>
        </w:rPr>
      </w:pPr>
    </w:p>
    <w:p w14:paraId="15A07A57" w14:textId="77777777" w:rsidR="00F34163" w:rsidRPr="00B0468F" w:rsidRDefault="00F34163" w:rsidP="00B0468F">
      <w:pPr>
        <w:widowControl w:val="0"/>
        <w:spacing w:line="240" w:lineRule="auto"/>
        <w:ind w:right="566"/>
        <w:rPr>
          <w:lang w:val="lt-LT"/>
        </w:rPr>
      </w:pPr>
    </w:p>
    <w:p w14:paraId="48820C4F"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7.</w:t>
      </w:r>
      <w:r w:rsidRPr="00B0468F">
        <w:rPr>
          <w:b/>
          <w:lang w:val="lt-LT"/>
        </w:rPr>
        <w:tab/>
        <w:t>KITAS (-I) SPECIALUS (-ŪS) ĮSPĖJIMAS (-AI) (JEI REIKIA)</w:t>
      </w:r>
    </w:p>
    <w:p w14:paraId="401F0F16" w14:textId="77777777" w:rsidR="00F34163" w:rsidRPr="00B0468F" w:rsidRDefault="00F34163" w:rsidP="00B0468F">
      <w:pPr>
        <w:widowControl w:val="0"/>
        <w:spacing w:line="240" w:lineRule="auto"/>
        <w:ind w:right="566"/>
        <w:rPr>
          <w:lang w:val="lt-LT"/>
        </w:rPr>
      </w:pPr>
    </w:p>
    <w:p w14:paraId="02929769" w14:textId="77777777" w:rsidR="00F34163" w:rsidRPr="00B0468F" w:rsidRDefault="00F34163" w:rsidP="00B0468F">
      <w:pPr>
        <w:widowControl w:val="0"/>
        <w:spacing w:line="240" w:lineRule="auto"/>
        <w:ind w:right="566"/>
        <w:rPr>
          <w:lang w:val="lt-LT"/>
        </w:rPr>
      </w:pPr>
    </w:p>
    <w:p w14:paraId="4CC75782"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8.</w:t>
      </w:r>
      <w:r w:rsidRPr="00B0468F">
        <w:rPr>
          <w:b/>
          <w:lang w:val="lt-LT"/>
        </w:rPr>
        <w:tab/>
        <w:t>TINKAMUMO LAIKAS</w:t>
      </w:r>
    </w:p>
    <w:p w14:paraId="1674F132" w14:textId="77777777" w:rsidR="00F34163" w:rsidRPr="00B0468F" w:rsidRDefault="00F34163" w:rsidP="00B0468F">
      <w:pPr>
        <w:widowControl w:val="0"/>
        <w:spacing w:line="240" w:lineRule="auto"/>
        <w:ind w:right="566"/>
        <w:rPr>
          <w:lang w:val="lt-LT"/>
        </w:rPr>
      </w:pPr>
    </w:p>
    <w:p w14:paraId="1F55C2EA" w14:textId="77777777" w:rsidR="00AD2800" w:rsidRPr="00B0468F" w:rsidRDefault="00AD2800" w:rsidP="00B0468F">
      <w:pPr>
        <w:widowControl w:val="0"/>
        <w:spacing w:line="240" w:lineRule="auto"/>
        <w:ind w:right="566"/>
        <w:rPr>
          <w:lang w:val="lt-LT"/>
        </w:rPr>
      </w:pPr>
      <w:r w:rsidRPr="00B0468F">
        <w:rPr>
          <w:lang w:val="lt-LT"/>
        </w:rPr>
        <w:t>EXP {mm/MMMM}</w:t>
      </w:r>
    </w:p>
    <w:p w14:paraId="382343E1" w14:textId="77777777" w:rsidR="00F34163" w:rsidRPr="00B0468F" w:rsidRDefault="00F34163" w:rsidP="00B0468F">
      <w:pPr>
        <w:widowControl w:val="0"/>
        <w:spacing w:line="240" w:lineRule="auto"/>
        <w:ind w:right="566"/>
        <w:rPr>
          <w:lang w:val="lt-LT"/>
        </w:rPr>
      </w:pPr>
      <w:r w:rsidRPr="00B0468F">
        <w:rPr>
          <w:highlight w:val="lightGray"/>
          <w:lang w:val="lt-LT"/>
        </w:rPr>
        <w:t xml:space="preserve">Tinka iki </w:t>
      </w:r>
      <w:r w:rsidR="00C3576B" w:rsidRPr="00B0468F">
        <w:rPr>
          <w:highlight w:val="lightGray"/>
          <w:lang w:val="lt-LT"/>
        </w:rPr>
        <w:t>{mm/MMMM}</w:t>
      </w:r>
    </w:p>
    <w:p w14:paraId="3BEFE368" w14:textId="77777777" w:rsidR="00F34163" w:rsidRPr="00B0468F" w:rsidRDefault="00F34163" w:rsidP="00B0468F">
      <w:pPr>
        <w:widowControl w:val="0"/>
        <w:spacing w:line="240" w:lineRule="auto"/>
        <w:ind w:right="566"/>
        <w:rPr>
          <w:lang w:val="lt-LT"/>
        </w:rPr>
      </w:pPr>
    </w:p>
    <w:p w14:paraId="7CF3F05C" w14:textId="77777777" w:rsidR="003E6D93" w:rsidRPr="00B0468F" w:rsidRDefault="003E6D93" w:rsidP="00B0468F">
      <w:pPr>
        <w:widowControl w:val="0"/>
        <w:spacing w:line="240" w:lineRule="auto"/>
        <w:ind w:right="566"/>
        <w:rPr>
          <w:lang w:val="lt-LT"/>
        </w:rPr>
      </w:pPr>
    </w:p>
    <w:p w14:paraId="3558E29F"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outlineLvl w:val="0"/>
        <w:rPr>
          <w:lang w:val="lt-LT"/>
        </w:rPr>
      </w:pPr>
      <w:r w:rsidRPr="00B0468F">
        <w:rPr>
          <w:b/>
          <w:lang w:val="lt-LT"/>
        </w:rPr>
        <w:t>9.</w:t>
      </w:r>
      <w:r w:rsidRPr="00B0468F">
        <w:rPr>
          <w:b/>
          <w:lang w:val="lt-LT"/>
        </w:rPr>
        <w:tab/>
        <w:t>SPECIALIOS LAIKYMO SĄLYGOS</w:t>
      </w:r>
    </w:p>
    <w:p w14:paraId="2DFAC880" w14:textId="77777777" w:rsidR="00706214" w:rsidRPr="00B0468F" w:rsidRDefault="00706214" w:rsidP="005350AF">
      <w:pPr>
        <w:widowControl w:val="0"/>
        <w:tabs>
          <w:tab w:val="clear" w:pos="567"/>
        </w:tabs>
        <w:spacing w:line="240" w:lineRule="auto"/>
        <w:ind w:right="566"/>
        <w:rPr>
          <w:color w:val="0D0D0D"/>
          <w:lang w:val="lt-LT"/>
        </w:rPr>
      </w:pPr>
    </w:p>
    <w:p w14:paraId="08EAAF12" w14:textId="77777777" w:rsidR="00F24FEC" w:rsidRPr="00F24FEC" w:rsidRDefault="00F24FEC" w:rsidP="00F24FEC">
      <w:pPr>
        <w:widowControl w:val="0"/>
        <w:spacing w:line="240" w:lineRule="auto"/>
        <w:ind w:right="566"/>
        <w:rPr>
          <w:szCs w:val="22"/>
          <w:lang w:val="lt-LT"/>
        </w:rPr>
      </w:pPr>
      <w:r w:rsidRPr="00F24FEC">
        <w:rPr>
          <w:i/>
          <w:szCs w:val="22"/>
          <w:lang w:val="lt-LT"/>
        </w:rPr>
        <w:t>Eliskardia 5 mg plėvele dengtos tabletės</w:t>
      </w:r>
      <w:r w:rsidRPr="00F24FEC">
        <w:rPr>
          <w:szCs w:val="22"/>
          <w:lang w:val="lt-LT"/>
        </w:rPr>
        <w:t xml:space="preserve"> </w:t>
      </w:r>
    </w:p>
    <w:p w14:paraId="2E4AED7A" w14:textId="77777777" w:rsidR="00706214" w:rsidRPr="00B0468F" w:rsidRDefault="00B35E10" w:rsidP="005350AF">
      <w:pPr>
        <w:widowControl w:val="0"/>
        <w:tabs>
          <w:tab w:val="clear" w:pos="567"/>
        </w:tabs>
        <w:spacing w:line="240" w:lineRule="auto"/>
        <w:ind w:right="566"/>
        <w:rPr>
          <w:color w:val="0D0D0D"/>
          <w:lang w:val="lt-LT"/>
        </w:rPr>
      </w:pPr>
      <w:r w:rsidRPr="00B0468F">
        <w:rPr>
          <w:color w:val="0D0D0D"/>
          <w:lang w:val="lt-LT"/>
        </w:rPr>
        <w:t>Laikyti ne aukštesnėje kaip</w:t>
      </w:r>
      <w:r w:rsidR="00706214" w:rsidRPr="00B0468F">
        <w:rPr>
          <w:color w:val="0D0D0D"/>
          <w:lang w:val="lt-LT"/>
        </w:rPr>
        <w:t xml:space="preserve"> 30</w:t>
      </w:r>
      <w:r w:rsidR="00D01FAF">
        <w:rPr>
          <w:color w:val="0D0D0D"/>
          <w:szCs w:val="22"/>
          <w:lang w:val="lt-LT"/>
        </w:rPr>
        <w:t xml:space="preserve"> </w:t>
      </w:r>
      <w:r w:rsidR="00706214" w:rsidRPr="005350AF">
        <w:rPr>
          <w:lang w:val="en-US"/>
        </w:rPr>
        <w:sym w:font="Symbol" w:char="F0B0"/>
      </w:r>
      <w:r w:rsidR="00706214" w:rsidRPr="005350AF">
        <w:rPr>
          <w:lang w:val="fi-FI"/>
        </w:rPr>
        <w:t>C temperatūroje.</w:t>
      </w:r>
    </w:p>
    <w:p w14:paraId="0B85340B" w14:textId="77777777" w:rsidR="00706214" w:rsidRPr="00B0468F" w:rsidRDefault="00706214" w:rsidP="005350AF">
      <w:pPr>
        <w:widowControl w:val="0"/>
        <w:tabs>
          <w:tab w:val="clear" w:pos="567"/>
        </w:tabs>
        <w:spacing w:line="240" w:lineRule="auto"/>
        <w:ind w:right="566"/>
        <w:rPr>
          <w:lang w:val="lt-LT"/>
        </w:rPr>
      </w:pPr>
      <w:r w:rsidRPr="00B0468F">
        <w:rPr>
          <w:lang w:val="lt-LT"/>
        </w:rPr>
        <w:t xml:space="preserve">Laikyti gamintojo pakuotėje, kad </w:t>
      </w:r>
      <w:r w:rsidR="007E12B3" w:rsidRPr="00B0468F">
        <w:rPr>
          <w:lang w:val="lt-LT"/>
        </w:rPr>
        <w:t>vaistas</w:t>
      </w:r>
      <w:r w:rsidRPr="00B0468F">
        <w:rPr>
          <w:lang w:val="lt-LT"/>
        </w:rPr>
        <w:t xml:space="preserve"> būtų apsaugotas nuo drėgmės.</w:t>
      </w:r>
    </w:p>
    <w:p w14:paraId="102A51DB" w14:textId="77777777" w:rsidR="00F24FEC" w:rsidRPr="00B0468F" w:rsidRDefault="00F24FEC" w:rsidP="00B0468F">
      <w:pPr>
        <w:widowControl w:val="0"/>
        <w:spacing w:line="240" w:lineRule="auto"/>
        <w:ind w:right="566"/>
        <w:rPr>
          <w:i/>
          <w:lang w:val="lt-LT"/>
        </w:rPr>
      </w:pPr>
    </w:p>
    <w:p w14:paraId="4292F974" w14:textId="77777777" w:rsidR="00F24FEC" w:rsidRPr="00F24FEC" w:rsidRDefault="00F24FEC" w:rsidP="00F24FEC">
      <w:pPr>
        <w:widowControl w:val="0"/>
        <w:spacing w:line="240" w:lineRule="auto"/>
        <w:ind w:right="566"/>
        <w:rPr>
          <w:i/>
          <w:szCs w:val="22"/>
          <w:lang w:val="lt-LT"/>
        </w:rPr>
      </w:pPr>
      <w:r w:rsidRPr="00F24FEC">
        <w:rPr>
          <w:i/>
          <w:szCs w:val="22"/>
          <w:lang w:val="lt-LT"/>
        </w:rPr>
        <w:t>Eliskardia 10 mg plėvele dengtos tabletės</w:t>
      </w:r>
    </w:p>
    <w:p w14:paraId="1B78A824" w14:textId="77777777" w:rsidR="00F24FEC" w:rsidRPr="00F24FEC" w:rsidRDefault="00F24FEC" w:rsidP="00F24FEC">
      <w:pPr>
        <w:widowControl w:val="0"/>
        <w:spacing w:line="240" w:lineRule="auto"/>
        <w:ind w:right="566"/>
        <w:rPr>
          <w:szCs w:val="22"/>
          <w:lang w:val="lt-LT"/>
        </w:rPr>
      </w:pPr>
      <w:r w:rsidRPr="00F24FEC">
        <w:rPr>
          <w:szCs w:val="22"/>
          <w:lang w:val="lt-LT"/>
        </w:rPr>
        <w:t>Laikyti ne aukštesnėje kaip 25 </w:t>
      </w:r>
      <w:r w:rsidRPr="00F24FEC">
        <w:rPr>
          <w:szCs w:val="22"/>
          <w:lang w:val="en-US"/>
        </w:rPr>
        <w:sym w:font="Symbol" w:char="F0B0"/>
      </w:r>
      <w:r w:rsidRPr="00F24FEC">
        <w:rPr>
          <w:szCs w:val="22"/>
          <w:lang w:val="fi-FI"/>
        </w:rPr>
        <w:t>C temperatūroje.</w:t>
      </w:r>
    </w:p>
    <w:p w14:paraId="7ED72E1D" w14:textId="224CFC4E" w:rsidR="00F24FEC" w:rsidRPr="00F24FEC" w:rsidRDefault="00F24FEC" w:rsidP="00F24FEC">
      <w:pPr>
        <w:widowControl w:val="0"/>
        <w:spacing w:line="240" w:lineRule="auto"/>
        <w:ind w:right="566"/>
        <w:rPr>
          <w:szCs w:val="22"/>
          <w:lang w:val="lt-LT"/>
        </w:rPr>
      </w:pPr>
      <w:r w:rsidRPr="00F24FEC">
        <w:rPr>
          <w:bCs/>
          <w:szCs w:val="22"/>
          <w:lang w:val="lt-LT"/>
        </w:rPr>
        <w:t xml:space="preserve">Laikyti gamintojo pakuotėje, kad </w:t>
      </w:r>
      <w:r w:rsidR="005350AF">
        <w:rPr>
          <w:bCs/>
          <w:szCs w:val="22"/>
          <w:lang w:val="lt-LT"/>
        </w:rPr>
        <w:t>vaistas</w:t>
      </w:r>
      <w:r w:rsidRPr="00F24FEC">
        <w:rPr>
          <w:bCs/>
          <w:szCs w:val="22"/>
          <w:lang w:val="lt-LT"/>
        </w:rPr>
        <w:t xml:space="preserve"> būtų apsaugotas nuo drėgmės.</w:t>
      </w:r>
    </w:p>
    <w:p w14:paraId="201101DA" w14:textId="77777777" w:rsidR="00F34163" w:rsidRPr="00217AE9" w:rsidRDefault="00F34163" w:rsidP="00217AE9">
      <w:pPr>
        <w:widowControl w:val="0"/>
        <w:spacing w:line="240" w:lineRule="auto"/>
        <w:ind w:right="566"/>
        <w:rPr>
          <w:szCs w:val="22"/>
          <w:lang w:val="lt-LT"/>
        </w:rPr>
      </w:pPr>
    </w:p>
    <w:p w14:paraId="4780D0A7" w14:textId="77777777" w:rsidR="00F34163" w:rsidRPr="00B0468F" w:rsidRDefault="00F34163" w:rsidP="00B0468F">
      <w:pPr>
        <w:widowControl w:val="0"/>
        <w:spacing w:line="240" w:lineRule="auto"/>
        <w:ind w:right="566"/>
        <w:rPr>
          <w:lang w:val="lt-LT"/>
        </w:rPr>
      </w:pPr>
    </w:p>
    <w:p w14:paraId="33D162F2"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lt-LT"/>
        </w:rPr>
      </w:pPr>
      <w:r w:rsidRPr="00B0468F">
        <w:rPr>
          <w:b/>
          <w:lang w:val="lt-LT"/>
        </w:rPr>
        <w:t>10.</w:t>
      </w:r>
      <w:r w:rsidRPr="00B0468F">
        <w:rPr>
          <w:b/>
          <w:lang w:val="lt-LT"/>
        </w:rPr>
        <w:tab/>
        <w:t>SPECIALIOS ATSARGUMO PRIEMONĖS DĖL NESUVARTOTO VAISTINIO PREPARATO AR JO ATLIEKŲ TVARKYMO (JEI REIKIA)</w:t>
      </w:r>
    </w:p>
    <w:p w14:paraId="02CDB44F" w14:textId="77777777" w:rsidR="00F34163" w:rsidRPr="00B0468F" w:rsidRDefault="00F34163" w:rsidP="00B0468F">
      <w:pPr>
        <w:widowControl w:val="0"/>
        <w:spacing w:line="240" w:lineRule="auto"/>
        <w:ind w:right="566"/>
        <w:rPr>
          <w:lang w:val="lt-LT"/>
        </w:rPr>
      </w:pPr>
    </w:p>
    <w:p w14:paraId="288AFEBC" w14:textId="77777777" w:rsidR="00F34163" w:rsidRPr="00B0468F" w:rsidRDefault="00F34163" w:rsidP="00B0468F">
      <w:pPr>
        <w:widowControl w:val="0"/>
        <w:spacing w:line="240" w:lineRule="auto"/>
        <w:ind w:right="566"/>
        <w:rPr>
          <w:lang w:val="lt-LT"/>
        </w:rPr>
      </w:pPr>
    </w:p>
    <w:p w14:paraId="775B4970"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lt-LT"/>
        </w:rPr>
      </w:pPr>
      <w:r w:rsidRPr="00B0468F">
        <w:rPr>
          <w:b/>
          <w:lang w:val="lt-LT"/>
        </w:rPr>
        <w:t>11.</w:t>
      </w:r>
      <w:r w:rsidRPr="00B0468F">
        <w:rPr>
          <w:b/>
          <w:lang w:val="lt-LT"/>
        </w:rPr>
        <w:tab/>
      </w:r>
      <w:r w:rsidR="00461F31" w:rsidRPr="00B0468F">
        <w:rPr>
          <w:b/>
          <w:caps/>
          <w:lang w:val="lt-LT"/>
        </w:rPr>
        <w:t xml:space="preserve"> REGISTRUOTOJO</w:t>
      </w:r>
      <w:r w:rsidRPr="00B0468F">
        <w:rPr>
          <w:b/>
          <w:caps/>
          <w:lang w:val="lt-LT"/>
        </w:rPr>
        <w:t xml:space="preserve"> PAVADINIMAS IR ADRESAS</w:t>
      </w:r>
    </w:p>
    <w:p w14:paraId="041D480D" w14:textId="77777777" w:rsidR="00F34163" w:rsidRPr="00B0468F" w:rsidRDefault="00F34163" w:rsidP="00B0468F">
      <w:pPr>
        <w:widowControl w:val="0"/>
        <w:spacing w:line="240" w:lineRule="auto"/>
        <w:ind w:right="566"/>
        <w:rPr>
          <w:lang w:val="lt-LT"/>
        </w:rPr>
      </w:pPr>
    </w:p>
    <w:p w14:paraId="7261BFA9" w14:textId="77777777" w:rsidR="00B67470" w:rsidRPr="00B0468F" w:rsidRDefault="00FC0300" w:rsidP="00B0468F">
      <w:pPr>
        <w:widowControl w:val="0"/>
        <w:tabs>
          <w:tab w:val="clear" w:pos="567"/>
        </w:tabs>
        <w:spacing w:line="240" w:lineRule="auto"/>
        <w:ind w:right="566"/>
        <w:rPr>
          <w:lang w:val="lt-LT"/>
        </w:rPr>
      </w:pPr>
      <w:r w:rsidRPr="00B0468F">
        <w:rPr>
          <w:lang w:val="lt-LT"/>
        </w:rPr>
        <w:t>KRKA</w:t>
      </w:r>
      <w:r w:rsidR="00B67470" w:rsidRPr="00B0468F">
        <w:rPr>
          <w:lang w:val="lt-LT"/>
        </w:rPr>
        <w:t>, d.d., Novo mesto</w:t>
      </w:r>
    </w:p>
    <w:p w14:paraId="2B02A54A" w14:textId="77777777" w:rsidR="00B67470" w:rsidRPr="00B0468F" w:rsidRDefault="00B67470" w:rsidP="00B0468F">
      <w:pPr>
        <w:widowControl w:val="0"/>
        <w:tabs>
          <w:tab w:val="clear" w:pos="567"/>
        </w:tabs>
        <w:spacing w:line="240" w:lineRule="auto"/>
        <w:ind w:right="566"/>
        <w:rPr>
          <w:lang w:val="lt-LT"/>
        </w:rPr>
      </w:pPr>
      <w:r w:rsidRPr="00B0468F">
        <w:rPr>
          <w:lang w:val="lt-LT"/>
        </w:rPr>
        <w:t>Šmarješka cesta 6</w:t>
      </w:r>
    </w:p>
    <w:p w14:paraId="1F8BDB21" w14:textId="77777777" w:rsidR="00B67470" w:rsidRPr="00B0468F" w:rsidRDefault="00B67470" w:rsidP="00B0468F">
      <w:pPr>
        <w:widowControl w:val="0"/>
        <w:tabs>
          <w:tab w:val="clear" w:pos="567"/>
        </w:tabs>
        <w:spacing w:line="240" w:lineRule="auto"/>
        <w:ind w:right="566"/>
        <w:rPr>
          <w:lang w:val="lt-LT"/>
        </w:rPr>
      </w:pPr>
      <w:r w:rsidRPr="00B0468F">
        <w:rPr>
          <w:lang w:val="lt-LT"/>
        </w:rPr>
        <w:t>8501 Novo mesto</w:t>
      </w:r>
    </w:p>
    <w:p w14:paraId="53625342" w14:textId="77777777" w:rsidR="00B67470" w:rsidRPr="00B0468F" w:rsidRDefault="00B67470" w:rsidP="00B0468F">
      <w:pPr>
        <w:widowControl w:val="0"/>
        <w:tabs>
          <w:tab w:val="clear" w:pos="567"/>
        </w:tabs>
        <w:spacing w:line="240" w:lineRule="auto"/>
        <w:ind w:right="566"/>
        <w:rPr>
          <w:lang w:val="lt-LT"/>
        </w:rPr>
      </w:pPr>
      <w:r w:rsidRPr="00B0468F">
        <w:rPr>
          <w:lang w:val="lt-LT"/>
        </w:rPr>
        <w:t>Slovėnija</w:t>
      </w:r>
    </w:p>
    <w:p w14:paraId="7E20F5BF" w14:textId="77777777" w:rsidR="00F34163" w:rsidRPr="00B0468F" w:rsidRDefault="00F34163" w:rsidP="00B0468F">
      <w:pPr>
        <w:widowControl w:val="0"/>
        <w:spacing w:line="240" w:lineRule="auto"/>
        <w:ind w:right="566"/>
        <w:rPr>
          <w:lang w:val="lt-LT"/>
        </w:rPr>
      </w:pPr>
    </w:p>
    <w:p w14:paraId="51809A5F" w14:textId="77777777" w:rsidR="00F34163" w:rsidRPr="00B0468F" w:rsidRDefault="00F34163" w:rsidP="00B0468F">
      <w:pPr>
        <w:widowControl w:val="0"/>
        <w:spacing w:line="240" w:lineRule="auto"/>
        <w:ind w:right="566"/>
        <w:rPr>
          <w:lang w:val="lt-LT"/>
        </w:rPr>
      </w:pPr>
    </w:p>
    <w:p w14:paraId="4DAEFD43" w14:textId="27DE832B" w:rsidR="00217AE9" w:rsidRPr="00FD696A"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pt-PT"/>
        </w:rPr>
      </w:pPr>
      <w:r w:rsidRPr="00B0468F">
        <w:rPr>
          <w:b/>
          <w:lang w:val="lt-LT"/>
        </w:rPr>
        <w:t>12.</w:t>
      </w:r>
      <w:r w:rsidRPr="00B0468F">
        <w:rPr>
          <w:b/>
          <w:lang w:val="lt-LT"/>
        </w:rPr>
        <w:tab/>
      </w:r>
      <w:r w:rsidR="00461F31" w:rsidRPr="00B0468F">
        <w:rPr>
          <w:b/>
          <w:lang w:val="lt-LT"/>
        </w:rPr>
        <w:t xml:space="preserve">REGISTRACIJOS </w:t>
      </w:r>
      <w:r w:rsidRPr="00B0468F">
        <w:rPr>
          <w:b/>
          <w:lang w:val="lt-LT"/>
        </w:rPr>
        <w:t>PAŽYMĖJIMO NUMERIS (-IAI)</w:t>
      </w:r>
    </w:p>
    <w:p w14:paraId="4D36C982" w14:textId="77777777" w:rsidR="00F34163" w:rsidRPr="00B0468F" w:rsidRDefault="00F34163" w:rsidP="00B0468F">
      <w:pPr>
        <w:widowControl w:val="0"/>
        <w:spacing w:line="240" w:lineRule="auto"/>
        <w:ind w:right="566"/>
        <w:rPr>
          <w:lang w:val="lt-LT"/>
        </w:rPr>
      </w:pPr>
    </w:p>
    <w:p w14:paraId="49DD55B8" w14:textId="77777777" w:rsidR="007E12B3" w:rsidRPr="00C64EAC" w:rsidRDefault="007E12B3" w:rsidP="00B0468F">
      <w:pPr>
        <w:widowControl w:val="0"/>
        <w:spacing w:line="240" w:lineRule="auto"/>
        <w:ind w:right="566"/>
        <w:rPr>
          <w:highlight w:val="lightGray"/>
          <w:u w:val="single"/>
          <w:lang w:val="lt-LT"/>
        </w:rPr>
      </w:pPr>
      <w:r w:rsidRPr="00C64EAC">
        <w:rPr>
          <w:highlight w:val="lightGray"/>
          <w:u w:val="single"/>
          <w:lang w:val="lt-LT"/>
        </w:rPr>
        <w:t>Eliskardia 5 mg</w:t>
      </w:r>
    </w:p>
    <w:p w14:paraId="4B2E5759" w14:textId="77777777" w:rsidR="007E12B3" w:rsidRPr="00B0468F" w:rsidRDefault="007E12B3" w:rsidP="00B0468F">
      <w:pPr>
        <w:widowControl w:val="0"/>
        <w:spacing w:line="240" w:lineRule="auto"/>
        <w:ind w:right="566"/>
        <w:rPr>
          <w:highlight w:val="lightGray"/>
          <w:lang w:val="lt-LT"/>
        </w:rPr>
      </w:pPr>
      <w:r w:rsidRPr="00B0468F">
        <w:rPr>
          <w:rFonts w:eastAsia="Calibri"/>
          <w:lang w:val="sv-FI"/>
        </w:rPr>
        <w:t xml:space="preserve">LT/1/18/4251/001 </w:t>
      </w:r>
      <w:r w:rsidRPr="00B0468F">
        <w:rPr>
          <w:highlight w:val="lightGray"/>
          <w:lang w:val="lt-LT"/>
        </w:rPr>
        <w:t>– N14</w:t>
      </w:r>
    </w:p>
    <w:p w14:paraId="4BD9D390"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LT/1/18/4251/002 – N28</w:t>
      </w:r>
    </w:p>
    <w:p w14:paraId="7E961A2B"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LT/1/18/4251/003 – N30</w:t>
      </w:r>
    </w:p>
    <w:p w14:paraId="5F76E22C"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LT/1/18/4251/004 – N56</w:t>
      </w:r>
    </w:p>
    <w:p w14:paraId="6ECFAA3E"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LT/1/18/4251/005 – N60</w:t>
      </w:r>
    </w:p>
    <w:p w14:paraId="2FC2FAD2"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LT/1/18/4251/006 – N84</w:t>
      </w:r>
    </w:p>
    <w:p w14:paraId="661D0C26"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LT/1/18/4251/007 – N90</w:t>
      </w:r>
    </w:p>
    <w:p w14:paraId="0368010C"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LT/1/18/4251/008 – N98</w:t>
      </w:r>
    </w:p>
    <w:p w14:paraId="47FCEAC6" w14:textId="77777777" w:rsidR="007E12B3" w:rsidRPr="00C64EAC" w:rsidRDefault="007E12B3" w:rsidP="00B0468F">
      <w:pPr>
        <w:widowControl w:val="0"/>
        <w:spacing w:line="240" w:lineRule="auto"/>
        <w:ind w:right="566"/>
        <w:rPr>
          <w:highlight w:val="lightGray"/>
          <w:u w:val="single"/>
          <w:lang w:val="lt-LT"/>
        </w:rPr>
      </w:pPr>
      <w:r w:rsidRPr="00C64EAC">
        <w:rPr>
          <w:highlight w:val="lightGray"/>
          <w:u w:val="single"/>
          <w:lang w:val="lt-LT"/>
        </w:rPr>
        <w:t>Eliskardia 10 mg</w:t>
      </w:r>
    </w:p>
    <w:p w14:paraId="4CC7775C"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LT/1/18/4252/001 – N14</w:t>
      </w:r>
    </w:p>
    <w:p w14:paraId="1B3ADE90"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LT/1/18/4252/002 – N28</w:t>
      </w:r>
    </w:p>
    <w:p w14:paraId="3C79017F"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LT/1/18/4252/003 – N30</w:t>
      </w:r>
    </w:p>
    <w:p w14:paraId="093B2E0C"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LT/1/18/4252/004 – N56</w:t>
      </w:r>
    </w:p>
    <w:p w14:paraId="3E622BB8"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LT/1/18/4252/005 – N60</w:t>
      </w:r>
    </w:p>
    <w:p w14:paraId="573415DF"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LT/1/18/4252/006 – N84</w:t>
      </w:r>
    </w:p>
    <w:p w14:paraId="0437F8A9" w14:textId="77777777" w:rsidR="007E12B3" w:rsidRPr="00B0468F" w:rsidRDefault="007E12B3" w:rsidP="00B0468F">
      <w:pPr>
        <w:widowControl w:val="0"/>
        <w:spacing w:line="240" w:lineRule="auto"/>
        <w:ind w:right="566"/>
        <w:rPr>
          <w:highlight w:val="lightGray"/>
          <w:lang w:val="lt-LT"/>
        </w:rPr>
      </w:pPr>
      <w:r w:rsidRPr="00B0468F">
        <w:rPr>
          <w:highlight w:val="lightGray"/>
          <w:lang w:val="lt-LT"/>
        </w:rPr>
        <w:t>LT/1/18/4252/007 – N90</w:t>
      </w:r>
    </w:p>
    <w:p w14:paraId="724B2D67" w14:textId="77777777" w:rsidR="002C0D1F" w:rsidRPr="00B0468F" w:rsidRDefault="007E12B3" w:rsidP="00B0468F">
      <w:pPr>
        <w:widowControl w:val="0"/>
        <w:spacing w:line="240" w:lineRule="auto"/>
        <w:ind w:right="566"/>
        <w:rPr>
          <w:rFonts w:eastAsia="Calibri"/>
          <w:lang w:val="sv-FI"/>
        </w:rPr>
        <w:sectPr w:rsidR="002C0D1F" w:rsidRPr="00B0468F" w:rsidSect="00FA7D75">
          <w:type w:val="continuous"/>
          <w:pgSz w:w="11906" w:h="16838"/>
          <w:pgMar w:top="1134" w:right="1418" w:bottom="1134" w:left="1418" w:header="567" w:footer="567" w:gutter="0"/>
          <w:cols w:space="1296"/>
          <w:docGrid w:linePitch="360"/>
        </w:sectPr>
      </w:pPr>
      <w:r w:rsidRPr="00B0468F">
        <w:rPr>
          <w:highlight w:val="lightGray"/>
          <w:lang w:val="lt-LT"/>
        </w:rPr>
        <w:t>LT/1/18/4252/008 – N98</w:t>
      </w:r>
    </w:p>
    <w:p w14:paraId="4919C998" w14:textId="77777777" w:rsidR="00F34163" w:rsidRPr="00B0468F" w:rsidRDefault="00F34163" w:rsidP="00B0468F">
      <w:pPr>
        <w:widowControl w:val="0"/>
        <w:spacing w:line="240" w:lineRule="auto"/>
        <w:ind w:right="566"/>
        <w:rPr>
          <w:lang w:val="lt-LT"/>
        </w:rPr>
      </w:pPr>
    </w:p>
    <w:p w14:paraId="7D57ABC0" w14:textId="77777777" w:rsidR="00F34163" w:rsidRPr="00B0468F" w:rsidRDefault="00F34163" w:rsidP="00B0468F">
      <w:pPr>
        <w:widowControl w:val="0"/>
        <w:spacing w:line="240" w:lineRule="auto"/>
        <w:ind w:right="566"/>
        <w:rPr>
          <w:lang w:val="lt-LT"/>
        </w:rPr>
      </w:pPr>
    </w:p>
    <w:p w14:paraId="2764D54B" w14:textId="1E5ACB62" w:rsidR="00217AE9" w:rsidRPr="00FD696A"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pt-PT"/>
        </w:rPr>
      </w:pPr>
      <w:r w:rsidRPr="00B0468F">
        <w:rPr>
          <w:b/>
          <w:lang w:val="lt-LT"/>
        </w:rPr>
        <w:t>13.</w:t>
      </w:r>
      <w:r w:rsidRPr="00B0468F">
        <w:rPr>
          <w:b/>
          <w:lang w:val="lt-LT"/>
        </w:rPr>
        <w:tab/>
        <w:t>SERIJOS NUMERIS</w:t>
      </w:r>
    </w:p>
    <w:p w14:paraId="6257717D" w14:textId="77777777" w:rsidR="00F34163" w:rsidRPr="00B0468F" w:rsidRDefault="00F34163" w:rsidP="00B0468F">
      <w:pPr>
        <w:widowControl w:val="0"/>
        <w:spacing w:line="240" w:lineRule="auto"/>
        <w:ind w:right="566"/>
        <w:rPr>
          <w:lang w:val="lt-LT"/>
        </w:rPr>
      </w:pPr>
    </w:p>
    <w:p w14:paraId="4FA9C10B" w14:textId="77777777" w:rsidR="005C7029" w:rsidRPr="00B0468F" w:rsidRDefault="005C7029" w:rsidP="00B0468F">
      <w:pPr>
        <w:widowControl w:val="0"/>
        <w:spacing w:line="240" w:lineRule="auto"/>
        <w:ind w:right="566"/>
        <w:rPr>
          <w:lang w:val="lt-LT"/>
        </w:rPr>
      </w:pPr>
      <w:r w:rsidRPr="00B0468F">
        <w:rPr>
          <w:lang w:val="lt-LT"/>
        </w:rPr>
        <w:t>Lot</w:t>
      </w:r>
    </w:p>
    <w:p w14:paraId="3E5FADC5" w14:textId="77777777" w:rsidR="00F34163" w:rsidRPr="00B0468F" w:rsidRDefault="00F34163" w:rsidP="00B0468F">
      <w:pPr>
        <w:widowControl w:val="0"/>
        <w:spacing w:line="240" w:lineRule="auto"/>
        <w:ind w:right="566"/>
        <w:rPr>
          <w:lang w:val="lt-LT"/>
        </w:rPr>
      </w:pPr>
      <w:r w:rsidRPr="00B0468F">
        <w:rPr>
          <w:highlight w:val="lightGray"/>
          <w:lang w:val="lt-LT"/>
        </w:rPr>
        <w:t>Serija</w:t>
      </w:r>
    </w:p>
    <w:p w14:paraId="779A322F" w14:textId="77777777" w:rsidR="00F34163" w:rsidRPr="00B0468F" w:rsidRDefault="00F34163" w:rsidP="00B0468F">
      <w:pPr>
        <w:widowControl w:val="0"/>
        <w:spacing w:line="240" w:lineRule="auto"/>
        <w:ind w:right="566"/>
        <w:rPr>
          <w:lang w:val="lt-LT"/>
        </w:rPr>
      </w:pPr>
    </w:p>
    <w:p w14:paraId="71842A2F" w14:textId="77777777" w:rsidR="00F34163" w:rsidRPr="00B0468F" w:rsidRDefault="00F34163" w:rsidP="00B0468F">
      <w:pPr>
        <w:widowControl w:val="0"/>
        <w:spacing w:line="240" w:lineRule="auto"/>
        <w:ind w:right="566"/>
        <w:rPr>
          <w:lang w:val="lt-LT"/>
        </w:rPr>
      </w:pPr>
    </w:p>
    <w:p w14:paraId="765349AD"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lang w:val="lt-LT"/>
        </w:rPr>
      </w:pPr>
      <w:r w:rsidRPr="00B0468F">
        <w:rPr>
          <w:b/>
          <w:lang w:val="lt-LT"/>
        </w:rPr>
        <w:lastRenderedPageBreak/>
        <w:t>14.</w:t>
      </w:r>
      <w:r w:rsidRPr="00B0468F">
        <w:rPr>
          <w:b/>
          <w:lang w:val="lt-LT"/>
        </w:rPr>
        <w:tab/>
        <w:t>PARDAVIMO (IŠDAVIMO) TVARKA</w:t>
      </w:r>
    </w:p>
    <w:p w14:paraId="743E74BF" w14:textId="77777777" w:rsidR="00F34163" w:rsidRPr="00B0468F" w:rsidRDefault="00F34163" w:rsidP="00B0468F">
      <w:pPr>
        <w:widowControl w:val="0"/>
        <w:spacing w:line="240" w:lineRule="auto"/>
        <w:ind w:right="566"/>
        <w:rPr>
          <w:lang w:val="lt-LT"/>
        </w:rPr>
      </w:pPr>
    </w:p>
    <w:p w14:paraId="1B11A9D1" w14:textId="77777777" w:rsidR="00F34163" w:rsidRPr="00B0468F" w:rsidRDefault="00F34163" w:rsidP="00B0468F">
      <w:pPr>
        <w:widowControl w:val="0"/>
        <w:spacing w:line="240" w:lineRule="auto"/>
        <w:ind w:right="566"/>
        <w:rPr>
          <w:lang w:val="lt-LT"/>
        </w:rPr>
      </w:pPr>
      <w:r w:rsidRPr="00B0468F">
        <w:rPr>
          <w:lang w:val="lt-LT"/>
        </w:rPr>
        <w:t>Receptinis vaist</w:t>
      </w:r>
      <w:r w:rsidR="005829CF" w:rsidRPr="00B0468F">
        <w:rPr>
          <w:lang w:val="lt-LT"/>
        </w:rPr>
        <w:t>as</w:t>
      </w:r>
    </w:p>
    <w:p w14:paraId="0FAC7618" w14:textId="77777777" w:rsidR="00F34163" w:rsidRPr="00B0468F" w:rsidRDefault="00F34163" w:rsidP="00B0468F">
      <w:pPr>
        <w:widowControl w:val="0"/>
        <w:spacing w:line="240" w:lineRule="auto"/>
        <w:ind w:right="566"/>
        <w:rPr>
          <w:lang w:val="lt-LT"/>
        </w:rPr>
      </w:pPr>
    </w:p>
    <w:p w14:paraId="663B2EEA" w14:textId="77777777" w:rsidR="00F34163" w:rsidRPr="00B0468F" w:rsidRDefault="00F34163" w:rsidP="00B0468F">
      <w:pPr>
        <w:widowControl w:val="0"/>
        <w:spacing w:line="240" w:lineRule="auto"/>
        <w:ind w:right="566"/>
        <w:rPr>
          <w:lang w:val="lt-LT"/>
        </w:rPr>
      </w:pPr>
    </w:p>
    <w:p w14:paraId="0783A9B1" w14:textId="77777777" w:rsidR="00F34163" w:rsidRPr="00B0468F" w:rsidRDefault="00F34163" w:rsidP="00B0468F">
      <w:pPr>
        <w:widowControl w:val="0"/>
        <w:pBdr>
          <w:top w:val="single" w:sz="4" w:space="2" w:color="auto"/>
          <w:left w:val="single" w:sz="4" w:space="4" w:color="auto"/>
          <w:bottom w:val="single" w:sz="4" w:space="1" w:color="auto"/>
          <w:right w:val="single" w:sz="4" w:space="4" w:color="auto"/>
        </w:pBdr>
        <w:spacing w:line="240" w:lineRule="auto"/>
        <w:ind w:right="566"/>
        <w:outlineLvl w:val="0"/>
        <w:rPr>
          <w:lang w:val="lt-LT"/>
        </w:rPr>
      </w:pPr>
      <w:r w:rsidRPr="00B0468F">
        <w:rPr>
          <w:b/>
          <w:lang w:val="lt-LT"/>
        </w:rPr>
        <w:t>15.</w:t>
      </w:r>
      <w:r w:rsidRPr="00B0468F">
        <w:rPr>
          <w:b/>
          <w:lang w:val="lt-LT"/>
        </w:rPr>
        <w:tab/>
        <w:t>VARTOJIMO INSTRUKCIJA</w:t>
      </w:r>
    </w:p>
    <w:p w14:paraId="6111A73E" w14:textId="77777777" w:rsidR="00F34163" w:rsidRPr="00B0468F" w:rsidRDefault="00F34163" w:rsidP="00B0468F">
      <w:pPr>
        <w:widowControl w:val="0"/>
        <w:spacing w:line="240" w:lineRule="auto"/>
        <w:ind w:right="566"/>
        <w:rPr>
          <w:lang w:val="lt-LT"/>
        </w:rPr>
      </w:pPr>
    </w:p>
    <w:p w14:paraId="7D49DB59" w14:textId="77777777" w:rsidR="00F34163" w:rsidRPr="00B0468F" w:rsidRDefault="00F34163" w:rsidP="00B0468F">
      <w:pPr>
        <w:widowControl w:val="0"/>
        <w:spacing w:line="240" w:lineRule="auto"/>
        <w:ind w:right="566"/>
        <w:rPr>
          <w:lang w:val="lt-LT"/>
        </w:rPr>
      </w:pPr>
    </w:p>
    <w:p w14:paraId="1570DFC5" w14:textId="77777777" w:rsidR="00F34163" w:rsidRPr="00B0468F" w:rsidRDefault="00F34163" w:rsidP="00B0468F">
      <w:pPr>
        <w:widowControl w:val="0"/>
        <w:pBdr>
          <w:top w:val="single" w:sz="4" w:space="1" w:color="auto"/>
          <w:left w:val="single" w:sz="4" w:space="4" w:color="auto"/>
          <w:bottom w:val="single" w:sz="4" w:space="0" w:color="auto"/>
          <w:right w:val="single" w:sz="4" w:space="4" w:color="auto"/>
        </w:pBdr>
        <w:spacing w:line="240" w:lineRule="auto"/>
        <w:ind w:right="566"/>
        <w:rPr>
          <w:lang w:val="lt-LT"/>
        </w:rPr>
      </w:pPr>
      <w:r w:rsidRPr="00B0468F">
        <w:rPr>
          <w:b/>
          <w:lang w:val="lt-LT"/>
        </w:rPr>
        <w:t>16.</w:t>
      </w:r>
      <w:r w:rsidRPr="00B0468F">
        <w:rPr>
          <w:b/>
          <w:lang w:val="lt-LT"/>
        </w:rPr>
        <w:tab/>
        <w:t>INFORMACIJA BRAILIO RAŠTU</w:t>
      </w:r>
    </w:p>
    <w:p w14:paraId="2645348D" w14:textId="77777777" w:rsidR="00706214" w:rsidRPr="00B0468F" w:rsidRDefault="00706214" w:rsidP="00B0468F">
      <w:pPr>
        <w:widowControl w:val="0"/>
        <w:spacing w:line="240" w:lineRule="auto"/>
        <w:ind w:right="566"/>
        <w:rPr>
          <w:lang w:val="lt-LT"/>
        </w:rPr>
      </w:pPr>
    </w:p>
    <w:p w14:paraId="47FDD09A" w14:textId="77777777" w:rsidR="004B0572" w:rsidRPr="00B0468F" w:rsidRDefault="00706214" w:rsidP="00B0468F">
      <w:pPr>
        <w:widowControl w:val="0"/>
        <w:spacing w:line="240" w:lineRule="auto"/>
        <w:ind w:right="566"/>
        <w:rPr>
          <w:lang w:val="lt-LT"/>
        </w:rPr>
      </w:pPr>
      <w:r w:rsidRPr="00B0468F">
        <w:rPr>
          <w:lang w:val="lt-LT"/>
        </w:rPr>
        <w:t>Eliskardia 5 mg</w:t>
      </w:r>
    </w:p>
    <w:p w14:paraId="6F387371" w14:textId="77777777" w:rsidR="00706214" w:rsidRPr="00B0468F" w:rsidRDefault="00706214" w:rsidP="00B0468F">
      <w:pPr>
        <w:widowControl w:val="0"/>
        <w:spacing w:line="240" w:lineRule="auto"/>
        <w:ind w:right="566"/>
        <w:rPr>
          <w:lang w:val="lt-LT"/>
        </w:rPr>
      </w:pPr>
      <w:r w:rsidRPr="00B0468F">
        <w:rPr>
          <w:highlight w:val="lightGray"/>
          <w:lang w:val="lt-LT"/>
        </w:rPr>
        <w:t>Eliskardia 10 mg</w:t>
      </w:r>
    </w:p>
    <w:p w14:paraId="63B1AB89" w14:textId="77777777" w:rsidR="00082583" w:rsidRPr="00B0468F" w:rsidRDefault="00082583" w:rsidP="00B0468F">
      <w:pPr>
        <w:widowControl w:val="0"/>
        <w:spacing w:line="240" w:lineRule="auto"/>
        <w:ind w:right="566"/>
        <w:rPr>
          <w:lang w:val="lt-LT"/>
        </w:rPr>
      </w:pPr>
    </w:p>
    <w:p w14:paraId="320E9FC8" w14:textId="77777777" w:rsidR="00082583" w:rsidRPr="00B0468F" w:rsidRDefault="00082583" w:rsidP="00B0468F">
      <w:pPr>
        <w:widowControl w:val="0"/>
        <w:spacing w:line="240" w:lineRule="auto"/>
        <w:ind w:right="566"/>
        <w:rPr>
          <w:shd w:val="clear" w:color="auto" w:fill="CCCCCC"/>
          <w:lang w:val="lt-LT"/>
        </w:rPr>
      </w:pPr>
    </w:p>
    <w:p w14:paraId="76147C8B" w14:textId="77777777" w:rsidR="00082583" w:rsidRPr="00B0468F" w:rsidRDefault="00082583" w:rsidP="00B0468F">
      <w:pPr>
        <w:widowControl w:val="0"/>
        <w:pBdr>
          <w:top w:val="single" w:sz="4" w:space="1" w:color="auto"/>
          <w:left w:val="single" w:sz="4" w:space="4" w:color="auto"/>
          <w:bottom w:val="single" w:sz="4" w:space="1" w:color="auto"/>
          <w:right w:val="single" w:sz="4" w:space="4" w:color="auto"/>
        </w:pBdr>
        <w:tabs>
          <w:tab w:val="left" w:pos="0"/>
        </w:tabs>
        <w:spacing w:line="240" w:lineRule="auto"/>
        <w:ind w:right="566"/>
        <w:outlineLvl w:val="0"/>
        <w:rPr>
          <w:i/>
          <w:lang w:val="lt-LT"/>
        </w:rPr>
      </w:pPr>
      <w:r w:rsidRPr="00B0468F">
        <w:rPr>
          <w:b/>
          <w:lang w:val="lt-LT"/>
        </w:rPr>
        <w:t>17.</w:t>
      </w:r>
      <w:r w:rsidRPr="00B0468F">
        <w:rPr>
          <w:b/>
          <w:lang w:val="lt-LT"/>
        </w:rPr>
        <w:tab/>
        <w:t>UNIKALUS IDENTIFIKATORIUS – 2D BRŪKŠNINIS KODAS</w:t>
      </w:r>
    </w:p>
    <w:p w14:paraId="0AFAC5E1" w14:textId="77777777" w:rsidR="00082583" w:rsidRPr="00B0468F" w:rsidRDefault="00082583" w:rsidP="00B0468F">
      <w:pPr>
        <w:widowControl w:val="0"/>
        <w:spacing w:line="240" w:lineRule="auto"/>
        <w:ind w:right="566"/>
        <w:rPr>
          <w:lang w:val="lt-LT"/>
        </w:rPr>
      </w:pPr>
    </w:p>
    <w:p w14:paraId="5185F312" w14:textId="77777777" w:rsidR="00082583" w:rsidRPr="00B0468F" w:rsidRDefault="00082583" w:rsidP="00B0468F">
      <w:pPr>
        <w:widowControl w:val="0"/>
        <w:spacing w:line="240" w:lineRule="auto"/>
        <w:ind w:right="566"/>
        <w:rPr>
          <w:shd w:val="clear" w:color="auto" w:fill="CCCCCC"/>
          <w:lang w:val="lt-LT"/>
        </w:rPr>
      </w:pPr>
      <w:r w:rsidRPr="00B0468F">
        <w:rPr>
          <w:highlight w:val="lightGray"/>
          <w:lang w:val="lt-LT"/>
        </w:rPr>
        <w:t>2D brūkšninis kodas su nurod</w:t>
      </w:r>
      <w:r w:rsidR="004B0572" w:rsidRPr="00B0468F">
        <w:rPr>
          <w:highlight w:val="lightGray"/>
          <w:lang w:val="lt-LT"/>
        </w:rPr>
        <w:t>ytu unikaliu identifikatoriumi.</w:t>
      </w:r>
    </w:p>
    <w:p w14:paraId="7DCCE7EF" w14:textId="77777777" w:rsidR="00082583" w:rsidRPr="00FD696A" w:rsidRDefault="00082583" w:rsidP="00FD696A">
      <w:pPr>
        <w:widowControl w:val="0"/>
        <w:spacing w:line="240" w:lineRule="auto"/>
        <w:ind w:right="566"/>
        <w:rPr>
          <w:shd w:val="clear" w:color="auto" w:fill="CCCCCC"/>
          <w:lang w:val="lt-LT"/>
        </w:rPr>
      </w:pPr>
    </w:p>
    <w:p w14:paraId="38EAB5BC" w14:textId="77777777" w:rsidR="00082583" w:rsidRPr="00B0468F" w:rsidRDefault="00082583" w:rsidP="00B0468F">
      <w:pPr>
        <w:widowControl w:val="0"/>
        <w:spacing w:line="240" w:lineRule="auto"/>
        <w:ind w:right="566"/>
        <w:rPr>
          <w:lang w:val="lt-LT"/>
        </w:rPr>
      </w:pPr>
    </w:p>
    <w:p w14:paraId="1F4AB528" w14:textId="77777777" w:rsidR="00082583" w:rsidRPr="00B0468F" w:rsidRDefault="00082583" w:rsidP="00B0468F">
      <w:pPr>
        <w:widowControl w:val="0"/>
        <w:pBdr>
          <w:top w:val="single" w:sz="4" w:space="1" w:color="auto"/>
          <w:left w:val="single" w:sz="4" w:space="4" w:color="auto"/>
          <w:bottom w:val="single" w:sz="4" w:space="1" w:color="auto"/>
          <w:right w:val="single" w:sz="4" w:space="4" w:color="auto"/>
        </w:pBdr>
        <w:tabs>
          <w:tab w:val="left" w:pos="0"/>
        </w:tabs>
        <w:spacing w:line="240" w:lineRule="auto"/>
        <w:ind w:right="566"/>
        <w:outlineLvl w:val="0"/>
        <w:rPr>
          <w:i/>
          <w:lang w:val="lt-LT"/>
        </w:rPr>
      </w:pPr>
      <w:r w:rsidRPr="00B0468F">
        <w:rPr>
          <w:b/>
          <w:lang w:val="lt-LT"/>
        </w:rPr>
        <w:t>18.</w:t>
      </w:r>
      <w:r w:rsidRPr="00B0468F">
        <w:rPr>
          <w:b/>
          <w:lang w:val="lt-LT"/>
        </w:rPr>
        <w:tab/>
        <w:t>UNIKALUS IDENTIFIKATORIUS – ŽMONĖMS SUPRANTAMI DUOMENYS</w:t>
      </w:r>
    </w:p>
    <w:p w14:paraId="10147A6E" w14:textId="77777777" w:rsidR="00082583" w:rsidRPr="00B0468F" w:rsidRDefault="00082583" w:rsidP="00B0468F">
      <w:pPr>
        <w:widowControl w:val="0"/>
        <w:spacing w:line="240" w:lineRule="auto"/>
        <w:ind w:right="566"/>
        <w:rPr>
          <w:lang w:val="lt-LT"/>
        </w:rPr>
      </w:pPr>
    </w:p>
    <w:p w14:paraId="7CA97897" w14:textId="67677E55" w:rsidR="004B0572" w:rsidRPr="00B0468F" w:rsidRDefault="00082583" w:rsidP="00B0468F">
      <w:pPr>
        <w:widowControl w:val="0"/>
        <w:spacing w:line="240" w:lineRule="auto"/>
        <w:ind w:right="566"/>
        <w:rPr>
          <w:lang w:val="lt-LT"/>
        </w:rPr>
      </w:pPr>
      <w:r w:rsidRPr="00B0468F">
        <w:rPr>
          <w:lang w:val="lt-LT"/>
        </w:rPr>
        <w:t>PC</w:t>
      </w:r>
    </w:p>
    <w:p w14:paraId="0C8446A0" w14:textId="08667E5D" w:rsidR="004B0572" w:rsidRPr="00B0468F" w:rsidRDefault="00082583" w:rsidP="00B0468F">
      <w:pPr>
        <w:widowControl w:val="0"/>
        <w:spacing w:line="240" w:lineRule="auto"/>
        <w:ind w:right="566"/>
        <w:rPr>
          <w:lang w:val="lt-LT"/>
        </w:rPr>
      </w:pPr>
      <w:r w:rsidRPr="00B0468F">
        <w:rPr>
          <w:lang w:val="lt-LT"/>
        </w:rPr>
        <w:t>SN</w:t>
      </w:r>
    </w:p>
    <w:p w14:paraId="49960EB6" w14:textId="5F0A7672" w:rsidR="004B0572" w:rsidRPr="00B0468F" w:rsidRDefault="00082583" w:rsidP="00B0468F">
      <w:pPr>
        <w:widowControl w:val="0"/>
        <w:spacing w:line="240" w:lineRule="auto"/>
        <w:ind w:right="566"/>
        <w:rPr>
          <w:highlight w:val="lightGray"/>
          <w:lang w:val="lt-LT"/>
        </w:rPr>
      </w:pPr>
      <w:r w:rsidRPr="00B0468F">
        <w:rPr>
          <w:highlight w:val="lightGray"/>
          <w:lang w:val="lt-LT"/>
        </w:rPr>
        <w:t>NN</w:t>
      </w:r>
    </w:p>
    <w:p w14:paraId="4C5432BB" w14:textId="77777777" w:rsidR="00082583" w:rsidRPr="00B0468F" w:rsidRDefault="00082583" w:rsidP="00B0468F">
      <w:pPr>
        <w:widowControl w:val="0"/>
        <w:spacing w:line="240" w:lineRule="auto"/>
        <w:ind w:right="566"/>
        <w:rPr>
          <w:lang w:val="lt-LT"/>
        </w:rPr>
      </w:pPr>
    </w:p>
    <w:p w14:paraId="552B19F5" w14:textId="77777777" w:rsidR="00706214" w:rsidRPr="00B0468F" w:rsidRDefault="00706214" w:rsidP="00B0468F">
      <w:pPr>
        <w:widowControl w:val="0"/>
        <w:spacing w:line="240" w:lineRule="auto"/>
        <w:ind w:right="566"/>
        <w:rPr>
          <w:lang w:val="lt-LT"/>
        </w:rPr>
      </w:pPr>
    </w:p>
    <w:p w14:paraId="718FA6AA" w14:textId="77777777" w:rsidR="00F34163" w:rsidRPr="00B0468F" w:rsidRDefault="00F34163" w:rsidP="00B0468F">
      <w:pPr>
        <w:widowControl w:val="0"/>
        <w:spacing w:line="240" w:lineRule="auto"/>
        <w:ind w:right="566"/>
        <w:rPr>
          <w:lang w:val="lt-LT"/>
        </w:rPr>
      </w:pPr>
      <w:r w:rsidRPr="00B0468F">
        <w:rPr>
          <w:lang w:val="lt-LT"/>
        </w:rPr>
        <w:br w:type="page"/>
      </w:r>
    </w:p>
    <w:p w14:paraId="2EF9BFB8" w14:textId="77777777" w:rsidR="00F34163" w:rsidRPr="00B0468F" w:rsidRDefault="00F34163" w:rsidP="005350AF">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566"/>
        <w:rPr>
          <w:b/>
          <w:lang w:val="lt-LT"/>
        </w:rPr>
      </w:pPr>
      <w:r w:rsidRPr="00B0468F">
        <w:rPr>
          <w:b/>
          <w:lang w:val="lt-LT"/>
        </w:rPr>
        <w:lastRenderedPageBreak/>
        <w:t>MINIMALI INFORMACIJA ANT LIZDINIŲ PLOKŠTELIŲ ARBA DVISLUOKSNIŲ JUOSTELIŲ</w:t>
      </w:r>
    </w:p>
    <w:p w14:paraId="3E3CC857"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rPr>
          <w:b/>
          <w:lang w:val="lt-LT"/>
        </w:rPr>
      </w:pPr>
    </w:p>
    <w:p w14:paraId="3CDE8AEC" w14:textId="77777777" w:rsidR="00F34163" w:rsidRPr="00B0468F" w:rsidRDefault="00583D4D" w:rsidP="00B0468F">
      <w:pPr>
        <w:widowControl w:val="0"/>
        <w:pBdr>
          <w:top w:val="single" w:sz="4" w:space="1" w:color="auto"/>
          <w:left w:val="single" w:sz="4" w:space="4" w:color="auto"/>
          <w:bottom w:val="single" w:sz="4" w:space="1" w:color="auto"/>
          <w:right w:val="single" w:sz="4" w:space="4" w:color="auto"/>
        </w:pBdr>
        <w:spacing w:line="240" w:lineRule="auto"/>
        <w:ind w:left="567" w:right="566" w:hanging="567"/>
        <w:rPr>
          <w:b/>
          <w:lang w:val="lt-LT"/>
        </w:rPr>
      </w:pPr>
      <w:r w:rsidRPr="00B0468F">
        <w:rPr>
          <w:b/>
          <w:lang w:val="lt-LT"/>
        </w:rPr>
        <w:t>LIZDINĖ PLOKŠTELĖ</w:t>
      </w:r>
    </w:p>
    <w:p w14:paraId="408446FE" w14:textId="77777777" w:rsidR="00F34163" w:rsidRPr="00B0468F" w:rsidRDefault="00F34163" w:rsidP="00B0468F">
      <w:pPr>
        <w:widowControl w:val="0"/>
        <w:spacing w:line="240" w:lineRule="auto"/>
        <w:ind w:right="566"/>
        <w:rPr>
          <w:lang w:val="lt-LT"/>
        </w:rPr>
      </w:pPr>
    </w:p>
    <w:p w14:paraId="2DA44E26" w14:textId="77777777" w:rsidR="00F34163" w:rsidRPr="00B0468F" w:rsidRDefault="00F34163" w:rsidP="00B0468F">
      <w:pPr>
        <w:widowControl w:val="0"/>
        <w:spacing w:line="240" w:lineRule="auto"/>
        <w:ind w:right="566"/>
        <w:rPr>
          <w:lang w:val="lt-LT"/>
        </w:rPr>
      </w:pPr>
    </w:p>
    <w:p w14:paraId="1356D369"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lt-LT"/>
        </w:rPr>
      </w:pPr>
      <w:r w:rsidRPr="00B0468F">
        <w:rPr>
          <w:b/>
          <w:lang w:val="lt-LT"/>
        </w:rPr>
        <w:t>1.</w:t>
      </w:r>
      <w:r w:rsidRPr="00B0468F">
        <w:rPr>
          <w:b/>
          <w:lang w:val="lt-LT"/>
        </w:rPr>
        <w:tab/>
      </w:r>
      <w:r w:rsidRPr="00B0468F">
        <w:rPr>
          <w:b/>
          <w:caps/>
          <w:lang w:val="lt-LT"/>
        </w:rPr>
        <w:t>VAISTINIO</w:t>
      </w:r>
      <w:r w:rsidRPr="00B0468F">
        <w:rPr>
          <w:b/>
          <w:lang w:val="lt-LT"/>
        </w:rPr>
        <w:t xml:space="preserve"> PREPARATO PAVADINIMAS</w:t>
      </w:r>
    </w:p>
    <w:p w14:paraId="04F92130" w14:textId="77777777" w:rsidR="00F34163" w:rsidRPr="00B0468F" w:rsidRDefault="00F34163" w:rsidP="00B0468F">
      <w:pPr>
        <w:widowControl w:val="0"/>
        <w:spacing w:line="240" w:lineRule="auto"/>
        <w:ind w:right="566"/>
        <w:rPr>
          <w:lang w:val="lt-LT"/>
        </w:rPr>
      </w:pPr>
    </w:p>
    <w:p w14:paraId="647AF132" w14:textId="77777777" w:rsidR="005109A1" w:rsidRPr="00B0468F" w:rsidRDefault="005109A1" w:rsidP="00B0468F">
      <w:pPr>
        <w:widowControl w:val="0"/>
        <w:spacing w:line="240" w:lineRule="auto"/>
        <w:ind w:right="566"/>
        <w:rPr>
          <w:lang w:val="lt-LT"/>
        </w:rPr>
      </w:pPr>
      <w:r w:rsidRPr="00B0468F">
        <w:rPr>
          <w:lang w:val="lt-LT"/>
        </w:rPr>
        <w:t xml:space="preserve">Eliskardia 5 mg </w:t>
      </w:r>
      <w:r w:rsidRPr="00B0468F">
        <w:rPr>
          <w:highlight w:val="lightGray"/>
          <w:lang w:val="lt-LT"/>
        </w:rPr>
        <w:t>plėvele dengtos</w:t>
      </w:r>
      <w:r w:rsidRPr="00B0468F">
        <w:rPr>
          <w:lang w:val="lt-LT"/>
        </w:rPr>
        <w:t xml:space="preserve"> tabletės</w:t>
      </w:r>
      <w:r w:rsidRPr="00B0468F">
        <w:rPr>
          <w:lang w:val="lt-LT"/>
        </w:rPr>
        <w:cr/>
      </w:r>
      <w:r w:rsidRPr="00B0468F">
        <w:rPr>
          <w:highlight w:val="lightGray"/>
          <w:lang w:val="lt-LT"/>
        </w:rPr>
        <w:t>Eliskardia 10 mg plėvele dengtos tabletės</w:t>
      </w:r>
    </w:p>
    <w:p w14:paraId="5B84054C" w14:textId="77777777" w:rsidR="005109A1" w:rsidRPr="00B0468F" w:rsidRDefault="005109A1" w:rsidP="00B0468F">
      <w:pPr>
        <w:widowControl w:val="0"/>
        <w:spacing w:line="240" w:lineRule="auto"/>
        <w:ind w:right="566"/>
        <w:rPr>
          <w:lang w:val="lt-LT"/>
        </w:rPr>
      </w:pPr>
    </w:p>
    <w:p w14:paraId="72CC114B" w14:textId="77777777" w:rsidR="005109A1" w:rsidRPr="00B0468F" w:rsidRDefault="005109A1" w:rsidP="00B0468F">
      <w:pPr>
        <w:widowControl w:val="0"/>
        <w:spacing w:line="240" w:lineRule="auto"/>
        <w:ind w:right="566"/>
        <w:rPr>
          <w:lang w:val="lt-LT"/>
        </w:rPr>
      </w:pPr>
      <w:r w:rsidRPr="00B0468F">
        <w:rPr>
          <w:lang w:val="lt-LT"/>
        </w:rPr>
        <w:t>prazugrelis</w:t>
      </w:r>
    </w:p>
    <w:p w14:paraId="19C05E8A" w14:textId="77777777" w:rsidR="00F34163" w:rsidRPr="00B0468F" w:rsidRDefault="00F34163" w:rsidP="00B0468F">
      <w:pPr>
        <w:widowControl w:val="0"/>
        <w:spacing w:line="240" w:lineRule="auto"/>
        <w:ind w:right="566"/>
        <w:rPr>
          <w:lang w:val="lt-LT"/>
        </w:rPr>
      </w:pPr>
    </w:p>
    <w:p w14:paraId="03F78404" w14:textId="77777777" w:rsidR="00F34163" w:rsidRPr="00B0468F" w:rsidRDefault="00F34163" w:rsidP="00B0468F">
      <w:pPr>
        <w:widowControl w:val="0"/>
        <w:spacing w:line="240" w:lineRule="auto"/>
        <w:ind w:right="566"/>
        <w:rPr>
          <w:lang w:val="lt-LT"/>
        </w:rPr>
      </w:pPr>
    </w:p>
    <w:p w14:paraId="4990438D"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lt-LT"/>
        </w:rPr>
      </w:pPr>
      <w:r w:rsidRPr="00B0468F">
        <w:rPr>
          <w:b/>
          <w:lang w:val="lt-LT"/>
        </w:rPr>
        <w:t>2.</w:t>
      </w:r>
      <w:r w:rsidRPr="00B0468F">
        <w:rPr>
          <w:b/>
          <w:lang w:val="lt-LT"/>
        </w:rPr>
        <w:tab/>
      </w:r>
      <w:r w:rsidR="00461F31" w:rsidRPr="00B0468F">
        <w:rPr>
          <w:b/>
          <w:caps/>
          <w:lang w:val="lt-LT"/>
        </w:rPr>
        <w:t>REGISTRUOTOJO</w:t>
      </w:r>
      <w:r w:rsidRPr="00B0468F">
        <w:rPr>
          <w:b/>
          <w:caps/>
          <w:lang w:val="lt-LT"/>
        </w:rPr>
        <w:t xml:space="preserve"> pavadinimas</w:t>
      </w:r>
    </w:p>
    <w:p w14:paraId="3E7C579B" w14:textId="77777777" w:rsidR="00F34163" w:rsidRPr="00B0468F" w:rsidRDefault="00F34163" w:rsidP="00B0468F">
      <w:pPr>
        <w:widowControl w:val="0"/>
        <w:spacing w:line="240" w:lineRule="auto"/>
        <w:ind w:right="566"/>
        <w:rPr>
          <w:lang w:val="lt-LT"/>
        </w:rPr>
      </w:pPr>
    </w:p>
    <w:p w14:paraId="4339B7EA" w14:textId="77777777" w:rsidR="00F34163" w:rsidRPr="00B0468F" w:rsidRDefault="003E5249" w:rsidP="00B0468F">
      <w:pPr>
        <w:widowControl w:val="0"/>
        <w:spacing w:line="240" w:lineRule="auto"/>
        <w:ind w:right="566"/>
        <w:rPr>
          <w:lang w:val="lt-LT"/>
        </w:rPr>
      </w:pPr>
      <w:r w:rsidRPr="00B0468F">
        <w:rPr>
          <w:lang w:val="lt-LT"/>
        </w:rPr>
        <w:t>KRKA</w:t>
      </w:r>
    </w:p>
    <w:p w14:paraId="18516759" w14:textId="77777777" w:rsidR="00F34163" w:rsidRPr="00B0468F" w:rsidRDefault="00F34163" w:rsidP="00B0468F">
      <w:pPr>
        <w:widowControl w:val="0"/>
        <w:spacing w:line="240" w:lineRule="auto"/>
        <w:ind w:right="566"/>
        <w:rPr>
          <w:lang w:val="lt-LT"/>
        </w:rPr>
      </w:pPr>
    </w:p>
    <w:p w14:paraId="05F684EC" w14:textId="77777777" w:rsidR="00F34163" w:rsidRPr="00B0468F" w:rsidRDefault="00F34163" w:rsidP="00B0468F">
      <w:pPr>
        <w:widowControl w:val="0"/>
        <w:spacing w:line="240" w:lineRule="auto"/>
        <w:ind w:right="566"/>
        <w:rPr>
          <w:lang w:val="lt-LT"/>
        </w:rPr>
      </w:pPr>
    </w:p>
    <w:p w14:paraId="5D55FF11" w14:textId="77777777" w:rsidR="00F34163" w:rsidRPr="00B0468F" w:rsidRDefault="00F34163" w:rsidP="00B0468F">
      <w:pPr>
        <w:widowControl w:val="0"/>
        <w:pBdr>
          <w:top w:val="single" w:sz="4" w:space="1" w:color="auto"/>
          <w:left w:val="single" w:sz="4" w:space="4" w:color="auto"/>
          <w:bottom w:val="single" w:sz="4" w:space="2" w:color="auto"/>
          <w:right w:val="single" w:sz="4" w:space="4" w:color="auto"/>
        </w:pBdr>
        <w:spacing w:line="240" w:lineRule="auto"/>
        <w:ind w:right="566"/>
        <w:outlineLvl w:val="0"/>
        <w:rPr>
          <w:b/>
          <w:lang w:val="lt-LT"/>
        </w:rPr>
      </w:pPr>
      <w:r w:rsidRPr="00B0468F">
        <w:rPr>
          <w:b/>
          <w:lang w:val="lt-LT"/>
        </w:rPr>
        <w:t>3.</w:t>
      </w:r>
      <w:r w:rsidRPr="00B0468F">
        <w:rPr>
          <w:b/>
          <w:lang w:val="lt-LT"/>
        </w:rPr>
        <w:tab/>
        <w:t>TINKAMUMO LAIKAS</w:t>
      </w:r>
    </w:p>
    <w:p w14:paraId="472704E5" w14:textId="77777777" w:rsidR="00F34163" w:rsidRPr="00B0468F" w:rsidRDefault="00F34163" w:rsidP="00B0468F">
      <w:pPr>
        <w:widowControl w:val="0"/>
        <w:spacing w:line="240" w:lineRule="auto"/>
        <w:ind w:right="566"/>
        <w:rPr>
          <w:lang w:val="lt-LT"/>
        </w:rPr>
      </w:pPr>
    </w:p>
    <w:p w14:paraId="3EF3973D" w14:textId="77777777" w:rsidR="004B0572" w:rsidRPr="00B0468F" w:rsidRDefault="00F34163" w:rsidP="00B0468F">
      <w:pPr>
        <w:widowControl w:val="0"/>
        <w:spacing w:line="240" w:lineRule="auto"/>
        <w:ind w:right="566"/>
        <w:rPr>
          <w:lang w:val="lt-LT"/>
        </w:rPr>
      </w:pPr>
      <w:r w:rsidRPr="00B0468F">
        <w:rPr>
          <w:lang w:val="lt-LT"/>
        </w:rPr>
        <w:t>EXP</w:t>
      </w:r>
      <w:r w:rsidR="004B0572" w:rsidRPr="00B0468F">
        <w:rPr>
          <w:lang w:val="lt-LT"/>
        </w:rPr>
        <w:t xml:space="preserve"> {mm/MMMM}</w:t>
      </w:r>
    </w:p>
    <w:p w14:paraId="21FDD508" w14:textId="77777777" w:rsidR="00F34163" w:rsidRPr="00B0468F" w:rsidRDefault="00F34163" w:rsidP="00B0468F">
      <w:pPr>
        <w:widowControl w:val="0"/>
        <w:spacing w:line="240" w:lineRule="auto"/>
        <w:ind w:right="566"/>
        <w:rPr>
          <w:lang w:val="lt-LT"/>
        </w:rPr>
      </w:pPr>
    </w:p>
    <w:p w14:paraId="21E24D87" w14:textId="77777777" w:rsidR="003E6D93" w:rsidRPr="00B0468F" w:rsidRDefault="003E6D93" w:rsidP="00B0468F">
      <w:pPr>
        <w:widowControl w:val="0"/>
        <w:spacing w:line="240" w:lineRule="auto"/>
        <w:ind w:right="566"/>
        <w:rPr>
          <w:lang w:val="lt-LT"/>
        </w:rPr>
      </w:pPr>
    </w:p>
    <w:p w14:paraId="01C501AC"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lt-LT"/>
        </w:rPr>
      </w:pPr>
      <w:r w:rsidRPr="00B0468F">
        <w:rPr>
          <w:b/>
          <w:lang w:val="lt-LT"/>
        </w:rPr>
        <w:t>4.</w:t>
      </w:r>
      <w:r w:rsidRPr="00B0468F">
        <w:rPr>
          <w:b/>
          <w:lang w:val="lt-LT"/>
        </w:rPr>
        <w:tab/>
        <w:t>SERIJOS NUMERIS</w:t>
      </w:r>
    </w:p>
    <w:p w14:paraId="7DDDDDDA" w14:textId="77777777" w:rsidR="00F34163" w:rsidRPr="00B0468F" w:rsidRDefault="00F34163" w:rsidP="00B0468F">
      <w:pPr>
        <w:widowControl w:val="0"/>
        <w:spacing w:line="240" w:lineRule="auto"/>
        <w:ind w:right="566"/>
        <w:rPr>
          <w:lang w:val="lt-LT"/>
        </w:rPr>
      </w:pPr>
    </w:p>
    <w:p w14:paraId="4394E125" w14:textId="77777777" w:rsidR="00F34163" w:rsidRPr="00B0468F" w:rsidRDefault="00F34163" w:rsidP="00B0468F">
      <w:pPr>
        <w:widowControl w:val="0"/>
        <w:spacing w:line="240" w:lineRule="auto"/>
        <w:ind w:right="566"/>
        <w:outlineLvl w:val="0"/>
        <w:rPr>
          <w:b/>
          <w:lang w:val="lt-LT"/>
        </w:rPr>
      </w:pPr>
      <w:r w:rsidRPr="00B0468F">
        <w:rPr>
          <w:lang w:val="lt-LT"/>
        </w:rPr>
        <w:t>Lot</w:t>
      </w:r>
    </w:p>
    <w:p w14:paraId="418E170B" w14:textId="77777777" w:rsidR="00F34163" w:rsidRPr="00B0468F" w:rsidRDefault="00F34163" w:rsidP="00B0468F">
      <w:pPr>
        <w:widowControl w:val="0"/>
        <w:spacing w:line="240" w:lineRule="auto"/>
        <w:ind w:right="566"/>
        <w:rPr>
          <w:lang w:val="lt-LT"/>
        </w:rPr>
      </w:pPr>
    </w:p>
    <w:p w14:paraId="0316C93B" w14:textId="77777777" w:rsidR="00F34163" w:rsidRPr="00B0468F" w:rsidRDefault="00F34163" w:rsidP="00B0468F">
      <w:pPr>
        <w:widowControl w:val="0"/>
        <w:spacing w:line="240" w:lineRule="auto"/>
        <w:ind w:right="566"/>
        <w:rPr>
          <w:lang w:val="lt-LT"/>
        </w:rPr>
      </w:pPr>
    </w:p>
    <w:p w14:paraId="1C3293CF" w14:textId="77777777" w:rsidR="00F34163" w:rsidRPr="00B0468F" w:rsidRDefault="00F34163" w:rsidP="00B0468F">
      <w:pPr>
        <w:widowControl w:val="0"/>
        <w:pBdr>
          <w:top w:val="single" w:sz="4" w:space="1" w:color="auto"/>
          <w:left w:val="single" w:sz="4" w:space="4" w:color="auto"/>
          <w:bottom w:val="single" w:sz="4" w:space="1" w:color="auto"/>
          <w:right w:val="single" w:sz="4" w:space="4" w:color="auto"/>
        </w:pBdr>
        <w:spacing w:line="240" w:lineRule="auto"/>
        <w:ind w:right="566"/>
        <w:outlineLvl w:val="0"/>
        <w:rPr>
          <w:b/>
          <w:lang w:val="lt-LT"/>
        </w:rPr>
      </w:pPr>
      <w:r w:rsidRPr="00B0468F">
        <w:rPr>
          <w:b/>
          <w:lang w:val="lt-LT"/>
        </w:rPr>
        <w:t>5.</w:t>
      </w:r>
      <w:r w:rsidRPr="00B0468F">
        <w:rPr>
          <w:b/>
          <w:lang w:val="lt-LT"/>
        </w:rPr>
        <w:tab/>
        <w:t>KITA</w:t>
      </w:r>
    </w:p>
    <w:p w14:paraId="5B5D2898" w14:textId="77777777" w:rsidR="00F34163" w:rsidRPr="00B0468F" w:rsidRDefault="00F34163" w:rsidP="00B0468F">
      <w:pPr>
        <w:widowControl w:val="0"/>
        <w:spacing w:line="240" w:lineRule="auto"/>
        <w:ind w:right="566"/>
        <w:rPr>
          <w:lang w:val="lt-LT"/>
        </w:rPr>
      </w:pPr>
    </w:p>
    <w:p w14:paraId="1FEB2923" w14:textId="77777777" w:rsidR="00F34163" w:rsidRPr="00B0468F" w:rsidRDefault="00F34163" w:rsidP="00B0468F">
      <w:pPr>
        <w:widowControl w:val="0"/>
        <w:spacing w:line="240" w:lineRule="auto"/>
        <w:ind w:right="566"/>
        <w:rPr>
          <w:lang w:val="lt-LT"/>
        </w:rPr>
      </w:pPr>
    </w:p>
    <w:p w14:paraId="1B95D5FF" w14:textId="77777777" w:rsidR="00F34163" w:rsidRPr="00B0468F" w:rsidRDefault="00F34163" w:rsidP="00B0468F">
      <w:pPr>
        <w:widowControl w:val="0"/>
        <w:spacing w:line="240" w:lineRule="auto"/>
        <w:ind w:right="566"/>
        <w:rPr>
          <w:lang w:val="lt-LT"/>
        </w:rPr>
      </w:pPr>
    </w:p>
    <w:p w14:paraId="5E3F468A" w14:textId="77777777" w:rsidR="00F34163" w:rsidRPr="00B0468F" w:rsidRDefault="00F34163" w:rsidP="00B0468F">
      <w:pPr>
        <w:widowControl w:val="0"/>
        <w:spacing w:line="240" w:lineRule="auto"/>
        <w:ind w:right="566"/>
        <w:outlineLvl w:val="0"/>
        <w:rPr>
          <w:lang w:val="lt-LT"/>
        </w:rPr>
      </w:pPr>
      <w:r w:rsidRPr="00B0468F">
        <w:rPr>
          <w:lang w:val="lt-LT"/>
        </w:rPr>
        <w:br w:type="page"/>
      </w:r>
    </w:p>
    <w:p w14:paraId="3C821119" w14:textId="77777777" w:rsidR="00F34163" w:rsidRPr="00B0468F" w:rsidRDefault="00F34163" w:rsidP="00B0468F">
      <w:pPr>
        <w:widowControl w:val="0"/>
        <w:spacing w:line="240" w:lineRule="auto"/>
        <w:ind w:right="566"/>
        <w:outlineLvl w:val="0"/>
        <w:rPr>
          <w:lang w:val="lt-LT"/>
        </w:rPr>
      </w:pPr>
    </w:p>
    <w:p w14:paraId="64D6B450" w14:textId="77777777" w:rsidR="00F34163" w:rsidRPr="00B0468F" w:rsidRDefault="00F34163" w:rsidP="00B0468F">
      <w:pPr>
        <w:widowControl w:val="0"/>
        <w:spacing w:line="240" w:lineRule="auto"/>
        <w:ind w:right="566"/>
        <w:outlineLvl w:val="0"/>
        <w:rPr>
          <w:lang w:val="lt-LT"/>
        </w:rPr>
      </w:pPr>
    </w:p>
    <w:p w14:paraId="1BD03ECD" w14:textId="77777777" w:rsidR="00F34163" w:rsidRPr="00B0468F" w:rsidRDefault="00F34163" w:rsidP="00B0468F">
      <w:pPr>
        <w:widowControl w:val="0"/>
        <w:spacing w:line="240" w:lineRule="auto"/>
        <w:ind w:right="566"/>
        <w:outlineLvl w:val="0"/>
        <w:rPr>
          <w:lang w:val="lt-LT"/>
        </w:rPr>
      </w:pPr>
    </w:p>
    <w:p w14:paraId="1F05FADE" w14:textId="77777777" w:rsidR="00F34163" w:rsidRPr="00B0468F" w:rsidRDefault="00F34163" w:rsidP="00B0468F">
      <w:pPr>
        <w:widowControl w:val="0"/>
        <w:spacing w:line="240" w:lineRule="auto"/>
        <w:ind w:right="566"/>
        <w:outlineLvl w:val="0"/>
        <w:rPr>
          <w:lang w:val="lt-LT"/>
        </w:rPr>
      </w:pPr>
    </w:p>
    <w:p w14:paraId="4375D98F" w14:textId="77777777" w:rsidR="00F34163" w:rsidRPr="00B0468F" w:rsidRDefault="00F34163" w:rsidP="00B0468F">
      <w:pPr>
        <w:widowControl w:val="0"/>
        <w:spacing w:line="240" w:lineRule="auto"/>
        <w:ind w:right="566"/>
        <w:outlineLvl w:val="0"/>
        <w:rPr>
          <w:lang w:val="lt-LT"/>
        </w:rPr>
      </w:pPr>
    </w:p>
    <w:p w14:paraId="1B2824A9" w14:textId="77777777" w:rsidR="00F34163" w:rsidRPr="00B0468F" w:rsidRDefault="00F34163" w:rsidP="00B0468F">
      <w:pPr>
        <w:widowControl w:val="0"/>
        <w:spacing w:line="240" w:lineRule="auto"/>
        <w:ind w:right="566"/>
        <w:outlineLvl w:val="0"/>
        <w:rPr>
          <w:lang w:val="lt-LT"/>
        </w:rPr>
      </w:pPr>
    </w:p>
    <w:p w14:paraId="6E131579" w14:textId="77777777" w:rsidR="00F34163" w:rsidRPr="00B0468F" w:rsidRDefault="00F34163" w:rsidP="00B0468F">
      <w:pPr>
        <w:widowControl w:val="0"/>
        <w:spacing w:line="240" w:lineRule="auto"/>
        <w:ind w:right="566"/>
        <w:outlineLvl w:val="0"/>
        <w:rPr>
          <w:lang w:val="lt-LT"/>
        </w:rPr>
      </w:pPr>
    </w:p>
    <w:p w14:paraId="6D2BB7FE" w14:textId="77777777" w:rsidR="00F34163" w:rsidRPr="00B0468F" w:rsidRDefault="00F34163" w:rsidP="00B0468F">
      <w:pPr>
        <w:widowControl w:val="0"/>
        <w:spacing w:line="240" w:lineRule="auto"/>
        <w:ind w:right="566"/>
        <w:outlineLvl w:val="0"/>
        <w:rPr>
          <w:lang w:val="lt-LT"/>
        </w:rPr>
      </w:pPr>
    </w:p>
    <w:p w14:paraId="413E80FC" w14:textId="77777777" w:rsidR="00F34163" w:rsidRPr="00B0468F" w:rsidRDefault="00F34163" w:rsidP="00B0468F">
      <w:pPr>
        <w:widowControl w:val="0"/>
        <w:spacing w:line="240" w:lineRule="auto"/>
        <w:ind w:right="566"/>
        <w:outlineLvl w:val="0"/>
        <w:rPr>
          <w:lang w:val="lt-LT"/>
        </w:rPr>
      </w:pPr>
    </w:p>
    <w:p w14:paraId="15E72B2D" w14:textId="77777777" w:rsidR="00F34163" w:rsidRPr="00B0468F" w:rsidRDefault="00F34163" w:rsidP="00B0468F">
      <w:pPr>
        <w:widowControl w:val="0"/>
        <w:spacing w:line="240" w:lineRule="auto"/>
        <w:ind w:right="566"/>
        <w:outlineLvl w:val="0"/>
        <w:rPr>
          <w:lang w:val="lt-LT"/>
        </w:rPr>
      </w:pPr>
    </w:p>
    <w:p w14:paraId="607018D7" w14:textId="77777777" w:rsidR="00F34163" w:rsidRPr="00B0468F" w:rsidRDefault="00F34163" w:rsidP="00B0468F">
      <w:pPr>
        <w:widowControl w:val="0"/>
        <w:spacing w:line="240" w:lineRule="auto"/>
        <w:ind w:right="566"/>
        <w:outlineLvl w:val="0"/>
        <w:rPr>
          <w:lang w:val="lt-LT"/>
        </w:rPr>
      </w:pPr>
    </w:p>
    <w:p w14:paraId="4775D27C" w14:textId="77777777" w:rsidR="00F34163" w:rsidRPr="00B0468F" w:rsidRDefault="00F34163" w:rsidP="00B0468F">
      <w:pPr>
        <w:widowControl w:val="0"/>
        <w:spacing w:line="240" w:lineRule="auto"/>
        <w:ind w:right="566"/>
        <w:outlineLvl w:val="0"/>
        <w:rPr>
          <w:lang w:val="lt-LT"/>
        </w:rPr>
      </w:pPr>
    </w:p>
    <w:p w14:paraId="0E18CBD9" w14:textId="77777777" w:rsidR="00F34163" w:rsidRPr="00B0468F" w:rsidRDefault="00F34163" w:rsidP="00B0468F">
      <w:pPr>
        <w:widowControl w:val="0"/>
        <w:spacing w:line="240" w:lineRule="auto"/>
        <w:ind w:right="566"/>
        <w:outlineLvl w:val="0"/>
        <w:rPr>
          <w:lang w:val="lt-LT"/>
        </w:rPr>
      </w:pPr>
    </w:p>
    <w:p w14:paraId="6850ED6A" w14:textId="77777777" w:rsidR="00F34163" w:rsidRPr="00B0468F" w:rsidRDefault="00F34163" w:rsidP="00B0468F">
      <w:pPr>
        <w:widowControl w:val="0"/>
        <w:spacing w:line="240" w:lineRule="auto"/>
        <w:ind w:right="566"/>
        <w:outlineLvl w:val="0"/>
        <w:rPr>
          <w:lang w:val="lt-LT"/>
        </w:rPr>
      </w:pPr>
    </w:p>
    <w:p w14:paraId="03B0F472" w14:textId="77777777" w:rsidR="00F34163" w:rsidRPr="00B0468F" w:rsidRDefault="00F34163" w:rsidP="00B0468F">
      <w:pPr>
        <w:widowControl w:val="0"/>
        <w:spacing w:line="240" w:lineRule="auto"/>
        <w:ind w:right="566"/>
        <w:outlineLvl w:val="0"/>
        <w:rPr>
          <w:lang w:val="lt-LT"/>
        </w:rPr>
      </w:pPr>
    </w:p>
    <w:p w14:paraId="369E7356" w14:textId="77777777" w:rsidR="00F34163" w:rsidRPr="00B0468F" w:rsidRDefault="00F34163" w:rsidP="00B0468F">
      <w:pPr>
        <w:widowControl w:val="0"/>
        <w:spacing w:line="240" w:lineRule="auto"/>
        <w:ind w:right="566"/>
        <w:outlineLvl w:val="0"/>
        <w:rPr>
          <w:lang w:val="lt-LT"/>
        </w:rPr>
      </w:pPr>
    </w:p>
    <w:p w14:paraId="77BB6D60" w14:textId="77777777" w:rsidR="00F34163" w:rsidRPr="00B0468F" w:rsidRDefault="00F34163" w:rsidP="00B0468F">
      <w:pPr>
        <w:widowControl w:val="0"/>
        <w:spacing w:line="240" w:lineRule="auto"/>
        <w:ind w:right="566"/>
        <w:outlineLvl w:val="0"/>
        <w:rPr>
          <w:lang w:val="lt-LT"/>
        </w:rPr>
      </w:pPr>
    </w:p>
    <w:p w14:paraId="6C5FF27C" w14:textId="77777777" w:rsidR="00F34163" w:rsidRPr="00B0468F" w:rsidRDefault="00F34163" w:rsidP="00B0468F">
      <w:pPr>
        <w:widowControl w:val="0"/>
        <w:spacing w:line="240" w:lineRule="auto"/>
        <w:ind w:right="566"/>
        <w:outlineLvl w:val="0"/>
        <w:rPr>
          <w:lang w:val="lt-LT"/>
        </w:rPr>
      </w:pPr>
    </w:p>
    <w:p w14:paraId="37E66D91" w14:textId="77777777" w:rsidR="00F34163" w:rsidRPr="00B0468F" w:rsidRDefault="00F34163" w:rsidP="00B0468F">
      <w:pPr>
        <w:widowControl w:val="0"/>
        <w:spacing w:line="240" w:lineRule="auto"/>
        <w:ind w:right="566"/>
        <w:outlineLvl w:val="0"/>
        <w:rPr>
          <w:lang w:val="lt-LT"/>
        </w:rPr>
      </w:pPr>
    </w:p>
    <w:p w14:paraId="1E062A85" w14:textId="77777777" w:rsidR="00F34163" w:rsidRPr="00B0468F" w:rsidRDefault="00F34163" w:rsidP="00B0468F">
      <w:pPr>
        <w:widowControl w:val="0"/>
        <w:spacing w:line="240" w:lineRule="auto"/>
        <w:ind w:right="566"/>
        <w:outlineLvl w:val="0"/>
        <w:rPr>
          <w:lang w:val="lt-LT"/>
        </w:rPr>
      </w:pPr>
    </w:p>
    <w:p w14:paraId="6D99F7CC" w14:textId="77777777" w:rsidR="00F34163" w:rsidRPr="00B0468F" w:rsidRDefault="00F34163" w:rsidP="00B0468F">
      <w:pPr>
        <w:widowControl w:val="0"/>
        <w:spacing w:line="240" w:lineRule="auto"/>
        <w:ind w:right="566"/>
        <w:outlineLvl w:val="0"/>
        <w:rPr>
          <w:lang w:val="lt-LT"/>
        </w:rPr>
      </w:pPr>
    </w:p>
    <w:p w14:paraId="46C431E3" w14:textId="77777777" w:rsidR="00F34163" w:rsidRPr="00B0468F" w:rsidRDefault="00F34163" w:rsidP="00B0468F">
      <w:pPr>
        <w:widowControl w:val="0"/>
        <w:spacing w:line="240" w:lineRule="auto"/>
        <w:ind w:right="566"/>
        <w:outlineLvl w:val="0"/>
        <w:rPr>
          <w:lang w:val="lt-LT"/>
        </w:rPr>
      </w:pPr>
    </w:p>
    <w:p w14:paraId="6FBAB724" w14:textId="77777777" w:rsidR="007E12B3" w:rsidRPr="00B0468F" w:rsidRDefault="007E12B3" w:rsidP="00B0468F">
      <w:pPr>
        <w:widowControl w:val="0"/>
        <w:spacing w:line="240" w:lineRule="auto"/>
        <w:ind w:right="566"/>
        <w:jc w:val="center"/>
        <w:outlineLvl w:val="0"/>
        <w:rPr>
          <w:b/>
          <w:lang w:val="lt-LT"/>
        </w:rPr>
      </w:pPr>
    </w:p>
    <w:p w14:paraId="6910CC92" w14:textId="77777777" w:rsidR="00F34163" w:rsidRPr="00B0468F" w:rsidRDefault="00F34163" w:rsidP="00B0468F">
      <w:pPr>
        <w:widowControl w:val="0"/>
        <w:spacing w:line="240" w:lineRule="auto"/>
        <w:ind w:right="566"/>
        <w:jc w:val="center"/>
        <w:outlineLvl w:val="0"/>
        <w:rPr>
          <w:b/>
          <w:lang w:val="lt-LT"/>
        </w:rPr>
      </w:pPr>
      <w:r w:rsidRPr="00B0468F">
        <w:rPr>
          <w:b/>
          <w:lang w:val="lt-LT"/>
        </w:rPr>
        <w:t>B. PAKUOTĖS LAPELIS</w:t>
      </w:r>
    </w:p>
    <w:p w14:paraId="4484FDD7" w14:textId="77777777" w:rsidR="00F34163" w:rsidRPr="00B0468F" w:rsidRDefault="00F34163" w:rsidP="00B0468F">
      <w:pPr>
        <w:pStyle w:val="Antrat2"/>
        <w:keepNext w:val="0"/>
        <w:widowControl w:val="0"/>
        <w:spacing w:before="0" w:after="0" w:line="240" w:lineRule="auto"/>
        <w:ind w:right="566"/>
        <w:jc w:val="center"/>
        <w:rPr>
          <w:b w:val="0"/>
          <w:lang w:val="lt-LT"/>
        </w:rPr>
      </w:pPr>
      <w:r w:rsidRPr="00B0468F">
        <w:rPr>
          <w:rFonts w:ascii="Times New Roman" w:hAnsi="Times New Roman"/>
          <w:i w:val="0"/>
          <w:sz w:val="22"/>
          <w:lang w:val="lt-LT"/>
        </w:rPr>
        <w:br w:type="page"/>
      </w:r>
      <w:r w:rsidRPr="00B0468F">
        <w:rPr>
          <w:rFonts w:ascii="Times New Roman" w:hAnsi="Times New Roman"/>
          <w:i w:val="0"/>
          <w:sz w:val="22"/>
          <w:lang w:val="lt-LT"/>
        </w:rPr>
        <w:lastRenderedPageBreak/>
        <w:t xml:space="preserve">Pakuotės lapelis: </w:t>
      </w:r>
      <w:r w:rsidR="00AA26AA" w:rsidRPr="00B0468F">
        <w:rPr>
          <w:rFonts w:ascii="Times New Roman" w:hAnsi="Times New Roman"/>
          <w:i w:val="0"/>
          <w:sz w:val="22"/>
          <w:lang w:val="lt-LT"/>
        </w:rPr>
        <w:t xml:space="preserve">informacija </w:t>
      </w:r>
      <w:r w:rsidRPr="00B0468F">
        <w:rPr>
          <w:rFonts w:ascii="Times New Roman" w:hAnsi="Times New Roman"/>
          <w:i w:val="0"/>
          <w:sz w:val="22"/>
          <w:lang w:val="lt-LT"/>
        </w:rPr>
        <w:t>pacientui</w:t>
      </w:r>
    </w:p>
    <w:p w14:paraId="3D0B0429" w14:textId="77777777" w:rsidR="00F34163" w:rsidRPr="00B0468F" w:rsidRDefault="00F34163" w:rsidP="005350AF">
      <w:pPr>
        <w:widowControl w:val="0"/>
        <w:numPr>
          <w:ilvl w:val="12"/>
          <w:numId w:val="0"/>
        </w:numPr>
        <w:shd w:val="clear" w:color="auto" w:fill="FFFFFF"/>
        <w:tabs>
          <w:tab w:val="clear" w:pos="567"/>
        </w:tabs>
        <w:spacing w:line="240" w:lineRule="auto"/>
        <w:ind w:right="566"/>
        <w:jc w:val="center"/>
        <w:rPr>
          <w:lang w:val="lt-LT"/>
        </w:rPr>
      </w:pPr>
    </w:p>
    <w:p w14:paraId="6AAB77AD" w14:textId="77777777" w:rsidR="00DB245C" w:rsidRPr="00B0468F" w:rsidRDefault="00DB245C" w:rsidP="005350AF">
      <w:pPr>
        <w:widowControl w:val="0"/>
        <w:numPr>
          <w:ilvl w:val="12"/>
          <w:numId w:val="0"/>
        </w:numPr>
        <w:tabs>
          <w:tab w:val="clear" w:pos="567"/>
        </w:tabs>
        <w:spacing w:line="240" w:lineRule="auto"/>
        <w:ind w:right="566"/>
        <w:jc w:val="center"/>
        <w:rPr>
          <w:b/>
          <w:lang w:val="lt-LT"/>
        </w:rPr>
      </w:pPr>
      <w:r w:rsidRPr="00B0468F">
        <w:rPr>
          <w:b/>
          <w:lang w:val="lt-LT"/>
        </w:rPr>
        <w:t xml:space="preserve">Eliskardia </w:t>
      </w:r>
      <w:r w:rsidR="00FC0300" w:rsidRPr="00B0468F">
        <w:rPr>
          <w:b/>
          <w:lang w:val="lt-LT"/>
        </w:rPr>
        <w:t>5</w:t>
      </w:r>
      <w:r w:rsidRPr="00B0468F">
        <w:rPr>
          <w:b/>
          <w:lang w:val="lt-LT"/>
        </w:rPr>
        <w:t xml:space="preserve"> mg plėvele dengtos tabletės</w:t>
      </w:r>
    </w:p>
    <w:p w14:paraId="4F1B1F6F" w14:textId="77777777" w:rsidR="00DB245C" w:rsidRPr="00B0468F" w:rsidRDefault="00DB245C" w:rsidP="005350AF">
      <w:pPr>
        <w:widowControl w:val="0"/>
        <w:numPr>
          <w:ilvl w:val="12"/>
          <w:numId w:val="0"/>
        </w:numPr>
        <w:tabs>
          <w:tab w:val="clear" w:pos="567"/>
        </w:tabs>
        <w:spacing w:line="240" w:lineRule="auto"/>
        <w:ind w:right="566"/>
        <w:jc w:val="center"/>
        <w:rPr>
          <w:b/>
          <w:lang w:val="lt-LT"/>
        </w:rPr>
      </w:pPr>
      <w:r w:rsidRPr="00B0468F">
        <w:rPr>
          <w:b/>
          <w:lang w:val="lt-LT"/>
        </w:rPr>
        <w:t xml:space="preserve">Eliskardia </w:t>
      </w:r>
      <w:r w:rsidR="00FC0300" w:rsidRPr="00B0468F">
        <w:rPr>
          <w:b/>
          <w:lang w:val="lt-LT"/>
        </w:rPr>
        <w:t>10</w:t>
      </w:r>
      <w:r w:rsidRPr="00B0468F">
        <w:rPr>
          <w:b/>
          <w:lang w:val="lt-LT"/>
        </w:rPr>
        <w:t xml:space="preserve"> mg plėvele dengtos tabletės</w:t>
      </w:r>
    </w:p>
    <w:p w14:paraId="5E91BB44" w14:textId="77777777" w:rsidR="00DB245C" w:rsidRPr="00B0468F" w:rsidRDefault="00DB245C" w:rsidP="005350AF">
      <w:pPr>
        <w:widowControl w:val="0"/>
        <w:numPr>
          <w:ilvl w:val="12"/>
          <w:numId w:val="0"/>
        </w:numPr>
        <w:tabs>
          <w:tab w:val="clear" w:pos="567"/>
        </w:tabs>
        <w:spacing w:line="240" w:lineRule="auto"/>
        <w:ind w:right="566"/>
        <w:jc w:val="center"/>
        <w:rPr>
          <w:lang w:val="lt-LT"/>
        </w:rPr>
      </w:pPr>
    </w:p>
    <w:p w14:paraId="17CA06A8" w14:textId="77777777" w:rsidR="00F34163" w:rsidRPr="00B0468F" w:rsidRDefault="00DB245C" w:rsidP="005350AF">
      <w:pPr>
        <w:widowControl w:val="0"/>
        <w:numPr>
          <w:ilvl w:val="12"/>
          <w:numId w:val="0"/>
        </w:numPr>
        <w:tabs>
          <w:tab w:val="clear" w:pos="567"/>
        </w:tabs>
        <w:spacing w:line="240" w:lineRule="auto"/>
        <w:ind w:right="566"/>
        <w:jc w:val="center"/>
        <w:rPr>
          <w:lang w:val="lt-LT"/>
        </w:rPr>
      </w:pPr>
      <w:r w:rsidRPr="00B0468F">
        <w:rPr>
          <w:lang w:val="lt-LT"/>
        </w:rPr>
        <w:t>prazugrelis</w:t>
      </w:r>
    </w:p>
    <w:p w14:paraId="3C6E2489" w14:textId="77777777" w:rsidR="00DB245C" w:rsidRPr="00B0468F" w:rsidRDefault="00DB245C" w:rsidP="005350AF">
      <w:pPr>
        <w:widowControl w:val="0"/>
        <w:numPr>
          <w:ilvl w:val="12"/>
          <w:numId w:val="0"/>
        </w:numPr>
        <w:tabs>
          <w:tab w:val="clear" w:pos="567"/>
        </w:tabs>
        <w:spacing w:line="240" w:lineRule="auto"/>
        <w:ind w:right="566"/>
        <w:jc w:val="center"/>
        <w:rPr>
          <w:lang w:val="lt-LT"/>
        </w:rPr>
      </w:pPr>
    </w:p>
    <w:p w14:paraId="687C7CE0" w14:textId="77777777" w:rsidR="00F34163" w:rsidRPr="00B0468F" w:rsidRDefault="00F34163" w:rsidP="005350AF">
      <w:pPr>
        <w:widowControl w:val="0"/>
        <w:tabs>
          <w:tab w:val="clear" w:pos="567"/>
        </w:tabs>
        <w:spacing w:line="240" w:lineRule="auto"/>
        <w:ind w:right="566"/>
        <w:rPr>
          <w:lang w:val="lt-LT"/>
        </w:rPr>
      </w:pPr>
      <w:r w:rsidRPr="00B0468F">
        <w:rPr>
          <w:b/>
          <w:lang w:val="lt-LT"/>
        </w:rPr>
        <w:t>Atidžiai perskaitykite visą šį lapelį, prieš pradėdami vartoti vaistą, nes jame pateikiama Jums svarbi informacija.</w:t>
      </w:r>
    </w:p>
    <w:p w14:paraId="0ACF86CD" w14:textId="77777777" w:rsidR="00F34163" w:rsidRPr="00B0468F" w:rsidRDefault="00F34163" w:rsidP="00B0468F">
      <w:pPr>
        <w:widowControl w:val="0"/>
        <w:numPr>
          <w:ilvl w:val="0"/>
          <w:numId w:val="10"/>
        </w:numPr>
        <w:tabs>
          <w:tab w:val="clear" w:pos="567"/>
        </w:tabs>
        <w:spacing w:line="240" w:lineRule="auto"/>
        <w:ind w:left="567" w:right="566" w:hanging="567"/>
        <w:rPr>
          <w:lang w:val="lt-LT"/>
        </w:rPr>
      </w:pPr>
      <w:r w:rsidRPr="00B0468F">
        <w:rPr>
          <w:lang w:val="lt-LT"/>
        </w:rPr>
        <w:t>Neišmeskite šio lapelio, nes vėl</w:t>
      </w:r>
      <w:r w:rsidR="00665B69" w:rsidRPr="00B0468F">
        <w:rPr>
          <w:lang w:val="lt-LT"/>
        </w:rPr>
        <w:t xml:space="preserve"> gali prireikti jį perskaityti.</w:t>
      </w:r>
    </w:p>
    <w:p w14:paraId="56732FC0" w14:textId="77777777" w:rsidR="00F34163" w:rsidRPr="00B0468F" w:rsidRDefault="00F34163" w:rsidP="00B0468F">
      <w:pPr>
        <w:widowControl w:val="0"/>
        <w:numPr>
          <w:ilvl w:val="0"/>
          <w:numId w:val="10"/>
        </w:numPr>
        <w:tabs>
          <w:tab w:val="clear" w:pos="567"/>
        </w:tabs>
        <w:spacing w:line="240" w:lineRule="auto"/>
        <w:ind w:left="567" w:right="566" w:hanging="567"/>
        <w:rPr>
          <w:lang w:val="lt-LT"/>
        </w:rPr>
      </w:pPr>
      <w:r w:rsidRPr="00B0468F">
        <w:rPr>
          <w:lang w:val="lt-LT"/>
        </w:rPr>
        <w:t xml:space="preserve">Jeigu kiltų </w:t>
      </w:r>
      <w:r w:rsidR="00AA26AA" w:rsidRPr="00B0468F">
        <w:rPr>
          <w:lang w:val="lt-LT"/>
        </w:rPr>
        <w:t xml:space="preserve">daugiau klausimų, kreipkitės į </w:t>
      </w:r>
      <w:r w:rsidRPr="00B0468F">
        <w:rPr>
          <w:lang w:val="lt-LT"/>
        </w:rPr>
        <w:t>gydytoją</w:t>
      </w:r>
      <w:r w:rsidR="007E12B3" w:rsidRPr="00B0468F">
        <w:rPr>
          <w:lang w:val="lt-LT"/>
        </w:rPr>
        <w:t xml:space="preserve"> arba</w:t>
      </w:r>
      <w:r w:rsidR="00AA26AA" w:rsidRPr="00B0468F">
        <w:rPr>
          <w:lang w:val="lt-LT"/>
        </w:rPr>
        <w:t xml:space="preserve"> </w:t>
      </w:r>
      <w:r w:rsidRPr="00B0468F">
        <w:rPr>
          <w:lang w:val="lt-LT"/>
        </w:rPr>
        <w:t>vaistininką.</w:t>
      </w:r>
    </w:p>
    <w:p w14:paraId="1BFBCB51" w14:textId="77777777" w:rsidR="00F34163" w:rsidRPr="00B0468F" w:rsidRDefault="00F34163" w:rsidP="00B0468F">
      <w:pPr>
        <w:widowControl w:val="0"/>
        <w:numPr>
          <w:ilvl w:val="0"/>
          <w:numId w:val="10"/>
        </w:numPr>
        <w:spacing w:line="240" w:lineRule="auto"/>
        <w:ind w:left="567" w:right="566" w:hanging="567"/>
        <w:rPr>
          <w:lang w:val="lt-LT"/>
        </w:rPr>
      </w:pPr>
      <w:r w:rsidRPr="00B0468F">
        <w:rPr>
          <w:lang w:val="lt-LT"/>
        </w:rPr>
        <w:t>Šis vaistas skirtas tik Jums, todėl kitiems žmonėms jo duoti negalima. Vaistas gali jiems pakenkti (net tiems, kurių ligos požymi</w:t>
      </w:r>
      <w:r w:rsidR="00AA26AA" w:rsidRPr="00B0468F">
        <w:rPr>
          <w:lang w:val="lt-LT"/>
        </w:rPr>
        <w:t>ai yra tokie patys kaip Jūsų).</w:t>
      </w:r>
    </w:p>
    <w:p w14:paraId="25B3B1DA" w14:textId="77777777" w:rsidR="00F34163" w:rsidRPr="00B0468F" w:rsidRDefault="00F34163" w:rsidP="00B0468F">
      <w:pPr>
        <w:widowControl w:val="0"/>
        <w:numPr>
          <w:ilvl w:val="0"/>
          <w:numId w:val="10"/>
        </w:numPr>
        <w:spacing w:line="240" w:lineRule="auto"/>
        <w:ind w:left="567" w:right="566" w:hanging="567"/>
        <w:rPr>
          <w:lang w:val="lt-LT"/>
        </w:rPr>
      </w:pPr>
      <w:r w:rsidRPr="00B0468F">
        <w:rPr>
          <w:lang w:val="lt-LT"/>
        </w:rPr>
        <w:t xml:space="preserve">Jeigu pasireiškė šalutinis poveikis (net jeigu jis šiame lapelyje nenurodytas), kreipkitės į </w:t>
      </w:r>
      <w:r w:rsidR="00AA26AA" w:rsidRPr="00B0468F">
        <w:rPr>
          <w:lang w:val="lt-LT"/>
        </w:rPr>
        <w:t>gydytoją</w:t>
      </w:r>
      <w:r w:rsidR="007E12B3" w:rsidRPr="00B0468F">
        <w:rPr>
          <w:lang w:val="lt-LT"/>
        </w:rPr>
        <w:t xml:space="preserve"> arba</w:t>
      </w:r>
      <w:r w:rsidR="00AA26AA" w:rsidRPr="00B0468F">
        <w:rPr>
          <w:lang w:val="lt-LT"/>
        </w:rPr>
        <w:t xml:space="preserve"> vaistininką</w:t>
      </w:r>
      <w:r w:rsidRPr="00B0468F">
        <w:rPr>
          <w:lang w:val="lt-LT"/>
        </w:rPr>
        <w:t>. Žr. 4</w:t>
      </w:r>
      <w:r w:rsidR="00404FF5" w:rsidRPr="00B0468F">
        <w:rPr>
          <w:lang w:val="lt-LT"/>
        </w:rPr>
        <w:t> skyri</w:t>
      </w:r>
      <w:r w:rsidR="00AA26AA" w:rsidRPr="00B0468F">
        <w:rPr>
          <w:lang w:val="lt-LT"/>
        </w:rPr>
        <w:t>ų.</w:t>
      </w:r>
    </w:p>
    <w:p w14:paraId="79BAC059" w14:textId="77777777" w:rsidR="00F34163" w:rsidRPr="00B0468F" w:rsidRDefault="00F34163" w:rsidP="005350AF">
      <w:pPr>
        <w:widowControl w:val="0"/>
        <w:tabs>
          <w:tab w:val="clear" w:pos="567"/>
        </w:tabs>
        <w:spacing w:line="240" w:lineRule="auto"/>
        <w:ind w:right="566"/>
        <w:rPr>
          <w:lang w:val="lt-LT"/>
        </w:rPr>
      </w:pPr>
    </w:p>
    <w:p w14:paraId="0C721377"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Apie ką rašoma šiame lapelyje?</w:t>
      </w:r>
    </w:p>
    <w:p w14:paraId="0F617CE6"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2A012DAB" w14:textId="77777777" w:rsidR="00F34163" w:rsidRPr="00B0468F" w:rsidRDefault="00F34163" w:rsidP="00B0468F">
      <w:pPr>
        <w:widowControl w:val="0"/>
        <w:numPr>
          <w:ilvl w:val="12"/>
          <w:numId w:val="0"/>
        </w:numPr>
        <w:spacing w:line="240" w:lineRule="auto"/>
        <w:ind w:right="566"/>
        <w:rPr>
          <w:lang w:val="lt-LT"/>
        </w:rPr>
      </w:pPr>
      <w:r w:rsidRPr="00B0468F">
        <w:rPr>
          <w:lang w:val="lt-LT"/>
        </w:rPr>
        <w:t>1.</w:t>
      </w:r>
      <w:r w:rsidRPr="00B0468F">
        <w:rPr>
          <w:lang w:val="lt-LT"/>
        </w:rPr>
        <w:tab/>
        <w:t xml:space="preserve">Kas yra </w:t>
      </w:r>
      <w:r w:rsidR="00DB245C" w:rsidRPr="00B0468F">
        <w:rPr>
          <w:lang w:val="lt-LT"/>
        </w:rPr>
        <w:t>Eliskardia</w:t>
      </w:r>
      <w:r w:rsidR="001B0129" w:rsidRPr="00B0468F">
        <w:rPr>
          <w:lang w:val="lt-LT"/>
        </w:rPr>
        <w:t xml:space="preserve"> ir kam jis vartojamas</w:t>
      </w:r>
    </w:p>
    <w:p w14:paraId="0A41AFBF" w14:textId="77777777" w:rsidR="00F34163" w:rsidRPr="00B0468F" w:rsidRDefault="00F34163" w:rsidP="00B0468F">
      <w:pPr>
        <w:widowControl w:val="0"/>
        <w:numPr>
          <w:ilvl w:val="12"/>
          <w:numId w:val="0"/>
        </w:numPr>
        <w:spacing w:line="240" w:lineRule="auto"/>
        <w:ind w:right="566"/>
        <w:rPr>
          <w:lang w:val="lt-LT"/>
        </w:rPr>
      </w:pPr>
      <w:r w:rsidRPr="00B0468F">
        <w:rPr>
          <w:lang w:val="lt-LT"/>
        </w:rPr>
        <w:t>2.</w:t>
      </w:r>
      <w:r w:rsidRPr="00B0468F">
        <w:rPr>
          <w:lang w:val="lt-LT"/>
        </w:rPr>
        <w:tab/>
        <w:t xml:space="preserve">Kas žinotina prieš vartojant </w:t>
      </w:r>
      <w:r w:rsidR="00DB245C" w:rsidRPr="00B0468F">
        <w:rPr>
          <w:lang w:val="lt-LT"/>
        </w:rPr>
        <w:t>Eliskardia</w:t>
      </w:r>
    </w:p>
    <w:p w14:paraId="14FFF5D3" w14:textId="77777777" w:rsidR="00F34163" w:rsidRPr="00B0468F" w:rsidRDefault="00F34163" w:rsidP="00B0468F">
      <w:pPr>
        <w:widowControl w:val="0"/>
        <w:numPr>
          <w:ilvl w:val="12"/>
          <w:numId w:val="0"/>
        </w:numPr>
        <w:spacing w:line="240" w:lineRule="auto"/>
        <w:ind w:right="566"/>
        <w:rPr>
          <w:lang w:val="lt-LT"/>
        </w:rPr>
      </w:pPr>
      <w:r w:rsidRPr="00B0468F">
        <w:rPr>
          <w:lang w:val="lt-LT"/>
        </w:rPr>
        <w:t>3.</w:t>
      </w:r>
      <w:r w:rsidRPr="00B0468F">
        <w:rPr>
          <w:lang w:val="lt-LT"/>
        </w:rPr>
        <w:tab/>
        <w:t xml:space="preserve">Kaip vartoti </w:t>
      </w:r>
      <w:r w:rsidR="00DB245C" w:rsidRPr="00B0468F">
        <w:rPr>
          <w:lang w:val="lt-LT"/>
        </w:rPr>
        <w:t>Eliskardia</w:t>
      </w:r>
    </w:p>
    <w:p w14:paraId="3A866569" w14:textId="77777777" w:rsidR="00F34163" w:rsidRPr="00B0468F" w:rsidRDefault="00F34163" w:rsidP="00B0468F">
      <w:pPr>
        <w:widowControl w:val="0"/>
        <w:numPr>
          <w:ilvl w:val="12"/>
          <w:numId w:val="0"/>
        </w:numPr>
        <w:spacing w:line="240" w:lineRule="auto"/>
        <w:ind w:right="566"/>
        <w:rPr>
          <w:lang w:val="lt-LT"/>
        </w:rPr>
      </w:pPr>
      <w:r w:rsidRPr="00B0468F">
        <w:rPr>
          <w:lang w:val="lt-LT"/>
        </w:rPr>
        <w:t>4.</w:t>
      </w:r>
      <w:r w:rsidRPr="00B0468F">
        <w:rPr>
          <w:lang w:val="lt-LT"/>
        </w:rPr>
        <w:tab/>
        <w:t>Galimas š</w:t>
      </w:r>
      <w:r w:rsidR="001B0129" w:rsidRPr="00B0468F">
        <w:rPr>
          <w:lang w:val="lt-LT"/>
        </w:rPr>
        <w:t>alutinis poveikis</w:t>
      </w:r>
    </w:p>
    <w:p w14:paraId="50ED4B1B" w14:textId="77777777" w:rsidR="00F34163" w:rsidRPr="00B0468F" w:rsidRDefault="00F34163" w:rsidP="00B0468F">
      <w:pPr>
        <w:widowControl w:val="0"/>
        <w:numPr>
          <w:ilvl w:val="12"/>
          <w:numId w:val="0"/>
        </w:numPr>
        <w:spacing w:line="240" w:lineRule="auto"/>
        <w:ind w:right="566"/>
        <w:rPr>
          <w:lang w:val="lt-LT"/>
        </w:rPr>
      </w:pPr>
      <w:r w:rsidRPr="00B0468F">
        <w:rPr>
          <w:lang w:val="lt-LT"/>
        </w:rPr>
        <w:t>5.</w:t>
      </w:r>
      <w:r w:rsidRPr="00B0468F">
        <w:rPr>
          <w:lang w:val="lt-LT"/>
        </w:rPr>
        <w:tab/>
        <w:t xml:space="preserve">Kaip laikyti </w:t>
      </w:r>
      <w:r w:rsidR="00DB245C" w:rsidRPr="00B0468F">
        <w:rPr>
          <w:lang w:val="lt-LT"/>
        </w:rPr>
        <w:t>Eliskardia</w:t>
      </w:r>
    </w:p>
    <w:p w14:paraId="3A671C1B" w14:textId="77777777" w:rsidR="00F34163" w:rsidRPr="00B0468F" w:rsidRDefault="00F34163" w:rsidP="00B0468F">
      <w:pPr>
        <w:widowControl w:val="0"/>
        <w:numPr>
          <w:ilvl w:val="12"/>
          <w:numId w:val="0"/>
        </w:numPr>
        <w:spacing w:line="240" w:lineRule="auto"/>
        <w:ind w:right="566"/>
        <w:rPr>
          <w:lang w:val="lt-LT"/>
        </w:rPr>
      </w:pPr>
      <w:r w:rsidRPr="00B0468F">
        <w:rPr>
          <w:lang w:val="lt-LT"/>
        </w:rPr>
        <w:t>6.</w:t>
      </w:r>
      <w:r w:rsidRPr="00B0468F">
        <w:rPr>
          <w:lang w:val="lt-LT"/>
        </w:rPr>
        <w:tab/>
        <w:t>Pakuotės turinys ir kita informacija</w:t>
      </w:r>
    </w:p>
    <w:p w14:paraId="20AE14B9"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515DB9AC"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13A8EBBB"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1.</w:t>
      </w:r>
      <w:r w:rsidRPr="00B0468F">
        <w:rPr>
          <w:rFonts w:ascii="Times New Roman" w:hAnsi="Times New Roman"/>
          <w:sz w:val="22"/>
          <w:lang w:val="lt-LT"/>
        </w:rPr>
        <w:tab/>
        <w:t xml:space="preserve">Kas yra </w:t>
      </w:r>
      <w:r w:rsidR="0029550C" w:rsidRPr="00B0468F">
        <w:rPr>
          <w:rFonts w:ascii="Times New Roman" w:hAnsi="Times New Roman"/>
          <w:sz w:val="22"/>
          <w:lang w:val="lt-LT"/>
        </w:rPr>
        <w:t>Eliskardia</w:t>
      </w:r>
      <w:r w:rsidRPr="00B0468F">
        <w:rPr>
          <w:rFonts w:ascii="Times New Roman" w:hAnsi="Times New Roman"/>
          <w:sz w:val="22"/>
          <w:lang w:val="lt-LT"/>
        </w:rPr>
        <w:t xml:space="preserve"> ir kam jis vartojamas</w:t>
      </w:r>
    </w:p>
    <w:p w14:paraId="52681C28"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7F0CFF59" w14:textId="77777777" w:rsidR="004B39A6" w:rsidRPr="00B0468F" w:rsidRDefault="006C0280" w:rsidP="005350AF">
      <w:pPr>
        <w:widowControl w:val="0"/>
        <w:numPr>
          <w:ilvl w:val="12"/>
          <w:numId w:val="0"/>
        </w:numPr>
        <w:tabs>
          <w:tab w:val="clear" w:pos="567"/>
        </w:tabs>
        <w:spacing w:line="240" w:lineRule="auto"/>
        <w:ind w:right="566"/>
        <w:rPr>
          <w:lang w:val="lt-LT"/>
        </w:rPr>
      </w:pPr>
      <w:r w:rsidRPr="00B0468F">
        <w:rPr>
          <w:lang w:val="lt-LT"/>
        </w:rPr>
        <w:t>Eliskardia</w:t>
      </w:r>
      <w:r w:rsidR="007E12B3" w:rsidRPr="00B0468F">
        <w:rPr>
          <w:lang w:val="lt-LT"/>
        </w:rPr>
        <w:t>,</w:t>
      </w:r>
      <w:r w:rsidR="002E522A" w:rsidRPr="00B0468F">
        <w:rPr>
          <w:lang w:val="lt-LT"/>
        </w:rPr>
        <w:t xml:space="preserve"> kurio sudėtyj</w:t>
      </w:r>
      <w:r w:rsidR="002E0D60" w:rsidRPr="00B0468F">
        <w:rPr>
          <w:lang w:val="lt-LT"/>
        </w:rPr>
        <w:t>e yra aktyviosios medžiagos praz</w:t>
      </w:r>
      <w:r w:rsidR="002E522A" w:rsidRPr="00B0468F">
        <w:rPr>
          <w:lang w:val="lt-LT"/>
        </w:rPr>
        <w:t>ugrelio, priklauso vaistų, kurie vadinami trombocitų funkciją slopinančiais vaistais, grupei. Trombocitai yra labai mažos kraujyje cirkuliuojančios ląstelės. Pažeidus kraujagyslę, pavyzdžiui, įdūrus, trombocitai sulimpa ir padeda susiformu</w:t>
      </w:r>
      <w:r w:rsidR="004B39A6" w:rsidRPr="00B0468F">
        <w:rPr>
          <w:lang w:val="lt-LT"/>
        </w:rPr>
        <w:t>oti kraujo krešuliui (trombui).</w:t>
      </w:r>
    </w:p>
    <w:p w14:paraId="30ACEADA" w14:textId="77777777" w:rsidR="002E522A" w:rsidRPr="00B0468F" w:rsidRDefault="002E522A" w:rsidP="005350AF">
      <w:pPr>
        <w:widowControl w:val="0"/>
        <w:numPr>
          <w:ilvl w:val="12"/>
          <w:numId w:val="0"/>
        </w:numPr>
        <w:tabs>
          <w:tab w:val="clear" w:pos="567"/>
        </w:tabs>
        <w:spacing w:line="240" w:lineRule="auto"/>
        <w:ind w:right="566"/>
        <w:rPr>
          <w:lang w:val="lt-LT"/>
        </w:rPr>
      </w:pPr>
      <w:r w:rsidRPr="00B0468F">
        <w:rPr>
          <w:lang w:val="lt-LT"/>
        </w:rPr>
        <w:t>Taigi trombocitai yra svarbūs, stabdant kraujavimą. Krešulių susiformavimas sukietėjusiose kraujagyslėse, pavyzdžiui, arterijose, gali būti labai pavojingas, nes dėl jų gali sutrikti audinių aprūpinimas krauju ir ištikti širdies priepuolis (miokardo infarktas), insultas ar mirtis. Dėl krešulių arterijose, kurios aprūpina širdį krauju, gali sumažėti aprūpinimas krauju ir pasireikšti nestabilioji krūtinės angina (sunkus krūtinės skausmas).</w:t>
      </w:r>
    </w:p>
    <w:p w14:paraId="74BA67DC" w14:textId="77777777" w:rsidR="002E522A" w:rsidRPr="00B0468F" w:rsidRDefault="002E522A" w:rsidP="005350AF">
      <w:pPr>
        <w:widowControl w:val="0"/>
        <w:numPr>
          <w:ilvl w:val="12"/>
          <w:numId w:val="0"/>
        </w:numPr>
        <w:tabs>
          <w:tab w:val="clear" w:pos="567"/>
        </w:tabs>
        <w:spacing w:line="240" w:lineRule="auto"/>
        <w:ind w:right="566"/>
        <w:rPr>
          <w:lang w:val="lt-LT"/>
        </w:rPr>
      </w:pPr>
    </w:p>
    <w:p w14:paraId="2E2F6BBE" w14:textId="77777777" w:rsidR="002E522A" w:rsidRPr="00B0468F" w:rsidRDefault="006C0280" w:rsidP="005350AF">
      <w:pPr>
        <w:widowControl w:val="0"/>
        <w:numPr>
          <w:ilvl w:val="12"/>
          <w:numId w:val="0"/>
        </w:numPr>
        <w:tabs>
          <w:tab w:val="clear" w:pos="567"/>
        </w:tabs>
        <w:spacing w:line="240" w:lineRule="auto"/>
        <w:ind w:right="566"/>
        <w:rPr>
          <w:lang w:val="lt-LT"/>
        </w:rPr>
      </w:pPr>
      <w:r w:rsidRPr="00B0468F">
        <w:rPr>
          <w:lang w:val="lt-LT"/>
        </w:rPr>
        <w:t>Eliskardia</w:t>
      </w:r>
      <w:r w:rsidR="002E522A" w:rsidRPr="00B0468F">
        <w:rPr>
          <w:lang w:val="lt-LT"/>
        </w:rPr>
        <w:t xml:space="preserve"> slopina trombocitų sulipimą ir mažina kraujo krešulių formavimosi riziką.</w:t>
      </w:r>
    </w:p>
    <w:p w14:paraId="6C452592" w14:textId="77777777" w:rsidR="002E522A" w:rsidRPr="00B0468F" w:rsidRDefault="002E522A" w:rsidP="005350AF">
      <w:pPr>
        <w:widowControl w:val="0"/>
        <w:numPr>
          <w:ilvl w:val="12"/>
          <w:numId w:val="0"/>
        </w:numPr>
        <w:tabs>
          <w:tab w:val="clear" w:pos="567"/>
        </w:tabs>
        <w:spacing w:line="240" w:lineRule="auto"/>
        <w:ind w:right="566"/>
        <w:rPr>
          <w:lang w:val="lt-LT"/>
        </w:rPr>
      </w:pPr>
    </w:p>
    <w:p w14:paraId="33BF522B" w14:textId="77777777" w:rsidR="00F34163" w:rsidRPr="00B0468F" w:rsidRDefault="002E522A" w:rsidP="005350AF">
      <w:pPr>
        <w:widowControl w:val="0"/>
        <w:numPr>
          <w:ilvl w:val="12"/>
          <w:numId w:val="0"/>
        </w:numPr>
        <w:tabs>
          <w:tab w:val="clear" w:pos="567"/>
        </w:tabs>
        <w:spacing w:line="240" w:lineRule="auto"/>
        <w:ind w:right="566"/>
        <w:rPr>
          <w:lang w:val="lt-LT"/>
        </w:rPr>
      </w:pPr>
      <w:r w:rsidRPr="00B0468F">
        <w:rPr>
          <w:lang w:val="lt-LT"/>
        </w:rPr>
        <w:t xml:space="preserve">Jums skyrė vartoti </w:t>
      </w:r>
      <w:r w:rsidR="006C0280" w:rsidRPr="00B0468F">
        <w:rPr>
          <w:lang w:val="lt-LT"/>
        </w:rPr>
        <w:t>Eliskardia</w:t>
      </w:r>
      <w:r w:rsidRPr="00B0468F">
        <w:rPr>
          <w:lang w:val="lt-LT"/>
        </w:rPr>
        <w:t xml:space="preserve">, nes jau patyrėte širdies priepuolį arba pasireiškė nestabilioji krūtinės angina ir buvo atlikta užsikimšusios širdies arterijos praeinamumo atstatymo procedūra. Gali būti, kad Jums į kraujagyslę įtaisytas vienas ar daugiau stentų, kurie palaiko užsikimšusios ar susiaurėjusios arterijos praeinamumą ir širdies aprūpinimą krauju. </w:t>
      </w:r>
      <w:r w:rsidR="006C0280" w:rsidRPr="00B0468F">
        <w:rPr>
          <w:lang w:val="lt-LT"/>
        </w:rPr>
        <w:t>Eliskardia</w:t>
      </w:r>
      <w:r w:rsidRPr="00B0468F">
        <w:rPr>
          <w:lang w:val="lt-LT"/>
        </w:rPr>
        <w:t xml:space="preserve"> mažina naujo širdies priepuolio ar insulto arba mirties dėl kurio nors iš šių arterijų trombozės reiškinių tikimybę. Gydytojas skirs Jums vartoti ir kito vaisto, kuris irgi slopina trombocitų funkciją - acetilsalicilo rūgšties (pvz.: aspirino).</w:t>
      </w:r>
    </w:p>
    <w:p w14:paraId="4DC00679" w14:textId="77777777" w:rsidR="00E752C8" w:rsidRPr="00B0468F" w:rsidRDefault="00E752C8" w:rsidP="005350AF">
      <w:pPr>
        <w:widowControl w:val="0"/>
        <w:numPr>
          <w:ilvl w:val="12"/>
          <w:numId w:val="0"/>
        </w:numPr>
        <w:tabs>
          <w:tab w:val="clear" w:pos="567"/>
        </w:tabs>
        <w:spacing w:line="240" w:lineRule="auto"/>
        <w:ind w:right="566"/>
        <w:rPr>
          <w:lang w:val="lt-LT"/>
        </w:rPr>
      </w:pPr>
    </w:p>
    <w:p w14:paraId="5AC53B67" w14:textId="77777777" w:rsidR="00763AA5" w:rsidRPr="00B0468F" w:rsidRDefault="00763AA5" w:rsidP="005350AF">
      <w:pPr>
        <w:widowControl w:val="0"/>
        <w:numPr>
          <w:ilvl w:val="12"/>
          <w:numId w:val="0"/>
        </w:numPr>
        <w:tabs>
          <w:tab w:val="clear" w:pos="567"/>
        </w:tabs>
        <w:spacing w:line="240" w:lineRule="auto"/>
        <w:ind w:right="566"/>
        <w:rPr>
          <w:lang w:val="lt-LT"/>
        </w:rPr>
      </w:pPr>
    </w:p>
    <w:p w14:paraId="5B84CA63"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2.</w:t>
      </w:r>
      <w:r w:rsidRPr="00B0468F">
        <w:rPr>
          <w:rFonts w:ascii="Times New Roman" w:hAnsi="Times New Roman"/>
          <w:sz w:val="22"/>
          <w:lang w:val="lt-LT"/>
        </w:rPr>
        <w:tab/>
        <w:t xml:space="preserve">Kas žinotina prieš vartojant </w:t>
      </w:r>
      <w:r w:rsidR="006904D6" w:rsidRPr="00B0468F">
        <w:rPr>
          <w:rFonts w:ascii="Times New Roman" w:hAnsi="Times New Roman"/>
          <w:sz w:val="22"/>
          <w:lang w:val="lt-LT"/>
        </w:rPr>
        <w:t>Eliskardia</w:t>
      </w:r>
    </w:p>
    <w:p w14:paraId="10552E5B"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2EE00C3C" w14:textId="487775B0" w:rsidR="00F34163" w:rsidRPr="00B0468F" w:rsidRDefault="002F447A" w:rsidP="00B0468F">
      <w:pPr>
        <w:pStyle w:val="Antrat4"/>
        <w:keepNext w:val="0"/>
        <w:widowControl w:val="0"/>
        <w:spacing w:line="240" w:lineRule="auto"/>
        <w:ind w:right="566"/>
        <w:rPr>
          <w:b w:val="0"/>
          <w:lang w:val="lt-LT"/>
        </w:rPr>
      </w:pPr>
      <w:r w:rsidRPr="00B0468F">
        <w:rPr>
          <w:rFonts w:ascii="Times New Roman" w:hAnsi="Times New Roman"/>
          <w:sz w:val="22"/>
          <w:lang w:val="lt-LT"/>
        </w:rPr>
        <w:t>Eliskardia</w:t>
      </w:r>
      <w:r w:rsidR="00F34163" w:rsidRPr="00B0468F">
        <w:rPr>
          <w:rFonts w:ascii="Times New Roman" w:hAnsi="Times New Roman"/>
          <w:sz w:val="22"/>
          <w:lang w:val="lt-LT"/>
        </w:rPr>
        <w:t xml:space="preserve"> vartoti </w:t>
      </w:r>
      <w:r w:rsidR="008401B9">
        <w:rPr>
          <w:rFonts w:ascii="Times New Roman" w:hAnsi="Times New Roman"/>
          <w:sz w:val="22"/>
          <w:lang w:val="lt-LT"/>
        </w:rPr>
        <w:t>draudžiama</w:t>
      </w:r>
      <w:r w:rsidR="00F34163" w:rsidRPr="00B0468F">
        <w:rPr>
          <w:rFonts w:ascii="Times New Roman" w:hAnsi="Times New Roman"/>
          <w:sz w:val="22"/>
          <w:lang w:val="lt-LT"/>
        </w:rPr>
        <w:t>:</w:t>
      </w:r>
    </w:p>
    <w:p w14:paraId="644235F5" w14:textId="77777777" w:rsidR="002F447A" w:rsidRPr="00B0468F" w:rsidRDefault="002F447A" w:rsidP="00B0468F">
      <w:pPr>
        <w:widowControl w:val="0"/>
        <w:numPr>
          <w:ilvl w:val="0"/>
          <w:numId w:val="14"/>
        </w:numPr>
        <w:spacing w:line="240" w:lineRule="auto"/>
        <w:ind w:left="567" w:right="566" w:hanging="567"/>
        <w:rPr>
          <w:lang w:val="lt-LT"/>
        </w:rPr>
      </w:pPr>
      <w:r w:rsidRPr="00B0468F">
        <w:rPr>
          <w:lang w:val="lt-LT"/>
        </w:rPr>
        <w:t>jeigu yra ale</w:t>
      </w:r>
      <w:r w:rsidR="00EB1D2B" w:rsidRPr="00B0468F">
        <w:rPr>
          <w:lang w:val="lt-LT"/>
        </w:rPr>
        <w:t>rgija (padidėjęs jautrumas) praz</w:t>
      </w:r>
      <w:r w:rsidRPr="00B0468F">
        <w:rPr>
          <w:lang w:val="lt-LT"/>
        </w:rPr>
        <w:t xml:space="preserve">ugreliui arba bet kuriai pagalbinei </w:t>
      </w:r>
      <w:r w:rsidR="00072485" w:rsidRPr="00B0468F">
        <w:rPr>
          <w:lang w:val="lt-LT"/>
        </w:rPr>
        <w:t>šio vaisto</w:t>
      </w:r>
      <w:r w:rsidRPr="00B0468F">
        <w:rPr>
          <w:lang w:val="lt-LT"/>
        </w:rPr>
        <w:t xml:space="preserve"> medžiagai. Alerginę reakciją gali rodyti išbėrimas, niežulys, veido ar lūpų patinimas, kvėpavimo pasunkėjimas. Jeigu atsirado tokių simptomų, </w:t>
      </w:r>
      <w:r w:rsidRPr="00B0468F">
        <w:rPr>
          <w:b/>
          <w:lang w:val="lt-LT"/>
        </w:rPr>
        <w:t>nedelsdami</w:t>
      </w:r>
      <w:r w:rsidRPr="00B0468F">
        <w:rPr>
          <w:lang w:val="lt-LT"/>
        </w:rPr>
        <w:t xml:space="preserve"> pasakykite gydytojui;</w:t>
      </w:r>
    </w:p>
    <w:p w14:paraId="5B1CE1E0" w14:textId="77777777" w:rsidR="002F447A" w:rsidRPr="00B0468F" w:rsidRDefault="002F447A" w:rsidP="00B0468F">
      <w:pPr>
        <w:widowControl w:val="0"/>
        <w:numPr>
          <w:ilvl w:val="0"/>
          <w:numId w:val="14"/>
        </w:numPr>
        <w:tabs>
          <w:tab w:val="clear" w:pos="567"/>
        </w:tabs>
        <w:spacing w:line="240" w:lineRule="auto"/>
        <w:ind w:left="567" w:right="566" w:hanging="567"/>
        <w:rPr>
          <w:lang w:val="lt-LT"/>
        </w:rPr>
      </w:pPr>
      <w:r w:rsidRPr="00B0468F">
        <w:rPr>
          <w:lang w:val="lt-LT"/>
        </w:rPr>
        <w:t xml:space="preserve">jeigu yra sveikatos sutrikimas, dėl kurio neseniai patyrėte kraujavimą, pavyzdžiui, </w:t>
      </w:r>
      <w:r w:rsidRPr="00B0468F">
        <w:rPr>
          <w:lang w:val="lt-LT"/>
        </w:rPr>
        <w:lastRenderedPageBreak/>
        <w:t>kraujavimą iš skrandžio ar žarnų;</w:t>
      </w:r>
    </w:p>
    <w:p w14:paraId="7E124176" w14:textId="77777777" w:rsidR="002F447A" w:rsidRPr="00B0468F" w:rsidRDefault="002F447A" w:rsidP="00B0468F">
      <w:pPr>
        <w:widowControl w:val="0"/>
        <w:numPr>
          <w:ilvl w:val="0"/>
          <w:numId w:val="14"/>
        </w:numPr>
        <w:tabs>
          <w:tab w:val="clear" w:pos="567"/>
        </w:tabs>
        <w:spacing w:line="240" w:lineRule="auto"/>
        <w:ind w:left="567" w:right="566" w:hanging="567"/>
        <w:rPr>
          <w:lang w:val="lt-LT"/>
        </w:rPr>
      </w:pPr>
      <w:r w:rsidRPr="00B0468F">
        <w:rPr>
          <w:lang w:val="lt-LT"/>
        </w:rPr>
        <w:t>jeigu patyrėte insultą ar praeinantįjį smegenų išemijos priepuolį (PSIP);</w:t>
      </w:r>
    </w:p>
    <w:p w14:paraId="1D664C12" w14:textId="77777777" w:rsidR="00F34163" w:rsidRPr="00B0468F" w:rsidRDefault="002F447A" w:rsidP="00B0468F">
      <w:pPr>
        <w:widowControl w:val="0"/>
        <w:numPr>
          <w:ilvl w:val="0"/>
          <w:numId w:val="14"/>
        </w:numPr>
        <w:tabs>
          <w:tab w:val="clear" w:pos="567"/>
        </w:tabs>
        <w:spacing w:line="240" w:lineRule="auto"/>
        <w:ind w:left="567" w:right="566" w:hanging="567"/>
        <w:rPr>
          <w:lang w:val="lt-LT"/>
        </w:rPr>
      </w:pPr>
      <w:r w:rsidRPr="00B0468F">
        <w:rPr>
          <w:lang w:val="lt-LT"/>
        </w:rPr>
        <w:t>jeigu sergate sunkia kepenų liga.</w:t>
      </w:r>
    </w:p>
    <w:p w14:paraId="78812048" w14:textId="77777777" w:rsidR="00EB1D2B" w:rsidRPr="00B0468F" w:rsidRDefault="00EB1D2B" w:rsidP="005350AF">
      <w:pPr>
        <w:widowControl w:val="0"/>
        <w:tabs>
          <w:tab w:val="clear" w:pos="567"/>
        </w:tabs>
        <w:spacing w:line="240" w:lineRule="auto"/>
        <w:ind w:right="566"/>
        <w:rPr>
          <w:lang w:val="lt-LT"/>
        </w:rPr>
      </w:pPr>
    </w:p>
    <w:p w14:paraId="0CC070E1"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Į</w:t>
      </w:r>
      <w:r w:rsidR="00A146CB" w:rsidRPr="00B0468F">
        <w:rPr>
          <w:rFonts w:ascii="Times New Roman" w:hAnsi="Times New Roman"/>
          <w:sz w:val="22"/>
          <w:lang w:val="lt-LT"/>
        </w:rPr>
        <w:t>spėjimai ir atsargumo priemonės</w:t>
      </w:r>
    </w:p>
    <w:p w14:paraId="4DB731FE" w14:textId="77777777" w:rsidR="00EB1D2B" w:rsidRPr="00B0468F" w:rsidRDefault="00EB1D2B" w:rsidP="00B0468F">
      <w:pPr>
        <w:widowControl w:val="0"/>
        <w:tabs>
          <w:tab w:val="clear" w:pos="567"/>
        </w:tabs>
        <w:autoSpaceDE w:val="0"/>
        <w:autoSpaceDN w:val="0"/>
        <w:adjustRightInd w:val="0"/>
        <w:spacing w:line="240" w:lineRule="auto"/>
        <w:ind w:right="566"/>
        <w:rPr>
          <w:rFonts w:eastAsia="Calibri"/>
          <w:color w:val="000000"/>
          <w:lang w:val="lt-LT"/>
        </w:rPr>
      </w:pPr>
    </w:p>
    <w:p w14:paraId="0805B757" w14:textId="77777777" w:rsidR="00EB1D2B" w:rsidRPr="00B0468F" w:rsidRDefault="00EB1D2B"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b/>
          <w:color w:val="000000"/>
          <w:lang w:val="lt-LT"/>
        </w:rPr>
        <w:t>Prieš pradėdami vartoti Eliskardia</w:t>
      </w:r>
    </w:p>
    <w:p w14:paraId="5E5744D1" w14:textId="77777777" w:rsidR="00EB1D2B" w:rsidRPr="00B0468F" w:rsidRDefault="00EB1D2B" w:rsidP="00B0468F">
      <w:pPr>
        <w:widowControl w:val="0"/>
        <w:spacing w:line="240" w:lineRule="auto"/>
        <w:ind w:right="566"/>
        <w:rPr>
          <w:lang w:val="lt-LT"/>
        </w:rPr>
      </w:pPr>
    </w:p>
    <w:p w14:paraId="54F7F950" w14:textId="77777777" w:rsidR="00EB1D2B" w:rsidRPr="00B0468F" w:rsidRDefault="00EB1D2B" w:rsidP="00B0468F">
      <w:pPr>
        <w:widowControl w:val="0"/>
        <w:spacing w:line="240" w:lineRule="auto"/>
        <w:ind w:right="566"/>
        <w:rPr>
          <w:lang w:val="lt-LT"/>
        </w:rPr>
      </w:pPr>
      <w:r w:rsidRPr="00B0468F">
        <w:rPr>
          <w:lang w:val="lt-LT"/>
        </w:rPr>
        <w:t>Pasikalbėkite su savo gydytoju prieš pradėdami vartoti Eliskardia.</w:t>
      </w:r>
    </w:p>
    <w:p w14:paraId="482467C6" w14:textId="77777777" w:rsidR="00072485" w:rsidRPr="00B0468F" w:rsidRDefault="00072485" w:rsidP="00B0468F">
      <w:pPr>
        <w:widowControl w:val="0"/>
        <w:spacing w:line="240" w:lineRule="auto"/>
        <w:ind w:right="566"/>
        <w:rPr>
          <w:lang w:val="lt-LT"/>
        </w:rPr>
      </w:pPr>
    </w:p>
    <w:p w14:paraId="37ADFE7B" w14:textId="77777777" w:rsidR="00F34163" w:rsidRPr="00B0468F" w:rsidRDefault="00EB1D2B" w:rsidP="00B0468F">
      <w:pPr>
        <w:widowControl w:val="0"/>
        <w:spacing w:line="240" w:lineRule="auto"/>
        <w:ind w:right="566"/>
        <w:rPr>
          <w:lang w:val="lt-LT"/>
        </w:rPr>
      </w:pPr>
      <w:r w:rsidRPr="00B0468F">
        <w:rPr>
          <w:lang w:val="lt-LT"/>
        </w:rPr>
        <w:t>Prieš pradėdami vartoti Eliskardia turite pasakyti gydytojui, jeigu yra toliau išvardytų aplinkybių.</w:t>
      </w:r>
    </w:p>
    <w:p w14:paraId="29088F93" w14:textId="77777777" w:rsidR="00EB1D2B" w:rsidRPr="00B0468F" w:rsidRDefault="00EB1D2B" w:rsidP="00B0468F">
      <w:pPr>
        <w:widowControl w:val="0"/>
        <w:numPr>
          <w:ilvl w:val="0"/>
          <w:numId w:val="15"/>
        </w:numPr>
        <w:tabs>
          <w:tab w:val="clear" w:pos="567"/>
        </w:tabs>
        <w:autoSpaceDE w:val="0"/>
        <w:autoSpaceDN w:val="0"/>
        <w:adjustRightInd w:val="0"/>
        <w:spacing w:line="240" w:lineRule="auto"/>
        <w:ind w:left="567" w:right="566" w:hanging="567"/>
        <w:rPr>
          <w:rFonts w:eastAsia="Calibri"/>
          <w:color w:val="000000"/>
          <w:lang w:val="lt-LT"/>
        </w:rPr>
      </w:pPr>
      <w:r w:rsidRPr="00B0468F">
        <w:rPr>
          <w:rFonts w:eastAsia="Calibri"/>
          <w:color w:val="000000"/>
          <w:lang w:val="lt-LT"/>
        </w:rPr>
        <w:t>Jeigu yra padidėjusi kraujavimo rizika, pavyzdžiui:</w:t>
      </w:r>
    </w:p>
    <w:p w14:paraId="4878BA8A"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esate 75 metų ar vyresni. Gydytojas turės skirti Jums vartoti 5</w:t>
      </w:r>
      <w:r w:rsidR="007E12B3" w:rsidRPr="00B0468F">
        <w:rPr>
          <w:rFonts w:eastAsia="Calibri"/>
          <w:color w:val="000000"/>
          <w:lang w:val="lt-LT"/>
        </w:rPr>
        <w:t> </w:t>
      </w:r>
      <w:r w:rsidRPr="00B0468F">
        <w:rPr>
          <w:rFonts w:eastAsia="Calibri"/>
          <w:color w:val="000000"/>
          <w:lang w:val="lt-LT"/>
        </w:rPr>
        <w:t>mg paros dozę, nes vyresniems kaip 75 metų pacientams yra padidėjusi kraujavimo rizika;</w:t>
      </w:r>
    </w:p>
    <w:p w14:paraId="5A992C8E"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neseniai patyrėte sunkią traumą;</w:t>
      </w:r>
    </w:p>
    <w:p w14:paraId="414F170E"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neseniai patyrėte chirurginę operaciją (įskaitant kai kurias dantų procedūras);</w:t>
      </w:r>
    </w:p>
    <w:p w14:paraId="12345B44"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neseniai pasireiškė arba kartojasi kraujavimas iš skrandžio ar žarnų (pvz., dėl skrandžio opos ar gaubtinės žarnos polipų);</w:t>
      </w:r>
    </w:p>
    <w:p w14:paraId="7D9DF7BF"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kūno masė mažesnė kaip 60 kg. Jeigu sveriate mažiau kaip 60 kg, gydytojas turės skirti Jums vartoti 5</w:t>
      </w:r>
      <w:r w:rsidR="007E12B3" w:rsidRPr="00B0468F">
        <w:rPr>
          <w:rFonts w:eastAsia="Calibri"/>
          <w:color w:val="000000"/>
          <w:lang w:val="lt-LT"/>
        </w:rPr>
        <w:t> </w:t>
      </w:r>
      <w:r w:rsidRPr="00B0468F">
        <w:rPr>
          <w:rFonts w:eastAsia="Calibri"/>
          <w:color w:val="000000"/>
          <w:lang w:val="lt-LT"/>
        </w:rPr>
        <w:t xml:space="preserve">mg </w:t>
      </w:r>
      <w:r w:rsidR="00FA0ED5" w:rsidRPr="00B0468F">
        <w:rPr>
          <w:lang w:val="lt-LT"/>
        </w:rPr>
        <w:t>Eliskardia</w:t>
      </w:r>
      <w:r w:rsidRPr="00B0468F">
        <w:rPr>
          <w:rFonts w:eastAsia="Calibri"/>
          <w:color w:val="000000"/>
          <w:lang w:val="lt-LT"/>
        </w:rPr>
        <w:t xml:space="preserve"> paros dozę;</w:t>
      </w:r>
    </w:p>
    <w:p w14:paraId="3036557F"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inkstų (kepenų) liga arba vidutinio sunkumo kepenų funkcijos sutrikimas;</w:t>
      </w:r>
    </w:p>
    <w:p w14:paraId="2F7AAD66" w14:textId="1C394260"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tam tikrų vaistų vartojimas (žr. toliau esantį skyrelį</w:t>
      </w:r>
      <w:r w:rsidR="00217AE9" w:rsidRPr="00B0468F">
        <w:rPr>
          <w:color w:val="000000"/>
          <w:lang w:val="lt-LT"/>
        </w:rPr>
        <w:t>,</w:t>
      </w:r>
      <w:r w:rsidRPr="00B0468F">
        <w:rPr>
          <w:rFonts w:eastAsia="Calibri"/>
          <w:color w:val="000000"/>
          <w:lang w:val="lt-LT"/>
        </w:rPr>
        <w:t>,Kitų vaistų vartojimas“);</w:t>
      </w:r>
    </w:p>
    <w:p w14:paraId="105AE7BE"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 xml:space="preserve">per artimiausias septynias paras planuojama atlikti chirurginę operaciją (įskaitant kai kurias dantų procedūras). Dėl kraujavimo rizikos padidėjimo gydytojas gali nurodyti laikinai nutraukti </w:t>
      </w:r>
      <w:r w:rsidR="00FA0ED5" w:rsidRPr="00B0468F">
        <w:rPr>
          <w:lang w:val="lt-LT"/>
        </w:rPr>
        <w:t>Eliskardia</w:t>
      </w:r>
      <w:r w:rsidRPr="00B0468F">
        <w:rPr>
          <w:rFonts w:eastAsia="Calibri"/>
          <w:color w:val="000000"/>
          <w:lang w:val="lt-LT"/>
        </w:rPr>
        <w:t xml:space="preserve"> vartojimą.</w:t>
      </w:r>
    </w:p>
    <w:p w14:paraId="0A7914A8" w14:textId="77777777" w:rsidR="00073311" w:rsidRPr="00B0468F" w:rsidRDefault="00EB1D2B" w:rsidP="00B0468F">
      <w:pPr>
        <w:widowControl w:val="0"/>
        <w:numPr>
          <w:ilvl w:val="0"/>
          <w:numId w:val="16"/>
        </w:numPr>
        <w:tabs>
          <w:tab w:val="clear" w:pos="567"/>
        </w:tabs>
        <w:spacing w:line="240" w:lineRule="auto"/>
        <w:ind w:left="567" w:right="566" w:hanging="567"/>
        <w:rPr>
          <w:lang w:val="lt-LT"/>
        </w:rPr>
      </w:pPr>
      <w:r w:rsidRPr="00B0468F">
        <w:rPr>
          <w:rFonts w:eastAsia="Calibri"/>
          <w:color w:val="000000"/>
          <w:lang w:val="lt-LT"/>
        </w:rPr>
        <w:t xml:space="preserve">Jeigu Jums buvo alerginių reakcijų (padidėjęs jautrumas) klopidogreliui arba bet kuriam kitam antitrombocitiniam vaistui, pasakykite savo gydytojui prieš pradėdami vartoti </w:t>
      </w:r>
      <w:r w:rsidR="00DE0ECA" w:rsidRPr="00B0468F">
        <w:rPr>
          <w:lang w:val="lt-LT"/>
        </w:rPr>
        <w:t>Eliskardia</w:t>
      </w:r>
      <w:r w:rsidRPr="00B0468F">
        <w:rPr>
          <w:rFonts w:eastAsia="Calibri"/>
          <w:color w:val="000000"/>
          <w:lang w:val="lt-LT"/>
        </w:rPr>
        <w:t xml:space="preserve">. Jeigu po </w:t>
      </w:r>
      <w:r w:rsidR="00DE0ECA" w:rsidRPr="00B0468F">
        <w:rPr>
          <w:lang w:val="lt-LT"/>
        </w:rPr>
        <w:t>Eliskardia</w:t>
      </w:r>
      <w:r w:rsidRPr="00B0468F">
        <w:rPr>
          <w:rFonts w:eastAsia="Calibri"/>
          <w:color w:val="000000"/>
          <w:lang w:val="lt-LT"/>
        </w:rPr>
        <w:t xml:space="preserve"> pavartojimo atsirado alerginių reakcijų, tokių kaip išbėrimas, niežulys, veido patinimas, lūpų patinimas ar dusulys, turite </w:t>
      </w:r>
      <w:r w:rsidRPr="00B0468F">
        <w:rPr>
          <w:rFonts w:eastAsia="Calibri"/>
          <w:b/>
          <w:color w:val="000000"/>
          <w:lang w:val="lt-LT"/>
        </w:rPr>
        <w:t xml:space="preserve">nedelsdami </w:t>
      </w:r>
      <w:r w:rsidRPr="00B0468F">
        <w:rPr>
          <w:rFonts w:eastAsia="Calibri"/>
          <w:color w:val="000000"/>
          <w:lang w:val="lt-LT"/>
        </w:rPr>
        <w:t>pasakyti savo gydytojui.</w:t>
      </w:r>
    </w:p>
    <w:p w14:paraId="621A2016" w14:textId="77777777" w:rsidR="00DE0ECA" w:rsidRPr="00B0468F" w:rsidRDefault="00DE0ECA" w:rsidP="005350AF">
      <w:pPr>
        <w:widowControl w:val="0"/>
        <w:tabs>
          <w:tab w:val="clear" w:pos="567"/>
        </w:tabs>
        <w:spacing w:line="240" w:lineRule="auto"/>
        <w:ind w:right="566"/>
        <w:rPr>
          <w:lang w:val="lt-LT"/>
        </w:rPr>
      </w:pPr>
    </w:p>
    <w:p w14:paraId="1F4DC888" w14:textId="77777777" w:rsidR="00DE0ECA" w:rsidRPr="00B0468F" w:rsidRDefault="00085A6D" w:rsidP="005350AF">
      <w:pPr>
        <w:widowControl w:val="0"/>
        <w:tabs>
          <w:tab w:val="clear" w:pos="567"/>
        </w:tabs>
        <w:spacing w:line="240" w:lineRule="auto"/>
        <w:ind w:right="566"/>
        <w:rPr>
          <w:b/>
          <w:lang w:val="lt-LT"/>
        </w:rPr>
      </w:pPr>
      <w:r w:rsidRPr="00B0468F">
        <w:rPr>
          <w:b/>
          <w:lang w:val="lt-LT"/>
        </w:rPr>
        <w:t>Eliskardia</w:t>
      </w:r>
      <w:r w:rsidR="00DE0ECA" w:rsidRPr="00B0468F">
        <w:rPr>
          <w:b/>
          <w:lang w:val="lt-LT"/>
        </w:rPr>
        <w:t xml:space="preserve"> vartojimo metu:</w:t>
      </w:r>
    </w:p>
    <w:p w14:paraId="0612C966" w14:textId="77777777" w:rsidR="00DE0ECA" w:rsidRPr="00B0468F" w:rsidRDefault="00DE0ECA" w:rsidP="005350AF">
      <w:pPr>
        <w:widowControl w:val="0"/>
        <w:tabs>
          <w:tab w:val="clear" w:pos="567"/>
        </w:tabs>
        <w:spacing w:line="240" w:lineRule="auto"/>
        <w:ind w:right="566"/>
        <w:rPr>
          <w:lang w:val="lt-LT"/>
        </w:rPr>
      </w:pPr>
      <w:r w:rsidRPr="00B0468F">
        <w:rPr>
          <w:lang w:val="lt-LT"/>
        </w:rPr>
        <w:t>Turite nedelsdami pasakyti savo gydytojui, jeigu atsirado būklė, vadinama trombine trombocitine purpura (TTP). Ji reiškiasi karščiavimu ir poodinėmis kraujosruvomis (jos gali atrodyti kaip labai maži raudoni taškeliai) ir gali būti susijusi arba nesusijusi su nepaprastai dideliu nuovargiu, sumišimu, odos ar akių pageltimu (gelta) (žr. 4 skyrių „Galimas šalutinis poveikis“).</w:t>
      </w:r>
    </w:p>
    <w:p w14:paraId="19C5062E" w14:textId="77777777" w:rsidR="008406E0" w:rsidRPr="00B0468F" w:rsidRDefault="008406E0" w:rsidP="005350AF">
      <w:pPr>
        <w:widowControl w:val="0"/>
        <w:tabs>
          <w:tab w:val="clear" w:pos="567"/>
        </w:tabs>
        <w:spacing w:line="240" w:lineRule="auto"/>
        <w:ind w:right="566"/>
        <w:rPr>
          <w:lang w:val="lt-LT"/>
        </w:rPr>
      </w:pPr>
    </w:p>
    <w:p w14:paraId="368AC810" w14:textId="77777777" w:rsidR="00DE0ECA" w:rsidRPr="00B0468F" w:rsidRDefault="00DE0ECA" w:rsidP="005350AF">
      <w:pPr>
        <w:widowControl w:val="0"/>
        <w:tabs>
          <w:tab w:val="clear" w:pos="567"/>
        </w:tabs>
        <w:spacing w:line="240" w:lineRule="auto"/>
        <w:ind w:right="566"/>
        <w:rPr>
          <w:b/>
          <w:lang w:val="lt-LT"/>
        </w:rPr>
      </w:pPr>
      <w:r w:rsidRPr="00B0468F">
        <w:rPr>
          <w:b/>
          <w:lang w:val="lt-LT"/>
        </w:rPr>
        <w:t>Vaikams ir paaugliams</w:t>
      </w:r>
    </w:p>
    <w:p w14:paraId="0529CDE1" w14:textId="77777777" w:rsidR="00DE0ECA" w:rsidRPr="00B0468F" w:rsidRDefault="008406E0" w:rsidP="005350AF">
      <w:pPr>
        <w:widowControl w:val="0"/>
        <w:tabs>
          <w:tab w:val="clear" w:pos="567"/>
        </w:tabs>
        <w:spacing w:line="240" w:lineRule="auto"/>
        <w:ind w:right="566"/>
        <w:rPr>
          <w:lang w:val="lt-LT"/>
        </w:rPr>
      </w:pPr>
      <w:r w:rsidRPr="00B0468F">
        <w:rPr>
          <w:lang w:val="lt-LT"/>
        </w:rPr>
        <w:t>Eliskardia</w:t>
      </w:r>
      <w:r w:rsidR="00DE0ECA" w:rsidRPr="00B0468F">
        <w:rPr>
          <w:lang w:val="lt-LT"/>
        </w:rPr>
        <w:t xml:space="preserve"> negalima vartoti vaikams ir jaunesniems kaip 18 metų paaugliams.</w:t>
      </w:r>
    </w:p>
    <w:p w14:paraId="2FCBEFD4" w14:textId="77777777" w:rsidR="00C23E74" w:rsidRPr="00B0468F" w:rsidRDefault="00C23E74" w:rsidP="005350AF">
      <w:pPr>
        <w:widowControl w:val="0"/>
        <w:numPr>
          <w:ilvl w:val="12"/>
          <w:numId w:val="0"/>
        </w:numPr>
        <w:tabs>
          <w:tab w:val="clear" w:pos="567"/>
        </w:tabs>
        <w:spacing w:line="240" w:lineRule="auto"/>
        <w:ind w:right="566"/>
        <w:rPr>
          <w:b/>
          <w:lang w:val="lt-LT"/>
        </w:rPr>
      </w:pPr>
    </w:p>
    <w:p w14:paraId="3DBC6F9B"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Kiti vaistai ir </w:t>
      </w:r>
      <w:r w:rsidR="00680511" w:rsidRPr="00B0468F">
        <w:rPr>
          <w:rFonts w:ascii="Times New Roman" w:hAnsi="Times New Roman"/>
          <w:sz w:val="22"/>
          <w:lang w:val="lt-LT"/>
        </w:rPr>
        <w:t>Eliskardia</w:t>
      </w:r>
    </w:p>
    <w:p w14:paraId="0112741D" w14:textId="77777777" w:rsidR="006D2A1F" w:rsidRPr="00B0468F" w:rsidRDefault="006D2A1F" w:rsidP="005350AF">
      <w:pPr>
        <w:widowControl w:val="0"/>
        <w:numPr>
          <w:ilvl w:val="12"/>
          <w:numId w:val="0"/>
        </w:numPr>
        <w:tabs>
          <w:tab w:val="clear" w:pos="567"/>
        </w:tabs>
        <w:spacing w:line="240" w:lineRule="auto"/>
        <w:ind w:right="566"/>
        <w:rPr>
          <w:lang w:val="lt-LT"/>
        </w:rPr>
      </w:pPr>
      <w:r w:rsidRPr="00B0468F">
        <w:rPr>
          <w:lang w:val="lt-LT"/>
        </w:rPr>
        <w:t>Jeigu vartojate ar neseniai vartojote kitų vaistų arba dėl to nesate tikri, apie tai pasakykite gydytojui arba vaistininkui. Labai svarbu pasakyti gydytojui, jeigu jau vartojate klopidogrelį (trombocitų funkciją slopinantis vaistas), varfariną (kraujo krešėjimą mažinantis vaistas) ar nesteroidinių vaistų nuo uždegimo skausmui slopinti ar karščiavimui mažinti (pvz., ibuprofeną, naprokseną, etorikoksibą). Kartu su prazugreliu vartojami šie vaistai gali didinti kraujavimo riziką.</w:t>
      </w:r>
    </w:p>
    <w:p w14:paraId="3BFD381B" w14:textId="77777777" w:rsidR="006D2A1F" w:rsidRPr="00B0468F" w:rsidRDefault="006D2A1F" w:rsidP="005350AF">
      <w:pPr>
        <w:widowControl w:val="0"/>
        <w:numPr>
          <w:ilvl w:val="12"/>
          <w:numId w:val="0"/>
        </w:numPr>
        <w:tabs>
          <w:tab w:val="clear" w:pos="567"/>
        </w:tabs>
        <w:spacing w:line="240" w:lineRule="auto"/>
        <w:ind w:right="566"/>
        <w:rPr>
          <w:lang w:val="lt-LT"/>
        </w:rPr>
      </w:pPr>
    </w:p>
    <w:p w14:paraId="7C5E26CB" w14:textId="77777777" w:rsidR="006B1C8A" w:rsidRPr="00B0468F" w:rsidRDefault="0093470E" w:rsidP="005350AF">
      <w:pPr>
        <w:widowControl w:val="0"/>
        <w:numPr>
          <w:ilvl w:val="12"/>
          <w:numId w:val="0"/>
        </w:numPr>
        <w:spacing w:line="240" w:lineRule="auto"/>
        <w:ind w:right="566"/>
        <w:rPr>
          <w:lang w:val="lt-LT"/>
        </w:rPr>
      </w:pPr>
      <w:r w:rsidRPr="00B0468F">
        <w:rPr>
          <w:lang w:val="lt-LT"/>
        </w:rPr>
        <w:t>Pasakykite savo gydytojui, jeigu vartojate morfiną ar kitokius opioidus (vartojami sunkiam skausmui malšinti).</w:t>
      </w:r>
    </w:p>
    <w:p w14:paraId="43032DE3" w14:textId="77777777" w:rsidR="0093470E" w:rsidRPr="00B0468F" w:rsidRDefault="0093470E" w:rsidP="005350AF">
      <w:pPr>
        <w:widowControl w:val="0"/>
        <w:numPr>
          <w:ilvl w:val="12"/>
          <w:numId w:val="0"/>
        </w:numPr>
        <w:spacing w:line="240" w:lineRule="auto"/>
        <w:ind w:right="566"/>
        <w:rPr>
          <w:lang w:val="lt-LT"/>
        </w:rPr>
      </w:pPr>
    </w:p>
    <w:p w14:paraId="6C0425EB" w14:textId="77777777" w:rsidR="006D2A1F" w:rsidRPr="00B0468F" w:rsidRDefault="006D2A1F" w:rsidP="005350AF">
      <w:pPr>
        <w:widowControl w:val="0"/>
        <w:numPr>
          <w:ilvl w:val="12"/>
          <w:numId w:val="0"/>
        </w:numPr>
        <w:tabs>
          <w:tab w:val="clear" w:pos="567"/>
        </w:tabs>
        <w:spacing w:line="240" w:lineRule="auto"/>
        <w:ind w:right="566"/>
        <w:rPr>
          <w:lang w:val="lt-LT"/>
        </w:rPr>
      </w:pPr>
      <w:r w:rsidRPr="00B0468F">
        <w:rPr>
          <w:lang w:val="lt-LT"/>
        </w:rPr>
        <w:t>Vartojant prazugrelį, kitų vaistų galima vartoti tik tada, jeigu gydytojas nurodo, kad galite juos vartoti kartu.</w:t>
      </w:r>
    </w:p>
    <w:p w14:paraId="762F9B02" w14:textId="77777777" w:rsidR="006D2A1F" w:rsidRPr="00B0468F" w:rsidRDefault="006D2A1F" w:rsidP="005350AF">
      <w:pPr>
        <w:widowControl w:val="0"/>
        <w:numPr>
          <w:ilvl w:val="12"/>
          <w:numId w:val="0"/>
        </w:numPr>
        <w:tabs>
          <w:tab w:val="clear" w:pos="567"/>
        </w:tabs>
        <w:spacing w:line="240" w:lineRule="auto"/>
        <w:ind w:right="566"/>
        <w:rPr>
          <w:lang w:val="lt-LT"/>
        </w:rPr>
      </w:pPr>
    </w:p>
    <w:p w14:paraId="1B5A98A2" w14:textId="77777777" w:rsidR="006D2A1F" w:rsidRPr="00B0468F" w:rsidRDefault="006D2A1F" w:rsidP="005350AF">
      <w:pPr>
        <w:widowControl w:val="0"/>
        <w:numPr>
          <w:ilvl w:val="12"/>
          <w:numId w:val="0"/>
        </w:numPr>
        <w:tabs>
          <w:tab w:val="clear" w:pos="567"/>
        </w:tabs>
        <w:spacing w:line="240" w:lineRule="auto"/>
        <w:ind w:right="566"/>
        <w:rPr>
          <w:b/>
          <w:lang w:val="lt-LT"/>
        </w:rPr>
      </w:pPr>
      <w:r w:rsidRPr="00B0468F">
        <w:rPr>
          <w:b/>
          <w:lang w:val="lt-LT"/>
        </w:rPr>
        <w:t>Nėštumas, žindymo laikotarpis</w:t>
      </w:r>
    </w:p>
    <w:p w14:paraId="7D9E50E5" w14:textId="77777777" w:rsidR="00E86B5F" w:rsidRPr="00B0468F" w:rsidRDefault="00E86B5F" w:rsidP="005350AF">
      <w:pPr>
        <w:widowControl w:val="0"/>
        <w:numPr>
          <w:ilvl w:val="12"/>
          <w:numId w:val="0"/>
        </w:numPr>
        <w:tabs>
          <w:tab w:val="clear" w:pos="567"/>
          <w:tab w:val="left" w:pos="1296"/>
        </w:tabs>
        <w:snapToGrid w:val="0"/>
        <w:spacing w:line="240" w:lineRule="auto"/>
        <w:ind w:right="566"/>
        <w:rPr>
          <w:lang w:val="lt-LT"/>
        </w:rPr>
      </w:pPr>
      <w:r w:rsidRPr="00B0468F">
        <w:rPr>
          <w:lang w:val="lt-LT"/>
        </w:rPr>
        <w:lastRenderedPageBreak/>
        <w:t>Jeigu esate nėščia, žindote kūdikį, manote, kad galbūt esate nėščia, arba planuojate pastoti, tai prieš vartodama šį vaistą, pasitarkite su gydytoju arba vaistininku.</w:t>
      </w:r>
    </w:p>
    <w:p w14:paraId="3D925D6C" w14:textId="77777777" w:rsidR="00ED4B38" w:rsidRPr="00B0468F" w:rsidRDefault="00ED4B38" w:rsidP="005350AF">
      <w:pPr>
        <w:widowControl w:val="0"/>
        <w:numPr>
          <w:ilvl w:val="12"/>
          <w:numId w:val="0"/>
        </w:numPr>
        <w:tabs>
          <w:tab w:val="clear" w:pos="567"/>
        </w:tabs>
        <w:spacing w:line="240" w:lineRule="auto"/>
        <w:ind w:right="566"/>
        <w:rPr>
          <w:lang w:val="lt-LT"/>
        </w:rPr>
      </w:pPr>
      <w:r w:rsidRPr="00B0468F">
        <w:rPr>
          <w:lang w:val="lt-LT"/>
        </w:rPr>
        <w:t>Jeigu pastojote arba planuojate pastoti vartodama Eliskardia, pasakykite gydytojui.</w:t>
      </w:r>
    </w:p>
    <w:p w14:paraId="3316D85E" w14:textId="77777777" w:rsidR="00E86B5F" w:rsidRPr="00B0468F" w:rsidRDefault="00ED4B38" w:rsidP="005350AF">
      <w:pPr>
        <w:widowControl w:val="0"/>
        <w:numPr>
          <w:ilvl w:val="12"/>
          <w:numId w:val="0"/>
        </w:numPr>
        <w:tabs>
          <w:tab w:val="clear" w:pos="567"/>
        </w:tabs>
        <w:spacing w:line="240" w:lineRule="auto"/>
        <w:ind w:right="566"/>
        <w:rPr>
          <w:lang w:val="lt-LT"/>
        </w:rPr>
      </w:pPr>
      <w:r w:rsidRPr="00B0468F">
        <w:rPr>
          <w:lang w:val="lt-LT"/>
        </w:rPr>
        <w:t>Eliskardia vartoti galima tik po to, kai su gydytoju aptarsite laukiamą naudą ir galimą riziką Jūsų negimusiam vaikui.</w:t>
      </w:r>
    </w:p>
    <w:p w14:paraId="0E7769B7" w14:textId="77777777" w:rsidR="00ED4B38" w:rsidRPr="00B0468F" w:rsidRDefault="00ED4B38" w:rsidP="005350AF">
      <w:pPr>
        <w:widowControl w:val="0"/>
        <w:numPr>
          <w:ilvl w:val="12"/>
          <w:numId w:val="0"/>
        </w:numPr>
        <w:tabs>
          <w:tab w:val="clear" w:pos="567"/>
        </w:tabs>
        <w:spacing w:line="240" w:lineRule="auto"/>
        <w:ind w:right="566"/>
        <w:rPr>
          <w:lang w:val="lt-LT"/>
        </w:rPr>
      </w:pPr>
    </w:p>
    <w:p w14:paraId="161F439C" w14:textId="77777777" w:rsidR="006D2A1F" w:rsidRPr="00B0468F" w:rsidRDefault="006D2A1F" w:rsidP="005350AF">
      <w:pPr>
        <w:widowControl w:val="0"/>
        <w:numPr>
          <w:ilvl w:val="12"/>
          <w:numId w:val="0"/>
        </w:numPr>
        <w:tabs>
          <w:tab w:val="clear" w:pos="567"/>
        </w:tabs>
        <w:spacing w:line="240" w:lineRule="auto"/>
        <w:ind w:right="566"/>
        <w:rPr>
          <w:b/>
          <w:lang w:val="lt-LT"/>
        </w:rPr>
      </w:pPr>
      <w:r w:rsidRPr="00B0468F">
        <w:rPr>
          <w:b/>
          <w:lang w:val="lt-LT"/>
        </w:rPr>
        <w:t>Vairavimas ir mechanizmų valdymas</w:t>
      </w:r>
    </w:p>
    <w:p w14:paraId="48717F01" w14:textId="77777777" w:rsidR="00555122" w:rsidRPr="00B0468F" w:rsidRDefault="006D2A1F" w:rsidP="005350AF">
      <w:pPr>
        <w:widowControl w:val="0"/>
        <w:numPr>
          <w:ilvl w:val="12"/>
          <w:numId w:val="0"/>
        </w:numPr>
        <w:tabs>
          <w:tab w:val="clear" w:pos="567"/>
        </w:tabs>
        <w:spacing w:line="240" w:lineRule="auto"/>
        <w:ind w:right="566"/>
        <w:rPr>
          <w:lang w:val="lt-LT"/>
        </w:rPr>
      </w:pPr>
      <w:r w:rsidRPr="00B0468F">
        <w:rPr>
          <w:lang w:val="lt-LT"/>
        </w:rPr>
        <w:t xml:space="preserve">Manoma, kad </w:t>
      </w:r>
      <w:r w:rsidR="00B26D92" w:rsidRPr="00B0468F">
        <w:rPr>
          <w:lang w:val="lt-LT"/>
        </w:rPr>
        <w:t>Eliskardia</w:t>
      </w:r>
      <w:r w:rsidRPr="00B0468F">
        <w:rPr>
          <w:lang w:val="lt-LT"/>
        </w:rPr>
        <w:t xml:space="preserve"> gebėjimo vairuoti ir valdyti mechanizmus neveikia.</w:t>
      </w:r>
    </w:p>
    <w:p w14:paraId="45222035" w14:textId="77777777" w:rsidR="00B26D92" w:rsidRPr="00B0468F" w:rsidRDefault="00B26D92" w:rsidP="005350AF">
      <w:pPr>
        <w:widowControl w:val="0"/>
        <w:numPr>
          <w:ilvl w:val="12"/>
          <w:numId w:val="0"/>
        </w:numPr>
        <w:tabs>
          <w:tab w:val="clear" w:pos="567"/>
        </w:tabs>
        <w:spacing w:line="240" w:lineRule="auto"/>
        <w:ind w:right="566"/>
        <w:rPr>
          <w:lang w:val="lt-LT"/>
        </w:rPr>
      </w:pPr>
    </w:p>
    <w:p w14:paraId="493A58BC" w14:textId="77777777" w:rsidR="00B26D92" w:rsidRPr="00B0468F" w:rsidRDefault="00B26D92" w:rsidP="005350AF">
      <w:pPr>
        <w:widowControl w:val="0"/>
        <w:numPr>
          <w:ilvl w:val="12"/>
          <w:numId w:val="0"/>
        </w:numPr>
        <w:tabs>
          <w:tab w:val="clear" w:pos="567"/>
        </w:tabs>
        <w:spacing w:line="240" w:lineRule="auto"/>
        <w:ind w:right="566"/>
        <w:rPr>
          <w:b/>
          <w:lang w:val="lt-LT"/>
        </w:rPr>
      </w:pPr>
      <w:r w:rsidRPr="00B0468F">
        <w:rPr>
          <w:b/>
          <w:lang w:val="lt-LT"/>
        </w:rPr>
        <w:t>Eliskardia sudėtyje yra laktozės ir natrio</w:t>
      </w:r>
    </w:p>
    <w:p w14:paraId="5E6B0913" w14:textId="77777777" w:rsidR="00B26D92" w:rsidRPr="00B0468F" w:rsidRDefault="00B26D92" w:rsidP="005350AF">
      <w:pPr>
        <w:widowControl w:val="0"/>
        <w:numPr>
          <w:ilvl w:val="12"/>
          <w:numId w:val="0"/>
        </w:numPr>
        <w:tabs>
          <w:tab w:val="clear" w:pos="567"/>
        </w:tabs>
        <w:spacing w:line="240" w:lineRule="auto"/>
        <w:ind w:right="566"/>
        <w:rPr>
          <w:lang w:val="lt-LT"/>
        </w:rPr>
      </w:pPr>
      <w:r w:rsidRPr="00B0468F">
        <w:rPr>
          <w:lang w:val="lt-LT"/>
        </w:rPr>
        <w:t>Jeigu gydytojas Jums yra sakęs, kad netoleruojate kokių nors angliavandenių, kreipkitės į jį prieš pradėdami vartoti šį vaistą.</w:t>
      </w:r>
    </w:p>
    <w:p w14:paraId="4B480381" w14:textId="77777777" w:rsidR="00B26D92" w:rsidRPr="00B0468F" w:rsidRDefault="00072485" w:rsidP="005350AF">
      <w:pPr>
        <w:widowControl w:val="0"/>
        <w:numPr>
          <w:ilvl w:val="12"/>
          <w:numId w:val="0"/>
        </w:numPr>
        <w:tabs>
          <w:tab w:val="clear" w:pos="567"/>
        </w:tabs>
        <w:spacing w:line="240" w:lineRule="auto"/>
        <w:ind w:right="566"/>
        <w:rPr>
          <w:lang w:val="lt-LT"/>
        </w:rPr>
      </w:pPr>
      <w:r w:rsidRPr="00B0468F">
        <w:rPr>
          <w:lang w:val="lt-LT"/>
        </w:rPr>
        <w:t>Eliskardia</w:t>
      </w:r>
      <w:r w:rsidR="00B26D92" w:rsidRPr="00B0468F">
        <w:rPr>
          <w:lang w:val="lt-LT"/>
        </w:rPr>
        <w:t xml:space="preserve"> </w:t>
      </w:r>
      <w:r w:rsidRPr="00B0468F">
        <w:rPr>
          <w:lang w:val="lt-LT"/>
        </w:rPr>
        <w:t>dozėje</w:t>
      </w:r>
      <w:r w:rsidR="00B26D92" w:rsidRPr="00B0468F">
        <w:rPr>
          <w:lang w:val="lt-LT"/>
        </w:rPr>
        <w:t xml:space="preserve"> yra mažiau kaip 1 mmol (23 mg) natrio, t. y. jis beveik neturi reikšmės.</w:t>
      </w:r>
    </w:p>
    <w:p w14:paraId="24BB5165" w14:textId="77777777" w:rsidR="0020788B" w:rsidRPr="00B0468F" w:rsidRDefault="0020788B" w:rsidP="005350AF">
      <w:pPr>
        <w:widowControl w:val="0"/>
        <w:numPr>
          <w:ilvl w:val="12"/>
          <w:numId w:val="0"/>
        </w:numPr>
        <w:tabs>
          <w:tab w:val="clear" w:pos="567"/>
        </w:tabs>
        <w:spacing w:line="240" w:lineRule="auto"/>
        <w:ind w:right="566"/>
        <w:rPr>
          <w:lang w:val="lt-LT"/>
        </w:rPr>
      </w:pPr>
    </w:p>
    <w:p w14:paraId="412E47E3"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2788B226"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3.</w:t>
      </w:r>
      <w:r w:rsidRPr="00B0468F">
        <w:rPr>
          <w:rFonts w:ascii="Times New Roman" w:hAnsi="Times New Roman"/>
          <w:sz w:val="22"/>
          <w:lang w:val="lt-LT"/>
        </w:rPr>
        <w:tab/>
        <w:t xml:space="preserve">Kaip vartoti </w:t>
      </w:r>
      <w:r w:rsidR="00813E7F" w:rsidRPr="00B0468F">
        <w:rPr>
          <w:rFonts w:ascii="Times New Roman" w:hAnsi="Times New Roman"/>
          <w:sz w:val="22"/>
          <w:lang w:val="lt-LT"/>
        </w:rPr>
        <w:t>Eliskardia</w:t>
      </w:r>
    </w:p>
    <w:p w14:paraId="422717BF"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70C6E036" w14:textId="77777777" w:rsidR="00810919" w:rsidRPr="00B0468F" w:rsidRDefault="00810919" w:rsidP="005350AF">
      <w:pPr>
        <w:widowControl w:val="0"/>
        <w:numPr>
          <w:ilvl w:val="12"/>
          <w:numId w:val="0"/>
        </w:numPr>
        <w:tabs>
          <w:tab w:val="clear" w:pos="567"/>
        </w:tabs>
        <w:spacing w:line="240" w:lineRule="auto"/>
        <w:ind w:right="566"/>
        <w:rPr>
          <w:lang w:val="lt-LT"/>
        </w:rPr>
      </w:pPr>
      <w:r w:rsidRPr="00B0468F">
        <w:rPr>
          <w:lang w:val="lt-LT"/>
        </w:rPr>
        <w:t>Visada vartokite šį vaistą tiksliai, kaip nurodė gydytojas. Jeigu abejojate, kreipkitės į gydytoją arba vaistininką.</w:t>
      </w:r>
    </w:p>
    <w:p w14:paraId="1894720E" w14:textId="77777777" w:rsidR="00810919" w:rsidRPr="00B0468F" w:rsidRDefault="00810919" w:rsidP="005350AF">
      <w:pPr>
        <w:widowControl w:val="0"/>
        <w:numPr>
          <w:ilvl w:val="12"/>
          <w:numId w:val="0"/>
        </w:numPr>
        <w:tabs>
          <w:tab w:val="clear" w:pos="567"/>
        </w:tabs>
        <w:spacing w:line="240" w:lineRule="auto"/>
        <w:ind w:right="566"/>
        <w:rPr>
          <w:lang w:val="lt-LT"/>
        </w:rPr>
      </w:pPr>
    </w:p>
    <w:p w14:paraId="11E82F12" w14:textId="77777777" w:rsidR="00810919" w:rsidRPr="00B0468F" w:rsidRDefault="00810919" w:rsidP="005350AF">
      <w:pPr>
        <w:widowControl w:val="0"/>
        <w:numPr>
          <w:ilvl w:val="12"/>
          <w:numId w:val="0"/>
        </w:numPr>
        <w:tabs>
          <w:tab w:val="clear" w:pos="567"/>
        </w:tabs>
        <w:spacing w:line="240" w:lineRule="auto"/>
        <w:ind w:right="566"/>
        <w:rPr>
          <w:lang w:val="lt-LT"/>
        </w:rPr>
      </w:pPr>
      <w:r w:rsidRPr="00B0468F">
        <w:rPr>
          <w:lang w:val="lt-LT"/>
        </w:rPr>
        <w:t>Rekomenduojama</w:t>
      </w:r>
      <w:r w:rsidR="00D74061" w:rsidRPr="00B0468F">
        <w:rPr>
          <w:lang w:val="lt-LT"/>
        </w:rPr>
        <w:t xml:space="preserve"> dozė yra 10 </w:t>
      </w:r>
      <w:r w:rsidRPr="00B0468F">
        <w:rPr>
          <w:lang w:val="lt-LT"/>
        </w:rPr>
        <w:t>mg per parą. Gydymo pradžioj</w:t>
      </w:r>
      <w:r w:rsidR="00D74061" w:rsidRPr="00B0468F">
        <w:rPr>
          <w:lang w:val="lt-LT"/>
        </w:rPr>
        <w:t>e reikės išgerti vienkartinę 60 </w:t>
      </w:r>
      <w:r w:rsidRPr="00B0468F">
        <w:rPr>
          <w:lang w:val="lt-LT"/>
        </w:rPr>
        <w:t>mg dozę.</w:t>
      </w:r>
    </w:p>
    <w:p w14:paraId="136290EC" w14:textId="77777777" w:rsidR="00810919" w:rsidRPr="00B0468F" w:rsidRDefault="00D74061" w:rsidP="005350AF">
      <w:pPr>
        <w:widowControl w:val="0"/>
        <w:numPr>
          <w:ilvl w:val="12"/>
          <w:numId w:val="0"/>
        </w:numPr>
        <w:tabs>
          <w:tab w:val="clear" w:pos="567"/>
        </w:tabs>
        <w:spacing w:line="240" w:lineRule="auto"/>
        <w:ind w:right="566"/>
        <w:rPr>
          <w:lang w:val="lt-LT"/>
        </w:rPr>
      </w:pPr>
      <w:r w:rsidRPr="00B0468F">
        <w:rPr>
          <w:lang w:val="lt-LT"/>
        </w:rPr>
        <w:t>Jeigu sveriate mažiau kaip 60 </w:t>
      </w:r>
      <w:r w:rsidR="00810919" w:rsidRPr="00B0468F">
        <w:rPr>
          <w:lang w:val="lt-LT"/>
        </w:rPr>
        <w:t>kg arba esate vyresnis</w:t>
      </w:r>
      <w:r w:rsidRPr="00B0468F">
        <w:rPr>
          <w:lang w:val="lt-LT"/>
        </w:rPr>
        <w:t xml:space="preserve"> kaip 75 metų, reikia vartoti 5 </w:t>
      </w:r>
      <w:r w:rsidR="00810919" w:rsidRPr="00B0468F">
        <w:rPr>
          <w:lang w:val="lt-LT"/>
        </w:rPr>
        <w:t xml:space="preserve">mg </w:t>
      </w:r>
      <w:r w:rsidRPr="00B0468F">
        <w:rPr>
          <w:lang w:val="lt-LT"/>
        </w:rPr>
        <w:t>Eliskardia</w:t>
      </w:r>
      <w:r w:rsidR="00810919" w:rsidRPr="00B0468F">
        <w:rPr>
          <w:lang w:val="lt-LT"/>
        </w:rPr>
        <w:t xml:space="preserve"> per parą.</w:t>
      </w:r>
    </w:p>
    <w:p w14:paraId="475E56DF" w14:textId="77777777" w:rsidR="00810919" w:rsidRPr="00B0468F" w:rsidRDefault="00810919" w:rsidP="005350AF">
      <w:pPr>
        <w:widowControl w:val="0"/>
        <w:numPr>
          <w:ilvl w:val="12"/>
          <w:numId w:val="0"/>
        </w:numPr>
        <w:tabs>
          <w:tab w:val="clear" w:pos="567"/>
        </w:tabs>
        <w:spacing w:line="240" w:lineRule="auto"/>
        <w:ind w:right="566"/>
        <w:rPr>
          <w:lang w:val="lt-LT"/>
        </w:rPr>
      </w:pPr>
      <w:r w:rsidRPr="00B0468F">
        <w:rPr>
          <w:lang w:val="lt-LT"/>
        </w:rPr>
        <w:t>Gydytojas taip pat nurodys vartoti acetilsalicilo rūgšties. Gydytojas nurodys tikslią dozę, kurią tur</w:t>
      </w:r>
      <w:r w:rsidR="004F6383" w:rsidRPr="00B0468F">
        <w:rPr>
          <w:lang w:val="lt-LT"/>
        </w:rPr>
        <w:t>ėsite vartoti (paprastai nuo 75 mg iki 325 </w:t>
      </w:r>
      <w:r w:rsidRPr="00B0468F">
        <w:rPr>
          <w:lang w:val="lt-LT"/>
        </w:rPr>
        <w:t>mg per parą).</w:t>
      </w:r>
    </w:p>
    <w:p w14:paraId="09377824" w14:textId="77777777" w:rsidR="00BA79FF" w:rsidRPr="00B0468F" w:rsidRDefault="00BA79FF" w:rsidP="005350AF">
      <w:pPr>
        <w:widowControl w:val="0"/>
        <w:numPr>
          <w:ilvl w:val="12"/>
          <w:numId w:val="0"/>
        </w:numPr>
        <w:tabs>
          <w:tab w:val="clear" w:pos="567"/>
        </w:tabs>
        <w:spacing w:line="240" w:lineRule="auto"/>
        <w:ind w:right="566"/>
        <w:rPr>
          <w:lang w:val="lt-LT"/>
        </w:rPr>
      </w:pPr>
    </w:p>
    <w:p w14:paraId="3008A95D" w14:textId="77777777" w:rsidR="00810919" w:rsidRPr="00B0468F" w:rsidRDefault="00BA79FF" w:rsidP="005350AF">
      <w:pPr>
        <w:widowControl w:val="0"/>
        <w:numPr>
          <w:ilvl w:val="12"/>
          <w:numId w:val="0"/>
        </w:numPr>
        <w:tabs>
          <w:tab w:val="clear" w:pos="567"/>
        </w:tabs>
        <w:spacing w:line="240" w:lineRule="auto"/>
        <w:ind w:right="566"/>
        <w:rPr>
          <w:lang w:val="lt-LT"/>
        </w:rPr>
      </w:pPr>
      <w:r w:rsidRPr="00B0468F">
        <w:rPr>
          <w:lang w:val="lt-LT"/>
        </w:rPr>
        <w:t>Eliskardia</w:t>
      </w:r>
      <w:r w:rsidR="00810919" w:rsidRPr="00B0468F">
        <w:rPr>
          <w:lang w:val="lt-LT"/>
        </w:rPr>
        <w:t xml:space="preserve"> galite išgerti valgant arba nevalgius. Vaisto dozę vartokite kasdien maždaug tuo pačiu laiku. Tabletės laužyti ar traiškyti negalima.</w:t>
      </w:r>
    </w:p>
    <w:p w14:paraId="575615AC" w14:textId="77777777" w:rsidR="00BA79FF" w:rsidRPr="00B0468F" w:rsidRDefault="00BA79FF" w:rsidP="005350AF">
      <w:pPr>
        <w:widowControl w:val="0"/>
        <w:numPr>
          <w:ilvl w:val="12"/>
          <w:numId w:val="0"/>
        </w:numPr>
        <w:tabs>
          <w:tab w:val="clear" w:pos="567"/>
        </w:tabs>
        <w:spacing w:line="240" w:lineRule="auto"/>
        <w:ind w:right="566"/>
        <w:rPr>
          <w:lang w:val="lt-LT"/>
        </w:rPr>
      </w:pPr>
    </w:p>
    <w:p w14:paraId="1C8A4CDD" w14:textId="77777777" w:rsidR="00653B9F" w:rsidRPr="00B0468F" w:rsidRDefault="00810919" w:rsidP="005350AF">
      <w:pPr>
        <w:widowControl w:val="0"/>
        <w:numPr>
          <w:ilvl w:val="12"/>
          <w:numId w:val="0"/>
        </w:numPr>
        <w:tabs>
          <w:tab w:val="clear" w:pos="567"/>
        </w:tabs>
        <w:spacing w:line="240" w:lineRule="auto"/>
        <w:ind w:right="566"/>
        <w:rPr>
          <w:lang w:val="lt-LT"/>
        </w:rPr>
      </w:pPr>
      <w:r w:rsidRPr="00B0468F">
        <w:rPr>
          <w:lang w:val="lt-LT"/>
        </w:rPr>
        <w:t xml:space="preserve">Svarbu pasakyti gydytojui, dantų gydytojui ar vaistininkui, kad vartojate </w:t>
      </w:r>
      <w:r w:rsidR="00C27488" w:rsidRPr="00B0468F">
        <w:rPr>
          <w:lang w:val="lt-LT"/>
        </w:rPr>
        <w:t>Eliskardia</w:t>
      </w:r>
      <w:r w:rsidRPr="00B0468F">
        <w:rPr>
          <w:lang w:val="lt-LT"/>
        </w:rPr>
        <w:t>.</w:t>
      </w:r>
    </w:p>
    <w:p w14:paraId="00B38AEA" w14:textId="77777777" w:rsidR="00BA79FF" w:rsidRPr="00B0468F" w:rsidRDefault="00BA79FF" w:rsidP="005350AF">
      <w:pPr>
        <w:widowControl w:val="0"/>
        <w:numPr>
          <w:ilvl w:val="12"/>
          <w:numId w:val="0"/>
        </w:numPr>
        <w:tabs>
          <w:tab w:val="clear" w:pos="567"/>
        </w:tabs>
        <w:spacing w:line="240" w:lineRule="auto"/>
        <w:ind w:right="566"/>
        <w:rPr>
          <w:lang w:val="lt-LT"/>
        </w:rPr>
      </w:pPr>
    </w:p>
    <w:p w14:paraId="02E4D135"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Ką daryti pavartojus per didelę </w:t>
      </w:r>
      <w:r w:rsidR="00F86531" w:rsidRPr="00B0468F">
        <w:rPr>
          <w:rFonts w:ascii="Times New Roman" w:hAnsi="Times New Roman"/>
          <w:sz w:val="22"/>
          <w:lang w:val="lt-LT"/>
        </w:rPr>
        <w:t>Eliskardia</w:t>
      </w:r>
      <w:r w:rsidR="003E01D4" w:rsidRPr="00B0468F">
        <w:rPr>
          <w:rFonts w:ascii="Times New Roman" w:hAnsi="Times New Roman"/>
          <w:sz w:val="22"/>
          <w:lang w:val="lt-LT"/>
        </w:rPr>
        <w:t xml:space="preserve"> dozę?</w:t>
      </w:r>
    </w:p>
    <w:p w14:paraId="1F3A9973" w14:textId="77777777" w:rsidR="003E01D4" w:rsidRPr="00B0468F" w:rsidRDefault="00091FBB" w:rsidP="005350AF">
      <w:pPr>
        <w:widowControl w:val="0"/>
        <w:numPr>
          <w:ilvl w:val="12"/>
          <w:numId w:val="0"/>
        </w:numPr>
        <w:tabs>
          <w:tab w:val="clear" w:pos="567"/>
        </w:tabs>
        <w:spacing w:line="240" w:lineRule="auto"/>
        <w:ind w:right="566"/>
        <w:rPr>
          <w:lang w:val="lt-LT"/>
        </w:rPr>
      </w:pPr>
      <w:r w:rsidRPr="00B0468F">
        <w:rPr>
          <w:lang w:val="lt-LT"/>
        </w:rPr>
        <w:t>Nedelsdami kreipkitės į gydytoją arba vykite į ligoninę, nes gali kilti masyvaus kraujavimo rizika. Turėtumėte parodyti gydytojui Eliskardia pakuotę.</w:t>
      </w:r>
    </w:p>
    <w:p w14:paraId="261DA2C9" w14:textId="77777777" w:rsidR="00091FBB" w:rsidRPr="00B0468F" w:rsidRDefault="00091FBB" w:rsidP="005350AF">
      <w:pPr>
        <w:widowControl w:val="0"/>
        <w:numPr>
          <w:ilvl w:val="12"/>
          <w:numId w:val="0"/>
        </w:numPr>
        <w:tabs>
          <w:tab w:val="clear" w:pos="567"/>
        </w:tabs>
        <w:spacing w:line="240" w:lineRule="auto"/>
        <w:ind w:right="566"/>
        <w:rPr>
          <w:lang w:val="lt-LT"/>
        </w:rPr>
      </w:pPr>
    </w:p>
    <w:p w14:paraId="59FAC795"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Pamiršus pavartoti </w:t>
      </w:r>
      <w:r w:rsidR="00184910" w:rsidRPr="00B0468F">
        <w:rPr>
          <w:rFonts w:ascii="Times New Roman" w:hAnsi="Times New Roman"/>
          <w:sz w:val="22"/>
          <w:lang w:val="lt-LT"/>
        </w:rPr>
        <w:t>Eliskardia</w:t>
      </w:r>
    </w:p>
    <w:p w14:paraId="04C77710" w14:textId="77777777" w:rsidR="002B72C6" w:rsidRPr="00B0468F" w:rsidRDefault="00C41B0D" w:rsidP="005350AF">
      <w:pPr>
        <w:widowControl w:val="0"/>
        <w:numPr>
          <w:ilvl w:val="12"/>
          <w:numId w:val="0"/>
        </w:numPr>
        <w:tabs>
          <w:tab w:val="clear" w:pos="567"/>
        </w:tabs>
        <w:spacing w:line="240" w:lineRule="auto"/>
        <w:ind w:right="566"/>
        <w:rPr>
          <w:lang w:val="lt-LT"/>
        </w:rPr>
      </w:pPr>
      <w:r w:rsidRPr="00B0468F">
        <w:rPr>
          <w:lang w:val="lt-LT"/>
        </w:rPr>
        <w:t>Negalima vartoti dvigubos dozės norint kompensuoti praleistą.</w:t>
      </w:r>
    </w:p>
    <w:p w14:paraId="732F4706" w14:textId="77777777" w:rsidR="00447DE7" w:rsidRPr="00B0468F" w:rsidRDefault="00DD3C3C" w:rsidP="005350AF">
      <w:pPr>
        <w:widowControl w:val="0"/>
        <w:numPr>
          <w:ilvl w:val="12"/>
          <w:numId w:val="0"/>
        </w:numPr>
        <w:tabs>
          <w:tab w:val="clear" w:pos="567"/>
        </w:tabs>
        <w:spacing w:line="240" w:lineRule="auto"/>
        <w:ind w:right="566"/>
        <w:rPr>
          <w:lang w:val="lt-LT"/>
        </w:rPr>
      </w:pPr>
      <w:r w:rsidRPr="00B0468F">
        <w:rPr>
          <w:lang w:val="lt-LT"/>
        </w:rPr>
        <w:t xml:space="preserve">Jeigu praleidote numatytą paros dozę, išgerkite </w:t>
      </w:r>
      <w:r w:rsidR="00503243" w:rsidRPr="00B0468F">
        <w:rPr>
          <w:lang w:val="lt-LT"/>
        </w:rPr>
        <w:t>Eliskardia</w:t>
      </w:r>
      <w:r w:rsidRPr="00B0468F">
        <w:rPr>
          <w:lang w:val="lt-LT"/>
        </w:rPr>
        <w:t xml:space="preserve">, kai tik prisiminsite. Jeigu visą parą neišgėrėte vaisto dozės, tik atnaujinkite įprastą </w:t>
      </w:r>
      <w:r w:rsidR="00503243" w:rsidRPr="00B0468F">
        <w:rPr>
          <w:lang w:val="lt-LT"/>
        </w:rPr>
        <w:t>Eliskardia</w:t>
      </w:r>
      <w:r w:rsidRPr="00B0468F">
        <w:rPr>
          <w:lang w:val="lt-LT"/>
        </w:rPr>
        <w:t xml:space="preserve"> vartojimą kitą dieną. </w:t>
      </w:r>
      <w:r w:rsidR="00C41B0D" w:rsidRPr="00B0468F">
        <w:rPr>
          <w:lang w:val="lt-LT"/>
        </w:rPr>
        <w:t>Nevartokite dviejų dozių per parą.</w:t>
      </w:r>
    </w:p>
    <w:p w14:paraId="77C4A371" w14:textId="77777777" w:rsidR="00C41B0D" w:rsidRPr="00B0468F" w:rsidRDefault="00C41B0D" w:rsidP="00B0468F">
      <w:pPr>
        <w:pStyle w:val="Antrat4"/>
        <w:keepNext w:val="0"/>
        <w:widowControl w:val="0"/>
        <w:spacing w:line="240" w:lineRule="auto"/>
        <w:ind w:right="566"/>
        <w:rPr>
          <w:b w:val="0"/>
          <w:lang w:val="lt-LT"/>
        </w:rPr>
      </w:pPr>
    </w:p>
    <w:p w14:paraId="4DBF2667" w14:textId="77777777" w:rsidR="00C41B0D" w:rsidRPr="00B0468F" w:rsidRDefault="00C41B0D" w:rsidP="00B0468F">
      <w:pPr>
        <w:pStyle w:val="Antrat4"/>
        <w:keepNext w:val="0"/>
        <w:widowControl w:val="0"/>
        <w:spacing w:line="240" w:lineRule="auto"/>
        <w:ind w:right="566"/>
        <w:rPr>
          <w:b w:val="0"/>
          <w:lang w:val="lt-LT"/>
        </w:rPr>
      </w:pPr>
      <w:r w:rsidRPr="00B0468F">
        <w:rPr>
          <w:rFonts w:ascii="Times New Roman" w:hAnsi="Times New Roman"/>
          <w:sz w:val="22"/>
          <w:lang w:val="lt-LT"/>
        </w:rPr>
        <w:t>Nustojus vartoti Eliskardia</w:t>
      </w:r>
    </w:p>
    <w:p w14:paraId="39311D1A" w14:textId="77777777" w:rsidR="00336656" w:rsidRPr="00B0468F" w:rsidRDefault="00336656" w:rsidP="005350AF">
      <w:pPr>
        <w:widowControl w:val="0"/>
        <w:numPr>
          <w:ilvl w:val="12"/>
          <w:numId w:val="0"/>
        </w:numPr>
        <w:tabs>
          <w:tab w:val="clear" w:pos="567"/>
        </w:tabs>
        <w:spacing w:line="240" w:lineRule="auto"/>
        <w:ind w:right="566"/>
        <w:rPr>
          <w:lang w:val="lt-LT"/>
        </w:rPr>
      </w:pPr>
      <w:r w:rsidRPr="00B0468F">
        <w:rPr>
          <w:lang w:val="lt-LT"/>
        </w:rPr>
        <w:t xml:space="preserve">Nutraukti </w:t>
      </w:r>
      <w:r w:rsidR="001759FF" w:rsidRPr="00B0468F">
        <w:rPr>
          <w:lang w:val="lt-LT"/>
        </w:rPr>
        <w:t>Eliskardia</w:t>
      </w:r>
      <w:r w:rsidRPr="00B0468F">
        <w:rPr>
          <w:lang w:val="lt-LT"/>
        </w:rPr>
        <w:t xml:space="preserve"> vartojimo n</w:t>
      </w:r>
      <w:r w:rsidR="001759FF" w:rsidRPr="00B0468F">
        <w:rPr>
          <w:lang w:val="lt-LT"/>
        </w:rPr>
        <w:t>epasitarus su gydytoju negalima, j</w:t>
      </w:r>
      <w:r w:rsidRPr="00B0468F">
        <w:rPr>
          <w:lang w:val="lt-LT"/>
        </w:rPr>
        <w:t xml:space="preserve">ei per anksti nustosite vartoti </w:t>
      </w:r>
      <w:r w:rsidR="001759FF" w:rsidRPr="00B0468F">
        <w:rPr>
          <w:lang w:val="lt-LT"/>
        </w:rPr>
        <w:t>Eliskardia</w:t>
      </w:r>
      <w:r w:rsidRPr="00B0468F">
        <w:rPr>
          <w:lang w:val="lt-LT"/>
        </w:rPr>
        <w:t>, širdies priepuolio rizika gali padidėti.</w:t>
      </w:r>
    </w:p>
    <w:p w14:paraId="2C364690" w14:textId="77777777" w:rsidR="001759FF" w:rsidRPr="00B0468F" w:rsidRDefault="001759FF" w:rsidP="005350AF">
      <w:pPr>
        <w:widowControl w:val="0"/>
        <w:numPr>
          <w:ilvl w:val="12"/>
          <w:numId w:val="0"/>
        </w:numPr>
        <w:tabs>
          <w:tab w:val="clear" w:pos="567"/>
        </w:tabs>
        <w:spacing w:line="240" w:lineRule="auto"/>
        <w:ind w:right="566"/>
        <w:rPr>
          <w:lang w:val="lt-LT"/>
        </w:rPr>
      </w:pPr>
    </w:p>
    <w:p w14:paraId="393DCD2B" w14:textId="77777777" w:rsidR="00C41B0D" w:rsidRPr="00B0468F" w:rsidRDefault="00336656" w:rsidP="005350AF">
      <w:pPr>
        <w:widowControl w:val="0"/>
        <w:numPr>
          <w:ilvl w:val="12"/>
          <w:numId w:val="0"/>
        </w:numPr>
        <w:tabs>
          <w:tab w:val="clear" w:pos="567"/>
        </w:tabs>
        <w:spacing w:line="240" w:lineRule="auto"/>
        <w:ind w:right="566"/>
        <w:rPr>
          <w:lang w:val="lt-LT"/>
        </w:rPr>
      </w:pPr>
      <w:r w:rsidRPr="00B0468F">
        <w:rPr>
          <w:lang w:val="lt-LT"/>
        </w:rPr>
        <w:t>Jeigu kiltų daugiau klausimų dėl šio vaisto vartojimo, kreipkitės į gydytoją arba vaistininką.</w:t>
      </w:r>
    </w:p>
    <w:p w14:paraId="12F4AFB5" w14:textId="77777777" w:rsidR="00336656" w:rsidRPr="00B0468F" w:rsidRDefault="00336656" w:rsidP="005350AF">
      <w:pPr>
        <w:widowControl w:val="0"/>
        <w:numPr>
          <w:ilvl w:val="12"/>
          <w:numId w:val="0"/>
        </w:numPr>
        <w:tabs>
          <w:tab w:val="clear" w:pos="567"/>
        </w:tabs>
        <w:spacing w:line="240" w:lineRule="auto"/>
        <w:ind w:right="566"/>
        <w:rPr>
          <w:lang w:val="lt-LT"/>
        </w:rPr>
      </w:pPr>
    </w:p>
    <w:p w14:paraId="5005785D" w14:textId="77777777" w:rsidR="001759FF" w:rsidRPr="00B0468F" w:rsidRDefault="001759FF" w:rsidP="005350AF">
      <w:pPr>
        <w:widowControl w:val="0"/>
        <w:numPr>
          <w:ilvl w:val="12"/>
          <w:numId w:val="0"/>
        </w:numPr>
        <w:tabs>
          <w:tab w:val="clear" w:pos="567"/>
        </w:tabs>
        <w:spacing w:line="240" w:lineRule="auto"/>
        <w:ind w:right="566"/>
        <w:rPr>
          <w:lang w:val="lt-LT"/>
        </w:rPr>
      </w:pPr>
    </w:p>
    <w:p w14:paraId="7CE757CE"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4.</w:t>
      </w:r>
      <w:r w:rsidRPr="00B0468F">
        <w:rPr>
          <w:rFonts w:ascii="Times New Roman" w:hAnsi="Times New Roman"/>
          <w:sz w:val="22"/>
          <w:lang w:val="lt-LT"/>
        </w:rPr>
        <w:tab/>
        <w:t>Galimas šalutinis poveikis</w:t>
      </w:r>
    </w:p>
    <w:p w14:paraId="522079BD"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42EB23E6" w14:textId="77777777" w:rsidR="00F34163" w:rsidRPr="00B0468F" w:rsidRDefault="00F34163" w:rsidP="005350AF">
      <w:pPr>
        <w:widowControl w:val="0"/>
        <w:numPr>
          <w:ilvl w:val="12"/>
          <w:numId w:val="0"/>
        </w:numPr>
        <w:tabs>
          <w:tab w:val="clear" w:pos="567"/>
        </w:tabs>
        <w:spacing w:line="240" w:lineRule="auto"/>
        <w:ind w:right="566"/>
        <w:rPr>
          <w:lang w:val="lt-LT"/>
        </w:rPr>
      </w:pPr>
      <w:r w:rsidRPr="00B0468F">
        <w:rPr>
          <w:lang w:val="lt-LT"/>
        </w:rPr>
        <w:t>Šis vaistas, kaip ir visi kiti, gali sukelti šalutinį poveikį, nors jis pasireiškia ne visiems žmonėms.</w:t>
      </w:r>
    </w:p>
    <w:p w14:paraId="51CCF908"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3F7A96E0" w14:textId="77777777" w:rsidR="00DA30E6" w:rsidRPr="00B0468F" w:rsidRDefault="00DA30E6" w:rsidP="00B0468F">
      <w:pPr>
        <w:widowControl w:val="0"/>
        <w:spacing w:line="240" w:lineRule="auto"/>
        <w:ind w:right="566"/>
        <w:rPr>
          <w:lang w:val="lt-LT"/>
        </w:rPr>
      </w:pPr>
      <w:r w:rsidRPr="00B0468F">
        <w:rPr>
          <w:b/>
          <w:lang w:val="lt-LT"/>
        </w:rPr>
        <w:t xml:space="preserve">Nedelsdami </w:t>
      </w:r>
      <w:r w:rsidRPr="00B0468F">
        <w:rPr>
          <w:lang w:val="lt-LT"/>
        </w:rPr>
        <w:t xml:space="preserve">kreipkitės į gydytoją, </w:t>
      </w:r>
      <w:r w:rsidR="00A33E1F" w:rsidRPr="00B0468F">
        <w:rPr>
          <w:lang w:val="lt-LT"/>
        </w:rPr>
        <w:t xml:space="preserve">jei </w:t>
      </w:r>
      <w:r w:rsidRPr="00B0468F">
        <w:rPr>
          <w:lang w:val="lt-LT"/>
        </w:rPr>
        <w:t>pastebė</w:t>
      </w:r>
      <w:r w:rsidR="00A33E1F" w:rsidRPr="00B0468F">
        <w:rPr>
          <w:lang w:val="lt-LT"/>
        </w:rPr>
        <w:t>site</w:t>
      </w:r>
      <w:r w:rsidRPr="00B0468F">
        <w:rPr>
          <w:lang w:val="lt-LT"/>
        </w:rPr>
        <w:t xml:space="preserve"> bet kurį </w:t>
      </w:r>
      <w:r w:rsidR="00A33E1F" w:rsidRPr="00B0468F">
        <w:rPr>
          <w:lang w:val="lt-LT"/>
        </w:rPr>
        <w:t>toli</w:t>
      </w:r>
      <w:r w:rsidR="001759FF" w:rsidRPr="00B0468F">
        <w:rPr>
          <w:lang w:val="lt-LT"/>
        </w:rPr>
        <w:t>au paminėtą šalutinį poveikį</w:t>
      </w:r>
      <w:r w:rsidR="009163CF" w:rsidRPr="00B0468F">
        <w:rPr>
          <w:lang w:val="lt-LT"/>
        </w:rPr>
        <w:t>:</w:t>
      </w:r>
    </w:p>
    <w:p w14:paraId="5CFAE996" w14:textId="77777777" w:rsidR="00542F30" w:rsidRPr="00B0468F" w:rsidRDefault="00542F30" w:rsidP="00B0468F">
      <w:pPr>
        <w:widowControl w:val="0"/>
        <w:numPr>
          <w:ilvl w:val="0"/>
          <w:numId w:val="17"/>
        </w:numPr>
        <w:spacing w:line="240" w:lineRule="auto"/>
        <w:ind w:left="567" w:right="566" w:hanging="567"/>
        <w:rPr>
          <w:lang w:val="lt-LT"/>
        </w:rPr>
      </w:pPr>
      <w:r w:rsidRPr="00B0468F">
        <w:rPr>
          <w:lang w:val="lt-LT"/>
        </w:rPr>
        <w:t>Staiga pasireiškia rankų, kojų ar veido, ypač vienoje kūno pusėje, tirpulys ar silpnumas.</w:t>
      </w:r>
    </w:p>
    <w:p w14:paraId="20E01402" w14:textId="77777777" w:rsidR="00542F30" w:rsidRPr="00B0468F" w:rsidRDefault="00542F30" w:rsidP="00B0468F">
      <w:pPr>
        <w:widowControl w:val="0"/>
        <w:numPr>
          <w:ilvl w:val="0"/>
          <w:numId w:val="17"/>
        </w:numPr>
        <w:spacing w:line="240" w:lineRule="auto"/>
        <w:ind w:left="567" w:right="566" w:hanging="567"/>
        <w:rPr>
          <w:lang w:val="lt-LT"/>
        </w:rPr>
      </w:pPr>
      <w:r w:rsidRPr="00B0468F">
        <w:rPr>
          <w:lang w:val="lt-LT"/>
        </w:rPr>
        <w:t>Staiga pasireiškia sumišimas, kalbos pasunkėjimas arba nesuprantate kitų žmonių.</w:t>
      </w:r>
    </w:p>
    <w:p w14:paraId="4F6C5583" w14:textId="77777777" w:rsidR="00542F30" w:rsidRPr="00B0468F" w:rsidRDefault="00542F30" w:rsidP="00B0468F">
      <w:pPr>
        <w:widowControl w:val="0"/>
        <w:numPr>
          <w:ilvl w:val="0"/>
          <w:numId w:val="17"/>
        </w:numPr>
        <w:spacing w:line="240" w:lineRule="auto"/>
        <w:ind w:left="567" w:right="566" w:hanging="567"/>
        <w:rPr>
          <w:lang w:val="lt-LT"/>
        </w:rPr>
      </w:pPr>
      <w:r w:rsidRPr="00B0468F">
        <w:rPr>
          <w:lang w:val="lt-LT"/>
        </w:rPr>
        <w:lastRenderedPageBreak/>
        <w:t>Staiga pasunkėja vaikščiojimas arba prarandate pusiausvyrą ar koordinaciją.</w:t>
      </w:r>
    </w:p>
    <w:p w14:paraId="0A1952B1" w14:textId="77777777" w:rsidR="00FF714D" w:rsidRPr="00B0468F" w:rsidRDefault="00542F30" w:rsidP="00B0468F">
      <w:pPr>
        <w:widowControl w:val="0"/>
        <w:numPr>
          <w:ilvl w:val="0"/>
          <w:numId w:val="17"/>
        </w:numPr>
        <w:spacing w:line="240" w:lineRule="auto"/>
        <w:ind w:left="567" w:right="566" w:hanging="567"/>
        <w:rPr>
          <w:lang w:val="lt-LT"/>
        </w:rPr>
      </w:pPr>
      <w:r w:rsidRPr="00B0468F">
        <w:rPr>
          <w:lang w:val="lt-LT"/>
        </w:rPr>
        <w:t>Staiga dėl nežinomų priežasčių pasireiškia galvos svaigimas ar sunkus galvos skausmas.</w:t>
      </w:r>
    </w:p>
    <w:p w14:paraId="08860A73" w14:textId="77777777" w:rsidR="00542F30" w:rsidRPr="00B0468F" w:rsidRDefault="00B45890" w:rsidP="00B0468F">
      <w:pPr>
        <w:widowControl w:val="0"/>
        <w:spacing w:line="240" w:lineRule="auto"/>
        <w:ind w:right="566"/>
        <w:rPr>
          <w:lang w:val="lt-LT"/>
        </w:rPr>
      </w:pPr>
      <w:r w:rsidRPr="00B0468F">
        <w:rPr>
          <w:lang w:val="lt-LT"/>
        </w:rPr>
        <w:t>Visi išvardyti simptomai gali rodyti insultą. Insultas yra nedažnas Eliskardia šalutinis poveikis pacientams, kurie anksčiau nebuvo patyrę insulto ar praeinančiojo smegenų išemijos priepuolio (PSIP).</w:t>
      </w:r>
    </w:p>
    <w:p w14:paraId="194B8F75" w14:textId="77777777" w:rsidR="00B45890" w:rsidRPr="00B0468F" w:rsidRDefault="00B45890" w:rsidP="00B0468F">
      <w:pPr>
        <w:widowControl w:val="0"/>
        <w:spacing w:line="240" w:lineRule="auto"/>
        <w:ind w:right="566"/>
        <w:rPr>
          <w:lang w:val="lt-LT"/>
        </w:rPr>
      </w:pPr>
    </w:p>
    <w:p w14:paraId="02CB3F65" w14:textId="77777777" w:rsidR="00FF714D" w:rsidRPr="00B0468F" w:rsidRDefault="00C436FE" w:rsidP="00B0468F">
      <w:pPr>
        <w:widowControl w:val="0"/>
        <w:spacing w:line="240" w:lineRule="auto"/>
        <w:ind w:right="566"/>
        <w:rPr>
          <w:lang w:val="lt-LT"/>
        </w:rPr>
      </w:pPr>
      <w:r w:rsidRPr="00B0468F">
        <w:rPr>
          <w:b/>
          <w:lang w:val="lt-LT"/>
        </w:rPr>
        <w:t xml:space="preserve">Nedelsdami </w:t>
      </w:r>
      <w:r w:rsidRPr="00B0468F">
        <w:rPr>
          <w:lang w:val="lt-LT"/>
        </w:rPr>
        <w:t>kreipkitės į savo gydytoją ir tuo atveju, jeigu atsiranda kuris nors iš žemiau išvardyto poveikio.</w:t>
      </w:r>
    </w:p>
    <w:p w14:paraId="4A4BA888" w14:textId="77777777" w:rsidR="00426AFE" w:rsidRPr="00B0468F" w:rsidRDefault="00426AFE" w:rsidP="00B0468F">
      <w:pPr>
        <w:widowControl w:val="0"/>
        <w:numPr>
          <w:ilvl w:val="0"/>
          <w:numId w:val="18"/>
        </w:numPr>
        <w:spacing w:line="240" w:lineRule="auto"/>
        <w:ind w:left="567" w:right="566" w:hanging="567"/>
        <w:rPr>
          <w:lang w:val="lt-LT"/>
        </w:rPr>
      </w:pPr>
      <w:r w:rsidRPr="00B0468F">
        <w:rPr>
          <w:lang w:val="lt-LT"/>
        </w:rPr>
        <w:t xml:space="preserve">Karščiavimas ir poodinės kraujosruvos (jos gali atrodyti kaip labai maži raudoni taškeliai) tiek kartu su labai dideliu nuovargiu, sumišimu, odos ar akių pageltimu (gelta), tiek be jų (žr. 2 skyrių „Kas žinotina prieš vartojant </w:t>
      </w:r>
      <w:r w:rsidR="00392C34" w:rsidRPr="00B0468F">
        <w:rPr>
          <w:lang w:val="lt-LT"/>
        </w:rPr>
        <w:t>Eliskardia</w:t>
      </w:r>
      <w:r w:rsidRPr="00B0468F">
        <w:rPr>
          <w:lang w:val="lt-LT"/>
        </w:rPr>
        <w:t>“).</w:t>
      </w:r>
    </w:p>
    <w:p w14:paraId="538D5501" w14:textId="77777777" w:rsidR="00426AFE" w:rsidRPr="00B0468F" w:rsidRDefault="00426AFE" w:rsidP="00B0468F">
      <w:pPr>
        <w:widowControl w:val="0"/>
        <w:numPr>
          <w:ilvl w:val="0"/>
          <w:numId w:val="18"/>
        </w:numPr>
        <w:spacing w:line="240" w:lineRule="auto"/>
        <w:ind w:left="567" w:right="566" w:hanging="567"/>
        <w:rPr>
          <w:lang w:val="lt-LT"/>
        </w:rPr>
      </w:pPr>
      <w:r w:rsidRPr="00B0468F">
        <w:rPr>
          <w:lang w:val="lt-LT"/>
        </w:rPr>
        <w:t xml:space="preserve">Išbėrimas, niežulys arba veido, lūpų ar liežuvio patinimas ar dusulys. Tai gali būti sunkios alerginės reakcijos požymiai (žr. 2 skyrių „Kas žinotina prieš vartojant </w:t>
      </w:r>
      <w:r w:rsidR="00392C34" w:rsidRPr="00B0468F">
        <w:rPr>
          <w:lang w:val="lt-LT"/>
        </w:rPr>
        <w:t>Eliskardia</w:t>
      </w:r>
      <w:r w:rsidRPr="00B0468F">
        <w:rPr>
          <w:lang w:val="lt-LT"/>
        </w:rPr>
        <w:t>“).</w:t>
      </w:r>
    </w:p>
    <w:p w14:paraId="7002F1E9" w14:textId="77777777" w:rsidR="006F488F" w:rsidRPr="00B0468F" w:rsidRDefault="006F488F" w:rsidP="00B0468F">
      <w:pPr>
        <w:widowControl w:val="0"/>
        <w:spacing w:line="240" w:lineRule="auto"/>
        <w:ind w:right="566"/>
        <w:rPr>
          <w:lang w:val="lt-LT"/>
        </w:rPr>
      </w:pPr>
    </w:p>
    <w:p w14:paraId="3C075CB9" w14:textId="77777777" w:rsidR="006F488F" w:rsidRPr="00B0468F" w:rsidRDefault="006F488F" w:rsidP="00B0468F">
      <w:pPr>
        <w:widowControl w:val="0"/>
        <w:spacing w:line="240" w:lineRule="auto"/>
        <w:ind w:right="566"/>
        <w:rPr>
          <w:lang w:val="lt-LT"/>
        </w:rPr>
      </w:pPr>
      <w:r w:rsidRPr="00B0468F">
        <w:rPr>
          <w:b/>
          <w:lang w:val="lt-LT"/>
        </w:rPr>
        <w:t>Kuo greičiau</w:t>
      </w:r>
      <w:r w:rsidRPr="00B0468F">
        <w:rPr>
          <w:lang w:val="lt-LT"/>
        </w:rPr>
        <w:t xml:space="preserve"> pasakykite savo gydytojui, jeigu atsiranda žemiau išvardytų simptomų.</w:t>
      </w:r>
    </w:p>
    <w:p w14:paraId="017D0066" w14:textId="77777777" w:rsidR="006F488F" w:rsidRPr="00B0468F" w:rsidRDefault="006F488F" w:rsidP="00B0468F">
      <w:pPr>
        <w:widowControl w:val="0"/>
        <w:numPr>
          <w:ilvl w:val="0"/>
          <w:numId w:val="19"/>
        </w:numPr>
        <w:spacing w:line="240" w:lineRule="auto"/>
        <w:ind w:left="567" w:right="566" w:hanging="567"/>
        <w:rPr>
          <w:lang w:val="lt-LT"/>
        </w:rPr>
      </w:pPr>
      <w:r w:rsidRPr="00B0468F">
        <w:rPr>
          <w:lang w:val="lt-LT"/>
        </w:rPr>
        <w:t>Kraujas šlapime.</w:t>
      </w:r>
    </w:p>
    <w:p w14:paraId="3384FEB4" w14:textId="77777777" w:rsidR="006F488F" w:rsidRPr="00B0468F" w:rsidRDefault="006F488F" w:rsidP="00B0468F">
      <w:pPr>
        <w:widowControl w:val="0"/>
        <w:numPr>
          <w:ilvl w:val="0"/>
          <w:numId w:val="19"/>
        </w:numPr>
        <w:spacing w:line="240" w:lineRule="auto"/>
        <w:ind w:left="567" w:right="566" w:hanging="567"/>
        <w:rPr>
          <w:lang w:val="lt-LT"/>
        </w:rPr>
      </w:pPr>
      <w:r w:rsidRPr="00B0468F">
        <w:rPr>
          <w:lang w:val="lt-LT"/>
        </w:rPr>
        <w:t>Kraujavimas iš tiesiosios žarnos, kraujas išmatose arba juodos išmatos.</w:t>
      </w:r>
    </w:p>
    <w:p w14:paraId="102C1B55" w14:textId="77777777" w:rsidR="004D6DCA" w:rsidRPr="00B0468F" w:rsidRDefault="006F488F" w:rsidP="00B0468F">
      <w:pPr>
        <w:widowControl w:val="0"/>
        <w:numPr>
          <w:ilvl w:val="0"/>
          <w:numId w:val="19"/>
        </w:numPr>
        <w:spacing w:line="240" w:lineRule="auto"/>
        <w:ind w:left="567" w:right="566" w:hanging="567"/>
        <w:rPr>
          <w:lang w:val="lt-LT"/>
        </w:rPr>
      </w:pPr>
      <w:r w:rsidRPr="00B0468F">
        <w:rPr>
          <w:lang w:val="lt-LT"/>
        </w:rPr>
        <w:t>Nekontroliuojamas kraujavimas, pavyzdžiui, iš žaizdos.</w:t>
      </w:r>
    </w:p>
    <w:p w14:paraId="072145FD" w14:textId="77777777" w:rsidR="00346ADC" w:rsidRPr="00B0468F" w:rsidRDefault="00346ADC" w:rsidP="00B0468F">
      <w:pPr>
        <w:widowControl w:val="0"/>
        <w:spacing w:line="240" w:lineRule="auto"/>
        <w:ind w:right="566"/>
        <w:rPr>
          <w:lang w:val="lt-LT"/>
        </w:rPr>
      </w:pPr>
    </w:p>
    <w:p w14:paraId="2286BC4A" w14:textId="77777777" w:rsidR="006F488F" w:rsidRPr="00B0468F" w:rsidRDefault="00346ADC" w:rsidP="00B0468F">
      <w:pPr>
        <w:widowControl w:val="0"/>
        <w:spacing w:line="240" w:lineRule="auto"/>
        <w:ind w:right="566"/>
        <w:rPr>
          <w:lang w:val="lt-LT"/>
        </w:rPr>
      </w:pPr>
      <w:r w:rsidRPr="00B0468F">
        <w:rPr>
          <w:lang w:val="lt-LT"/>
        </w:rPr>
        <w:t>Visi išvardyti simptomai gali rodyti kraujavimą, kuris yra dažniausias šalutinis poveikis, vartojant Eliskardia. Kraujavimas pasireiškia nedažnai, bet gali būti pavojingas gyvybei.</w:t>
      </w:r>
    </w:p>
    <w:p w14:paraId="25F215A6" w14:textId="77777777" w:rsidR="00346ADC" w:rsidRPr="00B0468F" w:rsidRDefault="00346ADC" w:rsidP="00B0468F">
      <w:pPr>
        <w:widowControl w:val="0"/>
        <w:spacing w:line="240" w:lineRule="auto"/>
        <w:ind w:right="566"/>
        <w:rPr>
          <w:lang w:val="lt-LT"/>
        </w:rPr>
      </w:pPr>
    </w:p>
    <w:p w14:paraId="53354A52" w14:textId="4B20BA1D" w:rsidR="00346ADC" w:rsidRPr="00B0468F" w:rsidRDefault="00346ADC" w:rsidP="00B0468F">
      <w:pPr>
        <w:widowControl w:val="0"/>
        <w:spacing w:line="240" w:lineRule="auto"/>
        <w:ind w:right="566"/>
        <w:rPr>
          <w:i/>
          <w:lang w:val="lt-LT"/>
        </w:rPr>
      </w:pPr>
      <w:r w:rsidRPr="00B0468F">
        <w:rPr>
          <w:i/>
          <w:lang w:val="lt-LT"/>
        </w:rPr>
        <w:t>Dažn</w:t>
      </w:r>
      <w:r w:rsidR="008401B9">
        <w:rPr>
          <w:i/>
          <w:lang w:val="lt-LT"/>
        </w:rPr>
        <w:t>i šalutinio poveikio reiškiniai</w:t>
      </w:r>
      <w:r w:rsidRPr="00B0468F">
        <w:rPr>
          <w:i/>
          <w:lang w:val="lt-LT"/>
        </w:rPr>
        <w:t xml:space="preserve"> (gali pasireikšti </w:t>
      </w:r>
      <w:r w:rsidR="007E12B3" w:rsidRPr="00B0468F">
        <w:rPr>
          <w:i/>
          <w:lang w:val="lt-LT"/>
        </w:rPr>
        <w:t xml:space="preserve">rečiau kaip </w:t>
      </w:r>
      <w:r w:rsidRPr="00B0468F">
        <w:rPr>
          <w:i/>
          <w:lang w:val="lt-LT"/>
        </w:rPr>
        <w:t xml:space="preserve">1iš 10 </w:t>
      </w:r>
      <w:r w:rsidR="008401B9">
        <w:rPr>
          <w:i/>
          <w:lang w:val="lt-LT"/>
        </w:rPr>
        <w:t>asmenų</w:t>
      </w:r>
      <w:r w:rsidRPr="00B0468F">
        <w:rPr>
          <w:i/>
          <w:lang w:val="lt-LT"/>
        </w:rPr>
        <w:t>)</w:t>
      </w:r>
    </w:p>
    <w:p w14:paraId="3E711926"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Kraujavimas iš skrandžio ar žarnų.</w:t>
      </w:r>
    </w:p>
    <w:p w14:paraId="13DE9170"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Kraujavimas iš adatos įdūrimo vietos.</w:t>
      </w:r>
    </w:p>
    <w:p w14:paraId="5C7E25DD"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Kraujavimas iš nosies.</w:t>
      </w:r>
    </w:p>
    <w:p w14:paraId="6E7F879E"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Odos išbėrimas.</w:t>
      </w:r>
    </w:p>
    <w:p w14:paraId="2D82ADAA"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Mažos raudonos odos mėlynės (dėminės kraujosruvos).</w:t>
      </w:r>
    </w:p>
    <w:p w14:paraId="094D1094"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Kraujas šlapime.</w:t>
      </w:r>
    </w:p>
    <w:p w14:paraId="6C81AB9F"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Hematoma (kraujavimas injekcijos vietoje po oda arba į raumenis, sukeliantis patinimą).</w:t>
      </w:r>
    </w:p>
    <w:p w14:paraId="45A1D2E5"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Hemoglobino koncentracijos arba raudonųjų kraujo ląstelių kiekio sumažėjimas (anemija).</w:t>
      </w:r>
    </w:p>
    <w:p w14:paraId="6C2476D4"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Mėlynės.</w:t>
      </w:r>
    </w:p>
    <w:p w14:paraId="4DEF8279" w14:textId="77777777" w:rsidR="00B94D22" w:rsidRPr="00B0468F" w:rsidRDefault="00B94D22" w:rsidP="00B0468F">
      <w:pPr>
        <w:widowControl w:val="0"/>
        <w:spacing w:line="240" w:lineRule="auto"/>
        <w:ind w:right="566"/>
        <w:rPr>
          <w:lang w:val="lt-LT"/>
        </w:rPr>
      </w:pPr>
    </w:p>
    <w:p w14:paraId="786D45AD" w14:textId="6AA1FED8" w:rsidR="00346ADC" w:rsidRPr="00B0468F" w:rsidRDefault="00346ADC" w:rsidP="00B0468F">
      <w:pPr>
        <w:widowControl w:val="0"/>
        <w:spacing w:line="240" w:lineRule="auto"/>
        <w:ind w:right="566"/>
        <w:rPr>
          <w:i/>
          <w:lang w:val="lt-LT"/>
        </w:rPr>
      </w:pPr>
      <w:r w:rsidRPr="00B0468F">
        <w:rPr>
          <w:i/>
          <w:lang w:val="lt-LT"/>
        </w:rPr>
        <w:t>Nedažn</w:t>
      </w:r>
      <w:r w:rsidR="008401B9">
        <w:rPr>
          <w:i/>
          <w:lang w:val="lt-LT"/>
        </w:rPr>
        <w:t>i šalutinio poveikio reiškiniai</w:t>
      </w:r>
      <w:r w:rsidRPr="00B0468F">
        <w:rPr>
          <w:i/>
          <w:lang w:val="lt-LT"/>
        </w:rPr>
        <w:t xml:space="preserve"> (gali pasireikšti </w:t>
      </w:r>
      <w:r w:rsidR="007E12B3" w:rsidRPr="00B0468F">
        <w:rPr>
          <w:i/>
          <w:lang w:val="lt-LT"/>
        </w:rPr>
        <w:t xml:space="preserve">rečiau kaip </w:t>
      </w:r>
      <w:r w:rsidRPr="00B0468F">
        <w:rPr>
          <w:i/>
          <w:lang w:val="lt-LT"/>
        </w:rPr>
        <w:t xml:space="preserve">1 iš 100 </w:t>
      </w:r>
      <w:r w:rsidR="008401B9">
        <w:rPr>
          <w:i/>
          <w:lang w:val="lt-LT"/>
        </w:rPr>
        <w:t>asmenų</w:t>
      </w:r>
      <w:r w:rsidRPr="00B0468F">
        <w:rPr>
          <w:i/>
          <w:lang w:val="lt-LT"/>
        </w:rPr>
        <w:t>)</w:t>
      </w:r>
    </w:p>
    <w:p w14:paraId="1317095E"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Alerginė reakcija (išbėrimas, niežulys, lūpų ar liežuvio patinimas, dusulys).</w:t>
      </w:r>
    </w:p>
    <w:p w14:paraId="75CF1703"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Savaiminis kraujavimas iš akies, tiesiosios žarnos, dantenų ar iš pilvo organų.</w:t>
      </w:r>
    </w:p>
    <w:p w14:paraId="24B2D350"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Kraujavimas po chirurginės operacijos.</w:t>
      </w:r>
    </w:p>
    <w:p w14:paraId="7B617C66"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Skrepliavimas krauju.</w:t>
      </w:r>
    </w:p>
    <w:p w14:paraId="65EE5B2D"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Kraujas išmatose.</w:t>
      </w:r>
    </w:p>
    <w:p w14:paraId="042CAC96" w14:textId="77777777" w:rsidR="00B94D22" w:rsidRPr="00B0468F" w:rsidRDefault="00B94D22" w:rsidP="00B0468F">
      <w:pPr>
        <w:widowControl w:val="0"/>
        <w:spacing w:line="240" w:lineRule="auto"/>
        <w:ind w:right="566"/>
        <w:rPr>
          <w:lang w:val="lt-LT"/>
        </w:rPr>
      </w:pPr>
    </w:p>
    <w:p w14:paraId="40E5A4CC" w14:textId="09E790B0" w:rsidR="00346ADC" w:rsidRPr="00B0468F" w:rsidRDefault="00346ADC" w:rsidP="00B0468F">
      <w:pPr>
        <w:widowControl w:val="0"/>
        <w:spacing w:line="240" w:lineRule="auto"/>
        <w:ind w:right="566"/>
        <w:rPr>
          <w:i/>
          <w:lang w:val="lt-LT"/>
        </w:rPr>
      </w:pPr>
      <w:r w:rsidRPr="00B0468F">
        <w:rPr>
          <w:i/>
          <w:lang w:val="lt-LT"/>
        </w:rPr>
        <w:t>Ret</w:t>
      </w:r>
      <w:r w:rsidR="008401B9">
        <w:rPr>
          <w:i/>
          <w:lang w:val="lt-LT"/>
        </w:rPr>
        <w:t>i</w:t>
      </w:r>
      <w:r w:rsidRPr="00B0468F">
        <w:rPr>
          <w:i/>
          <w:lang w:val="lt-LT"/>
        </w:rPr>
        <w:t xml:space="preserve"> </w:t>
      </w:r>
      <w:r w:rsidR="008401B9">
        <w:rPr>
          <w:i/>
          <w:lang w:val="lt-LT"/>
        </w:rPr>
        <w:t>šalutinio poveikio reiškiniai</w:t>
      </w:r>
      <w:r w:rsidR="008401B9" w:rsidRPr="00B0468F">
        <w:rPr>
          <w:i/>
          <w:lang w:val="lt-LT"/>
        </w:rPr>
        <w:t xml:space="preserve"> </w:t>
      </w:r>
      <w:r w:rsidRPr="00B0468F">
        <w:rPr>
          <w:i/>
          <w:lang w:val="lt-LT"/>
        </w:rPr>
        <w:t xml:space="preserve">(gali pasireikšti </w:t>
      </w:r>
      <w:r w:rsidR="007E12B3" w:rsidRPr="00B0468F">
        <w:rPr>
          <w:i/>
          <w:lang w:val="lt-LT"/>
        </w:rPr>
        <w:t>rečiau kaip 1 iš</w:t>
      </w:r>
      <w:r w:rsidRPr="00B0468F">
        <w:rPr>
          <w:i/>
          <w:lang w:val="lt-LT"/>
        </w:rPr>
        <w:t xml:space="preserve"> 1000 </w:t>
      </w:r>
      <w:r w:rsidR="008401B9">
        <w:rPr>
          <w:i/>
          <w:lang w:val="lt-LT"/>
        </w:rPr>
        <w:t>asmenų</w:t>
      </w:r>
      <w:r w:rsidRPr="00B0468F">
        <w:rPr>
          <w:i/>
          <w:lang w:val="lt-LT"/>
        </w:rPr>
        <w:t>)</w:t>
      </w:r>
    </w:p>
    <w:p w14:paraId="44F009B0" w14:textId="77777777" w:rsidR="00346ADC" w:rsidRPr="00B0468F" w:rsidRDefault="00346ADC" w:rsidP="00B0468F">
      <w:pPr>
        <w:widowControl w:val="0"/>
        <w:numPr>
          <w:ilvl w:val="0"/>
          <w:numId w:val="22"/>
        </w:numPr>
        <w:spacing w:line="240" w:lineRule="auto"/>
        <w:ind w:left="567" w:right="566" w:hanging="567"/>
        <w:rPr>
          <w:lang w:val="lt-LT"/>
        </w:rPr>
      </w:pPr>
      <w:r w:rsidRPr="00B0468F">
        <w:rPr>
          <w:lang w:val="lt-LT"/>
        </w:rPr>
        <w:t>Mažas kraujo plokštelių kiekis kraujyje.</w:t>
      </w:r>
    </w:p>
    <w:p w14:paraId="47B08E23" w14:textId="77777777" w:rsidR="00DA30E6" w:rsidRPr="00B0468F" w:rsidRDefault="00346ADC" w:rsidP="00B0468F">
      <w:pPr>
        <w:widowControl w:val="0"/>
        <w:numPr>
          <w:ilvl w:val="0"/>
          <w:numId w:val="22"/>
        </w:numPr>
        <w:spacing w:line="240" w:lineRule="auto"/>
        <w:ind w:left="567" w:right="566" w:hanging="567"/>
        <w:rPr>
          <w:lang w:val="lt-LT"/>
        </w:rPr>
      </w:pPr>
      <w:r w:rsidRPr="00B0468F">
        <w:rPr>
          <w:lang w:val="lt-LT"/>
        </w:rPr>
        <w:t>Poodinė hematoma (kraujavimas po oda, sukeliantis patinimą).</w:t>
      </w:r>
    </w:p>
    <w:p w14:paraId="5B49AF74" w14:textId="77777777" w:rsidR="00346ADC" w:rsidRPr="00B0468F" w:rsidRDefault="00346ADC" w:rsidP="00B0468F">
      <w:pPr>
        <w:widowControl w:val="0"/>
        <w:spacing w:line="240" w:lineRule="auto"/>
        <w:ind w:right="566"/>
        <w:rPr>
          <w:b/>
          <w:lang w:val="lt-LT"/>
        </w:rPr>
      </w:pPr>
    </w:p>
    <w:p w14:paraId="34DCCDB5" w14:textId="77777777" w:rsidR="00F34163" w:rsidRPr="00B0468F" w:rsidRDefault="00F34163" w:rsidP="00B0468F">
      <w:pPr>
        <w:widowControl w:val="0"/>
        <w:spacing w:line="240" w:lineRule="auto"/>
        <w:ind w:right="566"/>
        <w:rPr>
          <w:b/>
          <w:lang w:val="lt-LT"/>
        </w:rPr>
      </w:pPr>
      <w:r w:rsidRPr="00B0468F">
        <w:rPr>
          <w:b/>
          <w:lang w:val="lt-LT"/>
        </w:rPr>
        <w:t>Pranešimas apie šalutinį poveikį</w:t>
      </w:r>
    </w:p>
    <w:p w14:paraId="3885A188" w14:textId="4FE8B634" w:rsidR="008401B9" w:rsidRPr="008401B9" w:rsidRDefault="008401B9" w:rsidP="00FD696A">
      <w:pPr>
        <w:ind w:right="-1"/>
        <w:rPr>
          <w:snapToGrid/>
          <w:lang w:val="lt-LT"/>
        </w:rPr>
      </w:pPr>
      <w:r w:rsidRPr="008401B9">
        <w:rPr>
          <w:snapToGrid/>
          <w:szCs w:val="22"/>
          <w:lang w:val="lt-LT" w:eastAsia="lt-LT"/>
        </w:rPr>
        <w:t xml:space="preserve">Jeigu pasireiškė šalutinis poveikis, įskaitant šiame lapelyje nenurodytą, pasakykite gydytojui, vaistininkui arba slaugytojui. </w:t>
      </w:r>
      <w:bookmarkStart w:id="2" w:name="_Hlk173407583"/>
      <w:r w:rsidRPr="008401B9">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8401B9">
        <w:rPr>
          <w:snapToGrid/>
          <w:color w:val="0000EE"/>
          <w:szCs w:val="22"/>
          <w:u w:val="single"/>
          <w:lang w:val="lt-LT" w:eastAsia="lt-LT"/>
        </w:rPr>
        <w:t>https://vvkt.lrv.lt/lt/</w:t>
      </w:r>
      <w:r w:rsidRPr="008401B9">
        <w:rPr>
          <w:snapToGrid/>
          <w:szCs w:val="22"/>
          <w:lang w:val="lt-LT" w:eastAsia="lt-LT"/>
        </w:rPr>
        <w:t xml:space="preserve"> nurodytais būdais arba paskambinti nemokamu telefonu 8 800 73 568. Pranešdami apie šalutinį poveikį galite mums padėti gauti daugiau informacijos apie šio vaisto saugumą</w:t>
      </w:r>
      <w:r w:rsidRPr="008401B9">
        <w:rPr>
          <w:snapToGrid/>
          <w:lang w:val="lt-LT"/>
        </w:rPr>
        <w:t>.</w:t>
      </w:r>
      <w:bookmarkEnd w:id="2"/>
    </w:p>
    <w:p w14:paraId="5D9A56CE" w14:textId="77777777" w:rsidR="00AA148B" w:rsidRPr="00B0468F" w:rsidRDefault="00AA148B" w:rsidP="00B0468F">
      <w:pPr>
        <w:widowControl w:val="0"/>
        <w:spacing w:line="240" w:lineRule="auto"/>
        <w:ind w:right="566"/>
        <w:rPr>
          <w:lang w:val="lt-LT"/>
        </w:rPr>
      </w:pPr>
    </w:p>
    <w:p w14:paraId="05010B0F" w14:textId="77777777" w:rsidR="00447DE7" w:rsidRPr="00B0468F" w:rsidRDefault="00447DE7" w:rsidP="00B0468F">
      <w:pPr>
        <w:widowControl w:val="0"/>
        <w:spacing w:line="240" w:lineRule="auto"/>
        <w:ind w:right="566"/>
        <w:rPr>
          <w:lang w:val="lt-LT"/>
        </w:rPr>
      </w:pPr>
    </w:p>
    <w:p w14:paraId="1411F959"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5.</w:t>
      </w:r>
      <w:r w:rsidRPr="00B0468F">
        <w:rPr>
          <w:rFonts w:ascii="Times New Roman" w:hAnsi="Times New Roman"/>
          <w:sz w:val="22"/>
          <w:lang w:val="lt-LT"/>
        </w:rPr>
        <w:tab/>
        <w:t xml:space="preserve">Kaip laikyti </w:t>
      </w:r>
      <w:r w:rsidR="00C6137D" w:rsidRPr="00B0468F">
        <w:rPr>
          <w:rFonts w:ascii="Times New Roman" w:hAnsi="Times New Roman"/>
          <w:sz w:val="22"/>
          <w:lang w:val="lt-LT"/>
        </w:rPr>
        <w:t>Eliskardia</w:t>
      </w:r>
    </w:p>
    <w:p w14:paraId="109775F8"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1D956C22" w14:textId="77777777" w:rsidR="00F34163" w:rsidRPr="00B0468F" w:rsidRDefault="00F34163" w:rsidP="005350AF">
      <w:pPr>
        <w:widowControl w:val="0"/>
        <w:numPr>
          <w:ilvl w:val="12"/>
          <w:numId w:val="0"/>
        </w:numPr>
        <w:tabs>
          <w:tab w:val="clear" w:pos="567"/>
        </w:tabs>
        <w:spacing w:line="240" w:lineRule="auto"/>
        <w:ind w:right="566"/>
        <w:rPr>
          <w:lang w:val="lt-LT"/>
        </w:rPr>
      </w:pPr>
      <w:r w:rsidRPr="00B0468F">
        <w:rPr>
          <w:lang w:val="lt-LT"/>
        </w:rPr>
        <w:t>Šį vaistą laikykite vaikams nepastebimoje ir nepasiekiamoje vietoje.</w:t>
      </w:r>
    </w:p>
    <w:p w14:paraId="0862214E"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37A475B8" w14:textId="77777777" w:rsidR="00F34163" w:rsidRPr="00B0468F" w:rsidRDefault="00F34163" w:rsidP="005350AF">
      <w:pPr>
        <w:widowControl w:val="0"/>
        <w:numPr>
          <w:ilvl w:val="12"/>
          <w:numId w:val="0"/>
        </w:numPr>
        <w:tabs>
          <w:tab w:val="clear" w:pos="567"/>
        </w:tabs>
        <w:spacing w:line="240" w:lineRule="auto"/>
        <w:ind w:right="566"/>
        <w:rPr>
          <w:lang w:val="lt-LT"/>
        </w:rPr>
      </w:pPr>
      <w:r w:rsidRPr="00B0468F">
        <w:rPr>
          <w:lang w:val="lt-LT"/>
        </w:rPr>
        <w:t>Ant dėžutės</w:t>
      </w:r>
      <w:r w:rsidR="00507808" w:rsidRPr="00B0468F">
        <w:rPr>
          <w:lang w:val="lt-LT"/>
        </w:rPr>
        <w:t xml:space="preserve"> ir lizdinės plokštelės po „Tink</w:t>
      </w:r>
      <w:r w:rsidR="00C36CC7" w:rsidRPr="00B0468F">
        <w:rPr>
          <w:lang w:val="lt-LT"/>
        </w:rPr>
        <w:t>a</w:t>
      </w:r>
      <w:r w:rsidR="00507808" w:rsidRPr="00B0468F">
        <w:rPr>
          <w:lang w:val="lt-LT"/>
        </w:rPr>
        <w:t xml:space="preserve"> iki“ arba „EXP“ </w:t>
      </w:r>
      <w:r w:rsidRPr="00B0468F">
        <w:rPr>
          <w:lang w:val="lt-LT"/>
        </w:rPr>
        <w:t>nurodytam tinkamumo laikui pasibaigus,</w:t>
      </w:r>
      <w:r w:rsidR="00507808" w:rsidRPr="00B0468F">
        <w:rPr>
          <w:lang w:val="lt-LT"/>
        </w:rPr>
        <w:t xml:space="preserve"> šio vaisto vartoti negalima. </w:t>
      </w:r>
      <w:r w:rsidRPr="00B0468F">
        <w:rPr>
          <w:lang w:val="lt-LT"/>
        </w:rPr>
        <w:t>Vaistas tinkamas vartoti iki paskutinės nurodyto mėn</w:t>
      </w:r>
      <w:r w:rsidR="00507808" w:rsidRPr="00B0468F">
        <w:rPr>
          <w:lang w:val="lt-LT"/>
        </w:rPr>
        <w:t>esio dienos.</w:t>
      </w:r>
    </w:p>
    <w:p w14:paraId="3B44D927"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5B4B87AE" w14:textId="77777777" w:rsidR="00F24FEC" w:rsidRPr="00F24FEC" w:rsidRDefault="00F24FEC" w:rsidP="00F24FEC">
      <w:pPr>
        <w:widowControl w:val="0"/>
        <w:numPr>
          <w:ilvl w:val="12"/>
          <w:numId w:val="0"/>
        </w:numPr>
        <w:tabs>
          <w:tab w:val="clear" w:pos="567"/>
        </w:tabs>
        <w:spacing w:line="240" w:lineRule="auto"/>
        <w:ind w:right="566"/>
        <w:rPr>
          <w:szCs w:val="22"/>
          <w:lang w:val="lt-LT"/>
        </w:rPr>
      </w:pPr>
      <w:r w:rsidRPr="00F24FEC">
        <w:rPr>
          <w:i/>
          <w:szCs w:val="22"/>
          <w:lang w:val="lt-LT"/>
        </w:rPr>
        <w:t>Eliskardia 5 mg plėvele dengtos tabletės</w:t>
      </w:r>
      <w:r w:rsidRPr="00F24FEC">
        <w:rPr>
          <w:szCs w:val="22"/>
          <w:lang w:val="lt-LT"/>
        </w:rPr>
        <w:t xml:space="preserve"> </w:t>
      </w:r>
    </w:p>
    <w:p w14:paraId="7BA1083B" w14:textId="77777777" w:rsidR="0054235B" w:rsidRPr="00B0468F" w:rsidRDefault="002B72C6" w:rsidP="005350AF">
      <w:pPr>
        <w:widowControl w:val="0"/>
        <w:tabs>
          <w:tab w:val="clear" w:pos="567"/>
        </w:tabs>
        <w:spacing w:line="240" w:lineRule="auto"/>
        <w:ind w:right="566"/>
        <w:rPr>
          <w:color w:val="0D0D0D"/>
          <w:lang w:val="lt-LT"/>
        </w:rPr>
      </w:pPr>
      <w:r w:rsidRPr="00B0468F">
        <w:rPr>
          <w:color w:val="0D0D0D"/>
          <w:lang w:val="lt-LT"/>
        </w:rPr>
        <w:t>Laikyti ne aukštesnėje kaip</w:t>
      </w:r>
      <w:r w:rsidR="0054235B" w:rsidRPr="00B0468F">
        <w:rPr>
          <w:color w:val="0D0D0D"/>
          <w:lang w:val="lt-LT"/>
        </w:rPr>
        <w:t xml:space="preserve"> 30</w:t>
      </w:r>
      <w:r w:rsidR="00D01FAF">
        <w:rPr>
          <w:color w:val="0D0D0D"/>
          <w:szCs w:val="22"/>
          <w:lang w:val="lt-LT"/>
        </w:rPr>
        <w:t xml:space="preserve"> </w:t>
      </w:r>
      <w:r w:rsidR="0054235B" w:rsidRPr="005350AF">
        <w:rPr>
          <w:lang w:val="en-US"/>
        </w:rPr>
        <w:sym w:font="Symbol" w:char="F0B0"/>
      </w:r>
      <w:r w:rsidR="0054235B" w:rsidRPr="005350AF">
        <w:rPr>
          <w:lang w:val="fi-FI"/>
        </w:rPr>
        <w:t>C temperatūroje.</w:t>
      </w:r>
    </w:p>
    <w:p w14:paraId="6BC5C075" w14:textId="77777777" w:rsidR="00F34163" w:rsidRPr="00B0468F" w:rsidRDefault="0054235B" w:rsidP="005350AF">
      <w:pPr>
        <w:widowControl w:val="0"/>
        <w:tabs>
          <w:tab w:val="clear" w:pos="567"/>
        </w:tabs>
        <w:spacing w:line="240" w:lineRule="auto"/>
        <w:ind w:right="566"/>
        <w:rPr>
          <w:lang w:val="lt-LT"/>
        </w:rPr>
      </w:pPr>
      <w:r w:rsidRPr="00B0468F">
        <w:rPr>
          <w:lang w:val="lt-LT"/>
        </w:rPr>
        <w:t xml:space="preserve">Laikyti gamintojo pakuotėje, kad </w:t>
      </w:r>
      <w:r w:rsidR="007E12B3" w:rsidRPr="00B0468F">
        <w:rPr>
          <w:lang w:val="lt-LT"/>
        </w:rPr>
        <w:t>vaistas</w:t>
      </w:r>
      <w:r w:rsidRPr="00B0468F">
        <w:rPr>
          <w:lang w:val="lt-LT"/>
        </w:rPr>
        <w:t xml:space="preserve"> būtų apsaugotas nuo drėgmės.</w:t>
      </w:r>
    </w:p>
    <w:p w14:paraId="1C75409E" w14:textId="77777777" w:rsidR="00F24FEC" w:rsidRPr="00B0468F" w:rsidRDefault="00F24FEC" w:rsidP="005350AF">
      <w:pPr>
        <w:widowControl w:val="0"/>
        <w:numPr>
          <w:ilvl w:val="12"/>
          <w:numId w:val="0"/>
        </w:numPr>
        <w:tabs>
          <w:tab w:val="clear" w:pos="567"/>
        </w:tabs>
        <w:spacing w:line="240" w:lineRule="auto"/>
        <w:ind w:right="566"/>
        <w:rPr>
          <w:lang w:val="lt-LT"/>
        </w:rPr>
      </w:pPr>
    </w:p>
    <w:p w14:paraId="593CA777" w14:textId="77777777" w:rsidR="00F24FEC" w:rsidRPr="00F24FEC" w:rsidRDefault="00F24FEC" w:rsidP="00F24FEC">
      <w:pPr>
        <w:widowControl w:val="0"/>
        <w:numPr>
          <w:ilvl w:val="12"/>
          <w:numId w:val="0"/>
        </w:numPr>
        <w:tabs>
          <w:tab w:val="clear" w:pos="567"/>
        </w:tabs>
        <w:spacing w:line="240" w:lineRule="auto"/>
        <w:ind w:right="566"/>
        <w:rPr>
          <w:i/>
          <w:szCs w:val="22"/>
          <w:lang w:val="lt-LT"/>
        </w:rPr>
      </w:pPr>
      <w:r w:rsidRPr="00F24FEC">
        <w:rPr>
          <w:i/>
          <w:szCs w:val="22"/>
          <w:lang w:val="lt-LT"/>
        </w:rPr>
        <w:t>Eliskardia 10 mg plėvele dengtos tabletės</w:t>
      </w:r>
    </w:p>
    <w:p w14:paraId="06F177AC" w14:textId="15E204B2" w:rsidR="00F24FEC" w:rsidRPr="00F24FEC" w:rsidRDefault="00F24FEC" w:rsidP="00F24FEC">
      <w:pPr>
        <w:widowControl w:val="0"/>
        <w:numPr>
          <w:ilvl w:val="12"/>
          <w:numId w:val="0"/>
        </w:numPr>
        <w:tabs>
          <w:tab w:val="clear" w:pos="567"/>
        </w:tabs>
        <w:spacing w:line="240" w:lineRule="auto"/>
        <w:ind w:right="566"/>
        <w:rPr>
          <w:szCs w:val="22"/>
          <w:lang w:val="lt-LT"/>
        </w:rPr>
      </w:pPr>
      <w:r w:rsidRPr="00F24FEC">
        <w:rPr>
          <w:szCs w:val="22"/>
          <w:lang w:val="lt-LT"/>
        </w:rPr>
        <w:t xml:space="preserve">Laikyti ne aukštesnėje kaip </w:t>
      </w:r>
      <w:r w:rsidR="009C586B" w:rsidRPr="00FD696A">
        <w:rPr>
          <w:color w:val="0D0D0D"/>
          <w:lang w:val="lt-LT"/>
        </w:rPr>
        <w:t>25</w:t>
      </w:r>
      <w:r w:rsidR="009C586B">
        <w:rPr>
          <w:color w:val="0D0D0D"/>
          <w:szCs w:val="22"/>
          <w:lang w:val="lt-LT"/>
        </w:rPr>
        <w:t xml:space="preserve"> </w:t>
      </w:r>
      <w:r w:rsidRPr="00F24FEC">
        <w:rPr>
          <w:szCs w:val="22"/>
          <w:lang w:val="en-US"/>
        </w:rPr>
        <w:sym w:font="Symbol" w:char="F0B0"/>
      </w:r>
      <w:r w:rsidRPr="00F24FEC">
        <w:rPr>
          <w:szCs w:val="22"/>
          <w:lang w:val="fi-FI"/>
        </w:rPr>
        <w:t>C temperatūroje.</w:t>
      </w:r>
    </w:p>
    <w:p w14:paraId="7888A320" w14:textId="606F8C13" w:rsidR="00F24FEC" w:rsidRPr="00F24FEC" w:rsidRDefault="00F24FEC" w:rsidP="00F24FEC">
      <w:pPr>
        <w:widowControl w:val="0"/>
        <w:numPr>
          <w:ilvl w:val="12"/>
          <w:numId w:val="0"/>
        </w:numPr>
        <w:tabs>
          <w:tab w:val="clear" w:pos="567"/>
        </w:tabs>
        <w:spacing w:line="240" w:lineRule="auto"/>
        <w:ind w:right="566"/>
        <w:rPr>
          <w:szCs w:val="22"/>
          <w:lang w:val="lt-LT"/>
        </w:rPr>
      </w:pPr>
      <w:r w:rsidRPr="00F24FEC">
        <w:rPr>
          <w:bCs/>
          <w:szCs w:val="22"/>
          <w:lang w:val="lt-LT"/>
        </w:rPr>
        <w:t xml:space="preserve">Laikyti gamintojo pakuotėje, kad </w:t>
      </w:r>
      <w:r w:rsidR="005350AF">
        <w:rPr>
          <w:bCs/>
          <w:szCs w:val="22"/>
          <w:lang w:val="lt-LT"/>
        </w:rPr>
        <w:t>vaistas</w:t>
      </w:r>
      <w:r w:rsidRPr="00F24FEC">
        <w:rPr>
          <w:bCs/>
          <w:szCs w:val="22"/>
          <w:lang w:val="lt-LT"/>
        </w:rPr>
        <w:t xml:space="preserve"> būtų apsaugotas nuo drėgmės.</w:t>
      </w:r>
    </w:p>
    <w:p w14:paraId="2CE6F1D2" w14:textId="77777777" w:rsidR="00F34163" w:rsidRPr="00217AE9" w:rsidRDefault="00F34163" w:rsidP="00217AE9">
      <w:pPr>
        <w:widowControl w:val="0"/>
        <w:numPr>
          <w:ilvl w:val="12"/>
          <w:numId w:val="0"/>
        </w:numPr>
        <w:tabs>
          <w:tab w:val="clear" w:pos="567"/>
        </w:tabs>
        <w:spacing w:line="240" w:lineRule="auto"/>
        <w:ind w:right="566"/>
        <w:rPr>
          <w:szCs w:val="22"/>
          <w:lang w:val="lt-LT"/>
        </w:rPr>
      </w:pPr>
    </w:p>
    <w:p w14:paraId="32D7CE0C" w14:textId="77777777" w:rsidR="00F34163" w:rsidRPr="00B0468F" w:rsidRDefault="00F34163" w:rsidP="005350AF">
      <w:pPr>
        <w:widowControl w:val="0"/>
        <w:numPr>
          <w:ilvl w:val="12"/>
          <w:numId w:val="0"/>
        </w:numPr>
        <w:tabs>
          <w:tab w:val="clear" w:pos="567"/>
        </w:tabs>
        <w:spacing w:line="240" w:lineRule="auto"/>
        <w:ind w:right="566"/>
        <w:rPr>
          <w:i/>
          <w:lang w:val="lt-LT"/>
        </w:rPr>
      </w:pPr>
      <w:r w:rsidRPr="00B0468F">
        <w:rPr>
          <w:lang w:val="lt-LT"/>
        </w:rPr>
        <w:t>Vaistų n</w:t>
      </w:r>
      <w:r w:rsidR="00507808" w:rsidRPr="00B0468F">
        <w:rPr>
          <w:lang w:val="lt-LT"/>
        </w:rPr>
        <w:t>egalima išmesti į kanalizaciją arba su buitinėmis atliekomis</w:t>
      </w:r>
      <w:r w:rsidRPr="00B0468F">
        <w:rPr>
          <w:lang w:val="lt-LT"/>
        </w:rPr>
        <w:t xml:space="preserve">. Kaip išmesti nereikalingus vaistus, klauskite vaistininko. Šios priemonės padės apsaugoti </w:t>
      </w:r>
      <w:r w:rsidR="00507808" w:rsidRPr="00B0468F">
        <w:rPr>
          <w:lang w:val="lt-LT"/>
        </w:rPr>
        <w:t>aplinką.</w:t>
      </w:r>
    </w:p>
    <w:p w14:paraId="1C086426"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08F6CBB7" w14:textId="77777777" w:rsidR="00447DE7" w:rsidRPr="00B0468F" w:rsidRDefault="00447DE7" w:rsidP="005350AF">
      <w:pPr>
        <w:widowControl w:val="0"/>
        <w:numPr>
          <w:ilvl w:val="12"/>
          <w:numId w:val="0"/>
        </w:numPr>
        <w:tabs>
          <w:tab w:val="clear" w:pos="567"/>
        </w:tabs>
        <w:spacing w:line="240" w:lineRule="auto"/>
        <w:ind w:right="566"/>
        <w:rPr>
          <w:lang w:val="lt-LT"/>
        </w:rPr>
      </w:pPr>
    </w:p>
    <w:p w14:paraId="7EF1F103"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6.</w:t>
      </w:r>
      <w:r w:rsidRPr="00B0468F">
        <w:rPr>
          <w:rFonts w:ascii="Times New Roman" w:hAnsi="Times New Roman"/>
          <w:b w:val="0"/>
          <w:sz w:val="22"/>
          <w:lang w:val="lt-LT"/>
        </w:rPr>
        <w:tab/>
      </w:r>
      <w:r w:rsidRPr="00B0468F">
        <w:rPr>
          <w:rFonts w:ascii="Times New Roman" w:hAnsi="Times New Roman"/>
          <w:sz w:val="22"/>
          <w:lang w:val="lt-LT"/>
        </w:rPr>
        <w:t>Pakuotės turinys ir kita informacija</w:t>
      </w:r>
    </w:p>
    <w:p w14:paraId="22B7EF83"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056C2BF7" w14:textId="5BB41332" w:rsidR="00217AE9" w:rsidRPr="00FD696A" w:rsidRDefault="0085487D" w:rsidP="00B0468F">
      <w:pPr>
        <w:pStyle w:val="Antrat4"/>
        <w:keepNext w:val="0"/>
        <w:widowControl w:val="0"/>
        <w:spacing w:line="240" w:lineRule="auto"/>
        <w:ind w:right="566"/>
        <w:rPr>
          <w:b w:val="0"/>
          <w:lang w:val="pt-PT"/>
        </w:rPr>
      </w:pPr>
      <w:r w:rsidRPr="00B0468F">
        <w:rPr>
          <w:rFonts w:ascii="Times New Roman" w:hAnsi="Times New Roman"/>
          <w:sz w:val="22"/>
          <w:lang w:val="lt-LT"/>
        </w:rPr>
        <w:t>Eliskardia</w:t>
      </w:r>
      <w:r w:rsidR="00F34163" w:rsidRPr="00B0468F">
        <w:rPr>
          <w:rFonts w:ascii="Times New Roman" w:hAnsi="Times New Roman"/>
          <w:sz w:val="22"/>
          <w:lang w:val="lt-LT"/>
        </w:rPr>
        <w:t xml:space="preserve"> sudėtis</w:t>
      </w:r>
    </w:p>
    <w:p w14:paraId="21DF5F20" w14:textId="77777777" w:rsidR="00F34163" w:rsidRPr="00B0468F" w:rsidRDefault="00C63F1A" w:rsidP="00B0468F">
      <w:pPr>
        <w:widowControl w:val="0"/>
        <w:numPr>
          <w:ilvl w:val="0"/>
          <w:numId w:val="5"/>
        </w:numPr>
        <w:tabs>
          <w:tab w:val="clear" w:pos="567"/>
        </w:tabs>
        <w:spacing w:line="240" w:lineRule="auto"/>
        <w:ind w:left="567" w:right="566" w:hanging="567"/>
        <w:rPr>
          <w:lang w:val="lt-LT"/>
        </w:rPr>
      </w:pPr>
      <w:r w:rsidRPr="00B0468F">
        <w:rPr>
          <w:lang w:val="lt-LT"/>
        </w:rPr>
        <w:t>Veiklioji medž</w:t>
      </w:r>
      <w:r w:rsidR="0085487D" w:rsidRPr="00B0468F">
        <w:rPr>
          <w:lang w:val="lt-LT"/>
        </w:rPr>
        <w:t>iaga yra prazugrelis</w:t>
      </w:r>
      <w:r w:rsidRPr="00B0468F">
        <w:rPr>
          <w:lang w:val="lt-LT"/>
        </w:rPr>
        <w:t>. Kiekvienoje</w:t>
      </w:r>
      <w:r w:rsidR="007E12B3" w:rsidRPr="00B0468F">
        <w:rPr>
          <w:lang w:val="lt-LT"/>
        </w:rPr>
        <w:t xml:space="preserve"> plėvele dengtoje</w:t>
      </w:r>
      <w:r w:rsidRPr="00B0468F">
        <w:rPr>
          <w:lang w:val="lt-LT"/>
        </w:rPr>
        <w:t xml:space="preserve"> tabletėje </w:t>
      </w:r>
      <w:r w:rsidR="0085487D" w:rsidRPr="00B0468F">
        <w:rPr>
          <w:lang w:val="lt-LT"/>
        </w:rPr>
        <w:t>yra 5</w:t>
      </w:r>
      <w:r w:rsidRPr="00B0468F">
        <w:rPr>
          <w:lang w:val="lt-LT"/>
        </w:rPr>
        <w:t> mg</w:t>
      </w:r>
      <w:r w:rsidR="0085487D" w:rsidRPr="00B0468F">
        <w:rPr>
          <w:lang w:val="lt-LT"/>
        </w:rPr>
        <w:t xml:space="preserve"> arba 10 mg</w:t>
      </w:r>
      <w:r w:rsidR="00F34163" w:rsidRPr="00B0468F">
        <w:rPr>
          <w:lang w:val="lt-LT"/>
        </w:rPr>
        <w:t xml:space="preserve"> </w:t>
      </w:r>
      <w:r w:rsidR="0085487D" w:rsidRPr="00B0468F">
        <w:rPr>
          <w:lang w:val="lt-LT"/>
        </w:rPr>
        <w:t>prazugrelio</w:t>
      </w:r>
      <w:r w:rsidRPr="00B0468F">
        <w:rPr>
          <w:lang w:val="lt-LT"/>
        </w:rPr>
        <w:t>.</w:t>
      </w:r>
    </w:p>
    <w:p w14:paraId="1151118A" w14:textId="1ADAE6A6" w:rsidR="00F34163" w:rsidRPr="00B0468F" w:rsidRDefault="00F34163" w:rsidP="00B0468F">
      <w:pPr>
        <w:widowControl w:val="0"/>
        <w:numPr>
          <w:ilvl w:val="0"/>
          <w:numId w:val="23"/>
        </w:numPr>
        <w:tabs>
          <w:tab w:val="clear" w:pos="567"/>
        </w:tabs>
        <w:spacing w:line="240" w:lineRule="auto"/>
        <w:ind w:left="567" w:right="566" w:hanging="567"/>
        <w:rPr>
          <w:lang w:val="lt-LT"/>
        </w:rPr>
      </w:pPr>
      <w:r w:rsidRPr="00B0468F">
        <w:rPr>
          <w:lang w:val="lt-LT"/>
        </w:rPr>
        <w:t>Pagalbinė</w:t>
      </w:r>
      <w:r w:rsidR="00C63F1A" w:rsidRPr="00B0468F">
        <w:rPr>
          <w:lang w:val="lt-LT"/>
        </w:rPr>
        <w:t>s</w:t>
      </w:r>
      <w:r w:rsidRPr="00B0468F">
        <w:rPr>
          <w:lang w:val="lt-LT"/>
        </w:rPr>
        <w:t xml:space="preserve"> medžiag</w:t>
      </w:r>
      <w:r w:rsidR="00C63F1A" w:rsidRPr="00B0468F">
        <w:rPr>
          <w:lang w:val="lt-LT"/>
        </w:rPr>
        <w:t xml:space="preserve">os yra </w:t>
      </w:r>
      <w:r w:rsidR="001C500B" w:rsidRPr="00B0468F">
        <w:rPr>
          <w:lang w:val="lt-LT"/>
        </w:rPr>
        <w:t>mikrok</w:t>
      </w:r>
      <w:r w:rsidR="00781C13">
        <w:rPr>
          <w:lang w:val="lt-LT"/>
        </w:rPr>
        <w:t>r</w:t>
      </w:r>
      <w:r w:rsidR="001C500B" w:rsidRPr="00B0468F">
        <w:rPr>
          <w:lang w:val="lt-LT"/>
        </w:rPr>
        <w:t>i</w:t>
      </w:r>
      <w:r w:rsidR="003B4EE6">
        <w:rPr>
          <w:lang w:val="lt-LT"/>
        </w:rPr>
        <w:t>s</w:t>
      </w:r>
      <w:r w:rsidR="001C500B" w:rsidRPr="00B0468F">
        <w:rPr>
          <w:lang w:val="lt-LT"/>
        </w:rPr>
        <w:t>talinė celiuliozė</w:t>
      </w:r>
      <w:r w:rsidR="0085487D" w:rsidRPr="00B0468F">
        <w:rPr>
          <w:lang w:val="lt-LT"/>
        </w:rPr>
        <w:t>, makrogolis 4000, poloksameras 188</w:t>
      </w:r>
      <w:r w:rsidR="00964901" w:rsidRPr="00B0468F">
        <w:rPr>
          <w:lang w:val="lt-LT"/>
        </w:rPr>
        <w:t>, f</w:t>
      </w:r>
      <w:r w:rsidR="0085487D" w:rsidRPr="00B0468F">
        <w:rPr>
          <w:lang w:val="lt-LT"/>
        </w:rPr>
        <w:t>uma</w:t>
      </w:r>
      <w:r w:rsidR="001C500B" w:rsidRPr="00B0468F">
        <w:rPr>
          <w:lang w:val="lt-LT"/>
        </w:rPr>
        <w:t>ro rūgštis</w:t>
      </w:r>
      <w:r w:rsidR="0085487D" w:rsidRPr="00B0468F">
        <w:rPr>
          <w:lang w:val="lt-LT"/>
        </w:rPr>
        <w:t xml:space="preserve"> – </w:t>
      </w:r>
      <w:r w:rsidR="007E12B3" w:rsidRPr="00B0468F">
        <w:rPr>
          <w:i/>
          <w:lang w:val="lt-LT"/>
        </w:rPr>
        <w:t>pH</w:t>
      </w:r>
      <w:r w:rsidR="0085487D" w:rsidRPr="00B0468F">
        <w:rPr>
          <w:i/>
          <w:lang w:val="lt-LT"/>
        </w:rPr>
        <w:t xml:space="preserve"> reguliavimui</w:t>
      </w:r>
      <w:r w:rsidR="00964901" w:rsidRPr="00B0468F">
        <w:rPr>
          <w:lang w:val="lt-LT"/>
        </w:rPr>
        <w:t>, k</w:t>
      </w:r>
      <w:r w:rsidR="0085487D" w:rsidRPr="00B0468F">
        <w:rPr>
          <w:lang w:val="lt-LT"/>
        </w:rPr>
        <w:t>roskarmeliozės natrio druska</w:t>
      </w:r>
      <w:r w:rsidR="00964901" w:rsidRPr="00B0468F">
        <w:rPr>
          <w:lang w:val="lt-LT"/>
        </w:rPr>
        <w:t xml:space="preserve">, </w:t>
      </w:r>
      <w:r w:rsidR="0085487D" w:rsidRPr="00B0468F">
        <w:rPr>
          <w:lang w:val="lt-LT"/>
        </w:rPr>
        <w:t>koloidinis</w:t>
      </w:r>
      <w:r w:rsidR="007E12B3" w:rsidRPr="00B0468F">
        <w:rPr>
          <w:lang w:val="lt-LT"/>
        </w:rPr>
        <w:t xml:space="preserve"> hidrofobinis</w:t>
      </w:r>
      <w:r w:rsidR="0085487D" w:rsidRPr="00B0468F">
        <w:rPr>
          <w:lang w:val="lt-LT"/>
        </w:rPr>
        <w:t xml:space="preserve"> silicio dioksidas</w:t>
      </w:r>
      <w:r w:rsidR="00964901" w:rsidRPr="00B0468F">
        <w:rPr>
          <w:lang w:val="lt-LT"/>
        </w:rPr>
        <w:t>, m</w:t>
      </w:r>
      <w:r w:rsidR="001C500B" w:rsidRPr="00B0468F">
        <w:rPr>
          <w:lang w:val="lt-LT"/>
        </w:rPr>
        <w:t>anitolis</w:t>
      </w:r>
      <w:r w:rsidR="00964901" w:rsidRPr="00B0468F">
        <w:rPr>
          <w:lang w:val="lt-LT"/>
        </w:rPr>
        <w:t>, m</w:t>
      </w:r>
      <w:r w:rsidR="001C500B" w:rsidRPr="00B0468F">
        <w:rPr>
          <w:lang w:val="lt-LT"/>
        </w:rPr>
        <w:t>agnio stearatas</w:t>
      </w:r>
      <w:r w:rsidR="00964901" w:rsidRPr="00B0468F">
        <w:rPr>
          <w:lang w:val="lt-LT"/>
        </w:rPr>
        <w:t xml:space="preserve"> tabletės šerdyje ir h</w:t>
      </w:r>
      <w:r w:rsidR="001C500B" w:rsidRPr="00B0468F">
        <w:rPr>
          <w:lang w:val="lt-LT"/>
        </w:rPr>
        <w:t>ipromeliozė</w:t>
      </w:r>
      <w:r w:rsidR="00964901" w:rsidRPr="00B0468F">
        <w:rPr>
          <w:lang w:val="lt-LT"/>
        </w:rPr>
        <w:t>, l</w:t>
      </w:r>
      <w:r w:rsidR="0085487D" w:rsidRPr="00B0468F">
        <w:rPr>
          <w:lang w:val="lt-LT"/>
        </w:rPr>
        <w:t>aktozė monohidratas</w:t>
      </w:r>
      <w:r w:rsidR="00964901" w:rsidRPr="00B0468F">
        <w:rPr>
          <w:lang w:val="lt-LT"/>
        </w:rPr>
        <w:t xml:space="preserve"> t</w:t>
      </w:r>
      <w:r w:rsidR="0085487D" w:rsidRPr="00B0468F">
        <w:rPr>
          <w:lang w:val="lt-LT"/>
        </w:rPr>
        <w:t>itano dioksidas (E 171)</w:t>
      </w:r>
      <w:r w:rsidR="00964901" w:rsidRPr="00B0468F">
        <w:rPr>
          <w:lang w:val="lt-LT"/>
        </w:rPr>
        <w:t>, t</w:t>
      </w:r>
      <w:r w:rsidR="001C500B" w:rsidRPr="00B0468F">
        <w:rPr>
          <w:lang w:val="lt-LT"/>
        </w:rPr>
        <w:t>riacetinas,</w:t>
      </w:r>
      <w:r w:rsidR="00964901" w:rsidRPr="00B0468F">
        <w:rPr>
          <w:lang w:val="lt-LT"/>
        </w:rPr>
        <w:t xml:space="preserve"> </w:t>
      </w:r>
      <w:r w:rsidR="005E7928" w:rsidRPr="00B0468F">
        <w:rPr>
          <w:lang w:val="lt-LT"/>
        </w:rPr>
        <w:t xml:space="preserve">geltonasis geležies oksidas (E172) – </w:t>
      </w:r>
      <w:r w:rsidR="005E7928" w:rsidRPr="00B0468F">
        <w:rPr>
          <w:i/>
          <w:lang w:val="lt-LT"/>
        </w:rPr>
        <w:t>tik 5 mg plėvele dengtų tablečių,</w:t>
      </w:r>
      <w:r w:rsidR="005E7928" w:rsidRPr="00B0468F">
        <w:rPr>
          <w:lang w:val="lt-LT"/>
        </w:rPr>
        <w:t xml:space="preserve"> </w:t>
      </w:r>
      <w:r w:rsidR="00964901" w:rsidRPr="00B0468F">
        <w:rPr>
          <w:lang w:val="lt-LT"/>
        </w:rPr>
        <w:t>r</w:t>
      </w:r>
      <w:r w:rsidR="0085487D" w:rsidRPr="00B0468F">
        <w:rPr>
          <w:lang w:val="lt-LT"/>
        </w:rPr>
        <w:t xml:space="preserve">audonasis geležies oksidas (E172) – </w:t>
      </w:r>
      <w:r w:rsidR="001C500B" w:rsidRPr="00B0468F">
        <w:rPr>
          <w:i/>
          <w:lang w:val="lt-LT"/>
        </w:rPr>
        <w:t xml:space="preserve">tik </w:t>
      </w:r>
      <w:r w:rsidR="005E7928" w:rsidRPr="00B0468F">
        <w:rPr>
          <w:i/>
          <w:lang w:val="lt-LT"/>
        </w:rPr>
        <w:t>10</w:t>
      </w:r>
      <w:r w:rsidR="001C500B" w:rsidRPr="00B0468F">
        <w:rPr>
          <w:i/>
          <w:lang w:val="lt-LT"/>
        </w:rPr>
        <w:t> </w:t>
      </w:r>
      <w:r w:rsidR="00405CA8" w:rsidRPr="00B0468F">
        <w:rPr>
          <w:i/>
          <w:lang w:val="lt-LT"/>
        </w:rPr>
        <w:t>mg plėvele dengtų tablečių</w:t>
      </w:r>
      <w:r w:rsidR="00964901" w:rsidRPr="00B0468F">
        <w:rPr>
          <w:lang w:val="lt-LT"/>
        </w:rPr>
        <w:t xml:space="preserve"> tabletės plėvelėje.</w:t>
      </w:r>
      <w:r w:rsidR="00451589" w:rsidRPr="00B0468F">
        <w:rPr>
          <w:lang w:val="lt-LT"/>
        </w:rPr>
        <w:t xml:space="preserve"> Žr. 2 skyrių „Eliskardia sudėtyje yra laktozės ir natrio“.</w:t>
      </w:r>
    </w:p>
    <w:p w14:paraId="6E1A9679" w14:textId="77777777" w:rsidR="00964901" w:rsidRPr="00B0468F" w:rsidRDefault="00964901" w:rsidP="005350AF">
      <w:pPr>
        <w:widowControl w:val="0"/>
        <w:tabs>
          <w:tab w:val="clear" w:pos="567"/>
        </w:tabs>
        <w:spacing w:line="240" w:lineRule="auto"/>
        <w:ind w:right="566"/>
        <w:rPr>
          <w:lang w:val="lt-LT"/>
        </w:rPr>
      </w:pPr>
    </w:p>
    <w:p w14:paraId="0D0B9AC5" w14:textId="77777777" w:rsidR="00F34163" w:rsidRPr="00B0468F" w:rsidRDefault="00AC7E12" w:rsidP="00B0468F">
      <w:pPr>
        <w:pStyle w:val="Antrat4"/>
        <w:keepNext w:val="0"/>
        <w:widowControl w:val="0"/>
        <w:spacing w:line="240" w:lineRule="auto"/>
        <w:ind w:right="566"/>
        <w:rPr>
          <w:b w:val="0"/>
          <w:lang w:val="lt-LT"/>
        </w:rPr>
      </w:pPr>
      <w:r w:rsidRPr="00B0468F">
        <w:rPr>
          <w:rFonts w:ascii="Times New Roman" w:hAnsi="Times New Roman"/>
          <w:sz w:val="22"/>
          <w:lang w:val="lt-LT"/>
        </w:rPr>
        <w:t>Eliskardia</w:t>
      </w:r>
      <w:r w:rsidR="00F34163" w:rsidRPr="00B0468F">
        <w:rPr>
          <w:rFonts w:ascii="Times New Roman" w:hAnsi="Times New Roman"/>
          <w:sz w:val="22"/>
          <w:lang w:val="lt-LT"/>
        </w:rPr>
        <w:t xml:space="preserve"> išvaizda ir kiekis pakuotėje</w:t>
      </w:r>
    </w:p>
    <w:p w14:paraId="113D1FF5" w14:textId="5ACF3ACE" w:rsidR="00617506" w:rsidRPr="00B0468F" w:rsidRDefault="00617506" w:rsidP="00B0468F">
      <w:pPr>
        <w:widowControl w:val="0"/>
        <w:spacing w:line="240" w:lineRule="auto"/>
        <w:ind w:right="566"/>
        <w:rPr>
          <w:lang w:val="lt-LT"/>
        </w:rPr>
      </w:pPr>
      <w:r w:rsidRPr="00B0468F">
        <w:rPr>
          <w:lang w:val="lt-LT"/>
        </w:rPr>
        <w:t xml:space="preserve">5 mg plėvele dengtos tabletės (tabletės) yra rusvai </w:t>
      </w:r>
      <w:r w:rsidR="007E12B3" w:rsidRPr="00B0468F">
        <w:rPr>
          <w:lang w:val="lt-LT"/>
        </w:rPr>
        <w:t>geltonos</w:t>
      </w:r>
      <w:r w:rsidRPr="00B0468F">
        <w:rPr>
          <w:lang w:val="lt-LT"/>
        </w:rPr>
        <w:t xml:space="preserve">, ovalios, abipus išgaubtos, plėvele dengtos tabletės, kurių matmenys yra 8,5 mm </w:t>
      </w:r>
      <w:r w:rsidR="008401B9" w:rsidRPr="00FD696A">
        <w:rPr>
          <w:snapToGrid/>
          <w:lang w:val="lt-LT" w:eastAsia="sl-SI"/>
        </w:rPr>
        <w:t>×</w:t>
      </w:r>
      <w:r w:rsidRPr="00B0468F">
        <w:rPr>
          <w:lang w:val="lt-LT"/>
        </w:rPr>
        <w:t xml:space="preserve"> 4,5 mm.</w:t>
      </w:r>
    </w:p>
    <w:p w14:paraId="70FFA9CE" w14:textId="5B0FDC22" w:rsidR="00617506" w:rsidRPr="00B0468F" w:rsidRDefault="00617506" w:rsidP="00B0468F">
      <w:pPr>
        <w:widowControl w:val="0"/>
        <w:spacing w:line="240" w:lineRule="auto"/>
        <w:ind w:right="566"/>
        <w:rPr>
          <w:lang w:val="lt-LT"/>
        </w:rPr>
      </w:pPr>
      <w:r w:rsidRPr="00B0468F">
        <w:rPr>
          <w:lang w:val="lt-LT"/>
        </w:rPr>
        <w:t>10 mg plėvele dengtos tabletės (tabletės</w:t>
      </w:r>
      <w:r w:rsidR="007E12B3" w:rsidRPr="00B0468F">
        <w:rPr>
          <w:lang w:val="lt-LT"/>
        </w:rPr>
        <w:t>) yra</w:t>
      </w:r>
      <w:r w:rsidRPr="00B0468F">
        <w:rPr>
          <w:lang w:val="lt-LT"/>
        </w:rPr>
        <w:t xml:space="preserve"> rožinės, ovalios, lengvai abipus išgaubtos, plėvele dengtos tabletės, kurių matmenys yra </w:t>
      </w:r>
      <w:r w:rsidR="00FC0300" w:rsidRPr="00B0468F">
        <w:rPr>
          <w:lang w:val="lt-LT"/>
        </w:rPr>
        <w:t>10</w:t>
      </w:r>
      <w:r w:rsidRPr="00B0468F">
        <w:rPr>
          <w:lang w:val="lt-LT"/>
        </w:rPr>
        <w:t xml:space="preserve">,5 mm </w:t>
      </w:r>
      <w:r w:rsidR="008401B9" w:rsidRPr="00FD696A">
        <w:rPr>
          <w:snapToGrid/>
          <w:lang w:val="lt-LT" w:eastAsia="sl-SI"/>
        </w:rPr>
        <w:t>×</w:t>
      </w:r>
      <w:r w:rsidRPr="00B0468F">
        <w:rPr>
          <w:lang w:val="lt-LT"/>
        </w:rPr>
        <w:t xml:space="preserve"> </w:t>
      </w:r>
      <w:r w:rsidR="00FC0300" w:rsidRPr="00B0468F">
        <w:rPr>
          <w:lang w:val="lt-LT"/>
        </w:rPr>
        <w:t>5</w:t>
      </w:r>
      <w:r w:rsidRPr="00B0468F">
        <w:rPr>
          <w:lang w:val="lt-LT"/>
        </w:rPr>
        <w:t>,5 mm.</w:t>
      </w:r>
    </w:p>
    <w:p w14:paraId="1B223FB2" w14:textId="77777777" w:rsidR="003F3005" w:rsidRPr="00B0468F" w:rsidRDefault="003F3005" w:rsidP="005350AF">
      <w:pPr>
        <w:widowControl w:val="0"/>
        <w:numPr>
          <w:ilvl w:val="12"/>
          <w:numId w:val="0"/>
        </w:numPr>
        <w:tabs>
          <w:tab w:val="clear" w:pos="567"/>
        </w:tabs>
        <w:spacing w:line="240" w:lineRule="auto"/>
        <w:ind w:right="566"/>
        <w:rPr>
          <w:lang w:val="lt-LT"/>
        </w:rPr>
      </w:pPr>
    </w:p>
    <w:p w14:paraId="0BF24CE2" w14:textId="77777777" w:rsidR="00072485" w:rsidRPr="00B0468F" w:rsidRDefault="007E12B3" w:rsidP="005350AF">
      <w:pPr>
        <w:widowControl w:val="0"/>
        <w:numPr>
          <w:ilvl w:val="12"/>
          <w:numId w:val="0"/>
        </w:numPr>
        <w:tabs>
          <w:tab w:val="clear" w:pos="567"/>
        </w:tabs>
        <w:spacing w:line="240" w:lineRule="auto"/>
        <w:ind w:right="566"/>
        <w:rPr>
          <w:lang w:val="lt-LT"/>
        </w:rPr>
      </w:pPr>
      <w:r w:rsidRPr="00B0468F">
        <w:rPr>
          <w:lang w:val="lt-LT"/>
        </w:rPr>
        <w:t>Eliskardia supakuotas į kartono dėžutes, kuriose yra 14</w:t>
      </w:r>
      <w:r w:rsidR="00072485" w:rsidRPr="00B0468F">
        <w:rPr>
          <w:lang w:val="lt-LT"/>
        </w:rPr>
        <w:t xml:space="preserve">, 28, 30, 56, 60, 84, 90 </w:t>
      </w:r>
      <w:r w:rsidRPr="00B0468F">
        <w:rPr>
          <w:lang w:val="lt-LT"/>
        </w:rPr>
        <w:t>arba</w:t>
      </w:r>
      <w:r w:rsidR="00072485" w:rsidRPr="00B0468F">
        <w:rPr>
          <w:lang w:val="lt-LT"/>
        </w:rPr>
        <w:t xml:space="preserve"> 98 plėvele </w:t>
      </w:r>
      <w:r w:rsidRPr="00B0468F">
        <w:rPr>
          <w:lang w:val="lt-LT"/>
        </w:rPr>
        <w:t>dengtos tabletės lizdinėse plokštelėse</w:t>
      </w:r>
      <w:r w:rsidR="00072485" w:rsidRPr="00B0468F">
        <w:rPr>
          <w:lang w:val="lt-LT"/>
        </w:rPr>
        <w:t>.</w:t>
      </w:r>
    </w:p>
    <w:p w14:paraId="697C3CEF" w14:textId="77777777" w:rsidR="00F52FCB" w:rsidRPr="00B0468F" w:rsidRDefault="00F52FCB" w:rsidP="005350AF">
      <w:pPr>
        <w:widowControl w:val="0"/>
        <w:tabs>
          <w:tab w:val="clear" w:pos="567"/>
        </w:tabs>
        <w:spacing w:line="240" w:lineRule="auto"/>
        <w:ind w:right="566"/>
        <w:rPr>
          <w:lang w:val="lt-LT"/>
        </w:rPr>
      </w:pPr>
      <w:r w:rsidRPr="00B0468F">
        <w:rPr>
          <w:lang w:val="lt-LT"/>
        </w:rPr>
        <w:t>Gali būti tiekiamos ne visų dydžių pakuotės.</w:t>
      </w:r>
    </w:p>
    <w:p w14:paraId="5E3A9DED" w14:textId="77777777" w:rsidR="000064A1" w:rsidRPr="00B0468F" w:rsidRDefault="000064A1" w:rsidP="005350AF">
      <w:pPr>
        <w:widowControl w:val="0"/>
        <w:numPr>
          <w:ilvl w:val="12"/>
          <w:numId w:val="0"/>
        </w:numPr>
        <w:tabs>
          <w:tab w:val="clear" w:pos="567"/>
        </w:tabs>
        <w:spacing w:line="240" w:lineRule="auto"/>
        <w:ind w:right="566"/>
        <w:rPr>
          <w:lang w:val="lt-LT"/>
        </w:rPr>
      </w:pPr>
    </w:p>
    <w:p w14:paraId="09C965AB" w14:textId="77777777" w:rsidR="00F34163" w:rsidRPr="00B0468F" w:rsidRDefault="00461F31" w:rsidP="00B0468F">
      <w:pPr>
        <w:pStyle w:val="Antrat4"/>
        <w:keepNext w:val="0"/>
        <w:widowControl w:val="0"/>
        <w:spacing w:line="240" w:lineRule="auto"/>
        <w:ind w:right="566"/>
        <w:rPr>
          <w:b w:val="0"/>
          <w:lang w:val="lt-LT"/>
        </w:rPr>
      </w:pPr>
      <w:r w:rsidRPr="00B0468F">
        <w:rPr>
          <w:rFonts w:ascii="Times New Roman" w:hAnsi="Times New Roman"/>
          <w:sz w:val="22"/>
          <w:lang w:val="lt-LT"/>
        </w:rPr>
        <w:t>Registruotojas</w:t>
      </w:r>
      <w:r w:rsidR="00F34163" w:rsidRPr="00B0468F">
        <w:rPr>
          <w:rFonts w:ascii="Times New Roman" w:hAnsi="Times New Roman"/>
          <w:sz w:val="22"/>
          <w:lang w:val="lt-LT"/>
        </w:rPr>
        <w:t xml:space="preserve"> ir gamintojas</w:t>
      </w:r>
    </w:p>
    <w:p w14:paraId="0E4DF910" w14:textId="77777777" w:rsidR="0067509F" w:rsidRPr="00B0468F" w:rsidRDefault="0067509F" w:rsidP="005350AF">
      <w:pPr>
        <w:widowControl w:val="0"/>
        <w:tabs>
          <w:tab w:val="clear" w:pos="567"/>
        </w:tabs>
        <w:spacing w:line="240" w:lineRule="auto"/>
        <w:ind w:right="566"/>
        <w:rPr>
          <w:lang w:val="lt-LT"/>
        </w:rPr>
      </w:pPr>
    </w:p>
    <w:p w14:paraId="6058872B" w14:textId="77777777" w:rsidR="0067509F" w:rsidRPr="00B0468F" w:rsidRDefault="0067509F" w:rsidP="00B0468F">
      <w:pPr>
        <w:widowControl w:val="0"/>
        <w:tabs>
          <w:tab w:val="clear" w:pos="567"/>
        </w:tabs>
        <w:spacing w:line="240" w:lineRule="auto"/>
        <w:ind w:right="566"/>
        <w:rPr>
          <w:lang w:val="lt-LT"/>
        </w:rPr>
      </w:pPr>
      <w:r w:rsidRPr="00B0468F">
        <w:rPr>
          <w:lang w:val="lt-LT"/>
        </w:rPr>
        <w:t>K</w:t>
      </w:r>
      <w:r w:rsidR="00FC0300" w:rsidRPr="00B0468F">
        <w:rPr>
          <w:lang w:val="lt-LT"/>
        </w:rPr>
        <w:t>RKA</w:t>
      </w:r>
      <w:r w:rsidRPr="00B0468F">
        <w:rPr>
          <w:lang w:val="lt-LT"/>
        </w:rPr>
        <w:t>, d.d., Novo mesto</w:t>
      </w:r>
    </w:p>
    <w:p w14:paraId="3F466AD7" w14:textId="77777777" w:rsidR="0067509F" w:rsidRPr="00B0468F" w:rsidRDefault="0067509F" w:rsidP="00B0468F">
      <w:pPr>
        <w:widowControl w:val="0"/>
        <w:tabs>
          <w:tab w:val="clear" w:pos="567"/>
        </w:tabs>
        <w:spacing w:line="240" w:lineRule="auto"/>
        <w:ind w:right="566"/>
        <w:rPr>
          <w:lang w:val="lt-LT"/>
        </w:rPr>
      </w:pPr>
      <w:r w:rsidRPr="00B0468F">
        <w:rPr>
          <w:lang w:val="lt-LT"/>
        </w:rPr>
        <w:t>Šmarješka cesta 6</w:t>
      </w:r>
    </w:p>
    <w:p w14:paraId="0B7D9B5E" w14:textId="77777777" w:rsidR="0067509F" w:rsidRPr="00B0468F" w:rsidRDefault="0067509F" w:rsidP="00B0468F">
      <w:pPr>
        <w:widowControl w:val="0"/>
        <w:tabs>
          <w:tab w:val="clear" w:pos="567"/>
        </w:tabs>
        <w:spacing w:line="240" w:lineRule="auto"/>
        <w:ind w:right="566"/>
        <w:rPr>
          <w:lang w:val="lt-LT"/>
        </w:rPr>
      </w:pPr>
      <w:r w:rsidRPr="00B0468F">
        <w:rPr>
          <w:lang w:val="lt-LT"/>
        </w:rPr>
        <w:t>8501 Novo mesto</w:t>
      </w:r>
    </w:p>
    <w:p w14:paraId="6CBE0FC8" w14:textId="77777777" w:rsidR="0067509F" w:rsidRPr="00B0468F" w:rsidRDefault="0067509F" w:rsidP="00B0468F">
      <w:pPr>
        <w:widowControl w:val="0"/>
        <w:tabs>
          <w:tab w:val="clear" w:pos="567"/>
        </w:tabs>
        <w:spacing w:line="240" w:lineRule="auto"/>
        <w:ind w:right="566"/>
        <w:rPr>
          <w:lang w:val="lt-LT"/>
        </w:rPr>
      </w:pPr>
      <w:r w:rsidRPr="00B0468F">
        <w:rPr>
          <w:lang w:val="lt-LT"/>
        </w:rPr>
        <w:t>Slovėnija</w:t>
      </w:r>
    </w:p>
    <w:p w14:paraId="5270530E"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3A2F3367" w14:textId="77777777" w:rsidR="00F34163" w:rsidRPr="00B0468F" w:rsidRDefault="00F34163" w:rsidP="00B0468F">
      <w:pPr>
        <w:widowControl w:val="0"/>
        <w:numPr>
          <w:ilvl w:val="12"/>
          <w:numId w:val="0"/>
        </w:numPr>
        <w:spacing w:line="240" w:lineRule="auto"/>
        <w:ind w:right="566"/>
        <w:rPr>
          <w:lang w:val="lt-LT"/>
        </w:rPr>
      </w:pPr>
      <w:r w:rsidRPr="00B0468F">
        <w:rPr>
          <w:lang w:val="lt-LT"/>
        </w:rPr>
        <w:t xml:space="preserve">Jeigu apie šį vaistą norite sužinoti daugiau, kreipkitės į vietinį </w:t>
      </w:r>
      <w:r w:rsidR="00461F31" w:rsidRPr="00B0468F">
        <w:rPr>
          <w:lang w:val="lt-LT"/>
        </w:rPr>
        <w:t>registruotojo</w:t>
      </w:r>
      <w:r w:rsidRPr="00B0468F">
        <w:rPr>
          <w:lang w:val="lt-LT"/>
        </w:rPr>
        <w:t xml:space="preserve"> atstovą</w:t>
      </w:r>
      <w:r w:rsidR="00447DE7" w:rsidRPr="00B0468F">
        <w:rPr>
          <w:lang w:val="lt-LT"/>
        </w:rPr>
        <w:t>.</w:t>
      </w:r>
    </w:p>
    <w:p w14:paraId="3FD3BECD" w14:textId="77777777" w:rsidR="00F34163" w:rsidRPr="00B0468F" w:rsidRDefault="00F34163" w:rsidP="00B0468F">
      <w:pPr>
        <w:widowControl w:val="0"/>
        <w:spacing w:line="240" w:lineRule="auto"/>
        <w:ind w:right="566"/>
        <w:rPr>
          <w:lang w:val="lt-LT"/>
        </w:rPr>
      </w:pPr>
    </w:p>
    <w:p w14:paraId="394B83C8"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UAB KRKA Lietuva</w:t>
      </w:r>
    </w:p>
    <w:p w14:paraId="210B6A2C"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Senasis Ukmergės kelias 4,</w:t>
      </w:r>
    </w:p>
    <w:p w14:paraId="4DF4DDA5"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Užubalių km., Vilniaus r.</w:t>
      </w:r>
    </w:p>
    <w:p w14:paraId="45E7DD9B"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LT – 14013</w:t>
      </w:r>
    </w:p>
    <w:p w14:paraId="6B2D54E7" w14:textId="77777777" w:rsidR="00F34163" w:rsidRPr="00B0468F" w:rsidRDefault="004C55D9" w:rsidP="00B0468F">
      <w:pPr>
        <w:widowControl w:val="0"/>
        <w:numPr>
          <w:ilvl w:val="12"/>
          <w:numId w:val="0"/>
        </w:numPr>
        <w:spacing w:line="240" w:lineRule="auto"/>
        <w:ind w:right="566"/>
        <w:rPr>
          <w:lang w:val="lt-LT"/>
        </w:rPr>
      </w:pPr>
      <w:r w:rsidRPr="00B0468F">
        <w:rPr>
          <w:lang w:val="lt-LT"/>
        </w:rPr>
        <w:t>Tel. +370 5 236 27 40</w:t>
      </w:r>
    </w:p>
    <w:p w14:paraId="451F1AB4" w14:textId="77777777" w:rsidR="00462227" w:rsidRPr="00B0468F" w:rsidRDefault="00462227" w:rsidP="00B0468F">
      <w:pPr>
        <w:widowControl w:val="0"/>
        <w:numPr>
          <w:ilvl w:val="12"/>
          <w:numId w:val="0"/>
        </w:numPr>
        <w:spacing w:line="240" w:lineRule="auto"/>
        <w:ind w:right="566"/>
        <w:rPr>
          <w:lang w:val="lt-LT"/>
        </w:rPr>
      </w:pPr>
    </w:p>
    <w:p w14:paraId="55503DBC" w14:textId="39A59D66" w:rsidR="00F34163" w:rsidRPr="00B0468F" w:rsidRDefault="00461F31" w:rsidP="00B0468F">
      <w:pPr>
        <w:widowControl w:val="0"/>
        <w:numPr>
          <w:ilvl w:val="12"/>
          <w:numId w:val="0"/>
        </w:numPr>
        <w:spacing w:line="240" w:lineRule="auto"/>
        <w:ind w:right="566"/>
        <w:rPr>
          <w:lang w:val="lt-LT"/>
        </w:rPr>
      </w:pPr>
      <w:r w:rsidRPr="00B0468F">
        <w:rPr>
          <w:b/>
          <w:lang w:val="lt-LT"/>
        </w:rPr>
        <w:t xml:space="preserve">Šis </w:t>
      </w:r>
      <w:r w:rsidR="00A76206" w:rsidRPr="00B0468F">
        <w:rPr>
          <w:b/>
          <w:lang w:val="lt-LT"/>
        </w:rPr>
        <w:t>vaistas</w:t>
      </w:r>
      <w:r w:rsidR="00F34163" w:rsidRPr="00B0468F">
        <w:rPr>
          <w:b/>
          <w:lang w:val="lt-LT"/>
        </w:rPr>
        <w:t xml:space="preserve"> E</w:t>
      </w:r>
      <w:r w:rsidR="009844C6">
        <w:rPr>
          <w:b/>
          <w:lang w:val="lt-LT"/>
        </w:rPr>
        <w:t>uropos ekonominės erdvės</w:t>
      </w:r>
      <w:r w:rsidR="00F34163" w:rsidRPr="00B0468F">
        <w:rPr>
          <w:b/>
          <w:lang w:val="lt-LT"/>
        </w:rPr>
        <w:t xml:space="preserve"> valstybėse narėse </w:t>
      </w:r>
      <w:r w:rsidRPr="00B0468F">
        <w:rPr>
          <w:b/>
          <w:lang w:val="lt-LT"/>
        </w:rPr>
        <w:t xml:space="preserve">registruotas </w:t>
      </w:r>
      <w:r w:rsidR="00F34163" w:rsidRPr="00B0468F">
        <w:rPr>
          <w:b/>
          <w:lang w:val="lt-LT"/>
        </w:rPr>
        <w:t>tokiais pavadinimais</w:t>
      </w:r>
      <w:r w:rsidR="00462227" w:rsidRPr="00B0468F">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5752"/>
      </w:tblGrid>
      <w:tr w:rsidR="00462227" w:rsidRPr="00217AE9" w14:paraId="40A6597A" w14:textId="77777777" w:rsidTr="00B0468F">
        <w:tc>
          <w:tcPr>
            <w:tcW w:w="3369" w:type="dxa"/>
            <w:shd w:val="clear" w:color="auto" w:fill="auto"/>
          </w:tcPr>
          <w:p w14:paraId="025D470B" w14:textId="77777777" w:rsidR="00462227" w:rsidRPr="00B0468F" w:rsidRDefault="00462227" w:rsidP="005350AF">
            <w:pPr>
              <w:widowControl w:val="0"/>
              <w:tabs>
                <w:tab w:val="clear" w:pos="567"/>
              </w:tabs>
              <w:spacing w:line="240" w:lineRule="auto"/>
              <w:ind w:right="566"/>
              <w:rPr>
                <w:rFonts w:eastAsia="Calibri"/>
                <w:lang w:val="lt-LT"/>
              </w:rPr>
            </w:pPr>
            <w:r w:rsidRPr="00B0468F">
              <w:rPr>
                <w:rFonts w:eastAsia="Calibri"/>
                <w:lang w:val="lt-LT"/>
              </w:rPr>
              <w:lastRenderedPageBreak/>
              <w:t>Valstybės narės pavadinimas</w:t>
            </w:r>
          </w:p>
        </w:tc>
        <w:tc>
          <w:tcPr>
            <w:tcW w:w="5918" w:type="dxa"/>
            <w:shd w:val="clear" w:color="auto" w:fill="auto"/>
          </w:tcPr>
          <w:p w14:paraId="4F7B1A22" w14:textId="77777777" w:rsidR="00462227" w:rsidRPr="00B0468F" w:rsidRDefault="00462227" w:rsidP="005350AF">
            <w:pPr>
              <w:widowControl w:val="0"/>
              <w:tabs>
                <w:tab w:val="clear" w:pos="567"/>
              </w:tabs>
              <w:spacing w:line="240" w:lineRule="auto"/>
              <w:ind w:right="566"/>
              <w:rPr>
                <w:rFonts w:eastAsia="Calibri"/>
                <w:lang w:val="lt-LT"/>
              </w:rPr>
            </w:pPr>
            <w:r w:rsidRPr="00B0468F">
              <w:rPr>
                <w:rFonts w:eastAsia="Calibri"/>
                <w:lang w:val="lt-LT"/>
              </w:rPr>
              <w:t>Vaisto pavadinimas</w:t>
            </w:r>
          </w:p>
        </w:tc>
      </w:tr>
      <w:tr w:rsidR="00462227" w:rsidRPr="00217AE9" w14:paraId="5EE6A7FE" w14:textId="77777777" w:rsidTr="00B0468F">
        <w:tc>
          <w:tcPr>
            <w:tcW w:w="3369" w:type="dxa"/>
            <w:shd w:val="clear" w:color="auto" w:fill="auto"/>
          </w:tcPr>
          <w:p w14:paraId="48C386F8" w14:textId="77777777" w:rsidR="00462227" w:rsidRPr="00B0468F" w:rsidRDefault="005A0CB5" w:rsidP="005350AF">
            <w:pPr>
              <w:widowControl w:val="0"/>
              <w:tabs>
                <w:tab w:val="clear" w:pos="567"/>
              </w:tabs>
              <w:spacing w:line="240" w:lineRule="auto"/>
              <w:ind w:right="566"/>
              <w:rPr>
                <w:rFonts w:eastAsia="Calibri"/>
                <w:lang w:val="lt-LT"/>
              </w:rPr>
            </w:pPr>
            <w:r w:rsidRPr="00B0468F">
              <w:rPr>
                <w:rFonts w:eastAsia="Calibri"/>
                <w:lang w:val="lt-LT"/>
              </w:rPr>
              <w:t>Vengr</w:t>
            </w:r>
            <w:r w:rsidR="004E434A" w:rsidRPr="00B0468F">
              <w:rPr>
                <w:rFonts w:eastAsia="Calibri"/>
                <w:lang w:val="lt-LT"/>
              </w:rPr>
              <w:t xml:space="preserve">ija, </w:t>
            </w:r>
            <w:r w:rsidR="007E12B3" w:rsidRPr="00B0468F">
              <w:rPr>
                <w:rFonts w:eastAsia="Calibri"/>
                <w:lang w:val="lt-LT"/>
              </w:rPr>
              <w:t>Čekija</w:t>
            </w:r>
            <w:r w:rsidR="004E434A" w:rsidRPr="00B0468F">
              <w:rPr>
                <w:rFonts w:eastAsia="Calibri"/>
                <w:lang w:val="lt-LT"/>
              </w:rPr>
              <w:t>, Estija, Kroatija, Lietuva, Latvija, Rumunija, Slovėnija</w:t>
            </w:r>
          </w:p>
        </w:tc>
        <w:tc>
          <w:tcPr>
            <w:tcW w:w="5918" w:type="dxa"/>
            <w:shd w:val="clear" w:color="auto" w:fill="auto"/>
          </w:tcPr>
          <w:p w14:paraId="101DB648" w14:textId="77777777" w:rsidR="00462227" w:rsidRPr="00B0468F" w:rsidRDefault="004E434A" w:rsidP="005350AF">
            <w:pPr>
              <w:widowControl w:val="0"/>
              <w:tabs>
                <w:tab w:val="clear" w:pos="567"/>
              </w:tabs>
              <w:spacing w:line="240" w:lineRule="auto"/>
              <w:ind w:right="566"/>
              <w:rPr>
                <w:rFonts w:eastAsia="Calibri"/>
                <w:lang w:val="lt-LT"/>
              </w:rPr>
            </w:pPr>
            <w:r w:rsidRPr="00B0468F">
              <w:rPr>
                <w:rFonts w:eastAsia="Calibri"/>
                <w:lang w:val="lt-LT"/>
              </w:rPr>
              <w:t>Eliskardia</w:t>
            </w:r>
          </w:p>
        </w:tc>
      </w:tr>
      <w:tr w:rsidR="004E434A" w:rsidRPr="00217AE9" w14:paraId="58FA8738" w14:textId="77777777" w:rsidTr="00B0468F">
        <w:tc>
          <w:tcPr>
            <w:tcW w:w="3369" w:type="dxa"/>
            <w:shd w:val="clear" w:color="auto" w:fill="auto"/>
          </w:tcPr>
          <w:p w14:paraId="51C7B22F" w14:textId="77777777" w:rsidR="004E434A" w:rsidRPr="00B0468F" w:rsidRDefault="004E434A" w:rsidP="005350AF">
            <w:pPr>
              <w:widowControl w:val="0"/>
              <w:tabs>
                <w:tab w:val="clear" w:pos="567"/>
              </w:tabs>
              <w:spacing w:line="240" w:lineRule="auto"/>
              <w:ind w:right="566"/>
              <w:rPr>
                <w:rFonts w:eastAsia="Calibri"/>
                <w:lang w:val="lt-LT"/>
              </w:rPr>
            </w:pPr>
            <w:r w:rsidRPr="00B0468F">
              <w:rPr>
                <w:rFonts w:eastAsia="Calibri"/>
                <w:lang w:val="lt-LT"/>
              </w:rPr>
              <w:t>Bulgarija</w:t>
            </w:r>
          </w:p>
        </w:tc>
        <w:tc>
          <w:tcPr>
            <w:tcW w:w="5918" w:type="dxa"/>
            <w:shd w:val="clear" w:color="auto" w:fill="auto"/>
          </w:tcPr>
          <w:p w14:paraId="750B9907" w14:textId="77777777" w:rsidR="004E434A" w:rsidRPr="00B0468F" w:rsidRDefault="00FE6087" w:rsidP="005350AF">
            <w:pPr>
              <w:widowControl w:val="0"/>
              <w:tabs>
                <w:tab w:val="clear" w:pos="567"/>
              </w:tabs>
              <w:spacing w:line="240" w:lineRule="auto"/>
              <w:ind w:right="566"/>
              <w:rPr>
                <w:rFonts w:eastAsia="Calibri"/>
                <w:lang w:val="lt-LT"/>
              </w:rPr>
            </w:pPr>
            <w:r w:rsidRPr="00B0468F">
              <w:rPr>
                <w:rFonts w:eastAsia="Calibri"/>
                <w:lang w:val="lt-LT"/>
              </w:rPr>
              <w:t>Eлискардиa</w:t>
            </w:r>
          </w:p>
        </w:tc>
      </w:tr>
    </w:tbl>
    <w:p w14:paraId="1E225BEB" w14:textId="77777777" w:rsidR="00447DE7" w:rsidRDefault="00447DE7" w:rsidP="00B0468F">
      <w:pPr>
        <w:widowControl w:val="0"/>
        <w:spacing w:line="240" w:lineRule="auto"/>
        <w:ind w:left="567" w:right="566" w:hanging="567"/>
        <w:rPr>
          <w:lang w:val="lt-LT"/>
        </w:rPr>
      </w:pPr>
    </w:p>
    <w:p w14:paraId="3FACB2DA" w14:textId="77777777" w:rsidR="00C64EAC" w:rsidRPr="00B0468F" w:rsidRDefault="00C64EAC" w:rsidP="00B0468F">
      <w:pPr>
        <w:widowControl w:val="0"/>
        <w:spacing w:line="240" w:lineRule="auto"/>
        <w:ind w:left="567" w:right="566" w:hanging="567"/>
        <w:rPr>
          <w:lang w:val="lt-LT"/>
        </w:rPr>
      </w:pPr>
    </w:p>
    <w:p w14:paraId="272D016B" w14:textId="72BC9A12" w:rsidR="00F34163" w:rsidRPr="00B0468F" w:rsidRDefault="00F34163" w:rsidP="005350AF">
      <w:pPr>
        <w:widowControl w:val="0"/>
        <w:numPr>
          <w:ilvl w:val="12"/>
          <w:numId w:val="0"/>
        </w:numPr>
        <w:tabs>
          <w:tab w:val="clear" w:pos="567"/>
        </w:tabs>
        <w:spacing w:line="240" w:lineRule="auto"/>
        <w:ind w:right="566"/>
        <w:rPr>
          <w:b/>
          <w:lang w:val="lt-LT"/>
        </w:rPr>
      </w:pPr>
      <w:r w:rsidRPr="00B0468F">
        <w:rPr>
          <w:b/>
          <w:lang w:val="lt-LT"/>
        </w:rPr>
        <w:t>Šis pakuotės lapelis paskutinį kartą peržiūrėtas</w:t>
      </w:r>
      <w:r w:rsidR="00C64EAC">
        <w:rPr>
          <w:b/>
          <w:lang w:val="lt-LT"/>
        </w:rPr>
        <w:t xml:space="preserve"> 2025-01-31.</w:t>
      </w:r>
    </w:p>
    <w:p w14:paraId="049C1E72" w14:textId="77777777" w:rsidR="00F34163" w:rsidRPr="00B0468F" w:rsidRDefault="00F34163" w:rsidP="00B0468F">
      <w:pPr>
        <w:widowControl w:val="0"/>
        <w:numPr>
          <w:ilvl w:val="12"/>
          <w:numId w:val="0"/>
        </w:numPr>
        <w:spacing w:line="240" w:lineRule="auto"/>
        <w:ind w:right="566"/>
        <w:rPr>
          <w:i/>
          <w:lang w:val="lt-LT"/>
        </w:rPr>
      </w:pPr>
    </w:p>
    <w:p w14:paraId="7448B435" w14:textId="4CA04C8C" w:rsidR="00F34163" w:rsidRPr="00B0468F" w:rsidRDefault="00F34163" w:rsidP="00B0468F">
      <w:pPr>
        <w:widowControl w:val="0"/>
        <w:numPr>
          <w:ilvl w:val="12"/>
          <w:numId w:val="0"/>
        </w:numPr>
        <w:spacing w:line="240" w:lineRule="auto"/>
        <w:ind w:right="566"/>
        <w:rPr>
          <w:lang w:val="lt-LT"/>
        </w:rPr>
      </w:pPr>
      <w:r w:rsidRPr="00B0468F">
        <w:rPr>
          <w:lang w:val="lt-LT"/>
        </w:rPr>
        <w:t>Išsami informacija apie šį vaistą pateikiama Valstybinės vaistų kontrolės tarnybos prie Lietuvos Respublikos sveikatos apsaugos ministerijos tinklalapyje</w:t>
      </w:r>
      <w:r w:rsidRPr="00B0468F">
        <w:rPr>
          <w:i/>
          <w:lang w:val="lt-LT"/>
        </w:rPr>
        <w:t xml:space="preserve"> </w:t>
      </w:r>
      <w:r w:rsidR="008401B9" w:rsidRPr="008401B9">
        <w:rPr>
          <w:snapToGrid/>
          <w:color w:val="0000EE"/>
          <w:szCs w:val="22"/>
          <w:u w:val="single"/>
          <w:lang w:val="lt-LT" w:eastAsia="lt-LT"/>
        </w:rPr>
        <w:t>https://vvkt.lrv.lt/lt/</w:t>
      </w:r>
      <w:r w:rsidRPr="00B0468F">
        <w:rPr>
          <w:lang w:val="lt-LT"/>
        </w:rPr>
        <w:t>.</w:t>
      </w:r>
    </w:p>
    <w:p w14:paraId="24364952" w14:textId="77777777" w:rsidR="007E12B3" w:rsidRPr="00B0468F" w:rsidRDefault="007E12B3" w:rsidP="00B0468F">
      <w:pPr>
        <w:widowControl w:val="0"/>
        <w:spacing w:line="240" w:lineRule="auto"/>
        <w:ind w:right="566"/>
        <w:rPr>
          <w:lang w:val="lt-LT"/>
        </w:rPr>
      </w:pPr>
    </w:p>
    <w:p w14:paraId="51A79033" w14:textId="77777777" w:rsidR="00EC46F9" w:rsidRPr="00B0468F" w:rsidRDefault="00EC46F9" w:rsidP="00B0468F">
      <w:pPr>
        <w:widowControl w:val="0"/>
        <w:spacing w:line="240" w:lineRule="auto"/>
        <w:rPr>
          <w:lang w:val="lt-LT"/>
        </w:rPr>
      </w:pPr>
    </w:p>
    <w:sectPr w:rsidR="00EC46F9" w:rsidRPr="00B0468F" w:rsidSect="00A04C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3CF9" w14:textId="77777777" w:rsidR="00FD696A" w:rsidRDefault="00FD696A" w:rsidP="005350AF">
      <w:pPr>
        <w:spacing w:line="240" w:lineRule="auto"/>
      </w:pPr>
      <w:r>
        <w:separator/>
      </w:r>
    </w:p>
  </w:endnote>
  <w:endnote w:type="continuationSeparator" w:id="0">
    <w:p w14:paraId="5D54EE62" w14:textId="77777777" w:rsidR="00FD696A" w:rsidRDefault="00FD696A" w:rsidP="005350AF">
      <w:pPr>
        <w:spacing w:line="240" w:lineRule="auto"/>
      </w:pPr>
      <w:r>
        <w:continuationSeparator/>
      </w:r>
    </w:p>
  </w:endnote>
  <w:endnote w:type="continuationNotice" w:id="1">
    <w:p w14:paraId="184F3E6C" w14:textId="77777777" w:rsidR="00FD696A" w:rsidRDefault="00FD696A" w:rsidP="005350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1A8E" w14:textId="77777777" w:rsidR="00BA6A2F" w:rsidRDefault="00BA6A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7CAE" w14:textId="77777777" w:rsidR="00BA6A2F" w:rsidRDefault="00BA6A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0843" w14:textId="77777777" w:rsidR="00BA6A2F" w:rsidRDefault="00BA6A2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AC9C" w14:textId="77777777" w:rsidR="00B12C5D" w:rsidRDefault="00B12C5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17D" w14:textId="77777777" w:rsidR="00B12C5D" w:rsidRDefault="00B12C5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02DE" w14:textId="77777777" w:rsidR="00B12C5D" w:rsidRDefault="00B12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5C1F" w14:textId="77777777" w:rsidR="00FD696A" w:rsidRDefault="00FD696A" w:rsidP="005350AF">
      <w:pPr>
        <w:spacing w:line="240" w:lineRule="auto"/>
      </w:pPr>
      <w:r>
        <w:separator/>
      </w:r>
    </w:p>
  </w:footnote>
  <w:footnote w:type="continuationSeparator" w:id="0">
    <w:p w14:paraId="3332FE44" w14:textId="77777777" w:rsidR="00FD696A" w:rsidRDefault="00FD696A" w:rsidP="005350AF">
      <w:pPr>
        <w:spacing w:line="240" w:lineRule="auto"/>
      </w:pPr>
      <w:r>
        <w:continuationSeparator/>
      </w:r>
    </w:p>
  </w:footnote>
  <w:footnote w:type="continuationNotice" w:id="1">
    <w:p w14:paraId="37246656" w14:textId="77777777" w:rsidR="00FD696A" w:rsidRDefault="00FD696A" w:rsidP="005350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E453" w14:textId="77777777" w:rsidR="00BA6A2F" w:rsidRDefault="00BA6A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2CA5" w14:textId="77777777" w:rsidR="00BA6A2F" w:rsidRDefault="00BA6A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04D" w14:textId="77777777" w:rsidR="00BA6A2F" w:rsidRDefault="00BA6A2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2FC7" w14:textId="77777777" w:rsidR="00B12C5D" w:rsidRDefault="00B12C5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60CC" w14:textId="77777777" w:rsidR="00B12C5D" w:rsidRDefault="00B12C5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5CE6" w14:textId="77777777" w:rsidR="00B12C5D" w:rsidRDefault="00B12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A4406"/>
    <w:multiLevelType w:val="hybridMultilevel"/>
    <w:tmpl w:val="CA5C9FB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C33CE"/>
    <w:multiLevelType w:val="hybridMultilevel"/>
    <w:tmpl w:val="636EF3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1F3D44"/>
    <w:multiLevelType w:val="hybridMultilevel"/>
    <w:tmpl w:val="559A74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3D71CF"/>
    <w:multiLevelType w:val="hybridMultilevel"/>
    <w:tmpl w:val="8A30F4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A47A9"/>
    <w:multiLevelType w:val="hybridMultilevel"/>
    <w:tmpl w:val="A4BA19EE"/>
    <w:lvl w:ilvl="0" w:tplc="C4F0A5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3E233F"/>
    <w:multiLevelType w:val="hybridMultilevel"/>
    <w:tmpl w:val="D23A89F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AE787D"/>
    <w:multiLevelType w:val="hybridMultilevel"/>
    <w:tmpl w:val="52A03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4224BF"/>
    <w:multiLevelType w:val="hybridMultilevel"/>
    <w:tmpl w:val="F6D01B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501BAE"/>
    <w:multiLevelType w:val="hybridMultilevel"/>
    <w:tmpl w:val="262CF1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E50723"/>
    <w:multiLevelType w:val="hybridMultilevel"/>
    <w:tmpl w:val="CE5C5C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9E3C70"/>
    <w:multiLevelType w:val="hybridMultilevel"/>
    <w:tmpl w:val="BA3C1AA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226CF7"/>
    <w:multiLevelType w:val="hybridMultilevel"/>
    <w:tmpl w:val="15ACBCE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2B2AD3"/>
    <w:multiLevelType w:val="hybridMultilevel"/>
    <w:tmpl w:val="12EA04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BF7947"/>
    <w:multiLevelType w:val="hybridMultilevel"/>
    <w:tmpl w:val="63647CE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325D12"/>
    <w:multiLevelType w:val="hybridMultilevel"/>
    <w:tmpl w:val="89E209C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2EFE428C"/>
    <w:lvl w:ilvl="0" w:tplc="71B0FED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A2374"/>
    <w:multiLevelType w:val="hybridMultilevel"/>
    <w:tmpl w:val="947E24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B456C6"/>
    <w:multiLevelType w:val="hybridMultilevel"/>
    <w:tmpl w:val="41AE28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6667903">
    <w:abstractNumId w:val="1"/>
  </w:num>
  <w:num w:numId="2" w16cid:durableId="187375522">
    <w:abstractNumId w:val="18"/>
  </w:num>
  <w:num w:numId="3" w16cid:durableId="798374881">
    <w:abstractNumId w:val="0"/>
    <w:lvlOverride w:ilvl="0">
      <w:lvl w:ilvl="0">
        <w:start w:val="1"/>
        <w:numFmt w:val="bullet"/>
        <w:lvlText w:val="-"/>
        <w:lvlJc w:val="left"/>
        <w:pPr>
          <w:ind w:left="360" w:hanging="360"/>
        </w:pPr>
      </w:lvl>
    </w:lvlOverride>
  </w:num>
  <w:num w:numId="4" w16cid:durableId="1111629821">
    <w:abstractNumId w:val="0"/>
    <w:lvlOverride w:ilvl="0">
      <w:lvl w:ilvl="0">
        <w:start w:val="1"/>
        <w:numFmt w:val="bullet"/>
        <w:lvlText w:val=""/>
        <w:lvlJc w:val="left"/>
        <w:pPr>
          <w:ind w:left="360" w:hanging="360"/>
        </w:pPr>
        <w:rPr>
          <w:rFonts w:ascii="Symbol" w:hAnsi="Symbol" w:hint="default"/>
        </w:rPr>
      </w:lvl>
    </w:lvlOverride>
  </w:num>
  <w:num w:numId="5" w16cid:durableId="1600216246">
    <w:abstractNumId w:val="0"/>
    <w:lvlOverride w:ilvl="0">
      <w:lvl w:ilvl="0">
        <w:start w:val="1"/>
        <w:numFmt w:val="bullet"/>
        <w:lvlText w:val="-"/>
        <w:lvlJc w:val="left"/>
        <w:pPr>
          <w:ind w:left="360" w:hanging="360"/>
        </w:pPr>
      </w:lvl>
    </w:lvlOverride>
  </w:num>
  <w:num w:numId="6" w16cid:durableId="1236939730">
    <w:abstractNumId w:val="17"/>
  </w:num>
  <w:num w:numId="7" w16cid:durableId="660543608">
    <w:abstractNumId w:val="8"/>
  </w:num>
  <w:num w:numId="8" w16cid:durableId="1336221681">
    <w:abstractNumId w:val="16"/>
  </w:num>
  <w:num w:numId="9" w16cid:durableId="996416796">
    <w:abstractNumId w:val="14"/>
  </w:num>
  <w:num w:numId="10" w16cid:durableId="1373461534">
    <w:abstractNumId w:val="7"/>
  </w:num>
  <w:num w:numId="11" w16cid:durableId="1099371349">
    <w:abstractNumId w:val="3"/>
  </w:num>
  <w:num w:numId="12" w16cid:durableId="874467832">
    <w:abstractNumId w:val="2"/>
  </w:num>
  <w:num w:numId="13" w16cid:durableId="405418231">
    <w:abstractNumId w:val="6"/>
  </w:num>
  <w:num w:numId="14" w16cid:durableId="645546159">
    <w:abstractNumId w:val="4"/>
  </w:num>
  <w:num w:numId="15" w16cid:durableId="1495678544">
    <w:abstractNumId w:val="15"/>
  </w:num>
  <w:num w:numId="16" w16cid:durableId="1506944475">
    <w:abstractNumId w:val="5"/>
  </w:num>
  <w:num w:numId="17" w16cid:durableId="535124406">
    <w:abstractNumId w:val="11"/>
  </w:num>
  <w:num w:numId="18" w16cid:durableId="735278867">
    <w:abstractNumId w:val="19"/>
  </w:num>
  <w:num w:numId="19" w16cid:durableId="1117329358">
    <w:abstractNumId w:val="12"/>
  </w:num>
  <w:num w:numId="20" w16cid:durableId="586887470">
    <w:abstractNumId w:val="20"/>
  </w:num>
  <w:num w:numId="21" w16cid:durableId="1305701061">
    <w:abstractNumId w:val="9"/>
  </w:num>
  <w:num w:numId="22" w16cid:durableId="764037936">
    <w:abstractNumId w:val="10"/>
  </w:num>
  <w:num w:numId="23" w16cid:durableId="20380435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5515"/>
    <w:rsid w:val="000055A5"/>
    <w:rsid w:val="00005BA7"/>
    <w:rsid w:val="000064A1"/>
    <w:rsid w:val="00006930"/>
    <w:rsid w:val="00012FD2"/>
    <w:rsid w:val="00013083"/>
    <w:rsid w:val="00013E39"/>
    <w:rsid w:val="00015E58"/>
    <w:rsid w:val="00027861"/>
    <w:rsid w:val="00036B79"/>
    <w:rsid w:val="00036D10"/>
    <w:rsid w:val="00044C40"/>
    <w:rsid w:val="00046007"/>
    <w:rsid w:val="00046674"/>
    <w:rsid w:val="00050117"/>
    <w:rsid w:val="00055167"/>
    <w:rsid w:val="00064FB6"/>
    <w:rsid w:val="0007076E"/>
    <w:rsid w:val="00072485"/>
    <w:rsid w:val="00073311"/>
    <w:rsid w:val="00073BBB"/>
    <w:rsid w:val="0007451C"/>
    <w:rsid w:val="00074828"/>
    <w:rsid w:val="000756D2"/>
    <w:rsid w:val="00075837"/>
    <w:rsid w:val="000779FD"/>
    <w:rsid w:val="000805AE"/>
    <w:rsid w:val="00081745"/>
    <w:rsid w:val="00082583"/>
    <w:rsid w:val="00085A6D"/>
    <w:rsid w:val="00091FBB"/>
    <w:rsid w:val="00094C95"/>
    <w:rsid w:val="0009581A"/>
    <w:rsid w:val="000961A5"/>
    <w:rsid w:val="000A58F3"/>
    <w:rsid w:val="000A5A6A"/>
    <w:rsid w:val="000A60FF"/>
    <w:rsid w:val="000A79DC"/>
    <w:rsid w:val="000B0927"/>
    <w:rsid w:val="000B1B55"/>
    <w:rsid w:val="000B3DD2"/>
    <w:rsid w:val="000C01FC"/>
    <w:rsid w:val="000C461E"/>
    <w:rsid w:val="000E028B"/>
    <w:rsid w:val="000E4AA9"/>
    <w:rsid w:val="000F54BB"/>
    <w:rsid w:val="00113C28"/>
    <w:rsid w:val="001200BE"/>
    <w:rsid w:val="001227B9"/>
    <w:rsid w:val="0012284D"/>
    <w:rsid w:val="00123B16"/>
    <w:rsid w:val="00125010"/>
    <w:rsid w:val="00126F6D"/>
    <w:rsid w:val="00130992"/>
    <w:rsid w:val="00133A54"/>
    <w:rsid w:val="00152BF2"/>
    <w:rsid w:val="0015485D"/>
    <w:rsid w:val="00154AA9"/>
    <w:rsid w:val="001559F5"/>
    <w:rsid w:val="0016525F"/>
    <w:rsid w:val="00170C30"/>
    <w:rsid w:val="001759FF"/>
    <w:rsid w:val="00184910"/>
    <w:rsid w:val="00184C4E"/>
    <w:rsid w:val="00192863"/>
    <w:rsid w:val="00197048"/>
    <w:rsid w:val="001A2179"/>
    <w:rsid w:val="001A3612"/>
    <w:rsid w:val="001A3DF1"/>
    <w:rsid w:val="001A4353"/>
    <w:rsid w:val="001A4C00"/>
    <w:rsid w:val="001B0129"/>
    <w:rsid w:val="001B3360"/>
    <w:rsid w:val="001C1D8A"/>
    <w:rsid w:val="001C1EC0"/>
    <w:rsid w:val="001C318A"/>
    <w:rsid w:val="001C3DA5"/>
    <w:rsid w:val="001C500B"/>
    <w:rsid w:val="001D1492"/>
    <w:rsid w:val="001D3166"/>
    <w:rsid w:val="001D5A61"/>
    <w:rsid w:val="001D7CE1"/>
    <w:rsid w:val="001E0341"/>
    <w:rsid w:val="001E15D7"/>
    <w:rsid w:val="001E3B7A"/>
    <w:rsid w:val="001E55DB"/>
    <w:rsid w:val="001F10B8"/>
    <w:rsid w:val="001F1A19"/>
    <w:rsid w:val="001F1E78"/>
    <w:rsid w:val="001F3DA3"/>
    <w:rsid w:val="00207825"/>
    <w:rsid w:val="0020788B"/>
    <w:rsid w:val="0021283C"/>
    <w:rsid w:val="00213026"/>
    <w:rsid w:val="00214C22"/>
    <w:rsid w:val="002155CE"/>
    <w:rsid w:val="00217AE9"/>
    <w:rsid w:val="0022285A"/>
    <w:rsid w:val="00224A13"/>
    <w:rsid w:val="002335FC"/>
    <w:rsid w:val="002363DA"/>
    <w:rsid w:val="00240877"/>
    <w:rsid w:val="00244365"/>
    <w:rsid w:val="0024521D"/>
    <w:rsid w:val="002516CE"/>
    <w:rsid w:val="002541FD"/>
    <w:rsid w:val="002566AE"/>
    <w:rsid w:val="00256C1D"/>
    <w:rsid w:val="002573A6"/>
    <w:rsid w:val="00262BA6"/>
    <w:rsid w:val="0026339E"/>
    <w:rsid w:val="00264E83"/>
    <w:rsid w:val="00275930"/>
    <w:rsid w:val="00276A16"/>
    <w:rsid w:val="0028024C"/>
    <w:rsid w:val="00283D66"/>
    <w:rsid w:val="002842A2"/>
    <w:rsid w:val="0029550C"/>
    <w:rsid w:val="002A0BC8"/>
    <w:rsid w:val="002A0D5B"/>
    <w:rsid w:val="002A36D7"/>
    <w:rsid w:val="002A50D8"/>
    <w:rsid w:val="002A6E3B"/>
    <w:rsid w:val="002B1B36"/>
    <w:rsid w:val="002B3F11"/>
    <w:rsid w:val="002B58B6"/>
    <w:rsid w:val="002B72C6"/>
    <w:rsid w:val="002C087B"/>
    <w:rsid w:val="002C0D1F"/>
    <w:rsid w:val="002C3174"/>
    <w:rsid w:val="002C3A0A"/>
    <w:rsid w:val="002C7A6E"/>
    <w:rsid w:val="002D18C2"/>
    <w:rsid w:val="002D4293"/>
    <w:rsid w:val="002D5EC6"/>
    <w:rsid w:val="002E0283"/>
    <w:rsid w:val="002E0D60"/>
    <w:rsid w:val="002E522A"/>
    <w:rsid w:val="002E6612"/>
    <w:rsid w:val="002F447A"/>
    <w:rsid w:val="002F47FE"/>
    <w:rsid w:val="002F5C27"/>
    <w:rsid w:val="002F6DFA"/>
    <w:rsid w:val="00304616"/>
    <w:rsid w:val="00305D9B"/>
    <w:rsid w:val="00306982"/>
    <w:rsid w:val="0030771B"/>
    <w:rsid w:val="00307E7A"/>
    <w:rsid w:val="0031247E"/>
    <w:rsid w:val="003125D5"/>
    <w:rsid w:val="00313C6E"/>
    <w:rsid w:val="00315F7C"/>
    <w:rsid w:val="00320F35"/>
    <w:rsid w:val="0032794F"/>
    <w:rsid w:val="00331196"/>
    <w:rsid w:val="00335E7B"/>
    <w:rsid w:val="00336656"/>
    <w:rsid w:val="00340B58"/>
    <w:rsid w:val="00346ADC"/>
    <w:rsid w:val="00347B24"/>
    <w:rsid w:val="003517D0"/>
    <w:rsid w:val="00351CE4"/>
    <w:rsid w:val="00353D85"/>
    <w:rsid w:val="00355525"/>
    <w:rsid w:val="0035778E"/>
    <w:rsid w:val="00362A32"/>
    <w:rsid w:val="0036377A"/>
    <w:rsid w:val="003659F0"/>
    <w:rsid w:val="00373705"/>
    <w:rsid w:val="00373B55"/>
    <w:rsid w:val="003805A1"/>
    <w:rsid w:val="00381A62"/>
    <w:rsid w:val="00385BDC"/>
    <w:rsid w:val="003861B0"/>
    <w:rsid w:val="003870E4"/>
    <w:rsid w:val="00392C34"/>
    <w:rsid w:val="00396487"/>
    <w:rsid w:val="00397A41"/>
    <w:rsid w:val="003B2210"/>
    <w:rsid w:val="003B4073"/>
    <w:rsid w:val="003B4EE6"/>
    <w:rsid w:val="003B70EF"/>
    <w:rsid w:val="003C166C"/>
    <w:rsid w:val="003C6D10"/>
    <w:rsid w:val="003D235C"/>
    <w:rsid w:val="003D4C27"/>
    <w:rsid w:val="003E01D4"/>
    <w:rsid w:val="003E1EC8"/>
    <w:rsid w:val="003E383A"/>
    <w:rsid w:val="003E5249"/>
    <w:rsid w:val="003E5784"/>
    <w:rsid w:val="003E5C01"/>
    <w:rsid w:val="003E64C5"/>
    <w:rsid w:val="003E6D93"/>
    <w:rsid w:val="003F3005"/>
    <w:rsid w:val="003F4447"/>
    <w:rsid w:val="003F45FD"/>
    <w:rsid w:val="004001EF"/>
    <w:rsid w:val="00403C3C"/>
    <w:rsid w:val="00404FF5"/>
    <w:rsid w:val="00405243"/>
    <w:rsid w:val="00405CA8"/>
    <w:rsid w:val="0041336A"/>
    <w:rsid w:val="0041760E"/>
    <w:rsid w:val="004211E9"/>
    <w:rsid w:val="00422D64"/>
    <w:rsid w:val="004250A3"/>
    <w:rsid w:val="004250F9"/>
    <w:rsid w:val="00426AFE"/>
    <w:rsid w:val="00434592"/>
    <w:rsid w:val="00441AFD"/>
    <w:rsid w:val="0044469A"/>
    <w:rsid w:val="00444711"/>
    <w:rsid w:val="00444983"/>
    <w:rsid w:val="004461D3"/>
    <w:rsid w:val="00447DE7"/>
    <w:rsid w:val="00451589"/>
    <w:rsid w:val="00457260"/>
    <w:rsid w:val="00460430"/>
    <w:rsid w:val="00461F31"/>
    <w:rsid w:val="00462227"/>
    <w:rsid w:val="00463DCE"/>
    <w:rsid w:val="0046483A"/>
    <w:rsid w:val="00470C3D"/>
    <w:rsid w:val="0048643F"/>
    <w:rsid w:val="004867DF"/>
    <w:rsid w:val="00490AAE"/>
    <w:rsid w:val="004960C4"/>
    <w:rsid w:val="004971F6"/>
    <w:rsid w:val="004A1083"/>
    <w:rsid w:val="004B0280"/>
    <w:rsid w:val="004B0572"/>
    <w:rsid w:val="004B15AD"/>
    <w:rsid w:val="004B39A6"/>
    <w:rsid w:val="004B62F6"/>
    <w:rsid w:val="004C520F"/>
    <w:rsid w:val="004C55D9"/>
    <w:rsid w:val="004D6DCA"/>
    <w:rsid w:val="004E2681"/>
    <w:rsid w:val="004E3171"/>
    <w:rsid w:val="004E434A"/>
    <w:rsid w:val="004E69EB"/>
    <w:rsid w:val="004F1270"/>
    <w:rsid w:val="004F6383"/>
    <w:rsid w:val="004F64C8"/>
    <w:rsid w:val="00503243"/>
    <w:rsid w:val="00503D27"/>
    <w:rsid w:val="00506286"/>
    <w:rsid w:val="005071E2"/>
    <w:rsid w:val="00507808"/>
    <w:rsid w:val="005109A1"/>
    <w:rsid w:val="005152A5"/>
    <w:rsid w:val="00522708"/>
    <w:rsid w:val="00527351"/>
    <w:rsid w:val="005276B4"/>
    <w:rsid w:val="005321EA"/>
    <w:rsid w:val="005350AF"/>
    <w:rsid w:val="005405BF"/>
    <w:rsid w:val="00541DB5"/>
    <w:rsid w:val="0054235B"/>
    <w:rsid w:val="00542A21"/>
    <w:rsid w:val="00542F30"/>
    <w:rsid w:val="005430BF"/>
    <w:rsid w:val="00545A78"/>
    <w:rsid w:val="00547ACC"/>
    <w:rsid w:val="00555122"/>
    <w:rsid w:val="0056128B"/>
    <w:rsid w:val="00562DA0"/>
    <w:rsid w:val="005657D2"/>
    <w:rsid w:val="00573069"/>
    <w:rsid w:val="0057370D"/>
    <w:rsid w:val="00575BC9"/>
    <w:rsid w:val="00580942"/>
    <w:rsid w:val="0058239A"/>
    <w:rsid w:val="005829CF"/>
    <w:rsid w:val="005837A2"/>
    <w:rsid w:val="00583D4D"/>
    <w:rsid w:val="00585EF2"/>
    <w:rsid w:val="00590FEE"/>
    <w:rsid w:val="00592949"/>
    <w:rsid w:val="00595261"/>
    <w:rsid w:val="00597B83"/>
    <w:rsid w:val="00597CBC"/>
    <w:rsid w:val="005A0CB5"/>
    <w:rsid w:val="005A3497"/>
    <w:rsid w:val="005B2A00"/>
    <w:rsid w:val="005B4697"/>
    <w:rsid w:val="005B5AED"/>
    <w:rsid w:val="005B7A28"/>
    <w:rsid w:val="005C7029"/>
    <w:rsid w:val="005C73D6"/>
    <w:rsid w:val="005D0081"/>
    <w:rsid w:val="005D00C0"/>
    <w:rsid w:val="005D0870"/>
    <w:rsid w:val="005D142A"/>
    <w:rsid w:val="005D262D"/>
    <w:rsid w:val="005E0F93"/>
    <w:rsid w:val="005E1EC3"/>
    <w:rsid w:val="005E5430"/>
    <w:rsid w:val="005E7928"/>
    <w:rsid w:val="005F0943"/>
    <w:rsid w:val="005F23CD"/>
    <w:rsid w:val="005F2433"/>
    <w:rsid w:val="005F6B15"/>
    <w:rsid w:val="006008EF"/>
    <w:rsid w:val="00611DE1"/>
    <w:rsid w:val="00617506"/>
    <w:rsid w:val="00642B37"/>
    <w:rsid w:val="0064777C"/>
    <w:rsid w:val="00653B9F"/>
    <w:rsid w:val="00653C14"/>
    <w:rsid w:val="00657373"/>
    <w:rsid w:val="00665B69"/>
    <w:rsid w:val="0067509F"/>
    <w:rsid w:val="00676889"/>
    <w:rsid w:val="00680511"/>
    <w:rsid w:val="00680A6B"/>
    <w:rsid w:val="00681649"/>
    <w:rsid w:val="00682456"/>
    <w:rsid w:val="006832FF"/>
    <w:rsid w:val="00683348"/>
    <w:rsid w:val="0068528E"/>
    <w:rsid w:val="00685FAD"/>
    <w:rsid w:val="006904D6"/>
    <w:rsid w:val="00696E1F"/>
    <w:rsid w:val="006A0FBF"/>
    <w:rsid w:val="006A15D6"/>
    <w:rsid w:val="006B024D"/>
    <w:rsid w:val="006B1C8A"/>
    <w:rsid w:val="006B465F"/>
    <w:rsid w:val="006C0280"/>
    <w:rsid w:val="006C0AF6"/>
    <w:rsid w:val="006C1946"/>
    <w:rsid w:val="006C205A"/>
    <w:rsid w:val="006D0E5D"/>
    <w:rsid w:val="006D2A1F"/>
    <w:rsid w:val="006D62B7"/>
    <w:rsid w:val="006D6B1D"/>
    <w:rsid w:val="006D7E09"/>
    <w:rsid w:val="006E65FF"/>
    <w:rsid w:val="006F0AFC"/>
    <w:rsid w:val="006F1A64"/>
    <w:rsid w:val="006F488F"/>
    <w:rsid w:val="00703169"/>
    <w:rsid w:val="007046D8"/>
    <w:rsid w:val="00706214"/>
    <w:rsid w:val="00707742"/>
    <w:rsid w:val="00707A49"/>
    <w:rsid w:val="00712167"/>
    <w:rsid w:val="00713717"/>
    <w:rsid w:val="007150E2"/>
    <w:rsid w:val="00716533"/>
    <w:rsid w:val="007202BE"/>
    <w:rsid w:val="007308E2"/>
    <w:rsid w:val="00732B1D"/>
    <w:rsid w:val="00733F4C"/>
    <w:rsid w:val="00734F6D"/>
    <w:rsid w:val="007364E6"/>
    <w:rsid w:val="007373AC"/>
    <w:rsid w:val="007378D6"/>
    <w:rsid w:val="00750358"/>
    <w:rsid w:val="00762698"/>
    <w:rsid w:val="00763AA5"/>
    <w:rsid w:val="007748BE"/>
    <w:rsid w:val="00781C13"/>
    <w:rsid w:val="0078349D"/>
    <w:rsid w:val="00784ABB"/>
    <w:rsid w:val="007864C2"/>
    <w:rsid w:val="00786BC3"/>
    <w:rsid w:val="007939BE"/>
    <w:rsid w:val="00797DCD"/>
    <w:rsid w:val="007A4AF7"/>
    <w:rsid w:val="007B0F1A"/>
    <w:rsid w:val="007B32EE"/>
    <w:rsid w:val="007C63D5"/>
    <w:rsid w:val="007C77E4"/>
    <w:rsid w:val="007D0B50"/>
    <w:rsid w:val="007D2D93"/>
    <w:rsid w:val="007D41E4"/>
    <w:rsid w:val="007D4CCD"/>
    <w:rsid w:val="007E12B3"/>
    <w:rsid w:val="007E6C25"/>
    <w:rsid w:val="007F5E91"/>
    <w:rsid w:val="00800DC5"/>
    <w:rsid w:val="008012D8"/>
    <w:rsid w:val="0080684F"/>
    <w:rsid w:val="00810919"/>
    <w:rsid w:val="00813E7F"/>
    <w:rsid w:val="00815D1A"/>
    <w:rsid w:val="0081680A"/>
    <w:rsid w:val="008176C6"/>
    <w:rsid w:val="00820C1F"/>
    <w:rsid w:val="00822C86"/>
    <w:rsid w:val="00824354"/>
    <w:rsid w:val="00826CB6"/>
    <w:rsid w:val="008327FC"/>
    <w:rsid w:val="008401B9"/>
    <w:rsid w:val="008406E0"/>
    <w:rsid w:val="00845DC3"/>
    <w:rsid w:val="0085207E"/>
    <w:rsid w:val="00852751"/>
    <w:rsid w:val="00853543"/>
    <w:rsid w:val="0085487D"/>
    <w:rsid w:val="00860D24"/>
    <w:rsid w:val="00870E97"/>
    <w:rsid w:val="008735EE"/>
    <w:rsid w:val="0087396B"/>
    <w:rsid w:val="008757F6"/>
    <w:rsid w:val="008847D7"/>
    <w:rsid w:val="008A1FCE"/>
    <w:rsid w:val="008B103C"/>
    <w:rsid w:val="008B4D8E"/>
    <w:rsid w:val="008C24C5"/>
    <w:rsid w:val="008C3A64"/>
    <w:rsid w:val="008D4087"/>
    <w:rsid w:val="008D5188"/>
    <w:rsid w:val="008D73A9"/>
    <w:rsid w:val="008E18E3"/>
    <w:rsid w:val="008E2535"/>
    <w:rsid w:val="008E6800"/>
    <w:rsid w:val="008F3ACB"/>
    <w:rsid w:val="008F66B9"/>
    <w:rsid w:val="00905F07"/>
    <w:rsid w:val="00913E25"/>
    <w:rsid w:val="009163CF"/>
    <w:rsid w:val="00921C35"/>
    <w:rsid w:val="00924ED3"/>
    <w:rsid w:val="00927711"/>
    <w:rsid w:val="009305B0"/>
    <w:rsid w:val="00934475"/>
    <w:rsid w:val="0093470E"/>
    <w:rsid w:val="009415F6"/>
    <w:rsid w:val="00943A29"/>
    <w:rsid w:val="00951590"/>
    <w:rsid w:val="00956153"/>
    <w:rsid w:val="00964901"/>
    <w:rsid w:val="00964E6F"/>
    <w:rsid w:val="00966E5B"/>
    <w:rsid w:val="0097042F"/>
    <w:rsid w:val="00971410"/>
    <w:rsid w:val="0097209C"/>
    <w:rsid w:val="00972FD3"/>
    <w:rsid w:val="009827D7"/>
    <w:rsid w:val="009833BA"/>
    <w:rsid w:val="009844C6"/>
    <w:rsid w:val="0098536D"/>
    <w:rsid w:val="009935EE"/>
    <w:rsid w:val="00994DDA"/>
    <w:rsid w:val="009A1DBF"/>
    <w:rsid w:val="009A25B4"/>
    <w:rsid w:val="009B484F"/>
    <w:rsid w:val="009B498A"/>
    <w:rsid w:val="009C586B"/>
    <w:rsid w:val="009D0BCC"/>
    <w:rsid w:val="009D0CC0"/>
    <w:rsid w:val="009D3651"/>
    <w:rsid w:val="009D4D18"/>
    <w:rsid w:val="009D5B69"/>
    <w:rsid w:val="009E39E4"/>
    <w:rsid w:val="009E52B4"/>
    <w:rsid w:val="009F572C"/>
    <w:rsid w:val="009F7957"/>
    <w:rsid w:val="00A03040"/>
    <w:rsid w:val="00A04C02"/>
    <w:rsid w:val="00A1076B"/>
    <w:rsid w:val="00A117A3"/>
    <w:rsid w:val="00A1348E"/>
    <w:rsid w:val="00A146CB"/>
    <w:rsid w:val="00A16EB9"/>
    <w:rsid w:val="00A21E60"/>
    <w:rsid w:val="00A26EF1"/>
    <w:rsid w:val="00A3016B"/>
    <w:rsid w:val="00A337CE"/>
    <w:rsid w:val="00A33E1F"/>
    <w:rsid w:val="00A34C1E"/>
    <w:rsid w:val="00A36421"/>
    <w:rsid w:val="00A41778"/>
    <w:rsid w:val="00A426A1"/>
    <w:rsid w:val="00A4561F"/>
    <w:rsid w:val="00A45BE4"/>
    <w:rsid w:val="00A46977"/>
    <w:rsid w:val="00A64840"/>
    <w:rsid w:val="00A76206"/>
    <w:rsid w:val="00A77104"/>
    <w:rsid w:val="00A81513"/>
    <w:rsid w:val="00A95A04"/>
    <w:rsid w:val="00AA148B"/>
    <w:rsid w:val="00AA26AA"/>
    <w:rsid w:val="00AA3FD8"/>
    <w:rsid w:val="00AB1173"/>
    <w:rsid w:val="00AB32F2"/>
    <w:rsid w:val="00AB5DA5"/>
    <w:rsid w:val="00AB5E14"/>
    <w:rsid w:val="00AB770A"/>
    <w:rsid w:val="00AC383B"/>
    <w:rsid w:val="00AC3CBB"/>
    <w:rsid w:val="00AC541B"/>
    <w:rsid w:val="00AC7E12"/>
    <w:rsid w:val="00AD003F"/>
    <w:rsid w:val="00AD078A"/>
    <w:rsid w:val="00AD1CCE"/>
    <w:rsid w:val="00AD2800"/>
    <w:rsid w:val="00AD476F"/>
    <w:rsid w:val="00AE1484"/>
    <w:rsid w:val="00AE29F4"/>
    <w:rsid w:val="00AE6D5D"/>
    <w:rsid w:val="00AF4716"/>
    <w:rsid w:val="00AF789B"/>
    <w:rsid w:val="00B0468F"/>
    <w:rsid w:val="00B06C8B"/>
    <w:rsid w:val="00B0737D"/>
    <w:rsid w:val="00B120BB"/>
    <w:rsid w:val="00B12B0B"/>
    <w:rsid w:val="00B12C5D"/>
    <w:rsid w:val="00B2160A"/>
    <w:rsid w:val="00B26D92"/>
    <w:rsid w:val="00B276CC"/>
    <w:rsid w:val="00B27DA9"/>
    <w:rsid w:val="00B33EE1"/>
    <w:rsid w:val="00B35E10"/>
    <w:rsid w:val="00B37CAC"/>
    <w:rsid w:val="00B42DA3"/>
    <w:rsid w:val="00B4494B"/>
    <w:rsid w:val="00B45890"/>
    <w:rsid w:val="00B51C06"/>
    <w:rsid w:val="00B56EE6"/>
    <w:rsid w:val="00B57FDB"/>
    <w:rsid w:val="00B6472D"/>
    <w:rsid w:val="00B651E2"/>
    <w:rsid w:val="00B66677"/>
    <w:rsid w:val="00B67470"/>
    <w:rsid w:val="00B71C65"/>
    <w:rsid w:val="00B71D61"/>
    <w:rsid w:val="00B7489F"/>
    <w:rsid w:val="00B7578B"/>
    <w:rsid w:val="00B77785"/>
    <w:rsid w:val="00B848B4"/>
    <w:rsid w:val="00B84BB6"/>
    <w:rsid w:val="00B84D9D"/>
    <w:rsid w:val="00B90EA9"/>
    <w:rsid w:val="00B94D22"/>
    <w:rsid w:val="00B9746D"/>
    <w:rsid w:val="00BA255D"/>
    <w:rsid w:val="00BA6A2F"/>
    <w:rsid w:val="00BA79FF"/>
    <w:rsid w:val="00BB33BE"/>
    <w:rsid w:val="00BB6BFF"/>
    <w:rsid w:val="00BC4728"/>
    <w:rsid w:val="00BC4AAD"/>
    <w:rsid w:val="00BC6B71"/>
    <w:rsid w:val="00BC7B8A"/>
    <w:rsid w:val="00BD14ED"/>
    <w:rsid w:val="00BE07CE"/>
    <w:rsid w:val="00BE3F95"/>
    <w:rsid w:val="00BF6615"/>
    <w:rsid w:val="00C12A27"/>
    <w:rsid w:val="00C13CC5"/>
    <w:rsid w:val="00C168C8"/>
    <w:rsid w:val="00C16B39"/>
    <w:rsid w:val="00C16F78"/>
    <w:rsid w:val="00C17BDC"/>
    <w:rsid w:val="00C2265E"/>
    <w:rsid w:val="00C23E74"/>
    <w:rsid w:val="00C23F44"/>
    <w:rsid w:val="00C27488"/>
    <w:rsid w:val="00C277EB"/>
    <w:rsid w:val="00C3576B"/>
    <w:rsid w:val="00C36CC7"/>
    <w:rsid w:val="00C418E4"/>
    <w:rsid w:val="00C41B0D"/>
    <w:rsid w:val="00C427E7"/>
    <w:rsid w:val="00C436FE"/>
    <w:rsid w:val="00C502B4"/>
    <w:rsid w:val="00C5467E"/>
    <w:rsid w:val="00C577D2"/>
    <w:rsid w:val="00C57915"/>
    <w:rsid w:val="00C57D5D"/>
    <w:rsid w:val="00C6137D"/>
    <w:rsid w:val="00C63F1A"/>
    <w:rsid w:val="00C6476A"/>
    <w:rsid w:val="00C64EAC"/>
    <w:rsid w:val="00C8680A"/>
    <w:rsid w:val="00CA3E01"/>
    <w:rsid w:val="00CA7F48"/>
    <w:rsid w:val="00CB1B43"/>
    <w:rsid w:val="00CB687A"/>
    <w:rsid w:val="00CC1974"/>
    <w:rsid w:val="00CC4D73"/>
    <w:rsid w:val="00CE6EC2"/>
    <w:rsid w:val="00CF59CE"/>
    <w:rsid w:val="00D01FAF"/>
    <w:rsid w:val="00D02AB5"/>
    <w:rsid w:val="00D02DB3"/>
    <w:rsid w:val="00D042DA"/>
    <w:rsid w:val="00D06C66"/>
    <w:rsid w:val="00D113E2"/>
    <w:rsid w:val="00D15ECA"/>
    <w:rsid w:val="00D24502"/>
    <w:rsid w:val="00D25601"/>
    <w:rsid w:val="00D27714"/>
    <w:rsid w:val="00D36222"/>
    <w:rsid w:val="00D51004"/>
    <w:rsid w:val="00D55620"/>
    <w:rsid w:val="00D56CC0"/>
    <w:rsid w:val="00D60562"/>
    <w:rsid w:val="00D64A8F"/>
    <w:rsid w:val="00D74061"/>
    <w:rsid w:val="00D80F67"/>
    <w:rsid w:val="00D87296"/>
    <w:rsid w:val="00D956A3"/>
    <w:rsid w:val="00D96732"/>
    <w:rsid w:val="00D96AEE"/>
    <w:rsid w:val="00DA30E6"/>
    <w:rsid w:val="00DA5C15"/>
    <w:rsid w:val="00DA7717"/>
    <w:rsid w:val="00DA7A91"/>
    <w:rsid w:val="00DB013B"/>
    <w:rsid w:val="00DB0A2D"/>
    <w:rsid w:val="00DB1135"/>
    <w:rsid w:val="00DB245C"/>
    <w:rsid w:val="00DB46B0"/>
    <w:rsid w:val="00DB6594"/>
    <w:rsid w:val="00DB68BA"/>
    <w:rsid w:val="00DC23E0"/>
    <w:rsid w:val="00DC2844"/>
    <w:rsid w:val="00DC45D4"/>
    <w:rsid w:val="00DD06C6"/>
    <w:rsid w:val="00DD3C3C"/>
    <w:rsid w:val="00DE0ECA"/>
    <w:rsid w:val="00DE716D"/>
    <w:rsid w:val="00DF2C25"/>
    <w:rsid w:val="00DF5BD0"/>
    <w:rsid w:val="00DF78D7"/>
    <w:rsid w:val="00E00D35"/>
    <w:rsid w:val="00E0263F"/>
    <w:rsid w:val="00E05FF8"/>
    <w:rsid w:val="00E103FB"/>
    <w:rsid w:val="00E124CC"/>
    <w:rsid w:val="00E2116A"/>
    <w:rsid w:val="00E25DC5"/>
    <w:rsid w:val="00E31159"/>
    <w:rsid w:val="00E34098"/>
    <w:rsid w:val="00E401F4"/>
    <w:rsid w:val="00E407EC"/>
    <w:rsid w:val="00E40F7F"/>
    <w:rsid w:val="00E43324"/>
    <w:rsid w:val="00E531F2"/>
    <w:rsid w:val="00E53709"/>
    <w:rsid w:val="00E56AAB"/>
    <w:rsid w:val="00E60DE5"/>
    <w:rsid w:val="00E649B5"/>
    <w:rsid w:val="00E654D0"/>
    <w:rsid w:val="00E6710D"/>
    <w:rsid w:val="00E7064A"/>
    <w:rsid w:val="00E71345"/>
    <w:rsid w:val="00E714FE"/>
    <w:rsid w:val="00E71B05"/>
    <w:rsid w:val="00E752C8"/>
    <w:rsid w:val="00E814C6"/>
    <w:rsid w:val="00E86B5F"/>
    <w:rsid w:val="00E87276"/>
    <w:rsid w:val="00E96AB4"/>
    <w:rsid w:val="00E96B11"/>
    <w:rsid w:val="00EA0DE7"/>
    <w:rsid w:val="00EB110E"/>
    <w:rsid w:val="00EB1A18"/>
    <w:rsid w:val="00EB1D2B"/>
    <w:rsid w:val="00EB201F"/>
    <w:rsid w:val="00EC0315"/>
    <w:rsid w:val="00EC075C"/>
    <w:rsid w:val="00EC0D4F"/>
    <w:rsid w:val="00EC4439"/>
    <w:rsid w:val="00EC46F9"/>
    <w:rsid w:val="00EC521D"/>
    <w:rsid w:val="00EC757C"/>
    <w:rsid w:val="00ED19C7"/>
    <w:rsid w:val="00ED2920"/>
    <w:rsid w:val="00ED4B38"/>
    <w:rsid w:val="00EE1512"/>
    <w:rsid w:val="00EE4B90"/>
    <w:rsid w:val="00EE4F9E"/>
    <w:rsid w:val="00EF167F"/>
    <w:rsid w:val="00EF2CD4"/>
    <w:rsid w:val="00EF3357"/>
    <w:rsid w:val="00EF473A"/>
    <w:rsid w:val="00F00F47"/>
    <w:rsid w:val="00F01CC9"/>
    <w:rsid w:val="00F02E72"/>
    <w:rsid w:val="00F03139"/>
    <w:rsid w:val="00F04288"/>
    <w:rsid w:val="00F04B40"/>
    <w:rsid w:val="00F05DB3"/>
    <w:rsid w:val="00F06DEB"/>
    <w:rsid w:val="00F154E6"/>
    <w:rsid w:val="00F20039"/>
    <w:rsid w:val="00F21609"/>
    <w:rsid w:val="00F22534"/>
    <w:rsid w:val="00F24FEC"/>
    <w:rsid w:val="00F25347"/>
    <w:rsid w:val="00F2617F"/>
    <w:rsid w:val="00F34163"/>
    <w:rsid w:val="00F52FCB"/>
    <w:rsid w:val="00F53684"/>
    <w:rsid w:val="00F53F2E"/>
    <w:rsid w:val="00F65C3C"/>
    <w:rsid w:val="00F7110C"/>
    <w:rsid w:val="00F714D5"/>
    <w:rsid w:val="00F73BA5"/>
    <w:rsid w:val="00F75C14"/>
    <w:rsid w:val="00F83B82"/>
    <w:rsid w:val="00F841A0"/>
    <w:rsid w:val="00F86531"/>
    <w:rsid w:val="00F86A31"/>
    <w:rsid w:val="00F86CDB"/>
    <w:rsid w:val="00F91C35"/>
    <w:rsid w:val="00FA01C9"/>
    <w:rsid w:val="00FA0D99"/>
    <w:rsid w:val="00FA0ED5"/>
    <w:rsid w:val="00FA1E4D"/>
    <w:rsid w:val="00FA248E"/>
    <w:rsid w:val="00FA7273"/>
    <w:rsid w:val="00FA7D75"/>
    <w:rsid w:val="00FB2CEF"/>
    <w:rsid w:val="00FB3415"/>
    <w:rsid w:val="00FB46EE"/>
    <w:rsid w:val="00FB5C88"/>
    <w:rsid w:val="00FB7010"/>
    <w:rsid w:val="00FB7FA9"/>
    <w:rsid w:val="00FC0300"/>
    <w:rsid w:val="00FC189D"/>
    <w:rsid w:val="00FC6BB7"/>
    <w:rsid w:val="00FD1E75"/>
    <w:rsid w:val="00FD696A"/>
    <w:rsid w:val="00FE0B89"/>
    <w:rsid w:val="00FE3FD1"/>
    <w:rsid w:val="00FE4B3E"/>
    <w:rsid w:val="00FE6087"/>
    <w:rsid w:val="00FE785C"/>
    <w:rsid w:val="00FF1319"/>
    <w:rsid w:val="00FF62D6"/>
    <w:rsid w:val="00FF714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1CFF"/>
  <w15:chartTrackingRefBased/>
  <w15:docId w15:val="{2D10EB82-6CDF-4754-A8F9-E59ED723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0AF"/>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5350A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350A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5350A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5350A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5350A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5350A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5350A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5350A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5350A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34163"/>
    <w:rPr>
      <w:rFonts w:eastAsia="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sz w:val="22"/>
      <w:lang w:val="en-GB" w:eastAsia="en-US"/>
    </w:rPr>
  </w:style>
  <w:style w:type="character" w:customStyle="1" w:styleId="Antrat6Diagrama">
    <w:name w:val="Antraštė 6 Diagrama"/>
    <w:link w:val="Antrat6"/>
    <w:uiPriority w:val="99"/>
    <w:rsid w:val="00F34163"/>
    <w:rPr>
      <w:rFonts w:ascii="Times New Roman" w:eastAsia="SimSun" w:hAnsi="Times New Roman"/>
      <w:i/>
      <w:sz w:val="22"/>
      <w:lang w:val="en-GB" w:eastAsia="en-US"/>
    </w:rPr>
  </w:style>
  <w:style w:type="character" w:customStyle="1" w:styleId="Antrat7Diagrama">
    <w:name w:val="Antraštė 7 Diagrama"/>
    <w:link w:val="Antrat7"/>
    <w:uiPriority w:val="99"/>
    <w:rsid w:val="00F34163"/>
    <w:rPr>
      <w:rFonts w:ascii="Times New Roman" w:eastAsia="SimSun" w:hAnsi="Times New Roman"/>
      <w:i/>
      <w:sz w:val="22"/>
      <w:lang w:val="en-GB" w:eastAsia="en-US"/>
    </w:rPr>
  </w:style>
  <w:style w:type="character" w:customStyle="1" w:styleId="Antrat8Diagrama">
    <w:name w:val="Antraštė 8 Diagrama"/>
    <w:link w:val="Antrat8"/>
    <w:uiPriority w:val="99"/>
    <w:rsid w:val="00F34163"/>
    <w:rPr>
      <w:rFonts w:ascii="Times New Roman" w:eastAsia="SimSun" w:hAnsi="Times New Roman"/>
      <w:b/>
      <w:i/>
      <w:sz w:val="22"/>
      <w:lang w:val="en-GB" w:eastAsia="en-US"/>
    </w:rPr>
  </w:style>
  <w:style w:type="character" w:customStyle="1" w:styleId="Antrat9Diagrama">
    <w:name w:val="Antraštė 9 Diagrama"/>
    <w:link w:val="Antrat9"/>
    <w:uiPriority w:val="99"/>
    <w:rsid w:val="00F34163"/>
    <w:rPr>
      <w:rFonts w:ascii="Times New Roman" w:eastAsia="SimSun" w:hAnsi="Times New Roman"/>
      <w:b/>
      <w:i/>
      <w:sz w:val="22"/>
      <w:lang w:val="en-GB" w:eastAsia="en-US"/>
    </w:rPr>
  </w:style>
  <w:style w:type="paragraph" w:styleId="Porat">
    <w:name w:val="footer"/>
    <w:basedOn w:val="prastasis"/>
    <w:link w:val="PoratDiagrama"/>
    <w:uiPriority w:val="99"/>
    <w:rsid w:val="005350AF"/>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5350A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5350AF"/>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5350AF"/>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5350AF"/>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5350AF"/>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350AF"/>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5350A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5350AF"/>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5350AF"/>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5350A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5350A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5350A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5350AF"/>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5350A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5350A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5350A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 w:val="22"/>
      <w:szCs w:val="21"/>
      <w:lang w:val="en-GB" w:eastAsia="en-US"/>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snapToGrid w:val="0"/>
      <w:sz w:val="18"/>
      <w:lang w:val="en-GB" w:eastAsia="x-none"/>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5350A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lang w:val="en-US" w:eastAsia="en-US"/>
    </w:rPr>
  </w:style>
  <w:style w:type="paragraph" w:customStyle="1" w:styleId="Default">
    <w:name w:val="Default"/>
    <w:rsid w:val="005350AF"/>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5350AF"/>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5350AF"/>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5350A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305D9B"/>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3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0962857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2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E2C1-74A1-4EF9-BC3D-5C0BC642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45300</Words>
  <Characters>25822</Characters>
  <Application>Microsoft Office Word</Application>
  <DocSecurity>0</DocSecurity>
  <Lines>215</Lines>
  <Paragraphs>141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70981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cp:lastPrinted>2018-07-17T08:39:00Z</cp:lastPrinted>
  <dcterms:created xsi:type="dcterms:W3CDTF">2025-02-04T06:27:00Z</dcterms:created>
  <dcterms:modified xsi:type="dcterms:W3CDTF">2025-02-04T06:27:00Z</dcterms:modified>
</cp:coreProperties>
</file>