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C8" w:rsidRPr="00C63CD3" w:rsidRDefault="002971C8" w:rsidP="002971C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Pakuotės lapelis: informacija pacientui</w:t>
      </w:r>
    </w:p>
    <w:p w:rsidR="002971C8" w:rsidRPr="00C63CD3" w:rsidRDefault="002971C8" w:rsidP="002971C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shd w:val="clear" w:color="auto" w:fill="FFFFFF"/>
        <w:tabs>
          <w:tab w:val="left" w:pos="720"/>
          <w:tab w:val="center" w:pos="4535"/>
          <w:tab w:val="left" w:pos="7701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dengtos tabletės</w:t>
      </w:r>
    </w:p>
    <w:p w:rsidR="002971C8" w:rsidRPr="00C63CD3" w:rsidRDefault="002971C8" w:rsidP="002971C8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Pr="00C63CD3">
        <w:rPr>
          <w:rFonts w:ascii="Times New Roman" w:eastAsia="Times New Roman" w:hAnsi="Times New Roman"/>
          <w:lang w:eastAsia="lt-LT"/>
        </w:rPr>
        <w:t>irdažolių žolė, gelsvių šaknys, rozmarinų lapai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Atidžiai perskaitykite visą šį lapelį, prieš pradėdami vartoti </w:t>
      </w:r>
      <w:r>
        <w:rPr>
          <w:rFonts w:ascii="Times New Roman" w:eastAsia="Times New Roman" w:hAnsi="Times New Roman"/>
          <w:b/>
          <w:lang w:eastAsia="en-GB"/>
        </w:rPr>
        <w:t xml:space="preserve">šį </w:t>
      </w:r>
      <w:r w:rsidRPr="00C63CD3">
        <w:rPr>
          <w:rFonts w:ascii="Times New Roman" w:eastAsia="Times New Roman" w:hAnsi="Times New Roman"/>
          <w:b/>
          <w:lang w:eastAsia="en-GB"/>
        </w:rPr>
        <w:t>vaistą, nes jame pateikiama Jums svarbi informacija.</w:t>
      </w:r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Visada vartokite šį vaistą tiksliai kaip aprašyta šiame lapelyje arba kaip nurodė gydytojas arba vaistininkas. 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Neišmeskite šio lapelio, nes vėl gali prireikti jį perskaityti. 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kiltų daugiau klausimų, kreipkitės į vaistininką.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pasireiškė šalutinis poveikis (net jeigu jis šiame lapelyje nenurodytas), kreipkitės į gydytoją arba vaistininką. Žr. 4 skyrių.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Jeigu per </w:t>
      </w:r>
      <w:r>
        <w:rPr>
          <w:rFonts w:ascii="Times New Roman" w:eastAsia="Times New Roman" w:hAnsi="Times New Roman"/>
          <w:lang w:eastAsia="en-GB"/>
        </w:rPr>
        <w:t>3</w:t>
      </w:r>
      <w:r w:rsidRPr="00C63CD3">
        <w:rPr>
          <w:rFonts w:ascii="Times New Roman" w:eastAsia="Times New Roman" w:hAnsi="Times New Roman"/>
          <w:lang w:eastAsia="en-GB"/>
        </w:rPr>
        <w:t xml:space="preserve"> dienas Jūsų savijauta nepagerėjo arba net pablogėjo, kreipkitės į gydytoją.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keepNext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Apie ką rašoma šiame lapelyje?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1.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Kas yra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ir kam jis vartojamas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2.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3.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4.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Galimas šalutinis poveikis </w:t>
      </w:r>
    </w:p>
    <w:p w:rsidR="002971C8" w:rsidRPr="00C63CD3" w:rsidRDefault="002971C8" w:rsidP="002971C8">
      <w:pPr>
        <w:numPr>
          <w:ilvl w:val="0"/>
          <w:numId w:val="2"/>
        </w:numPr>
        <w:tabs>
          <w:tab w:val="left" w:pos="426"/>
          <w:tab w:val="num" w:pos="709"/>
        </w:tabs>
        <w:snapToGrid w:val="0"/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Kaip laikyti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6.</w:t>
      </w:r>
      <w:r w:rsidRPr="00C63CD3">
        <w:rPr>
          <w:rFonts w:ascii="Times New Roman" w:eastAsia="Times New Roman" w:hAnsi="Times New Roman"/>
          <w:lang w:eastAsia="en-GB"/>
        </w:rPr>
        <w:tab/>
        <w:t>Pakuotės turinys ir kita informacija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0"/>
          <w:numId w:val="3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Kas yra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ir kam jis vartojamas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yra tradicinis augalinis vaistas: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palaikomajam gydymui ir</w:t>
      </w:r>
      <w:r w:rsidRPr="00D1447B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6610E4">
        <w:rPr>
          <w:rFonts w:ascii="Times New Roman" w:eastAsia="Times New Roman" w:hAnsi="Times New Roman"/>
          <w:szCs w:val="20"/>
          <w:lang w:eastAsia="lt-LT"/>
        </w:rPr>
        <w:t>specifines gydymo priemones papildančiam</w:t>
      </w:r>
      <w:r w:rsidRPr="00C63CD3">
        <w:rPr>
          <w:rFonts w:ascii="Times New Roman" w:eastAsia="Times New Roman" w:hAnsi="Times New Roman"/>
          <w:lang w:eastAsia="en-GB"/>
        </w:rPr>
        <w:t xml:space="preserve"> apatinių šlapimo takų uždegimo sukelt</w:t>
      </w:r>
      <w:r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lengv</w:t>
      </w:r>
      <w:r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negalavim</w:t>
      </w:r>
      <w:r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</w:t>
      </w:r>
      <w:r w:rsidRPr="00C63CD3">
        <w:rPr>
          <w:rFonts w:ascii="Times New Roman" w:eastAsia="Times New Roman" w:hAnsi="Times New Roman"/>
          <w:u w:val="single"/>
          <w:lang w:eastAsia="en-GB"/>
        </w:rPr>
        <w:t>(toki</w:t>
      </w:r>
      <w:r>
        <w:rPr>
          <w:rFonts w:ascii="Times New Roman" w:eastAsia="Times New Roman" w:hAnsi="Times New Roman"/>
          <w:u w:val="single"/>
          <w:lang w:eastAsia="en-GB"/>
        </w:rPr>
        <w:t>ų</w:t>
      </w:r>
      <w:r w:rsidRPr="00C63CD3">
        <w:rPr>
          <w:rFonts w:ascii="Times New Roman" w:eastAsia="Times New Roman" w:hAnsi="Times New Roman"/>
          <w:u w:val="single"/>
          <w:lang w:eastAsia="en-GB"/>
        </w:rPr>
        <w:t xml:space="preserve"> kaip dažnas </w:t>
      </w:r>
      <w:proofErr w:type="spellStart"/>
      <w:r w:rsidRPr="00C63CD3">
        <w:rPr>
          <w:rFonts w:ascii="Times New Roman" w:eastAsia="Times New Roman" w:hAnsi="Times New Roman"/>
          <w:u w:val="single"/>
          <w:lang w:eastAsia="en-GB"/>
        </w:rPr>
        <w:t>šlapinimasis</w:t>
      </w:r>
      <w:proofErr w:type="spellEnd"/>
      <w:r w:rsidRPr="00C63CD3">
        <w:rPr>
          <w:rFonts w:ascii="Times New Roman" w:eastAsia="Times New Roman" w:hAnsi="Times New Roman"/>
          <w:u w:val="single"/>
          <w:lang w:eastAsia="en-GB"/>
        </w:rPr>
        <w:t>, deginantis skausmas šlapinantis ir</w:t>
      </w:r>
      <w:r>
        <w:rPr>
          <w:rFonts w:ascii="Times New Roman" w:eastAsia="Times New Roman" w:hAnsi="Times New Roman"/>
          <w:u w:val="single"/>
          <w:lang w:eastAsia="en-GB"/>
        </w:rPr>
        <w:t xml:space="preserve"> staiga</w:t>
      </w:r>
      <w:r w:rsidRPr="00C63CD3">
        <w:rPr>
          <w:rFonts w:ascii="Times New Roman" w:eastAsia="Times New Roman" w:hAnsi="Times New Roman"/>
          <w:u w:val="single"/>
          <w:lang w:eastAsia="en-GB"/>
        </w:rPr>
        <w:t xml:space="preserve"> </w:t>
      </w:r>
      <w:r>
        <w:rPr>
          <w:rFonts w:ascii="Times New Roman" w:eastAsia="Times New Roman" w:hAnsi="Times New Roman"/>
          <w:u w:val="single"/>
          <w:lang w:eastAsia="en-GB"/>
        </w:rPr>
        <w:t>sustiprėjęs</w:t>
      </w:r>
      <w:r w:rsidRPr="00C63CD3">
        <w:rPr>
          <w:rFonts w:ascii="Times New Roman" w:eastAsia="Times New Roman" w:hAnsi="Times New Roman"/>
          <w:u w:val="single"/>
          <w:lang w:eastAsia="en-GB"/>
        </w:rPr>
        <w:t xml:space="preserve"> noras šlapintis)</w:t>
      </w:r>
      <w:r w:rsidRPr="00C63CD3">
        <w:rPr>
          <w:rFonts w:ascii="Times New Roman" w:eastAsia="Times New Roman" w:hAnsi="Times New Roman"/>
          <w:lang w:eastAsia="en-GB"/>
        </w:rPr>
        <w:t xml:space="preserve"> gydy</w:t>
      </w:r>
      <w:r>
        <w:rPr>
          <w:rFonts w:ascii="Times New Roman" w:eastAsia="Times New Roman" w:hAnsi="Times New Roman"/>
          <w:lang w:eastAsia="en-GB"/>
        </w:rPr>
        <w:t>mui</w:t>
      </w:r>
      <w:r w:rsidRPr="00C63CD3">
        <w:rPr>
          <w:rFonts w:ascii="Times New Roman" w:eastAsia="Times New Roman" w:hAnsi="Times New Roman"/>
          <w:lang w:eastAsia="en-GB"/>
        </w:rPr>
        <w:t xml:space="preserve">; 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674100">
        <w:rPr>
          <w:rFonts w:ascii="Times New Roman" w:eastAsia="Times New Roman" w:hAnsi="Times New Roman"/>
          <w:szCs w:val="20"/>
          <w:lang w:eastAsia="lt-LT"/>
        </w:rPr>
        <w:t xml:space="preserve">kad prasiplautų šlapimo takai ir </w:t>
      </w:r>
      <w:r>
        <w:rPr>
          <w:rFonts w:ascii="Times New Roman" w:eastAsia="Times New Roman" w:hAnsi="Times New Roman"/>
          <w:szCs w:val="20"/>
          <w:lang w:eastAsia="lt-LT"/>
        </w:rPr>
        <w:t xml:space="preserve">juose </w:t>
      </w:r>
      <w:r w:rsidRPr="00674100">
        <w:rPr>
          <w:rFonts w:ascii="Times New Roman" w:eastAsia="Times New Roman" w:hAnsi="Times New Roman"/>
          <w:szCs w:val="20"/>
          <w:lang w:eastAsia="lt-LT"/>
        </w:rPr>
        <w:t xml:space="preserve">sumažėtų </w:t>
      </w:r>
      <w:r>
        <w:rPr>
          <w:rFonts w:ascii="Times New Roman" w:eastAsia="Times New Roman" w:hAnsi="Times New Roman"/>
          <w:szCs w:val="20"/>
          <w:lang w:eastAsia="lt-LT"/>
        </w:rPr>
        <w:t>„smėlio“ nuosėdų</w:t>
      </w:r>
      <w:r w:rsidRPr="00C63CD3">
        <w:rPr>
          <w:rFonts w:ascii="Times New Roman" w:eastAsia="Times New Roman" w:hAnsi="Times New Roman"/>
          <w:lang w:eastAsia="en-GB"/>
        </w:rPr>
        <w:t>.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yra tradicinis augalinis vaistas, kurio indikacijos pagrįstos tik ilgalaikiu vartojimu.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 vaisto vartojimo metu simptomai išlieka arba pasireiškia šalutinis poveikis, nenurodytas pakuotės lapelyje, būtina pasitarti su gydytoju arba kvalifikuotu sveikatos priežiūros specialistu.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Kas žinotina prieš vartojant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i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vartoti </w:t>
      </w:r>
      <w:r>
        <w:rPr>
          <w:rFonts w:ascii="Times New Roman" w:eastAsia="Times New Roman" w:hAnsi="Times New Roman"/>
          <w:b/>
          <w:lang w:eastAsia="en-GB"/>
        </w:rPr>
        <w:t>draudžiama</w:t>
      </w:r>
      <w:r w:rsidRPr="00C63CD3">
        <w:rPr>
          <w:rFonts w:ascii="Times New Roman" w:eastAsia="Times New Roman" w:hAnsi="Times New Roman"/>
          <w:b/>
          <w:lang w:eastAsia="en-GB"/>
        </w:rPr>
        <w:t>: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jeigu yra alergija veikliosioms medžiagoms, kitiems </w:t>
      </w:r>
      <w:r w:rsidRPr="00D1447B">
        <w:rPr>
          <w:rFonts w:ascii="Times New Roman" w:eastAsia="Times New Roman" w:hAnsi="Times New Roman"/>
          <w:lang w:eastAsia="en-GB"/>
        </w:rPr>
        <w:t>skėtinių</w:t>
      </w:r>
      <w:r w:rsidRPr="00C63CD3"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lot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. </w:t>
      </w:r>
      <w:proofErr w:type="spellStart"/>
      <w:r w:rsidRPr="00C63CD3">
        <w:rPr>
          <w:rFonts w:ascii="Times New Roman" w:eastAsia="Times New Roman" w:hAnsi="Times New Roman"/>
          <w:i/>
          <w:lang w:eastAsia="en-GB"/>
        </w:rPr>
        <w:t>Apiaceae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) šeimos augalams (pvz., anyžiui, pankoliui),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anetoliui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(eterinių aliejų sudedamoji dalis) arba bet kuriai pagalbinei šio vaisto medžiagai (jos išvardytos 6 skyriuje);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sergama skrandžio opalige;</w:t>
      </w:r>
    </w:p>
    <w:p w:rsidR="002971C8" w:rsidRPr="00C63CD3" w:rsidRDefault="002971C8" w:rsidP="002971C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esant edemai dėl širdies ar inkstų funkcijos sutrikimo ir (arba) jei gydytojas rekomenduoja mažinti skysčių vartojimą.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Įspėjimai ir atsargumo priemonės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Tęsiantis karščiavimui, pasireiškus apatinės pilvo dalies skausmui, spazmams, pastebėjus šlapime kraujo, atsiradus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šlapinimosi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sutrikimams ar ūmiam šlapimo susilaikymui, reikia nedelsiant pasitarti su gydytoju.</w:t>
      </w: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Vaika</w:t>
      </w:r>
      <w:r>
        <w:rPr>
          <w:rFonts w:ascii="Times New Roman" w:eastAsia="Times New Roman" w:hAnsi="Times New Roman"/>
          <w:b/>
          <w:lang w:eastAsia="en-GB"/>
        </w:rPr>
        <w:t>i</w:t>
      </w:r>
      <w:r w:rsidRPr="00C63CD3">
        <w:rPr>
          <w:rFonts w:ascii="Times New Roman" w:eastAsia="Times New Roman" w:hAnsi="Times New Roman"/>
          <w:b/>
          <w:lang w:eastAsia="en-GB"/>
        </w:rPr>
        <w:t xml:space="preserve"> </w:t>
      </w: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Nepakanka duomenų apie šio vaisto vartojimą jaunesniems nei 1</w:t>
      </w:r>
      <w:r>
        <w:rPr>
          <w:rFonts w:ascii="Times New Roman" w:eastAsia="Times New Roman" w:hAnsi="Times New Roman"/>
          <w:lang w:eastAsia="en-GB"/>
        </w:rPr>
        <w:t>2 </w:t>
      </w:r>
      <w:r w:rsidRPr="00C63CD3">
        <w:rPr>
          <w:rFonts w:ascii="Times New Roman" w:eastAsia="Times New Roman" w:hAnsi="Times New Roman"/>
          <w:lang w:eastAsia="en-GB"/>
        </w:rPr>
        <w:t xml:space="preserve">metų vaikams. </w:t>
      </w:r>
      <w:r w:rsidRPr="00D83D80">
        <w:rPr>
          <w:rFonts w:ascii="Times New Roman" w:eastAsia="Times New Roman" w:hAnsi="Times New Roman"/>
          <w:lang w:eastAsia="en-GB"/>
        </w:rPr>
        <w:t xml:space="preserve">Vaikų šlapimo takų sutrikimams gydyti reikalinga medicininė priežiūra (juos diagnozuoti, gydyti ir stebėti turi gydytojas). </w:t>
      </w:r>
      <w:r w:rsidRPr="00C63CD3">
        <w:rPr>
          <w:rFonts w:ascii="Times New Roman" w:eastAsia="Times New Roman" w:hAnsi="Times New Roman"/>
          <w:lang w:eastAsia="en-GB"/>
        </w:rPr>
        <w:t xml:space="preserve">Todėl </w:t>
      </w:r>
      <w:proofErr w:type="spellStart"/>
      <w:r w:rsidRPr="00D83D80">
        <w:rPr>
          <w:rFonts w:ascii="Times New Roman" w:eastAsia="Times New Roman" w:hAnsi="Times New Roman"/>
          <w:lang w:eastAsia="en-GB"/>
        </w:rPr>
        <w:t>Canephron</w:t>
      </w:r>
      <w:proofErr w:type="spellEnd"/>
      <w:r w:rsidRPr="00D83D80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D83D80">
        <w:rPr>
          <w:rFonts w:ascii="Times New Roman" w:eastAsia="Times New Roman" w:hAnsi="Times New Roman"/>
          <w:lang w:eastAsia="en-GB"/>
        </w:rPr>
        <w:t>intens</w:t>
      </w:r>
      <w:proofErr w:type="spellEnd"/>
      <w:r w:rsidRPr="00D83D80" w:rsidDel="00D83D80">
        <w:rPr>
          <w:rFonts w:ascii="Times New Roman" w:eastAsia="Times New Roman" w:hAnsi="Times New Roman"/>
          <w:lang w:eastAsia="en-GB"/>
        </w:rPr>
        <w:t xml:space="preserve"> </w:t>
      </w:r>
      <w:r>
        <w:rPr>
          <w:rFonts w:ascii="Times New Roman" w:eastAsia="Times New Roman" w:hAnsi="Times New Roman"/>
          <w:lang w:eastAsia="en-GB"/>
        </w:rPr>
        <w:t xml:space="preserve">negalima vartoti </w:t>
      </w:r>
      <w:r w:rsidRPr="00C63CD3">
        <w:rPr>
          <w:rFonts w:ascii="Times New Roman" w:eastAsia="Times New Roman" w:hAnsi="Times New Roman"/>
          <w:lang w:eastAsia="en-GB"/>
        </w:rPr>
        <w:t>jaunesni</w:t>
      </w:r>
      <w:r>
        <w:rPr>
          <w:rFonts w:ascii="Times New Roman" w:eastAsia="Times New Roman" w:hAnsi="Times New Roman"/>
          <w:lang w:eastAsia="en-GB"/>
        </w:rPr>
        <w:t>ems</w:t>
      </w:r>
      <w:r w:rsidRPr="00C63CD3">
        <w:rPr>
          <w:rFonts w:ascii="Times New Roman" w:eastAsia="Times New Roman" w:hAnsi="Times New Roman"/>
          <w:lang w:eastAsia="en-GB"/>
        </w:rPr>
        <w:t xml:space="preserve"> nei </w:t>
      </w:r>
      <w:r>
        <w:rPr>
          <w:rFonts w:ascii="Times New Roman" w:eastAsia="Times New Roman" w:hAnsi="Times New Roman"/>
          <w:lang w:eastAsia="en-GB"/>
        </w:rPr>
        <w:t>12 </w:t>
      </w:r>
      <w:r w:rsidRPr="00C63CD3">
        <w:rPr>
          <w:rFonts w:ascii="Times New Roman" w:eastAsia="Times New Roman" w:hAnsi="Times New Roman"/>
          <w:lang w:eastAsia="en-GB"/>
        </w:rPr>
        <w:t>metų vaika</w:t>
      </w:r>
      <w:r>
        <w:rPr>
          <w:rFonts w:ascii="Times New Roman" w:eastAsia="Times New Roman" w:hAnsi="Times New Roman"/>
          <w:lang w:eastAsia="en-GB"/>
        </w:rPr>
        <w:t>ms</w:t>
      </w:r>
      <w:r w:rsidRPr="00C63CD3">
        <w:rPr>
          <w:rFonts w:ascii="Times New Roman" w:eastAsia="Times New Roman" w:hAnsi="Times New Roman"/>
          <w:lang w:eastAsia="en-GB"/>
        </w:rPr>
        <w:t>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vartojate ar neseniai vartojote kitų vaistų arba dėl to nesate tikri, apie tai pasakykite gydytojui arba vaistininkui.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Kol kas nežinoma apie sąveiką su kitais vaistais. Sąveikos tyrimų neatlikta.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Nėštumas, žindymo laikotarpis ir vaisingumas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esate nėščia, žindote kūdikį, manote, kad galbūt esate nėščia arba planuojate pastoti, prieš vartodama šį vaistą pasitarkite su gydytoju arba vaistininku.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Gydytojui įvertinus nėštumo aplinkybes ir paskyrus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>, vaistą vartoti galima.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Nežinoma, ar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arba jo veikliosios medžiagos metabolitų išsiskiria į motinos pieną.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netur</w:t>
      </w:r>
      <w:r>
        <w:rPr>
          <w:rFonts w:ascii="Times New Roman" w:eastAsia="Times New Roman" w:hAnsi="Times New Roman"/>
          <w:lang w:eastAsia="en-GB"/>
        </w:rPr>
        <w:t>i</w:t>
      </w:r>
      <w:r w:rsidRPr="00C63CD3">
        <w:rPr>
          <w:rFonts w:ascii="Times New Roman" w:eastAsia="Times New Roman" w:hAnsi="Times New Roman"/>
          <w:lang w:eastAsia="en-GB"/>
        </w:rPr>
        <w:t xml:space="preserve"> būti vartojamas žindymo metu.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Nėra duomenų apie vaisto poveikį vaisingumui.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Vairavimas ir mechanizmų valdymas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Tyrimai dėl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poveikio gebėjimui vairuoti ir valdyti mechanizmus nebuvo atlikti.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sudėtyje yra gliukozės, sacharozės ir laktozės</w:t>
      </w:r>
    </w:p>
    <w:p w:rsidR="002971C8" w:rsidRPr="00C63CD3" w:rsidRDefault="002971C8" w:rsidP="002971C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color w:val="000000"/>
          <w:lang w:eastAsia="en-GB"/>
        </w:rPr>
      </w:pPr>
      <w:r w:rsidRPr="00C63CD3">
        <w:rPr>
          <w:rFonts w:ascii="Times New Roman" w:eastAsia="Times New Roman" w:hAnsi="Times New Roman"/>
          <w:noProof/>
          <w:color w:val="000000"/>
          <w:lang w:eastAsia="en-GB"/>
        </w:rPr>
        <w:t>Jeigu gydytojas Jums yra sakęs, kad netoleruojate</w:t>
      </w:r>
      <w:r>
        <w:rPr>
          <w:rFonts w:ascii="Times New Roman" w:eastAsia="Times New Roman" w:hAnsi="Times New Roman"/>
          <w:noProof/>
          <w:color w:val="000000"/>
          <w:lang w:eastAsia="en-GB"/>
        </w:rPr>
        <w:t xml:space="preserve"> </w:t>
      </w:r>
      <w:r w:rsidRPr="002E3119">
        <w:rPr>
          <w:rFonts w:ascii="Times New Roman" w:eastAsia="Times New Roman" w:hAnsi="Times New Roman"/>
          <w:noProof/>
          <w:color w:val="000000"/>
          <w:lang w:eastAsia="en-GB"/>
        </w:rPr>
        <w:t>kokių nors angliavandenių</w:t>
      </w:r>
      <w:r w:rsidRPr="00C63CD3">
        <w:rPr>
          <w:rFonts w:ascii="Times New Roman" w:eastAsia="Times New Roman" w:hAnsi="Times New Roman"/>
          <w:noProof/>
          <w:color w:val="000000"/>
          <w:lang w:eastAsia="en-GB"/>
        </w:rPr>
        <w:t>, kreipkitės į jį prieš pradėdami vartoti šį vaistą.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Kaip vartoti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:rsidR="002971C8" w:rsidRPr="00C63CD3" w:rsidRDefault="002971C8" w:rsidP="002971C8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Visada vartokite šį vaistą tiksliai kaip aprašyta šiame lapelyje arba kaip nurodė gydytojas arba vaistininkas. Jeigu abejojate, kreipkitės į gydytoją arba vaistininką.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Rekomenduojama dozė:</w:t>
      </w: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Suaugusiesiems </w:t>
      </w:r>
      <w:r w:rsidRPr="00C109AC">
        <w:rPr>
          <w:rFonts w:ascii="Times New Roman" w:hAnsi="Times New Roman"/>
          <w:szCs w:val="20"/>
          <w:lang w:eastAsia="lt-LT"/>
        </w:rPr>
        <w:t>ir paauglia</w:t>
      </w:r>
      <w:r>
        <w:rPr>
          <w:rFonts w:ascii="Times New Roman" w:hAnsi="Times New Roman"/>
          <w:szCs w:val="20"/>
          <w:lang w:eastAsia="lt-LT"/>
        </w:rPr>
        <w:t>ms</w:t>
      </w:r>
      <w:r w:rsidRPr="00C109AC">
        <w:rPr>
          <w:rFonts w:ascii="Times New Roman" w:hAnsi="Times New Roman"/>
          <w:szCs w:val="20"/>
          <w:lang w:eastAsia="lt-LT"/>
        </w:rPr>
        <w:t xml:space="preserve"> nuo 12 metų amžiaus</w:t>
      </w:r>
      <w:r w:rsidRPr="00C63CD3">
        <w:rPr>
          <w:rFonts w:ascii="Times New Roman" w:eastAsia="Times New Roman" w:hAnsi="Times New Roman"/>
          <w:lang w:eastAsia="en-GB"/>
        </w:rPr>
        <w:t xml:space="preserve"> vartoti po 1 dengtą tabletę 3 kartus per parą.</w:t>
      </w: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Vaika</w:t>
      </w:r>
      <w:r>
        <w:rPr>
          <w:rFonts w:ascii="Times New Roman" w:eastAsia="Times New Roman" w:hAnsi="Times New Roman"/>
          <w:b/>
          <w:lang w:eastAsia="en-GB"/>
        </w:rPr>
        <w:t>i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negalima vartoti</w:t>
      </w:r>
      <w:r w:rsidRPr="001C4A31">
        <w:rPr>
          <w:rFonts w:ascii="Times New Roman" w:eastAsia="Times New Roman" w:hAnsi="Times New Roman"/>
          <w:lang w:eastAsia="en-GB"/>
        </w:rPr>
        <w:t xml:space="preserve"> jaunesniems nei 1</w:t>
      </w:r>
      <w:r>
        <w:rPr>
          <w:rFonts w:ascii="Times New Roman" w:eastAsia="Times New Roman" w:hAnsi="Times New Roman"/>
          <w:lang w:eastAsia="en-GB"/>
        </w:rPr>
        <w:t>2</w:t>
      </w:r>
      <w:r w:rsidRPr="001C4A31">
        <w:rPr>
          <w:rFonts w:ascii="Times New Roman" w:eastAsia="Times New Roman" w:hAnsi="Times New Roman"/>
          <w:lang w:eastAsia="en-GB"/>
        </w:rPr>
        <w:t xml:space="preserve"> metų </w:t>
      </w:r>
      <w:r>
        <w:rPr>
          <w:rFonts w:ascii="Times New Roman" w:eastAsia="Times New Roman" w:hAnsi="Times New Roman"/>
          <w:lang w:eastAsia="en-GB"/>
        </w:rPr>
        <w:t>amžiaus vaikams</w:t>
      </w:r>
      <w:r w:rsidRPr="001C4A31">
        <w:rPr>
          <w:rFonts w:ascii="Times New Roman" w:eastAsia="Times New Roman" w:hAnsi="Times New Roman"/>
          <w:lang w:eastAsia="en-GB"/>
        </w:rPr>
        <w:t>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Nepakanka duomenų apie tinkamas dozavimo rekomendacijas esant sutrikusiai inkstų ir (arba) kepenų funkcijai.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Vartojimo metodas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Gerkite po vieną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dengtą tabletę 3 kartus per parą (ryte, per pietus, vakare).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tabletę reikia nuryti </w:t>
      </w:r>
      <w:r>
        <w:rPr>
          <w:rFonts w:ascii="Times New Roman" w:eastAsia="Times New Roman" w:hAnsi="Times New Roman"/>
          <w:lang w:eastAsia="en-GB"/>
        </w:rPr>
        <w:t>sveiką</w:t>
      </w:r>
      <w:r w:rsidRPr="00C63CD3">
        <w:rPr>
          <w:rFonts w:ascii="Times New Roman" w:eastAsia="Times New Roman" w:hAnsi="Times New Roman"/>
          <w:lang w:eastAsia="en-GB"/>
        </w:rPr>
        <w:t xml:space="preserve"> (nekramtytą), geriausia užgeriant skysčiu, pvz., stikline vandens.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Gausiai vartokite skysčių, kad palengvintumėte gydymą.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 per </w:t>
      </w:r>
      <w:r>
        <w:rPr>
          <w:rFonts w:ascii="Times New Roman" w:eastAsia="Times New Roman" w:hAnsi="Times New Roman"/>
          <w:lang w:eastAsia="en-GB"/>
        </w:rPr>
        <w:t>3</w:t>
      </w:r>
      <w:r w:rsidRPr="00C63CD3">
        <w:rPr>
          <w:rFonts w:ascii="Times New Roman" w:eastAsia="Times New Roman" w:hAnsi="Times New Roman"/>
          <w:lang w:eastAsia="en-GB"/>
        </w:rPr>
        <w:t xml:space="preserve"> dienas simptomai paūmėja arba išlieka, pasitarkite su gydytoju arba kvalifikuotu sveikatos priežiūros specialistu. Vaistas netur</w:t>
      </w:r>
      <w:r>
        <w:rPr>
          <w:rFonts w:ascii="Times New Roman" w:eastAsia="Times New Roman" w:hAnsi="Times New Roman"/>
          <w:lang w:eastAsia="en-GB"/>
        </w:rPr>
        <w:t>i</w:t>
      </w:r>
      <w:r w:rsidRPr="00C63CD3">
        <w:rPr>
          <w:rFonts w:ascii="Times New Roman" w:eastAsia="Times New Roman" w:hAnsi="Times New Roman"/>
          <w:lang w:eastAsia="en-GB"/>
        </w:rPr>
        <w:t xml:space="preserve"> būti vartojamas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savigydai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ilgiau nei 2 savaites.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Ką daryti pavartojus per didelę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dozę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Pavartojus per didelę </w:t>
      </w: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dozę kreipkitės į gydytoją.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Jūsų gydytojas nuspręs dėl tinkamo gydymo.</w:t>
      </w:r>
      <w:r w:rsidRPr="00C63CD3">
        <w:rPr>
          <w:rFonts w:ascii="Times New Roman" w:eastAsia="Times New Roman" w:hAnsi="Times New Roman"/>
          <w:color w:val="000000"/>
          <w:lang w:eastAsia="en-GB"/>
        </w:rPr>
        <w:t xml:space="preserve"> Galimas toliau nurodytų šalutinių poveikių paūmėjimas</w:t>
      </w:r>
      <w:r w:rsidRPr="00C63CD3">
        <w:rPr>
          <w:rFonts w:ascii="Times New Roman" w:eastAsia="Times New Roman" w:hAnsi="Times New Roman"/>
          <w:lang w:eastAsia="en-GB"/>
        </w:rPr>
        <w:t>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Iki šiol žinomų apsinuodijimo atvejų nebuvo.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Pamiršus pavartoti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Negalima vartoti dvigubos dozės norint kompensuoti praleistą dozę.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kiltų daugiau klausimų dėl šio vaisto vartojimo, kreipkitės į gydytoją arba vaistininką.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4.</w:t>
      </w:r>
      <w:r w:rsidRPr="00C63CD3">
        <w:rPr>
          <w:rFonts w:ascii="Times New Roman" w:eastAsia="Times New Roman" w:hAnsi="Times New Roman"/>
          <w:b/>
          <w:lang w:eastAsia="en-GB"/>
        </w:rPr>
        <w:tab/>
        <w:t>Galimas šalutinis poveikis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Šis vaistas, kaip ir visi kiti, gali sukelti šalutinį poveikį, nors jis pasireiškia ne visiems žmonėms.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D83D80">
        <w:rPr>
          <w:rFonts w:ascii="Times New Roman" w:eastAsia="Times New Roman" w:hAnsi="Times New Roman"/>
          <w:lang w:eastAsia="en-GB"/>
        </w:rPr>
        <w:t>Dažni šalutinio poveikio reiškiniai (gali pasireikšti rečiau kaip 1 iš 10</w:t>
      </w:r>
      <w:r>
        <w:rPr>
          <w:rFonts w:ascii="Times New Roman" w:eastAsia="Times New Roman" w:hAnsi="Times New Roman"/>
          <w:lang w:eastAsia="en-GB"/>
        </w:rPr>
        <w:t> </w:t>
      </w:r>
      <w:r w:rsidRPr="00D83D80">
        <w:rPr>
          <w:rFonts w:ascii="Times New Roman" w:eastAsia="Times New Roman" w:hAnsi="Times New Roman"/>
          <w:lang w:eastAsia="en-GB"/>
        </w:rPr>
        <w:t>asmenų)</w:t>
      </w:r>
      <w:r>
        <w:rPr>
          <w:rFonts w:ascii="Times New Roman" w:eastAsia="Times New Roman" w:hAnsi="Times New Roman"/>
          <w:lang w:eastAsia="en-GB"/>
        </w:rPr>
        <w:t>: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Virškinimo trakto sutrikimai (pykinimas, vėmimas, viduriavimas).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2D41CB">
        <w:rPr>
          <w:rFonts w:ascii="Times New Roman" w:eastAsia="Times New Roman" w:hAnsi="Times New Roman"/>
          <w:lang w:eastAsia="en-GB"/>
        </w:rPr>
        <w:t xml:space="preserve">Šalutinio poveikio reiškiniai, kurių dažnis </w:t>
      </w:r>
      <w:r w:rsidRPr="00C63CD3">
        <w:rPr>
          <w:rFonts w:ascii="Times New Roman" w:eastAsia="Times New Roman" w:hAnsi="Times New Roman"/>
          <w:lang w:eastAsia="en-GB"/>
        </w:rPr>
        <w:t>nežinomas (</w:t>
      </w:r>
      <w:r w:rsidRPr="00C63CD3">
        <w:rPr>
          <w:rFonts w:ascii="Times New Roman" w:eastAsia="Times New Roman" w:hAnsi="Times New Roman"/>
          <w:lang w:eastAsia="lt-LT"/>
        </w:rPr>
        <w:t>negali būti apskaičiuotas pagal turimus duomenis</w:t>
      </w:r>
      <w:r w:rsidRPr="00C63CD3">
        <w:rPr>
          <w:rFonts w:ascii="Times New Roman" w:eastAsia="Times New Roman" w:hAnsi="Times New Roman"/>
          <w:lang w:eastAsia="en-GB"/>
        </w:rPr>
        <w:t>):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D83D80">
        <w:rPr>
          <w:rFonts w:ascii="Times New Roman" w:eastAsia="Times New Roman" w:hAnsi="Times New Roman"/>
          <w:lang w:eastAsia="en-GB"/>
        </w:rPr>
        <w:t>Padidėjusio jautrumo reakcijos (</w:t>
      </w:r>
      <w:r>
        <w:rPr>
          <w:rFonts w:ascii="Times New Roman" w:eastAsia="Times New Roman" w:hAnsi="Times New Roman"/>
          <w:lang w:eastAsia="en-GB"/>
        </w:rPr>
        <w:t>iš</w:t>
      </w:r>
      <w:r w:rsidRPr="00D83D80">
        <w:rPr>
          <w:rFonts w:ascii="Times New Roman" w:eastAsia="Times New Roman" w:hAnsi="Times New Roman"/>
          <w:lang w:eastAsia="en-GB"/>
        </w:rPr>
        <w:t>bėrimas, niežulys, veido edema).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Pasireiškus šalutiniam poveikiui, nutraukite vaisto vartojimą ir kuo skubiau kreipkitės į gydytoją. Gydytojas įvertins Jūsų būklę ir parinks reikalingas priemones tolimesniam gydymui.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C63CD3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C63CD3">
        <w:rPr>
          <w:rFonts w:ascii="Times New Roman" w:eastAsia="Times New Roman" w:hAnsi="Times New Roman"/>
          <w:snapToGrid w:val="0"/>
        </w:rPr>
        <w:t xml:space="preserve">Jeigu </w:t>
      </w:r>
      <w:r w:rsidRPr="00D83D80">
        <w:rPr>
          <w:rFonts w:ascii="Times New Roman" w:eastAsia="Times New Roman" w:hAnsi="Times New Roman"/>
          <w:snapToGrid w:val="0"/>
        </w:rPr>
        <w:t xml:space="preserve">pasireiškė šalutinis poveikis, įskaitant šiame lapelyje nenurodytą, pasakykite gydytojui arba vaistininkui. </w:t>
      </w:r>
      <w:r w:rsidRPr="003630FA">
        <w:rPr>
          <w:rFonts w:ascii="Times New Roman" w:eastAsia="Times New Roman" w:hAnsi="Times New Roman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3630FA">
        <w:rPr>
          <w:rFonts w:ascii="Times New Roman" w:eastAsia="Times New Roman" w:hAnsi="Times New Roman"/>
          <w:color w:val="0000FF"/>
          <w:szCs w:val="20"/>
          <w:u w:val="single"/>
        </w:rPr>
        <w:t>https://vapris.vvkt.lt/vvkt-web/public/nrv</w:t>
      </w:r>
      <w:r w:rsidRPr="003630FA">
        <w:rPr>
          <w:rFonts w:ascii="Times New Roman" w:eastAsia="Times New Roman" w:hAnsi="Times New Roman"/>
          <w:szCs w:val="20"/>
        </w:rPr>
        <w:t xml:space="preserve"> arba užpildant Paciento pranešimo apie įtariamą nepageidaujamą reakciją (ĮNR) formą, kuri skelbiama </w:t>
      </w:r>
      <w:r w:rsidRPr="003630FA">
        <w:rPr>
          <w:rFonts w:ascii="Times New Roman" w:eastAsia="Times New Roman" w:hAnsi="Times New Roman"/>
          <w:color w:val="0000FF"/>
          <w:szCs w:val="20"/>
          <w:u w:val="single"/>
        </w:rPr>
        <w:t>https://www.vvkt.lt/index.php?4004286486</w:t>
      </w:r>
      <w:r w:rsidRPr="003630FA">
        <w:rPr>
          <w:rFonts w:ascii="Times New Roman" w:eastAsia="Times New Roman" w:hAnsi="Times New Roman"/>
          <w:szCs w:val="20"/>
        </w:rPr>
        <w:t xml:space="preserve">, ir atsiunčiant elektroniniu paštu (adresu </w:t>
      </w:r>
      <w:proofErr w:type="spellStart"/>
      <w:r w:rsidRPr="003630FA">
        <w:rPr>
          <w:rFonts w:ascii="Times New Roman" w:eastAsia="Times New Roman" w:hAnsi="Times New Roman"/>
          <w:color w:val="0000FF"/>
          <w:szCs w:val="20"/>
          <w:u w:val="single"/>
        </w:rPr>
        <w:t>NepageidaujamaR@vvkt.lt</w:t>
      </w:r>
      <w:proofErr w:type="spellEnd"/>
      <w:r w:rsidRPr="003630FA">
        <w:rPr>
          <w:rFonts w:ascii="Times New Roman" w:eastAsia="Times New Roman" w:hAnsi="Times New Roman"/>
          <w:szCs w:val="20"/>
        </w:rPr>
        <w:t>) arba nemokamu telefonu 8 800 73 568.</w:t>
      </w:r>
      <w:r w:rsidRPr="00D83D80">
        <w:rPr>
          <w:rFonts w:ascii="Times New Roman" w:eastAsia="Times New Roman" w:hAnsi="Times New Roman"/>
          <w:szCs w:val="20"/>
        </w:rPr>
        <w:t xml:space="preserve"> </w:t>
      </w:r>
      <w:r w:rsidRPr="00D83D80">
        <w:rPr>
          <w:rFonts w:ascii="Times New Roman" w:eastAsia="Times New Roman" w:hAnsi="Times New Roman"/>
          <w:snapToGrid w:val="0"/>
        </w:rPr>
        <w:t>Pranešdami</w:t>
      </w:r>
      <w:r w:rsidRPr="00C63CD3">
        <w:rPr>
          <w:rFonts w:ascii="Times New Roman" w:eastAsia="Times New Roman" w:hAnsi="Times New Roman"/>
          <w:snapToGrid w:val="0"/>
        </w:rPr>
        <w:t xml:space="preserve"> apie šalutinį poveikį galite mums padėti gauti daugiau informacijos apie šio vaisto saugumą.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5.</w:t>
      </w:r>
      <w:r w:rsidRPr="00C63CD3">
        <w:rPr>
          <w:rFonts w:ascii="Times New Roman" w:eastAsia="Times New Roman" w:hAnsi="Times New Roman"/>
          <w:b/>
          <w:lang w:eastAsia="en-GB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Laikyti ne aukštesnėje kaip 30 °C temperatūroje.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Šį vaistą laikykite vaikams nepastebimoje ir nepasiekiamoje vietoje.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Ant dėžutės ir lizdinės pokštelės po „Tinka iki/EXP“ nurodytam tinkamumo laikui pasibaigus, šio vaisto vartoti negalima. Vaistas tinkamas vartoti iki paskutinės nurodyto mėnesio dienos.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Vaistų negalima išmesti į kanalizaciją arba su buitinėmis atliekomis. Kaip išmesti nereikalingus vaistus, klauskite vaistininko. Šios priemonės padės apsaugoti gamtą.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6.</w:t>
      </w:r>
      <w:r w:rsidRPr="00C63CD3">
        <w:rPr>
          <w:rFonts w:ascii="Times New Roman" w:eastAsia="Times New Roman" w:hAnsi="Times New Roman"/>
          <w:b/>
          <w:lang w:eastAsia="en-GB"/>
        </w:rPr>
        <w:tab/>
        <w:t>Pakuotės turinys ir kita informacija</w:t>
      </w: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sudėtis </w:t>
      </w:r>
    </w:p>
    <w:p w:rsidR="002971C8" w:rsidRPr="003630FA" w:rsidRDefault="002971C8" w:rsidP="002971C8">
      <w:pPr>
        <w:pStyle w:val="Sraopastraipa"/>
        <w:keepNext/>
        <w:keepLines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lang w:eastAsia="lt-LT"/>
        </w:rPr>
      </w:pPr>
      <w:r w:rsidRPr="003630FA">
        <w:rPr>
          <w:rFonts w:ascii="Times New Roman" w:eastAsia="Times New Roman" w:hAnsi="Times New Roman"/>
          <w:lang w:eastAsia="en-GB"/>
        </w:rPr>
        <w:t>Veikliosios medžiagos: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>1 dengtoje tabletėje yra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 xml:space="preserve">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Centaurium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erythraea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Rafn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s.l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.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herba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(širdažolių žolės), 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Levisticum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officinale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Koch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.,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radix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(gelsvių šaknų), 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Rosmarinus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officinalis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 xml:space="preserve">L.,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folium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(rozmarinų lapų).</w:t>
      </w:r>
    </w:p>
    <w:p w:rsidR="002971C8" w:rsidRPr="00C63CD3" w:rsidRDefault="002971C8" w:rsidP="002971C8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hanging="578"/>
        <w:rPr>
          <w:rFonts w:ascii="Times New Roman" w:eastAsia="Times New Roman" w:hAnsi="Times New Roman"/>
          <w:lang w:eastAsia="en-GB"/>
        </w:rPr>
      </w:pPr>
    </w:p>
    <w:p w:rsidR="002971C8" w:rsidRPr="003630FA" w:rsidRDefault="002971C8" w:rsidP="002971C8">
      <w:pPr>
        <w:pStyle w:val="Sraopastraipa"/>
        <w:keepNext/>
        <w:keepLines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/>
          <w:lang w:eastAsia="en-GB"/>
        </w:rPr>
      </w:pPr>
      <w:r w:rsidRPr="003630FA">
        <w:rPr>
          <w:rFonts w:ascii="Times New Roman" w:eastAsia="Times New Roman" w:hAnsi="Times New Roman"/>
          <w:lang w:eastAsia="en-GB"/>
        </w:rPr>
        <w:t>Pagalbinės medžiagos: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Pr="003630FA">
        <w:rPr>
          <w:rFonts w:ascii="Times New Roman" w:eastAsia="Times New Roman" w:hAnsi="Times New Roman"/>
          <w:lang w:eastAsia="en-GB"/>
        </w:rPr>
        <w:t xml:space="preserve">Tabletės šerdis: laktozė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monohidratas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, magnio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stearatas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Ph.Eur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.) (augalinės kilmės), kukurūzų krakmolas,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povidonas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 K 25, bevandenis koloidinis silicio dioksidas. </w:t>
      </w:r>
      <w:r w:rsidRPr="003630FA">
        <w:rPr>
          <w:rFonts w:ascii="Times New Roman" w:hAnsi="Times New Roman"/>
          <w:lang w:eastAsia="en-GB"/>
        </w:rPr>
        <w:t xml:space="preserve">Tabletės dangalas: kalcio karbonatas, natūralusis ricinos aliejus, geležies (III) oksidas (E172), kukurūzų krakmolas, </w:t>
      </w:r>
      <w:proofErr w:type="spellStart"/>
      <w:r w:rsidRPr="003630FA">
        <w:rPr>
          <w:rFonts w:ascii="Times New Roman" w:hAnsi="Times New Roman"/>
          <w:lang w:eastAsia="en-GB"/>
        </w:rPr>
        <w:t>dekstrinas</w:t>
      </w:r>
      <w:proofErr w:type="spellEnd"/>
      <w:r w:rsidRPr="003630FA">
        <w:rPr>
          <w:rFonts w:ascii="Times New Roman" w:hAnsi="Times New Roman"/>
          <w:lang w:eastAsia="en-GB"/>
        </w:rPr>
        <w:t xml:space="preserve"> (iš kukurūzų krakmolo), </w:t>
      </w:r>
      <w:r>
        <w:rPr>
          <w:rFonts w:ascii="Times New Roman" w:hAnsi="Times New Roman"/>
          <w:lang w:eastAsia="en-GB"/>
        </w:rPr>
        <w:t xml:space="preserve">skystoji </w:t>
      </w:r>
      <w:r w:rsidRPr="003630FA">
        <w:rPr>
          <w:rFonts w:ascii="Times New Roman" w:hAnsi="Times New Roman"/>
          <w:lang w:eastAsia="en-GB"/>
        </w:rPr>
        <w:t>gliukozė,</w:t>
      </w:r>
      <w:r>
        <w:rPr>
          <w:rFonts w:ascii="Times New Roman" w:hAnsi="Times New Roman"/>
          <w:lang w:eastAsia="en-GB"/>
        </w:rPr>
        <w:t xml:space="preserve"> </w:t>
      </w:r>
      <w:proofErr w:type="spellStart"/>
      <w:r w:rsidRPr="003630FA">
        <w:rPr>
          <w:rFonts w:ascii="Times New Roman" w:hAnsi="Times New Roman"/>
          <w:lang w:eastAsia="en-GB"/>
        </w:rPr>
        <w:t>montanglikolio</w:t>
      </w:r>
      <w:proofErr w:type="spellEnd"/>
      <w:r w:rsidRPr="003630FA">
        <w:rPr>
          <w:rFonts w:ascii="Times New Roman" w:hAnsi="Times New Roman"/>
          <w:lang w:eastAsia="en-GB"/>
        </w:rPr>
        <w:t xml:space="preserve"> vaškas, </w:t>
      </w:r>
      <w:proofErr w:type="spellStart"/>
      <w:r w:rsidRPr="003630FA">
        <w:rPr>
          <w:rFonts w:ascii="Times New Roman" w:hAnsi="Times New Roman"/>
          <w:lang w:eastAsia="en-GB"/>
        </w:rPr>
        <w:t>povidonas</w:t>
      </w:r>
      <w:proofErr w:type="spellEnd"/>
      <w:r w:rsidRPr="003630FA">
        <w:rPr>
          <w:rFonts w:ascii="Times New Roman" w:hAnsi="Times New Roman"/>
          <w:lang w:eastAsia="en-GB"/>
        </w:rPr>
        <w:t xml:space="preserve"> K 30, sacharozė, </w:t>
      </w:r>
      <w:proofErr w:type="spellStart"/>
      <w:r w:rsidRPr="003630FA">
        <w:rPr>
          <w:rFonts w:ascii="Times New Roman" w:hAnsi="Times New Roman"/>
          <w:lang w:eastAsia="en-GB"/>
        </w:rPr>
        <w:t>šelakas</w:t>
      </w:r>
      <w:proofErr w:type="spellEnd"/>
      <w:r w:rsidRPr="003630FA">
        <w:rPr>
          <w:rFonts w:ascii="Times New Roman" w:hAnsi="Times New Roman"/>
          <w:lang w:eastAsia="en-GB"/>
        </w:rPr>
        <w:t xml:space="preserve"> (</w:t>
      </w:r>
      <w:proofErr w:type="spellStart"/>
      <w:r w:rsidRPr="003630FA">
        <w:rPr>
          <w:rFonts w:ascii="Times New Roman" w:hAnsi="Times New Roman"/>
          <w:lang w:eastAsia="en-GB"/>
        </w:rPr>
        <w:t>bevaškis</w:t>
      </w:r>
      <w:proofErr w:type="spellEnd"/>
      <w:r w:rsidRPr="003630FA">
        <w:rPr>
          <w:rFonts w:ascii="Times New Roman" w:hAnsi="Times New Roman"/>
          <w:lang w:eastAsia="en-GB"/>
        </w:rPr>
        <w:t xml:space="preserve">), talkas, </w:t>
      </w:r>
      <w:proofErr w:type="spellStart"/>
      <w:r w:rsidRPr="003630FA">
        <w:rPr>
          <w:rFonts w:ascii="Times New Roman" w:hAnsi="Times New Roman"/>
          <w:lang w:eastAsia="en-GB"/>
        </w:rPr>
        <w:t>riboflavinas</w:t>
      </w:r>
      <w:proofErr w:type="spellEnd"/>
      <w:r w:rsidRPr="003630FA">
        <w:rPr>
          <w:rFonts w:ascii="Times New Roman" w:hAnsi="Times New Roman"/>
          <w:lang w:eastAsia="en-GB"/>
        </w:rPr>
        <w:t xml:space="preserve"> (E101), titano dioksidas (E171).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išvaizda ir kiekis pakuotėje</w:t>
      </w:r>
    </w:p>
    <w:p w:rsidR="002971C8" w:rsidRPr="00C63CD3" w:rsidRDefault="002971C8" w:rsidP="002971C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Dengtos tabletės yra oranžinės spalvos, apvalios, abipus išgaubtos, lygiu paviršiumi. Dengtos tabletės skersmuo yra 10,2</w:t>
      </w:r>
      <w:r w:rsidRPr="00C63CD3">
        <w:rPr>
          <w:rFonts w:ascii="Times New Roman" w:eastAsia="Times New Roman" w:hAnsi="Times New Roman"/>
          <w:lang w:eastAsia="en-GB"/>
        </w:rPr>
        <w:noBreakHyphen/>
        <w:t>10,6 mm. Pakuotėse yra 30, 60 arba 90</w:t>
      </w:r>
      <w:r>
        <w:rPr>
          <w:rFonts w:ascii="Times New Roman" w:eastAsia="Times New Roman" w:hAnsi="Times New Roman"/>
          <w:lang w:eastAsia="en-GB"/>
        </w:rPr>
        <w:t xml:space="preserve"> dengtų </w:t>
      </w:r>
      <w:r w:rsidRPr="00C63CD3">
        <w:rPr>
          <w:rFonts w:ascii="Times New Roman" w:eastAsia="Times New Roman" w:hAnsi="Times New Roman"/>
          <w:lang w:eastAsia="en-GB"/>
        </w:rPr>
        <w:t>tablečių.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Gali būti tiekiamos ne visų dydžių pakuotės.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Registruotojas ir gamintojas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BIONORICA SE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 w:rsidRPr="00C63CD3">
        <w:rPr>
          <w:rFonts w:ascii="Times New Roman" w:eastAsia="Times New Roman" w:hAnsi="Times New Roman"/>
          <w:lang w:eastAsia="en-GB"/>
        </w:rPr>
        <w:t>Kerschensteinerstraße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11-15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92318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Neumarkt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Vokietija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Tel.: +49(0)9181 / 231-90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Faksas: +49(0)9181 / 231-265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El. paštas: info@bionorica.de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vertAlign w:val="superscript"/>
          <w:lang w:eastAsia="en-GB"/>
        </w:rPr>
      </w:pPr>
    </w:p>
    <w:p w:rsidR="002971C8" w:rsidRPr="00C63CD3" w:rsidRDefault="002971C8" w:rsidP="002971C8">
      <w:pPr>
        <w:spacing w:after="0" w:line="240" w:lineRule="auto"/>
        <w:rPr>
          <w:rFonts w:ascii="Times New Roman" w:eastAsia="Times New Roman" w:hAnsi="Times New Roman"/>
        </w:rPr>
      </w:pPr>
      <w:r w:rsidRPr="00C63CD3">
        <w:rPr>
          <w:rFonts w:ascii="Times New Roman" w:eastAsia="Times New Roman" w:hAnsi="Times New Roman"/>
        </w:rPr>
        <w:t>Jeigu apie šį vaistą norite sužinoti daugiau, kreipkitės į vietinį registruotojo</w:t>
      </w:r>
      <w:r w:rsidRPr="00C63CD3" w:rsidDel="00C11054">
        <w:rPr>
          <w:rFonts w:ascii="Times New Roman" w:eastAsia="Times New Roman" w:hAnsi="Times New Roman"/>
        </w:rPr>
        <w:t xml:space="preserve"> </w:t>
      </w:r>
      <w:r w:rsidRPr="00C63CD3">
        <w:rPr>
          <w:rFonts w:ascii="Times New Roman" w:eastAsia="Times New Roman" w:hAnsi="Times New Roman"/>
        </w:rPr>
        <w:t>atstovą.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proofErr w:type="spellStart"/>
      <w:r w:rsidRPr="00C63CD3">
        <w:rPr>
          <w:rFonts w:ascii="Times New Roman" w:eastAsia="Times New Roman" w:hAnsi="Times New Roman"/>
          <w:lang w:eastAsia="en-GB"/>
        </w:rPr>
        <w:t>Bionorica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Lithuania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Šiaulių g. 10–57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LT-01134 Vilnius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Lietuva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Tel.: +370 5 2157481</w:t>
      </w:r>
    </w:p>
    <w:p w:rsidR="002971C8" w:rsidRPr="00C63CD3" w:rsidRDefault="002971C8" w:rsidP="002971C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El. paštas: </w:t>
      </w:r>
      <w:hyperlink r:id="rId5" w:history="1">
        <w:r w:rsidRPr="00C63CD3">
          <w:rPr>
            <w:rFonts w:ascii="Times New Roman" w:eastAsia="Times New Roman" w:hAnsi="Times New Roman"/>
            <w:color w:val="0000FF"/>
            <w:u w:val="single"/>
            <w:lang w:eastAsia="en-GB"/>
          </w:rPr>
          <w:t>info@bionorica.lt</w:t>
        </w:r>
      </w:hyperlink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spacing w:after="0" w:line="240" w:lineRule="auto"/>
        <w:rPr>
          <w:rFonts w:ascii="Times New Roman" w:eastAsia="Times New Roman" w:hAnsi="Times New Roman"/>
          <w:b/>
          <w:noProof/>
          <w:lang w:eastAsia="en-GB"/>
        </w:rPr>
      </w:pPr>
      <w:r w:rsidRPr="00C63CD3">
        <w:rPr>
          <w:rFonts w:ascii="Times New Roman" w:eastAsia="Times New Roman" w:hAnsi="Times New Roman"/>
          <w:b/>
          <w:noProof/>
          <w:lang w:eastAsia="en-GB"/>
        </w:rPr>
        <w:t xml:space="preserve">Šis vaistas </w:t>
      </w:r>
      <w:r w:rsidRPr="00FF1768">
        <w:rPr>
          <w:rFonts w:ascii="Times New Roman" w:eastAsia="Times New Roman" w:hAnsi="Times New Roman"/>
          <w:b/>
          <w:noProof/>
          <w:lang w:eastAsia="en-GB"/>
        </w:rPr>
        <w:t xml:space="preserve">Europos ekonominės erdvės </w:t>
      </w:r>
      <w:r w:rsidRPr="00C63CD3">
        <w:rPr>
          <w:rFonts w:ascii="Times New Roman" w:eastAsia="Times New Roman" w:hAnsi="Times New Roman"/>
          <w:b/>
          <w:noProof/>
          <w:lang w:eastAsia="en-GB"/>
        </w:rPr>
        <w:t>valstybėse narėse registruotas tokiais pavadinimais:</w:t>
      </w:r>
    </w:p>
    <w:p w:rsidR="002971C8" w:rsidRDefault="002971C8" w:rsidP="002971C8">
      <w:pPr>
        <w:spacing w:after="0" w:line="240" w:lineRule="auto"/>
        <w:rPr>
          <w:rFonts w:ascii="Times New Roman" w:eastAsia="Times New Roman" w:hAnsi="Times New Roman"/>
          <w:iCs/>
          <w:noProof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02"/>
      </w:tblGrid>
      <w:tr w:rsidR="002971C8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Austri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j</w:t>
            </w: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forte Dragees</w:t>
            </w:r>
          </w:p>
        </w:tc>
      </w:tr>
      <w:tr w:rsidR="002971C8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Bulgari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j</w:t>
            </w: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a, Est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ija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forte</w:t>
            </w:r>
          </w:p>
        </w:tc>
      </w:tr>
      <w:tr w:rsidR="002971C8" w:rsidRPr="001E5101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Vokietija, Liuksemburgas</w:t>
            </w:r>
            <w:r w:rsidRPr="00D83D80" w:rsidDel="000E09F9">
              <w:rPr>
                <w:rFonts w:ascii="Times New Roman" w:eastAsia="Times New Roman" w:hAnsi="Times New Roman"/>
                <w:noProof/>
                <w:lang w:eastAsia="en-GB"/>
              </w:rPr>
              <w:t xml:space="preserve"> 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Uno</w:t>
            </w:r>
          </w:p>
        </w:tc>
      </w:tr>
      <w:tr w:rsidR="002971C8" w:rsidRPr="001E5101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/>
                <w:noProof/>
              </w:rPr>
              <w:t>Vengrija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Canephron forte bevont tabletta</w:t>
            </w:r>
          </w:p>
        </w:tc>
      </w:tr>
      <w:tr w:rsidR="002971C8" w:rsidRPr="001E5101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Li</w:t>
            </w:r>
            <w:r>
              <w:rPr>
                <w:rFonts w:ascii="Times New Roman" w:hAnsi="Times New Roman"/>
                <w:noProof/>
              </w:rPr>
              <w:t>etuva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Canephron intens dengtos tabletės</w:t>
            </w:r>
          </w:p>
        </w:tc>
      </w:tr>
      <w:tr w:rsidR="002971C8" w:rsidRPr="001E5101" w:rsidTr="009A394B">
        <w:tc>
          <w:tcPr>
            <w:tcW w:w="4539" w:type="dxa"/>
          </w:tcPr>
          <w:p w:rsidR="002971C8" w:rsidRPr="003630FA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R</w:t>
            </w:r>
            <w:r>
              <w:rPr>
                <w:rFonts w:ascii="Times New Roman" w:hAnsi="Times New Roman"/>
                <w:noProof/>
              </w:rPr>
              <w:t>umunija</w:t>
            </w:r>
          </w:p>
        </w:tc>
        <w:tc>
          <w:tcPr>
            <w:tcW w:w="4532" w:type="dxa"/>
          </w:tcPr>
          <w:p w:rsidR="002971C8" w:rsidRPr="003630FA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Canephron forte drajeuri</w:t>
            </w:r>
          </w:p>
        </w:tc>
      </w:tr>
      <w:tr w:rsidR="002971C8" w:rsidRPr="001E5101" w:rsidTr="009A394B">
        <w:tc>
          <w:tcPr>
            <w:tcW w:w="4539" w:type="dxa"/>
          </w:tcPr>
          <w:p w:rsidR="002971C8" w:rsidRPr="003630FA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Slovaki</w:t>
            </w:r>
            <w:r>
              <w:rPr>
                <w:rFonts w:ascii="Times New Roman" w:hAnsi="Times New Roman"/>
                <w:noProof/>
              </w:rPr>
              <w:t>j</w:t>
            </w:r>
            <w:r w:rsidRPr="003630FA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4532" w:type="dxa"/>
          </w:tcPr>
          <w:p w:rsidR="002971C8" w:rsidRPr="003630FA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Canephron forte obalené tablety</w:t>
            </w:r>
          </w:p>
        </w:tc>
      </w:tr>
      <w:tr w:rsidR="002971C8" w:rsidTr="009A394B">
        <w:tc>
          <w:tcPr>
            <w:tcW w:w="4539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D83D80">
              <w:rPr>
                <w:rFonts w:ascii="Times New Roman" w:hAnsi="Times New Roman"/>
                <w:noProof/>
              </w:rPr>
              <w:t>Slov</w:t>
            </w:r>
            <w:r>
              <w:rPr>
                <w:rFonts w:ascii="Times New Roman" w:hAnsi="Times New Roman"/>
                <w:noProof/>
              </w:rPr>
              <w:t>ėnija</w:t>
            </w:r>
          </w:p>
        </w:tc>
        <w:tc>
          <w:tcPr>
            <w:tcW w:w="4532" w:type="dxa"/>
          </w:tcPr>
          <w:p w:rsidR="002971C8" w:rsidRPr="00D83D80" w:rsidRDefault="002971C8" w:rsidP="009A394B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D83D80">
              <w:rPr>
                <w:rFonts w:ascii="Times New Roman" w:hAnsi="Times New Roman"/>
                <w:noProof/>
              </w:rPr>
              <w:t>Canephron BNO</w:t>
            </w:r>
          </w:p>
        </w:tc>
      </w:tr>
    </w:tbl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Šis pakuotės lapelis paskutinį kartą peržiūrėtas</w:t>
      </w:r>
      <w:r>
        <w:rPr>
          <w:rFonts w:ascii="Times New Roman" w:eastAsia="Times New Roman" w:hAnsi="Times New Roman"/>
          <w:b/>
          <w:lang w:eastAsia="en-GB"/>
        </w:rPr>
        <w:t xml:space="preserve"> 2024-02-07.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2971C8" w:rsidRPr="00C63CD3" w:rsidRDefault="002971C8" w:rsidP="002971C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Išsami informacija apie šį vaistą pateikiama Valstybinės vaistų kontrolės tarnybos prie Lietuvos Respublikos sveikatos apsaugos ministerijos tinklalapyje</w:t>
      </w:r>
      <w:r w:rsidRPr="00C63CD3">
        <w:rPr>
          <w:rFonts w:ascii="Times New Roman" w:eastAsia="Times New Roman" w:hAnsi="Times New Roman"/>
          <w:i/>
          <w:lang w:eastAsia="en-GB"/>
        </w:rPr>
        <w:t xml:space="preserve"> </w:t>
      </w:r>
      <w:hyperlink r:id="rId6" w:history="1">
        <w:r w:rsidRPr="00C63CD3">
          <w:rPr>
            <w:rFonts w:ascii="Times New Roman" w:eastAsia="SimSun" w:hAnsi="Times New Roman"/>
            <w:color w:val="0000FF"/>
            <w:u w:val="single"/>
            <w:lang w:eastAsia="en-GB"/>
          </w:rPr>
          <w:t>http://www.vvkt.lt/</w:t>
        </w:r>
      </w:hyperlink>
      <w:r w:rsidRPr="00C63CD3">
        <w:rPr>
          <w:rFonts w:ascii="Times New Roman" w:eastAsia="Times New Roman" w:hAnsi="Times New Roman"/>
          <w:lang w:eastAsia="en-GB"/>
        </w:rPr>
        <w:t>.</w:t>
      </w:r>
    </w:p>
    <w:p w:rsidR="002971C8" w:rsidRPr="00C63CD3" w:rsidRDefault="002971C8" w:rsidP="002971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</w:p>
    <w:p w:rsidR="002971C8" w:rsidRPr="00C63CD3" w:rsidRDefault="002971C8" w:rsidP="002971C8">
      <w:pPr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BA6577" w:rsidRDefault="00BA6577">
      <w:bookmarkStart w:id="0" w:name="_GoBack"/>
      <w:bookmarkEnd w:id="0"/>
    </w:p>
    <w:sectPr w:rsidR="00BA6577" w:rsidSect="003362C6">
      <w:pgSz w:w="11906" w:h="16838"/>
      <w:pgMar w:top="1134" w:right="147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541609"/>
    <w:multiLevelType w:val="hybridMultilevel"/>
    <w:tmpl w:val="1E5AABE8"/>
    <w:lvl w:ilvl="0" w:tplc="4B3C9E1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D6761B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0220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A64E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71AD4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6845B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C089E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1486E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F8006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F2325E1"/>
    <w:multiLevelType w:val="hybridMultilevel"/>
    <w:tmpl w:val="C938FE06"/>
    <w:lvl w:ilvl="0" w:tplc="A4ACC320">
      <w:start w:val="1"/>
      <w:numFmt w:val="bullet"/>
      <w:lvlText w:val="-"/>
      <w:lvlJc w:val="righ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56C73"/>
    <w:multiLevelType w:val="hybridMultilevel"/>
    <w:tmpl w:val="5BA42128"/>
    <w:lvl w:ilvl="0" w:tplc="57385AB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C1B24F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19800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A7081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5F449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CA012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37238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3F63B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1ECB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">
    <w:abstractNumId w:val="4"/>
    <w:lvlOverride w:ilvl="0">
      <w:startOverride w:val="5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C8"/>
    <w:rsid w:val="002971C8"/>
    <w:rsid w:val="003362C6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55B30-0FA0-4C7F-A93E-A2F1A94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71C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5" Type="http://schemas.openxmlformats.org/officeDocument/2006/relationships/hyperlink" Target="mailto:info@bionoric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5911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20</vt:i4>
      </vt:variant>
    </vt:vector>
  </HeadingPairs>
  <TitlesOfParts>
    <vt:vector size="21" baseType="lpstr">
      <vt:lpstr/>
      <vt:lpstr>Pakuotės lapelis: informacija pacientui</vt:lpstr>
      <vt:lpstr/>
      <vt:lpstr>Apie ką rašoma šiame lapelyje?</vt:lpstr>
      <vt:lpstr/>
      <vt:lpstr/>
      <vt:lpstr>Canephron intens vartoti draudžiama:</vt:lpstr>
      <vt:lpstr>Įspėjimai ir atsargumo priemonės</vt:lpstr>
      <vt:lpstr/>
      <vt:lpstr>Nėštumas, žindymo laikotarpis ir vaisingumas</vt:lpstr>
      <vt:lpstr>Vairavimas ir mechanizmų valdymas</vt:lpstr>
      <vt:lpstr>Canephron intens sudėtyje yra gliukozės, sacharozės ir laktozės</vt:lpstr>
      <vt:lpstr>Ką daryti pavartojus per didelę Canephron intens dozę</vt:lpstr>
      <vt:lpstr>Pavartojus per didelę Canephron intens dozę kreipkitės į gydytoją.</vt:lpstr>
      <vt:lpstr>Jūsų gydytojas nuspręs dėl tinkamo gydymo. Galimas toliau nurodytų šalutinių pov</vt:lpstr>
      <vt:lpstr/>
      <vt:lpstr>Iki šiol žinomų apsinuodijimo atvejų nebuvo.</vt:lpstr>
      <vt:lpstr/>
      <vt:lpstr>Pamiršus pavartoti Canephron intens</vt:lpstr>
      <vt:lpstr>Šis pakuotės lapelis paskutinį kartą peržiūrėtas 2024-02-07.</vt:lpstr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2024-02-26T08:55:00Z</dcterms:created>
  <dcterms:modified xsi:type="dcterms:W3CDTF">2024-02-26T08:55:00Z</dcterms:modified>
</cp:coreProperties>
</file>