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01" w:rsidRPr="003F754B" w:rsidRDefault="00F70101" w:rsidP="00F70101">
      <w:pPr>
        <w:pStyle w:val="Antrat2"/>
        <w:spacing w:before="0" w:after="0" w:line="240" w:lineRule="auto"/>
        <w:jc w:val="center"/>
        <w:rPr>
          <w:b w:val="0"/>
          <w:lang w:val="lt-LT"/>
        </w:rPr>
      </w:pPr>
      <w:r w:rsidRPr="003F754B">
        <w:rPr>
          <w:rFonts w:ascii="Times New Roman" w:hAnsi="Times New Roman"/>
          <w:i w:val="0"/>
          <w:sz w:val="22"/>
          <w:lang w:val="lt-LT"/>
        </w:rPr>
        <w:t>Pakuotės lapelis: informacija vartotojui</w:t>
      </w:r>
    </w:p>
    <w:p w:rsidR="00F70101" w:rsidRPr="003F754B" w:rsidRDefault="00F70101" w:rsidP="00F7010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lt-LT"/>
        </w:rPr>
      </w:pPr>
    </w:p>
    <w:p w:rsidR="00F70101" w:rsidRPr="003F754B" w:rsidRDefault="00F70101" w:rsidP="00F70101">
      <w:pPr>
        <w:jc w:val="center"/>
        <w:rPr>
          <w:b/>
          <w:lang w:val="lt-LT"/>
        </w:rPr>
      </w:pPr>
      <w:proofErr w:type="spellStart"/>
      <w:r w:rsidRPr="003F754B">
        <w:rPr>
          <w:b/>
          <w:lang w:val="lt-LT"/>
        </w:rPr>
        <w:t>Rosacta</w:t>
      </w:r>
      <w:proofErr w:type="spellEnd"/>
      <w:r w:rsidRPr="003F754B">
        <w:rPr>
          <w:b/>
          <w:lang w:val="lt-LT"/>
        </w:rPr>
        <w:t xml:space="preserve"> kremas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inorHAnsi" w:eastAsiaTheme="minorHAnsi" w:hAnsiTheme="minorHAnsi" w:cstheme="minorBidi"/>
          <w:snapToGrid/>
          <w:szCs w:val="22"/>
          <w:lang w:val="lt-LT"/>
        </w:rPr>
      </w:pPr>
      <w:r>
        <w:rPr>
          <w:lang w:val="lt-LT"/>
        </w:rPr>
        <w:t>r</w:t>
      </w:r>
      <w:r w:rsidRPr="003F754B">
        <w:rPr>
          <w:lang w:val="lt-LT"/>
        </w:rPr>
        <w:t xml:space="preserve">ozmarinų eterinis </w:t>
      </w:r>
      <w:r w:rsidRPr="00DC0785">
        <w:rPr>
          <w:lang w:val="lt-LT"/>
        </w:rPr>
        <w:t>aliejus</w:t>
      </w:r>
    </w:p>
    <w:p w:rsidR="00F70101" w:rsidRPr="003F754B" w:rsidRDefault="00F70101" w:rsidP="00F70101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Atidžiai perskaitykite visą šį lapelį, prieš pradėdami vartoti šį vaistą, nes jame pateikiama Jums svarbi informacija.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Visada vartokite šį vaistą tiksliai kaip aprašyta šiame lapelyje arba kaip nurodė gydytojas</w:t>
      </w:r>
      <w:r w:rsidRPr="00DC0785">
        <w:rPr>
          <w:lang w:val="lt-LT"/>
        </w:rPr>
        <w:t>, kvalifikuotas sveikatos priežiūros specialistas arba vaistininkas.</w:t>
      </w:r>
    </w:p>
    <w:p w:rsidR="00F70101" w:rsidRPr="003F754B" w:rsidRDefault="00F70101" w:rsidP="00F70101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Neišmeskite šio lapelio, nes vėl gali prireikti jį perskaityti.</w:t>
      </w:r>
    </w:p>
    <w:p w:rsidR="00F70101" w:rsidRPr="003F754B" w:rsidRDefault="00F70101" w:rsidP="00F70101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norite sužinoti daugiau arba pasitarti, kreipkitės į vaistininką.</w:t>
      </w:r>
    </w:p>
    <w:p w:rsidR="00F70101" w:rsidRPr="003F754B" w:rsidRDefault="00F70101" w:rsidP="00F70101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pasireiškė šalutinis poveikis (net jeigu jis šiame lapelyje nenurodytas), kreipkitės į gydytoją</w:t>
      </w:r>
      <w:r w:rsidRPr="00DC0785">
        <w:rPr>
          <w:lang w:val="lt-LT"/>
        </w:rPr>
        <w:t xml:space="preserve">, kvalifikuotą sveikatos priežiūros specialistą arba vaistininką. </w:t>
      </w:r>
      <w:proofErr w:type="spellStart"/>
      <w:r w:rsidRPr="00EE50A0">
        <w:t>Žr</w:t>
      </w:r>
      <w:proofErr w:type="spellEnd"/>
      <w:r w:rsidRPr="00EE50A0">
        <w:t xml:space="preserve">. 4 </w:t>
      </w:r>
      <w:proofErr w:type="spellStart"/>
      <w:r w:rsidRPr="00EE50A0">
        <w:t>skyrių</w:t>
      </w:r>
      <w:proofErr w:type="spellEnd"/>
      <w:r w:rsidRPr="00EE50A0">
        <w:t>.</w:t>
      </w:r>
    </w:p>
    <w:p w:rsidR="00F70101" w:rsidRPr="003F754B" w:rsidRDefault="00F70101" w:rsidP="00F70101">
      <w:pPr>
        <w:numPr>
          <w:ilvl w:val="0"/>
          <w:numId w:val="1"/>
        </w:numPr>
        <w:spacing w:line="240" w:lineRule="auto"/>
        <w:ind w:left="567" w:hanging="567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 xml:space="preserve">Jeigu per </w:t>
      </w:r>
      <w:r w:rsidRPr="00DC0785">
        <w:rPr>
          <w:lang w:val="lt-LT"/>
        </w:rPr>
        <w:t>4 savaites Jūsų savijauta nepagerėjo arba net pablogėjo, kreipkitės į gydytoją.</w:t>
      </w:r>
    </w:p>
    <w:p w:rsidR="00F70101" w:rsidRPr="003F754B" w:rsidRDefault="00F70101" w:rsidP="00F70101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Default="00F70101" w:rsidP="00F70101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A3529">
        <w:rPr>
          <w:szCs w:val="24"/>
          <w:lang w:val="lt-LT"/>
        </w:rPr>
        <w:t>Jei vaisto vartojimo metu simptomai išlieka arba pasireiškia pakuotės lapelyje nepaminėtas šalutinis poveikis, būtina pasitarti su gydytoju, vaistininku arba kvalifikuotu sveikatos priežiūros specialistu.</w:t>
      </w:r>
    </w:p>
    <w:p w:rsidR="00F70101" w:rsidRPr="00EE50A0" w:rsidRDefault="00F70101" w:rsidP="00F70101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Apie ką rašoma šiame lapelyje?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1.</w:t>
      </w:r>
      <w:r w:rsidRPr="003F754B">
        <w:rPr>
          <w:lang w:val="lt-LT"/>
        </w:rPr>
        <w:tab/>
        <w:t xml:space="preserve">Kas yra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ir kam jis vartojamas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2.</w:t>
      </w:r>
      <w:r w:rsidRPr="003F754B">
        <w:rPr>
          <w:lang w:val="lt-LT"/>
        </w:rPr>
        <w:tab/>
        <w:t xml:space="preserve">Kas žinotina prieš vartojant </w:t>
      </w:r>
      <w:proofErr w:type="spellStart"/>
      <w:r w:rsidRPr="003F754B">
        <w:rPr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3.</w:t>
      </w:r>
      <w:r w:rsidRPr="003F754B">
        <w:rPr>
          <w:lang w:val="lt-LT"/>
        </w:rPr>
        <w:tab/>
        <w:t xml:space="preserve">Kaip vartoti </w:t>
      </w:r>
      <w:proofErr w:type="spellStart"/>
      <w:r w:rsidRPr="003F754B">
        <w:rPr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4.</w:t>
      </w:r>
      <w:r w:rsidRPr="003F754B">
        <w:rPr>
          <w:lang w:val="lt-LT"/>
        </w:rPr>
        <w:tab/>
        <w:t>Galimas šalutinis poveikis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>5.</w:t>
      </w:r>
      <w:r w:rsidRPr="003F754B">
        <w:rPr>
          <w:lang w:val="lt-LT"/>
        </w:rPr>
        <w:tab/>
        <w:t xml:space="preserve">Kaip laikyti </w:t>
      </w:r>
      <w:proofErr w:type="spellStart"/>
      <w:r w:rsidRPr="003F754B">
        <w:rPr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6.</w:t>
      </w:r>
      <w:r w:rsidRPr="003F754B">
        <w:rPr>
          <w:lang w:val="lt-LT"/>
        </w:rPr>
        <w:tab/>
        <w:t>Pakuotės turinys ir kita informacija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1.</w:t>
      </w:r>
      <w:r w:rsidRPr="003F754B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>, kurio</w:t>
      </w:r>
      <w:r w:rsidRPr="00DC0785">
        <w:rPr>
          <w:lang w:val="lt-LT"/>
        </w:rPr>
        <w:t xml:space="preserve"> sudėtyje yra rozmarinų eterinio aliejaus,</w:t>
      </w:r>
      <w:r w:rsidRPr="003F754B">
        <w:rPr>
          <w:lang w:val="lt-LT"/>
        </w:rPr>
        <w:t xml:space="preserve"> yra tradicinis augalinis vaistas,</w:t>
      </w:r>
      <w:r w:rsidRPr="00DC0785">
        <w:rPr>
          <w:lang w:val="lt-LT"/>
        </w:rPr>
        <w:t xml:space="preserve"> skirtas suaugusiųjų lengvo raumenų ir sąnarių skausmo malšinimui bei lengvų periferinių kraujotakos sutrikimų (kurių požymiai pvz. yra šaltos pėdos) lengvinimui.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Tai tradicinis a</w:t>
      </w:r>
      <w:proofErr w:type="spellStart"/>
      <w:r>
        <w:t>ugalinis</w:t>
      </w:r>
      <w:proofErr w:type="spellEnd"/>
      <w:r>
        <w:t xml:space="preserve"> </w:t>
      </w:r>
      <w:proofErr w:type="spellStart"/>
      <w:r>
        <w:t>vaistas</w:t>
      </w:r>
      <w:proofErr w:type="spellEnd"/>
      <w:r w:rsidRPr="00EE50A0">
        <w:t xml:space="preserve">, </w:t>
      </w:r>
      <w:proofErr w:type="spellStart"/>
      <w:r w:rsidRPr="00EE50A0">
        <w:t>kurio</w:t>
      </w:r>
      <w:proofErr w:type="spellEnd"/>
      <w:r w:rsidRPr="00EE50A0">
        <w:t xml:space="preserve"> </w:t>
      </w:r>
      <w:proofErr w:type="spellStart"/>
      <w:r w:rsidRPr="00EE50A0">
        <w:t>indikacijos</w:t>
      </w:r>
      <w:proofErr w:type="spellEnd"/>
      <w:r w:rsidRPr="00EE50A0">
        <w:t xml:space="preserve"> </w:t>
      </w:r>
      <w:proofErr w:type="spellStart"/>
      <w:r w:rsidRPr="00EE50A0">
        <w:t>pagrįstos</w:t>
      </w:r>
      <w:proofErr w:type="spellEnd"/>
      <w:r w:rsidRPr="00EE50A0">
        <w:t xml:space="preserve"> </w:t>
      </w:r>
      <w:proofErr w:type="spellStart"/>
      <w:r w:rsidRPr="00EE50A0">
        <w:t>tik</w:t>
      </w:r>
      <w:proofErr w:type="spellEnd"/>
      <w:r w:rsidRPr="00EE50A0">
        <w:t xml:space="preserve"> </w:t>
      </w:r>
      <w:proofErr w:type="spellStart"/>
      <w:r w:rsidRPr="00EE50A0">
        <w:t>ilgalaikiu</w:t>
      </w:r>
      <w:proofErr w:type="spellEnd"/>
      <w:r w:rsidRPr="00EE50A0">
        <w:t xml:space="preserve"> </w:t>
      </w:r>
      <w:proofErr w:type="spellStart"/>
      <w:r w:rsidRPr="00EE50A0">
        <w:t>vartojimu</w:t>
      </w:r>
      <w:proofErr w:type="spellEnd"/>
      <w:r w:rsidRPr="00EE50A0">
        <w:t>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2.</w:t>
      </w:r>
      <w:r w:rsidRPr="003F754B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vartoti negalima:</w:t>
      </w:r>
    </w:p>
    <w:p w:rsidR="00F70101" w:rsidRPr="003F754B" w:rsidRDefault="00F70101" w:rsidP="00F70101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 xml:space="preserve">jeigu yra alergija rozmarinų </w:t>
      </w:r>
      <w:r w:rsidRPr="00DC0785">
        <w:rPr>
          <w:lang w:val="lt-LT"/>
        </w:rPr>
        <w:t>eteriniam aliejui arba bet kuriai pagalbinei šio vaisto medžiagai (jos išvardytos 6 skyriuje);</w:t>
      </w:r>
    </w:p>
    <w:p w:rsidR="00F70101" w:rsidRPr="003F754B" w:rsidRDefault="00F70101" w:rsidP="00F70101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ant pažeistos ar sudirgusios odos.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Įspėjimai ir atsargumo priemonės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Pasitarkite su gydytoju, kvalifikuotu</w:t>
      </w:r>
      <w:r w:rsidRPr="00DC0785">
        <w:rPr>
          <w:lang w:val="lt-LT"/>
        </w:rPr>
        <w:t xml:space="preserve"> sveikatos priežiūros specialistu arba vaistininku, prieš pradėdami vartoti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>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pasireiškia odos paraudimas, sudirginimas ar sausumas, vartojimą nutraukti.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kartu su sąnario skausmu pasireiškia sąnario patinimas, paraudimas ar kaitimas</w:t>
      </w:r>
      <w:r w:rsidRPr="00DC0785">
        <w:rPr>
          <w:lang w:val="lt-LT"/>
        </w:rPr>
        <w:t>, kreipkitės į gydytoją.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lastRenderedPageBreak/>
        <w:t>Pasakykite gydytojui, jeigu jau yra pasireiškę ar vaisto vartojimo metu pasireiškė bet kuris iš išvardytų požymių: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odos uždegimas ar poodinis su</w:t>
      </w:r>
      <w:r w:rsidRPr="006E6C84">
        <w:rPr>
          <w:lang w:val="lt-LT"/>
        </w:rPr>
        <w:t>kietėjimas</w:t>
      </w:r>
      <w:r w:rsidRPr="00EE50A0">
        <w:t>;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ant kojų atsiradusios opos;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staigus vienos ar abiejų kojų patinimas, pastebite, kad viena ar abi kojos yra paraudusios ar karštos, arba Jums yra širdies ar inkstų sutrikimų;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>-</w:t>
      </w:r>
      <w:r w:rsidRPr="003F754B">
        <w:rPr>
          <w:lang w:val="lt-LT"/>
        </w:rPr>
        <w:tab/>
        <w:t>stiprus ramybės būsenoje esančios kojos skausmas.</w:t>
      </w:r>
    </w:p>
    <w:p w:rsidR="00F70101" w:rsidRPr="003F754B" w:rsidRDefault="00F70101" w:rsidP="00F70101">
      <w:pPr>
        <w:rPr>
          <w:lang w:val="lt-LT"/>
        </w:rPr>
      </w:pPr>
    </w:p>
    <w:p w:rsidR="00F70101" w:rsidRPr="006E6C84" w:rsidRDefault="00F70101" w:rsidP="00F70101">
      <w:pPr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Reikia vengti kontakto su akimis. Kremo negalima tepti netoli gleivinės.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</w:t>
      </w:r>
      <w:r w:rsidRPr="00DC0785">
        <w:rPr>
          <w:lang w:val="lt-LT"/>
        </w:rPr>
        <w:t>š</w:t>
      </w:r>
      <w:r w:rsidRPr="003F754B">
        <w:rPr>
          <w:lang w:val="lt-LT"/>
        </w:rPr>
        <w:t xml:space="preserve"> i</w:t>
      </w:r>
      <w:r>
        <w:rPr>
          <w:lang w:val="lt-LT"/>
        </w:rPr>
        <w:t>r</w:t>
      </w:r>
      <w:r w:rsidRPr="003F754B">
        <w:rPr>
          <w:lang w:val="lt-LT"/>
        </w:rPr>
        <w:t xml:space="preserve"> po </w:t>
      </w:r>
      <w:r>
        <w:rPr>
          <w:lang w:val="lt-LT"/>
        </w:rPr>
        <w:t xml:space="preserve">kremo </w:t>
      </w:r>
      <w:r w:rsidRPr="003F754B">
        <w:rPr>
          <w:lang w:val="lt-LT"/>
        </w:rPr>
        <w:t>vartojimo</w:t>
      </w:r>
      <w:r>
        <w:rPr>
          <w:lang w:val="lt-LT"/>
        </w:rPr>
        <w:t>,</w:t>
      </w:r>
      <w:r w:rsidRPr="003F754B">
        <w:rPr>
          <w:lang w:val="lt-LT"/>
        </w:rPr>
        <w:t xml:space="preserve"> nusiplauti rankas.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kremo netyčia nuryjama, reikia kreiptis į gydytoją arba vaistininką patarimo.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Vaikams ir paaugliams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paaugliams, kadangi reikiamų duomenų nėra.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vartojate ar neseniai vartojote kitų vaistų arba dėl to nesate tikri, apie tai pasakykite gydytojui arba vaistininkui.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Vartojant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pranešimų api</w:t>
      </w:r>
      <w:r w:rsidRPr="006E6C84">
        <w:rPr>
          <w:lang w:val="lt-LT"/>
        </w:rPr>
        <w:t>e sąveiką negauta.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Nėštumas</w:t>
      </w:r>
      <w:r>
        <w:rPr>
          <w:rFonts w:ascii="Times New Roman" w:hAnsi="Times New Roman"/>
          <w:sz w:val="22"/>
          <w:lang w:val="lt-LT"/>
        </w:rPr>
        <w:t xml:space="preserve"> ir</w:t>
      </w:r>
      <w:r w:rsidRPr="003F754B">
        <w:rPr>
          <w:rFonts w:ascii="Times New Roman" w:hAnsi="Times New Roman"/>
          <w:sz w:val="22"/>
          <w:lang w:val="lt-LT"/>
        </w:rPr>
        <w:t xml:space="preserve"> žindymo laikotarpis</w:t>
      </w:r>
    </w:p>
    <w:p w:rsidR="00F70101" w:rsidRPr="006E6C84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inorHAnsi" w:eastAsiaTheme="minorHAnsi" w:hAnsiTheme="minorHAnsi"/>
          <w:lang w:val="lt-LT"/>
        </w:rPr>
      </w:pPr>
      <w:r w:rsidRPr="003F754B">
        <w:rPr>
          <w:lang w:val="lt-LT"/>
        </w:rPr>
        <w:t>Jeigu esate nėščia, žindote kūdikį, manote, kad galbūt esate nėščia, arba planuojate pastoti, tai prieš vartodama šį vaistą, pasitarkite su gydytoju, kvalifikuotu</w:t>
      </w:r>
      <w:r w:rsidRPr="00DC0785">
        <w:rPr>
          <w:lang w:val="lt-LT"/>
        </w:rPr>
        <w:t xml:space="preserve"> sveikatos priežiūros specialistu arba vaistininku.</w:t>
      </w: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3F754B">
        <w:rPr>
          <w:lang w:val="lt-LT"/>
        </w:rPr>
        <w:t>Nėštumas</w:t>
      </w:r>
    </w:p>
    <w:p w:rsidR="00F70101" w:rsidRPr="003F754B" w:rsidRDefault="00F70101" w:rsidP="00F70101">
      <w:pPr>
        <w:rPr>
          <w:color w:val="0D0D0D"/>
          <w:lang w:val="lt-LT"/>
        </w:rPr>
      </w:pPr>
      <w:r w:rsidRPr="006E6C84">
        <w:rPr>
          <w:rFonts w:eastAsiaTheme="minorHAnsi"/>
          <w:snapToGrid/>
          <w:szCs w:val="22"/>
          <w:lang w:val="lt-LT"/>
        </w:rPr>
        <w:t>Saugumas nėštumo metu nebuvo nustatytas.</w:t>
      </w:r>
      <w:r>
        <w:rPr>
          <w:rFonts w:eastAsiaTheme="minorHAnsi"/>
          <w:snapToGrid/>
          <w:szCs w:val="22"/>
          <w:lang w:val="lt-LT"/>
        </w:rPr>
        <w:t xml:space="preserve"> </w:t>
      </w:r>
      <w:r w:rsidRPr="003F754B">
        <w:rPr>
          <w:color w:val="0D0D0D"/>
          <w:lang w:val="lt-LT"/>
        </w:rPr>
        <w:t>Kadangi duomenų nepakanka, vartoti nėštumo laikotarpiu nerekomenduojama.</w:t>
      </w:r>
    </w:p>
    <w:p w:rsidR="00F70101" w:rsidRDefault="00F70101" w:rsidP="00F70101">
      <w:pPr>
        <w:rPr>
          <w:color w:val="0D0D0D"/>
          <w:lang w:val="lt-LT"/>
        </w:rPr>
      </w:pPr>
    </w:p>
    <w:p w:rsidR="00F70101" w:rsidRDefault="00F70101" w:rsidP="00F70101">
      <w:pPr>
        <w:rPr>
          <w:lang w:val="lt-LT"/>
        </w:rPr>
      </w:pPr>
      <w:r>
        <w:rPr>
          <w:lang w:val="lt-LT"/>
        </w:rPr>
        <w:t>Ž</w:t>
      </w:r>
      <w:r w:rsidRPr="003F754B">
        <w:rPr>
          <w:lang w:val="lt-LT"/>
        </w:rPr>
        <w:t>indymo laikotarpis</w:t>
      </w:r>
    </w:p>
    <w:p w:rsidR="00F70101" w:rsidRPr="003F754B" w:rsidRDefault="00F70101" w:rsidP="00F70101">
      <w:pPr>
        <w:rPr>
          <w:color w:val="0D0D0D"/>
          <w:lang w:val="lt-LT"/>
        </w:rPr>
      </w:pPr>
      <w:r w:rsidRPr="009213C1">
        <w:rPr>
          <w:rFonts w:eastAsiaTheme="minorHAnsi"/>
          <w:snapToGrid/>
          <w:szCs w:val="22"/>
          <w:lang w:val="lt-LT"/>
        </w:rPr>
        <w:t xml:space="preserve">Saugumas </w:t>
      </w:r>
      <w:r>
        <w:rPr>
          <w:lang w:val="lt-LT"/>
        </w:rPr>
        <w:t>ž</w:t>
      </w:r>
      <w:r w:rsidRPr="003F754B">
        <w:rPr>
          <w:lang w:val="lt-LT"/>
        </w:rPr>
        <w:t xml:space="preserve">indymo </w:t>
      </w:r>
      <w:r w:rsidRPr="009213C1">
        <w:rPr>
          <w:rFonts w:eastAsiaTheme="minorHAnsi"/>
          <w:snapToGrid/>
          <w:szCs w:val="22"/>
          <w:lang w:val="lt-LT"/>
        </w:rPr>
        <w:t>metu nebuvo nustatytas.</w:t>
      </w:r>
      <w:r>
        <w:rPr>
          <w:rFonts w:eastAsiaTheme="minorHAnsi"/>
          <w:snapToGrid/>
          <w:szCs w:val="22"/>
          <w:lang w:val="lt-LT"/>
        </w:rPr>
        <w:t xml:space="preserve"> </w:t>
      </w:r>
      <w:r w:rsidRPr="003F754B">
        <w:rPr>
          <w:color w:val="0D0D0D"/>
          <w:lang w:val="lt-LT"/>
        </w:rPr>
        <w:t xml:space="preserve">Kadangi duomenų nepakanka, vartoti </w:t>
      </w:r>
      <w:r>
        <w:rPr>
          <w:lang w:val="lt-LT"/>
        </w:rPr>
        <w:t>ž</w:t>
      </w:r>
      <w:r w:rsidRPr="003F754B">
        <w:rPr>
          <w:lang w:val="lt-LT"/>
        </w:rPr>
        <w:t xml:space="preserve">indymo </w:t>
      </w:r>
      <w:r w:rsidRPr="003F754B">
        <w:rPr>
          <w:color w:val="0D0D0D"/>
          <w:lang w:val="lt-LT"/>
        </w:rPr>
        <w:t>laikotarpiu nerekomenduojama.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Vairavimas ir mechanizmų valdymas</w:t>
      </w:r>
    </w:p>
    <w:p w:rsidR="00F70101" w:rsidRPr="003F754B" w:rsidRDefault="00F70101" w:rsidP="00F70101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gebėjimo vairuoti ir valdyti mechanizmus neveikia arba veikia nereikšmingai.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3F754B">
        <w:rPr>
          <w:rFonts w:ascii="Times New Roman" w:hAnsi="Times New Roman"/>
          <w:color w:val="000000"/>
          <w:sz w:val="22"/>
          <w:lang w:val="lt-LT"/>
        </w:rPr>
        <w:t>cetostearilo</w:t>
      </w:r>
      <w:proofErr w:type="spellEnd"/>
      <w:r w:rsidRPr="003F754B">
        <w:rPr>
          <w:rFonts w:ascii="Times New Roman" w:hAnsi="Times New Roman"/>
          <w:color w:val="000000"/>
          <w:sz w:val="22"/>
          <w:lang w:val="lt-LT"/>
        </w:rPr>
        <w:t xml:space="preserve"> alkoholio</w:t>
      </w:r>
      <w:r>
        <w:rPr>
          <w:rFonts w:ascii="Times New Roman" w:hAnsi="Times New Roman"/>
          <w:color w:val="000000"/>
          <w:sz w:val="22"/>
          <w:lang w:val="lt-LT"/>
        </w:rPr>
        <w:t xml:space="preserve"> ir etanolio (alkoholio)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>2 g</w:t>
      </w:r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</w:t>
      </w:r>
      <w:r>
        <w:rPr>
          <w:lang w:val="lt-LT"/>
        </w:rPr>
        <w:t>kremo dozėje</w:t>
      </w:r>
      <w:r w:rsidRPr="003F754B">
        <w:rPr>
          <w:lang w:val="lt-LT"/>
        </w:rPr>
        <w:t xml:space="preserve"> yra </w:t>
      </w:r>
      <w:r>
        <w:rPr>
          <w:lang w:val="en-US"/>
        </w:rPr>
        <w:t>60</w:t>
      </w:r>
      <w:r>
        <w:rPr>
          <w:lang w:val="lt-LT"/>
        </w:rPr>
        <w:t xml:space="preserve"> mg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alkoholio</w:t>
      </w:r>
      <w:r>
        <w:rPr>
          <w:lang w:val="lt-LT"/>
        </w:rPr>
        <w:t>.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 xml:space="preserve">Gali sukelti </w:t>
      </w:r>
      <w:r>
        <w:rPr>
          <w:lang w:val="lt-LT"/>
        </w:rPr>
        <w:t>vietinių</w:t>
      </w:r>
      <w:r w:rsidRPr="003F754B">
        <w:rPr>
          <w:lang w:val="lt-LT"/>
        </w:rPr>
        <w:t xml:space="preserve"> odos reakcijų (pvz., kontaktinį dermatitą).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 xml:space="preserve">Kiekvienoje </w:t>
      </w:r>
      <w:r>
        <w:rPr>
          <w:lang w:val="en-US"/>
        </w:rPr>
        <w:t xml:space="preserve">2 g </w:t>
      </w:r>
      <w:proofErr w:type="spellStart"/>
      <w:r w:rsidRPr="003F754B">
        <w:rPr>
          <w:lang w:val="lt-LT"/>
        </w:rPr>
        <w:t>Rosacta</w:t>
      </w:r>
      <w:proofErr w:type="spellEnd"/>
      <w:r>
        <w:rPr>
          <w:lang w:val="lt-LT"/>
        </w:rPr>
        <w:t xml:space="preserve"> kremo dozėje</w:t>
      </w:r>
      <w:r w:rsidRPr="003F754B">
        <w:rPr>
          <w:lang w:val="lt-LT"/>
        </w:rPr>
        <w:t xml:space="preserve"> yra</w:t>
      </w:r>
      <w:r>
        <w:rPr>
          <w:lang w:val="lt-LT"/>
        </w:rPr>
        <w:t xml:space="preserve"> 0,</w:t>
      </w:r>
      <w:r>
        <w:rPr>
          <w:lang w:val="en-US"/>
        </w:rPr>
        <w:t>3</w:t>
      </w:r>
      <w:r>
        <w:rPr>
          <w:lang w:val="lt-LT"/>
        </w:rPr>
        <w:t> g etanolio (alkoholio).</w:t>
      </w:r>
    </w:p>
    <w:p w:rsidR="00F70101" w:rsidRPr="001C2779" w:rsidRDefault="00F70101" w:rsidP="00F70101">
      <w:pPr>
        <w:rPr>
          <w:lang w:val="lt-LT"/>
        </w:rPr>
      </w:pPr>
      <w:r w:rsidRPr="001C2779">
        <w:rPr>
          <w:lang w:val="lt-LT"/>
        </w:rPr>
        <w:t>Ant pažeistos odos plotų etanolis gali sukelti</w:t>
      </w:r>
      <w:r>
        <w:rPr>
          <w:lang w:val="lt-LT"/>
        </w:rPr>
        <w:t xml:space="preserve"> </w:t>
      </w:r>
      <w:r w:rsidRPr="001C2779">
        <w:rPr>
          <w:lang w:val="lt-LT"/>
        </w:rPr>
        <w:t>deginimo pojūtį.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3.</w:t>
      </w:r>
      <w:r w:rsidRPr="003F754B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color w:val="008000"/>
          <w:szCs w:val="22"/>
          <w:lang w:val="lt-LT"/>
        </w:rPr>
      </w:pPr>
      <w:r w:rsidRPr="003F754B">
        <w:rPr>
          <w:lang w:val="lt-LT"/>
        </w:rPr>
        <w:t>Visada vartokite šį vaistą tiksliai kaip aprašyta šiame lapelyje arba kaip nurodė gydytojas, kvalifikuotas</w:t>
      </w:r>
      <w:r w:rsidRPr="00DC0785">
        <w:rPr>
          <w:lang w:val="lt-LT"/>
        </w:rPr>
        <w:t xml:space="preserve"> sveikatos priežiūros specialistas arba vaistininkas. Jeigu abejojate, kreipkitės į gydytoją, kvalifikuotą sveikatos priežiūros specialistą arba vaistininką.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Rekomenduojama dozė yra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6E6C84" w:rsidRDefault="00F70101" w:rsidP="00F70101">
      <w:pPr>
        <w:rPr>
          <w:rFonts w:asciiTheme="minorHAnsi" w:eastAsiaTheme="minorHAnsi" w:hAnsiTheme="minorHAnsi"/>
          <w:i/>
          <w:lang w:val="lt-LT"/>
        </w:rPr>
      </w:pPr>
      <w:r w:rsidRPr="006E6C84">
        <w:rPr>
          <w:i/>
          <w:lang w:val="lt-LT"/>
        </w:rPr>
        <w:t>Suaugusi</w:t>
      </w:r>
      <w:r>
        <w:rPr>
          <w:i/>
          <w:lang w:val="lt-LT"/>
        </w:rPr>
        <w:t>esiems</w:t>
      </w:r>
      <w:r w:rsidRPr="006E6C84">
        <w:rPr>
          <w:i/>
          <w:lang w:val="lt-LT"/>
        </w:rPr>
        <w:t xml:space="preserve"> ir senyvi</w:t>
      </w:r>
      <w:r>
        <w:rPr>
          <w:i/>
          <w:lang w:val="lt-LT"/>
        </w:rPr>
        <w:t>ems</w:t>
      </w:r>
      <w:r w:rsidRPr="006E6C84">
        <w:rPr>
          <w:i/>
          <w:lang w:val="lt-LT"/>
        </w:rPr>
        <w:t xml:space="preserve"> pacienta</w:t>
      </w:r>
      <w:r>
        <w:rPr>
          <w:i/>
          <w:lang w:val="lt-LT"/>
        </w:rPr>
        <w:t>ms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paveiktos srities užtepti maždaug 3 – 6 cm kremo 2 – 3 kartus per parą ir švelniai įtrinti į odą. Reikalingas kremo kiekis priklauso nuo gydomos srities dydžio.</w:t>
      </w:r>
    </w:p>
    <w:p w:rsidR="00F70101" w:rsidRPr="003F754B" w:rsidRDefault="00F70101" w:rsidP="00F70101">
      <w:pPr>
        <w:rPr>
          <w:lang w:val="lt-LT"/>
        </w:rPr>
      </w:pPr>
    </w:p>
    <w:p w:rsidR="00F70101" w:rsidRPr="006E6C84" w:rsidRDefault="00F70101" w:rsidP="00F70101">
      <w:pPr>
        <w:rPr>
          <w:u w:val="single"/>
          <w:lang w:val="lt-LT"/>
        </w:rPr>
      </w:pPr>
      <w:r w:rsidRPr="006E6C84">
        <w:rPr>
          <w:u w:val="single"/>
          <w:lang w:val="lt-LT"/>
        </w:rPr>
        <w:t>Vartojimo metodas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Vartoti ant odos.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Prieš vartojimą pradurkite tūbelę: apsukite dangtelį ir pasukite žemyn, kad pradurtumėte apsauginę tūbelės membraną.</w:t>
      </w: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6E6C84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lt-LT"/>
        </w:rPr>
      </w:pPr>
      <w:r w:rsidRPr="006E6C84">
        <w:rPr>
          <w:u w:val="single"/>
          <w:lang w:val="lt-LT"/>
        </w:rPr>
        <w:t>Vartojimo trukmė</w:t>
      </w:r>
    </w:p>
    <w:p w:rsidR="00F70101" w:rsidRPr="003F754B" w:rsidRDefault="00F70101" w:rsidP="00F70101">
      <w:pPr>
        <w:rPr>
          <w:lang w:val="lt-LT"/>
        </w:rPr>
      </w:pPr>
      <w:r w:rsidRPr="003F754B">
        <w:rPr>
          <w:lang w:val="lt-LT"/>
        </w:rPr>
        <w:t>Jeigu simptomai pablogėja arba neišnyksta ilgiau kaip 4</w:t>
      </w:r>
      <w:r w:rsidRPr="00DC0785">
        <w:rPr>
          <w:lang w:val="lt-LT"/>
        </w:rPr>
        <w:t xml:space="preserve"> vaisto vartojimo savaites, būtina kreiptis į gydytoją arba kvalifikuotą sveikatos priežiūros specialistą.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Vartojimas vaikams ir paaugliams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Nerekomenduojama vartoti vaikams ir jaunesniems kaip 18 metų paaugliams, kadangi reikiamų duomenų nėra.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dozę?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Pranešimų apie perdozavimą nėra.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Negalima vartoti dvigubos dozės norint kompensuoti praleistą dozę.</w:t>
      </w: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kiltų daugiau klausimų dėl šio vaisto vartojimo, kreipkitės į gydytoją</w:t>
      </w:r>
      <w:r w:rsidRPr="00DC0785">
        <w:rPr>
          <w:lang w:val="lt-LT"/>
        </w:rPr>
        <w:t>, kvalifikuotą sveikatos priežiūros specialistą arba vaistininką.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Pr="003F754B" w:rsidRDefault="00F70101" w:rsidP="00F70101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4.</w:t>
      </w:r>
      <w:r w:rsidRPr="003F754B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Šis vaistas, kaip ir visi kiti, gali sukelti šalutinį poveikį, nors jis pasireiškia ne visiems žmonėms.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3F754B">
        <w:rPr>
          <w:lang w:val="lt-LT"/>
        </w:rPr>
        <w:t>Gali pasireikšti padidėjusio jautrumo (alerginių) reakcijų, tokių kaip kontaktinis dermatitas ar astma. Šio poveikio dažnis nežinomas</w:t>
      </w:r>
      <w:r w:rsidRPr="00DC0785">
        <w:rPr>
          <w:szCs w:val="24"/>
          <w:lang w:val="lt-LT"/>
        </w:rPr>
        <w:t>.</w:t>
      </w: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DC0785">
        <w:rPr>
          <w:szCs w:val="24"/>
          <w:lang w:val="lt-LT"/>
        </w:rPr>
        <w:t>Jeigu pasireiškia kitų, nei anksčiau išvardytos, nepagedaujamų reakcijų, kreipkitės į gydytoją, kvalifikuotą sveikatos priežiūros specialistą arba vaistininką.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</w:p>
    <w:p w:rsidR="00F70101" w:rsidRPr="003F754B" w:rsidRDefault="00F70101" w:rsidP="00F70101">
      <w:pPr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>Pranešimas apie šalutinį poveikį</w:t>
      </w:r>
    </w:p>
    <w:p w:rsidR="00F70101" w:rsidRPr="003F754B" w:rsidRDefault="00F70101" w:rsidP="00F70101">
      <w:pPr>
        <w:ind w:right="-449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Jeigu pasireiškė šalutinis poveikis, įskaitant šiame lapelyje nenurodytą, pasakykite gydytojui arba vaistininkui. Apie šalutinį poveikį taip pat galite pranešti Valstybi</w:t>
      </w:r>
      <w:r w:rsidRPr="00DC0785">
        <w:rPr>
          <w:lang w:val="lt-LT"/>
        </w:rPr>
        <w:t xml:space="preserve">nei vaistų kontrolės tarnybai prie Lietuvos Respublikos sveikatos apsaugos ministerijos nemokamu telefonu 8 800 73568 arba užpildyti interneto svetainėje </w:t>
      </w:r>
      <w:hyperlink r:id="rId5" w:history="1">
        <w:r w:rsidRPr="003F754B">
          <w:rPr>
            <w:rStyle w:val="Hipersaitas"/>
            <w:rFonts w:eastAsia="SimSun"/>
            <w:lang w:val="lt-LT"/>
          </w:rPr>
          <w:t>www.vvkt.lt</w:t>
        </w:r>
      </w:hyperlink>
      <w:r w:rsidRPr="003F754B">
        <w:rPr>
          <w:lang w:val="lt-LT"/>
        </w:rPr>
        <w:t xml:space="preserve"> esančią formą ir pateikti ją Valstybinei vaistų kontro</w:t>
      </w:r>
      <w:r w:rsidRPr="00DC0785">
        <w:rPr>
          <w:lang w:val="lt-LT"/>
        </w:rPr>
        <w:t xml:space="preserve">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3F754B">
          <w:rPr>
            <w:rStyle w:val="Hipersaitas"/>
            <w:rFonts w:eastAsia="SimSun"/>
            <w:lang w:val="lt-LT"/>
          </w:rPr>
          <w:t>NepageidaujamaR@vvkt.lt</w:t>
        </w:r>
      </w:hyperlink>
      <w:r w:rsidRPr="003F754B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F754B">
          <w:rPr>
            <w:rStyle w:val="Hipersaitas"/>
            <w:rFonts w:eastAsia="SimSun"/>
            <w:lang w:val="lt-LT"/>
          </w:rPr>
          <w:t>http://www.vvkt.lt</w:t>
        </w:r>
      </w:hyperlink>
      <w:r w:rsidRPr="003F754B">
        <w:rPr>
          <w:lang w:val="lt-LT"/>
        </w:rPr>
        <w:t>). Pranešdami apie šalutinį poveikį galite mums padėti gauti daug</w:t>
      </w:r>
      <w:r w:rsidRPr="006E6C84">
        <w:rPr>
          <w:lang w:val="lt-LT"/>
        </w:rPr>
        <w:t>iau informacijos apie šio vaisto saugumą.</w:t>
      </w:r>
    </w:p>
    <w:p w:rsidR="00F70101" w:rsidRPr="003F754B" w:rsidRDefault="00F70101" w:rsidP="00F70101">
      <w:pPr>
        <w:ind w:right="-449"/>
        <w:rPr>
          <w:lang w:val="lt-LT"/>
        </w:rPr>
      </w:pPr>
    </w:p>
    <w:p w:rsidR="00F70101" w:rsidRPr="003F754B" w:rsidRDefault="00F70101" w:rsidP="00F70101">
      <w:pPr>
        <w:ind w:right="-449"/>
        <w:rPr>
          <w:lang w:val="lt-LT"/>
        </w:rPr>
      </w:pPr>
    </w:p>
    <w:p w:rsidR="00F70101" w:rsidRPr="003F754B" w:rsidRDefault="00F70101" w:rsidP="00F70101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5.</w:t>
      </w:r>
      <w:r w:rsidRPr="003F754B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Šį vaistą laikykite vaikams nepastebimoje ir nepasiekiamoje vietoje.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Ant dėžutės ir tūbelės po „Tinka iki</w:t>
      </w:r>
      <w:r w:rsidRPr="00DC0785">
        <w:rPr>
          <w:lang w:val="lt-LT"/>
        </w:rPr>
        <w:t>“</w:t>
      </w:r>
      <w:r w:rsidRPr="003F754B">
        <w:rPr>
          <w:lang w:val="lt-LT"/>
        </w:rPr>
        <w:t xml:space="preserve"> nurodytam tinkamumo laikui pasibaigus, šio vaisto vartoti negalima. Vaistas tinkamas vartoti iki paskutinės nurodyto mėnesio dienos.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Laikyti žemesnėje</w:t>
      </w:r>
      <w:r w:rsidRPr="00EE50A0">
        <w:t xml:space="preserve"> </w:t>
      </w:r>
      <w:r w:rsidRPr="006E6C84">
        <w:rPr>
          <w:lang w:val="lt-LT"/>
        </w:rPr>
        <w:t>kaip</w:t>
      </w:r>
      <w:r w:rsidRPr="00EE50A0">
        <w:t xml:space="preserve"> 25 </w:t>
      </w:r>
      <w:r w:rsidRPr="00EE50A0">
        <w:sym w:font="Symbol" w:char="F0B0"/>
      </w:r>
      <w:r w:rsidRPr="003F754B">
        <w:rPr>
          <w:lang w:val="lt-LT"/>
        </w:rPr>
        <w:t>C temperatūroje.</w:t>
      </w:r>
    </w:p>
    <w:p w:rsidR="00F70101" w:rsidRPr="003F754B" w:rsidRDefault="00F70101" w:rsidP="00F70101">
      <w:pPr>
        <w:rPr>
          <w:lang w:val="lt-LT"/>
        </w:rPr>
      </w:pP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Atidarius, kremą suvartoti per 12 mėnesių.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i/>
          <w:snapToGrid/>
          <w:szCs w:val="22"/>
          <w:lang w:val="lt-LT"/>
        </w:rPr>
      </w:pPr>
      <w:r w:rsidRPr="003F754B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3"/>
        <w:spacing w:before="0" w:after="0" w:line="240" w:lineRule="auto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6.</w:t>
      </w:r>
      <w:r w:rsidRPr="003F754B">
        <w:rPr>
          <w:rFonts w:ascii="Times New Roman" w:hAnsi="Times New Roman"/>
          <w:b w:val="0"/>
          <w:sz w:val="22"/>
          <w:lang w:val="lt-LT"/>
        </w:rPr>
        <w:tab/>
      </w:r>
      <w:r w:rsidRPr="003F754B">
        <w:rPr>
          <w:rFonts w:ascii="Times New Roman" w:hAnsi="Times New Roman"/>
          <w:sz w:val="22"/>
          <w:lang w:val="lt-LT"/>
        </w:rPr>
        <w:t>Pakuotės turinys ir kita informacija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sudėtis</w:t>
      </w:r>
    </w:p>
    <w:p w:rsidR="00F70101" w:rsidRPr="006C13EF" w:rsidRDefault="00F70101" w:rsidP="00F70101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550536">
        <w:rPr>
          <w:noProof/>
        </w:rPr>
        <w:t>Veiklioji medžiaga yra</w:t>
      </w:r>
      <w:r w:rsidRPr="003F754B">
        <w:rPr>
          <w:lang w:val="lt-LT"/>
        </w:rPr>
        <w:t xml:space="preserve"> </w:t>
      </w:r>
      <w:proofErr w:type="spellStart"/>
      <w:r w:rsidRPr="003F754B">
        <w:rPr>
          <w:i/>
          <w:lang w:val="lt-LT"/>
        </w:rPr>
        <w:t>Rosmarinus</w:t>
      </w:r>
      <w:proofErr w:type="spellEnd"/>
      <w:r w:rsidRPr="003F754B">
        <w:rPr>
          <w:i/>
          <w:lang w:val="lt-LT"/>
        </w:rPr>
        <w:t xml:space="preserve"> </w:t>
      </w:r>
      <w:proofErr w:type="spellStart"/>
      <w:r w:rsidRPr="003F754B">
        <w:rPr>
          <w:i/>
          <w:lang w:val="lt-LT"/>
        </w:rPr>
        <w:t>officinalis</w:t>
      </w:r>
      <w:proofErr w:type="spellEnd"/>
      <w:r w:rsidRPr="003F754B">
        <w:rPr>
          <w:i/>
          <w:lang w:val="lt-LT"/>
        </w:rPr>
        <w:t xml:space="preserve"> </w:t>
      </w:r>
      <w:r w:rsidRPr="003F754B">
        <w:rPr>
          <w:lang w:val="lt-LT"/>
        </w:rPr>
        <w:t>L.</w:t>
      </w:r>
      <w:proofErr w:type="gramStart"/>
      <w:r w:rsidRPr="003F754B">
        <w:rPr>
          <w:lang w:val="lt-LT"/>
        </w:rPr>
        <w:t>,</w:t>
      </w:r>
      <w:proofErr w:type="spellStart"/>
      <w:r>
        <w:t>eterinis</w:t>
      </w:r>
      <w:proofErr w:type="spellEnd"/>
      <w:proofErr w:type="gramEnd"/>
      <w:r>
        <w:t xml:space="preserve"> </w:t>
      </w:r>
      <w:proofErr w:type="spellStart"/>
      <w:r>
        <w:t>aliejus</w:t>
      </w:r>
      <w:proofErr w:type="spellEnd"/>
      <w:r>
        <w:t xml:space="preserve"> </w:t>
      </w:r>
      <w:r w:rsidRPr="003F754B">
        <w:rPr>
          <w:lang w:val="lt-LT"/>
        </w:rPr>
        <w:t xml:space="preserve">(rozmarinų </w:t>
      </w:r>
      <w:r w:rsidRPr="006E6C84">
        <w:rPr>
          <w:lang w:val="lt-LT"/>
        </w:rPr>
        <w:t>eterini</w:t>
      </w:r>
      <w:r>
        <w:rPr>
          <w:lang w:val="lt-LT"/>
        </w:rPr>
        <w:t>s</w:t>
      </w:r>
      <w:r w:rsidRPr="006E6C84">
        <w:rPr>
          <w:lang w:val="lt-LT"/>
        </w:rPr>
        <w:t xml:space="preserve"> aliejus</w:t>
      </w:r>
      <w:r w:rsidRPr="00EE50A0">
        <w:t>).</w:t>
      </w:r>
    </w:p>
    <w:p w:rsidR="00F70101" w:rsidRPr="00BB723E" w:rsidRDefault="00F70101" w:rsidP="00F70101">
      <w:pPr>
        <w:pStyle w:val="Sraopastraipa"/>
        <w:tabs>
          <w:tab w:val="clear" w:pos="567"/>
        </w:tabs>
        <w:spacing w:line="240" w:lineRule="auto"/>
        <w:ind w:left="360" w:right="-2" w:firstLine="207"/>
        <w:rPr>
          <w:lang w:val="lt-LT"/>
        </w:rPr>
      </w:pPr>
      <w:r w:rsidRPr="00BB723E">
        <w:rPr>
          <w:lang w:val="lt-LT"/>
        </w:rPr>
        <w:t>1 g kremo yra 100 mg</w:t>
      </w:r>
      <w:r>
        <w:rPr>
          <w:lang w:val="lt-LT"/>
        </w:rPr>
        <w:t xml:space="preserve"> </w:t>
      </w:r>
      <w:r w:rsidRPr="003F754B">
        <w:rPr>
          <w:lang w:val="lt-LT"/>
        </w:rPr>
        <w:t xml:space="preserve">rozmarinų </w:t>
      </w:r>
      <w:r w:rsidRPr="006E6C84">
        <w:rPr>
          <w:lang w:val="lt-LT"/>
        </w:rPr>
        <w:t>eterinio aliejaus</w:t>
      </w:r>
      <w:r>
        <w:t>.</w:t>
      </w:r>
    </w:p>
    <w:p w:rsidR="00F70101" w:rsidRPr="003F754B" w:rsidRDefault="00F70101" w:rsidP="00F70101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3F754B">
        <w:rPr>
          <w:lang w:val="lt-LT"/>
        </w:rPr>
        <w:t xml:space="preserve">Pagalbinės medžiagos yra vidutinės grandinės </w:t>
      </w:r>
      <w:proofErr w:type="spellStart"/>
      <w:r w:rsidRPr="003F754B">
        <w:rPr>
          <w:lang w:val="lt-LT"/>
        </w:rPr>
        <w:t>trigliceridai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oktildodekanolis</w:t>
      </w:r>
      <w:proofErr w:type="spellEnd"/>
      <w:r w:rsidRPr="003F754B">
        <w:rPr>
          <w:lang w:val="lt-LT"/>
        </w:rPr>
        <w:t xml:space="preserve">, etanolis (96 %), </w:t>
      </w:r>
      <w:proofErr w:type="spellStart"/>
      <w:r w:rsidRPr="003F754B">
        <w:rPr>
          <w:lang w:val="lt-LT"/>
        </w:rPr>
        <w:t>glicerolis</w:t>
      </w:r>
      <w:proofErr w:type="spellEnd"/>
      <w:r w:rsidRPr="003F754B">
        <w:rPr>
          <w:lang w:val="lt-LT"/>
        </w:rPr>
        <w:t xml:space="preserve"> (85 %), </w:t>
      </w:r>
      <w:proofErr w:type="spellStart"/>
      <w:r w:rsidRPr="003F754B">
        <w:rPr>
          <w:lang w:val="lt-LT"/>
        </w:rPr>
        <w:t>cetostearilo</w:t>
      </w:r>
      <w:proofErr w:type="spellEnd"/>
      <w:r w:rsidRPr="003F754B">
        <w:rPr>
          <w:lang w:val="lt-LT"/>
        </w:rPr>
        <w:t xml:space="preserve"> alkoholi</w:t>
      </w:r>
      <w:r w:rsidRPr="00DC0785">
        <w:rPr>
          <w:lang w:val="lt-LT"/>
        </w:rPr>
        <w:t>o</w:t>
      </w:r>
      <w:r w:rsidRPr="003F754B">
        <w:rPr>
          <w:lang w:val="lt-LT"/>
        </w:rPr>
        <w:t xml:space="preserve"> A tipo emulsiklis, </w:t>
      </w:r>
      <w:proofErr w:type="spellStart"/>
      <w:r w:rsidRPr="003F754B">
        <w:rPr>
          <w:lang w:val="lt-LT"/>
        </w:rPr>
        <w:t>glicerolio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monostearatas</w:t>
      </w:r>
      <w:proofErr w:type="spellEnd"/>
      <w:r w:rsidRPr="003F754B">
        <w:rPr>
          <w:lang w:val="lt-LT"/>
        </w:rPr>
        <w:t xml:space="preserve"> 40–55, </w:t>
      </w:r>
      <w:proofErr w:type="spellStart"/>
      <w:r w:rsidRPr="003F754B">
        <w:rPr>
          <w:lang w:val="lt-LT"/>
        </w:rPr>
        <w:t>trometamolis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dimetikonas</w:t>
      </w:r>
      <w:proofErr w:type="spellEnd"/>
      <w:r w:rsidRPr="003F754B">
        <w:rPr>
          <w:lang w:val="lt-LT"/>
        </w:rPr>
        <w:t xml:space="preserve">, </w:t>
      </w:r>
      <w:proofErr w:type="spellStart"/>
      <w:r w:rsidRPr="003F754B">
        <w:rPr>
          <w:lang w:val="lt-LT"/>
        </w:rPr>
        <w:t>karbomerai</w:t>
      </w:r>
      <w:proofErr w:type="spellEnd"/>
      <w:r w:rsidRPr="003F754B">
        <w:rPr>
          <w:lang w:val="lt-LT"/>
        </w:rPr>
        <w:t xml:space="preserve"> ir išgrynintas vanduo.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proofErr w:type="spellStart"/>
      <w:r w:rsidRPr="003F754B">
        <w:rPr>
          <w:rFonts w:ascii="Times New Roman" w:hAnsi="Times New Roman"/>
          <w:sz w:val="22"/>
          <w:lang w:val="lt-LT"/>
        </w:rPr>
        <w:t>Rosacta</w:t>
      </w:r>
      <w:proofErr w:type="spellEnd"/>
      <w:r w:rsidRPr="003F754B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F70101" w:rsidRPr="003F754B" w:rsidRDefault="00F70101" w:rsidP="00F70101">
      <w:pPr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yra baltas blizgus charakteringo rozmarinų </w:t>
      </w:r>
      <w:r w:rsidRPr="00DC0785">
        <w:rPr>
          <w:lang w:val="lt-LT"/>
        </w:rPr>
        <w:t>eterinio aliejaus kvapo kremas.</w:t>
      </w:r>
    </w:p>
    <w:p w:rsidR="00F70101" w:rsidRPr="003F754B" w:rsidRDefault="00F70101" w:rsidP="00F70101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F754B">
        <w:rPr>
          <w:lang w:val="lt-LT"/>
        </w:rPr>
        <w:t>Rosacta</w:t>
      </w:r>
      <w:proofErr w:type="spellEnd"/>
      <w:r w:rsidRPr="003F754B">
        <w:rPr>
          <w:lang w:val="lt-LT"/>
        </w:rPr>
        <w:t xml:space="preserve"> tiekiamas aliu</w:t>
      </w:r>
      <w:r w:rsidRPr="00DC0785">
        <w:rPr>
          <w:lang w:val="lt-LT"/>
        </w:rPr>
        <w:t xml:space="preserve">minio tūbelėse, kurios yra iš vidaus dengtos epoksidine </w:t>
      </w:r>
      <w:proofErr w:type="spellStart"/>
      <w:r w:rsidRPr="003F754B">
        <w:rPr>
          <w:lang w:val="lt-LT"/>
        </w:rPr>
        <w:t>fenolio</w:t>
      </w:r>
      <w:proofErr w:type="spellEnd"/>
      <w:r w:rsidRPr="003F754B">
        <w:rPr>
          <w:lang w:val="lt-LT"/>
        </w:rPr>
        <w:t xml:space="preserve"> derva, su </w:t>
      </w:r>
      <w:r w:rsidRPr="00DC0785">
        <w:rPr>
          <w:lang w:val="lt-LT"/>
        </w:rPr>
        <w:t>DTPE užsukamuoju dangteliu. Tūbelėje yra</w:t>
      </w:r>
      <w:r w:rsidRPr="00DC0785">
        <w:rPr>
          <w:szCs w:val="24"/>
          <w:lang w:val="lt-LT"/>
        </w:rPr>
        <w:t xml:space="preserve"> 50 g ar</w:t>
      </w:r>
      <w:r w:rsidRPr="00DC0785">
        <w:rPr>
          <w:lang w:val="lt-LT"/>
        </w:rPr>
        <w:t xml:space="preserve"> </w:t>
      </w:r>
      <w:r w:rsidRPr="003F754B">
        <w:rPr>
          <w:lang w:val="lt-LT"/>
        </w:rPr>
        <w:t>90 g kremo.</w:t>
      </w:r>
    </w:p>
    <w:p w:rsidR="00F70101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Gali būti tiekiamos ne visų dydžių pakuotės.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pStyle w:val="Antrat4"/>
        <w:rPr>
          <w:b w:val="0"/>
          <w:lang w:val="lt-LT"/>
        </w:rPr>
      </w:pPr>
      <w:r w:rsidRPr="003F754B">
        <w:rPr>
          <w:rFonts w:ascii="Times New Roman" w:hAnsi="Times New Roman"/>
          <w:sz w:val="22"/>
          <w:lang w:val="lt-LT"/>
        </w:rPr>
        <w:t>Registruotojas ir gamintojas</w:t>
      </w:r>
    </w:p>
    <w:p w:rsidR="00F70101" w:rsidRPr="006E6C84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/>
          <w:b/>
          <w:lang w:val="lt-LT"/>
        </w:rPr>
      </w:pPr>
      <w:r w:rsidRPr="006E6C84">
        <w:rPr>
          <w:b/>
          <w:lang w:val="lt-LT"/>
        </w:rPr>
        <w:t>Registruotojas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Medis </w:t>
      </w:r>
      <w:proofErr w:type="spellStart"/>
      <w:r w:rsidRPr="003F754B">
        <w:rPr>
          <w:lang w:val="lt-LT"/>
        </w:rPr>
        <w:t>GmbH</w:t>
      </w:r>
      <w:proofErr w:type="spellEnd"/>
    </w:p>
    <w:p w:rsidR="00F70101" w:rsidRDefault="00F70101" w:rsidP="00F70101">
      <w:pPr>
        <w:autoSpaceDE w:val="0"/>
        <w:autoSpaceDN w:val="0"/>
        <w:adjustRightInd w:val="0"/>
        <w:spacing w:line="240" w:lineRule="auto"/>
      </w:pPr>
      <w:proofErr w:type="spellStart"/>
      <w:r w:rsidRPr="00E75EC0">
        <w:t>Europaring</w:t>
      </w:r>
      <w:proofErr w:type="spellEnd"/>
      <w:r w:rsidRPr="00E75EC0">
        <w:t xml:space="preserve"> F15</w:t>
      </w:r>
    </w:p>
    <w:p w:rsidR="00F70101" w:rsidRPr="001155BF" w:rsidRDefault="00F70101" w:rsidP="00F70101">
      <w:proofErr w:type="gramStart"/>
      <w:r w:rsidRPr="00E75EC0">
        <w:t>2345</w:t>
      </w:r>
      <w:proofErr w:type="gramEnd"/>
      <w:r w:rsidRPr="00E75EC0">
        <w:t xml:space="preserve"> </w:t>
      </w:r>
      <w:proofErr w:type="spellStart"/>
      <w:r w:rsidRPr="00E75EC0">
        <w:t>Brunn</w:t>
      </w:r>
      <w:proofErr w:type="spellEnd"/>
      <w:r w:rsidRPr="001155BF">
        <w:t xml:space="preserve"> am </w:t>
      </w:r>
      <w:proofErr w:type="spellStart"/>
      <w:r w:rsidRPr="00E75EC0">
        <w:t>Gebirge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Austrija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6E6C84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/>
          <w:b/>
          <w:lang w:val="lt-LT"/>
        </w:rPr>
      </w:pPr>
      <w:r w:rsidRPr="006E6C84">
        <w:rPr>
          <w:b/>
          <w:lang w:val="lt-LT"/>
        </w:rPr>
        <w:t>Gamintojas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Medis, </w:t>
      </w:r>
      <w:proofErr w:type="spellStart"/>
      <w:r w:rsidRPr="003F754B">
        <w:rPr>
          <w:lang w:val="lt-LT"/>
        </w:rPr>
        <w:t>d.o.o</w:t>
      </w:r>
      <w:proofErr w:type="spellEnd"/>
      <w:r w:rsidRPr="003F754B">
        <w:rPr>
          <w:lang w:val="lt-LT"/>
        </w:rPr>
        <w:t>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3F754B">
        <w:rPr>
          <w:lang w:val="lt-LT"/>
        </w:rPr>
        <w:t>Brnčičeva</w:t>
      </w:r>
      <w:proofErr w:type="spellEnd"/>
      <w:r w:rsidRPr="003F754B">
        <w:rPr>
          <w:lang w:val="lt-LT"/>
        </w:rPr>
        <w:t xml:space="preserve"> </w:t>
      </w:r>
      <w:proofErr w:type="spellStart"/>
      <w:r w:rsidRPr="003F754B">
        <w:rPr>
          <w:lang w:val="lt-LT"/>
        </w:rPr>
        <w:t>ulica</w:t>
      </w:r>
      <w:proofErr w:type="spellEnd"/>
      <w:r w:rsidRPr="003F754B">
        <w:rPr>
          <w:lang w:val="lt-LT"/>
        </w:rPr>
        <w:t xml:space="preserve"> 3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3F754B">
        <w:rPr>
          <w:lang w:val="lt-LT"/>
        </w:rPr>
        <w:t xml:space="preserve">1231 </w:t>
      </w:r>
      <w:proofErr w:type="spellStart"/>
      <w:r w:rsidRPr="003F754B">
        <w:rPr>
          <w:lang w:val="lt-LT"/>
        </w:rPr>
        <w:t>Ljubljana-Črnuče</w:t>
      </w:r>
      <w:proofErr w:type="spellEnd"/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Slovėnija</w:t>
      </w:r>
    </w:p>
    <w:p w:rsidR="00F70101" w:rsidRDefault="00F70101" w:rsidP="00F70101">
      <w:pPr>
        <w:numPr>
          <w:ilvl w:val="12"/>
          <w:numId w:val="0"/>
        </w:numPr>
        <w:ind w:right="-2"/>
        <w:rPr>
          <w:lang w:val="lt-LT"/>
        </w:rPr>
      </w:pPr>
    </w:p>
    <w:p w:rsidR="00F70101" w:rsidRPr="00B34FA1" w:rsidRDefault="00F70101" w:rsidP="00F70101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>
        <w:rPr>
          <w:noProof/>
          <w:szCs w:val="24"/>
          <w:lang w:val="lt-LT"/>
        </w:rPr>
        <w:t>.</w:t>
      </w:r>
    </w:p>
    <w:p w:rsidR="00F70101" w:rsidRPr="00B34FA1" w:rsidRDefault="00F70101" w:rsidP="00F70101">
      <w:pPr>
        <w:spacing w:line="240" w:lineRule="auto"/>
        <w:rPr>
          <w:noProof/>
          <w:szCs w:val="24"/>
          <w:lang w:val="lt-LT"/>
        </w:rPr>
      </w:pPr>
    </w:p>
    <w:p w:rsidR="00F70101" w:rsidRPr="00243B45" w:rsidRDefault="00F70101" w:rsidP="00F70101">
      <w:pPr>
        <w:rPr>
          <w:lang w:val="lt-LT"/>
        </w:rPr>
      </w:pPr>
      <w:r w:rsidRPr="00243B45">
        <w:rPr>
          <w:lang w:val="lt-LT"/>
        </w:rPr>
        <w:t xml:space="preserve">Medis </w:t>
      </w:r>
      <w:proofErr w:type="spellStart"/>
      <w:r w:rsidRPr="00243B45">
        <w:rPr>
          <w:lang w:val="lt-LT"/>
        </w:rPr>
        <w:t>Pharma</w:t>
      </w:r>
      <w:proofErr w:type="spellEnd"/>
      <w:r w:rsidRPr="00243B45">
        <w:rPr>
          <w:lang w:val="lt-LT"/>
        </w:rPr>
        <w:t xml:space="preserve"> Lithuania UAB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 xml:space="preserve">Kuršių g. 7-23; LT- 48107 Kaunas </w:t>
      </w:r>
    </w:p>
    <w:p w:rsidR="00F70101" w:rsidRDefault="00F70101" w:rsidP="00F70101">
      <w:pPr>
        <w:rPr>
          <w:lang w:val="lt-LT"/>
        </w:rPr>
      </w:pPr>
      <w:r w:rsidRPr="00243B45">
        <w:rPr>
          <w:lang w:val="lt-LT"/>
        </w:rPr>
        <w:t>Li</w:t>
      </w:r>
      <w:r>
        <w:rPr>
          <w:lang w:val="lt-LT"/>
        </w:rPr>
        <w:t>etuva</w:t>
      </w:r>
    </w:p>
    <w:p w:rsidR="00F70101" w:rsidRPr="00FB5D6D" w:rsidRDefault="00F70101" w:rsidP="00F70101">
      <w:pPr>
        <w:rPr>
          <w:lang w:val="en-US"/>
        </w:rPr>
      </w:pPr>
      <w:r>
        <w:rPr>
          <w:lang w:val="lt-LT"/>
        </w:rPr>
        <w:t>Tel. +370 68735006</w:t>
      </w:r>
    </w:p>
    <w:p w:rsidR="00F70101" w:rsidRPr="003F754B" w:rsidRDefault="00F70101" w:rsidP="00F70101">
      <w:pPr>
        <w:numPr>
          <w:ilvl w:val="12"/>
          <w:numId w:val="0"/>
        </w:numPr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b/>
          <w:lang w:val="lt-LT"/>
        </w:rPr>
        <w:t xml:space="preserve">Šis vaistas </w:t>
      </w:r>
      <w:r w:rsidRPr="003906A3">
        <w:rPr>
          <w:b/>
          <w:lang w:val="lt-LT"/>
        </w:rPr>
        <w:t xml:space="preserve">Europos ekonominės erdvės </w:t>
      </w:r>
      <w:r w:rsidRPr="003F754B">
        <w:rPr>
          <w:b/>
          <w:lang w:val="lt-LT"/>
        </w:rPr>
        <w:t>valstybėse narėse</w:t>
      </w:r>
      <w:r w:rsidRPr="006E6C84">
        <w:t xml:space="preserve"> </w:t>
      </w:r>
      <w:r w:rsidRPr="003906A3">
        <w:rPr>
          <w:b/>
          <w:lang w:val="lt-LT"/>
        </w:rPr>
        <w:t>ir Jungtinėje Karalystėje (Šiaurės Airijoje)</w:t>
      </w:r>
      <w:r w:rsidRPr="003F754B">
        <w:rPr>
          <w:b/>
          <w:lang w:val="lt-LT"/>
        </w:rPr>
        <w:t xml:space="preserve"> registruotas tokiais pavadinimais</w:t>
      </w:r>
      <w:r w:rsidRPr="00EE50A0">
        <w:t>:</w:t>
      </w:r>
    </w:p>
    <w:p w:rsidR="00F70101" w:rsidRPr="003F754B" w:rsidRDefault="00F70101" w:rsidP="00F70101">
      <w:pPr>
        <w:ind w:left="567" w:hanging="567"/>
        <w:rPr>
          <w:lang w:val="lt-LT"/>
        </w:rPr>
      </w:pPr>
      <w:r w:rsidRPr="003F754B">
        <w:rPr>
          <w:lang w:val="lt-LT"/>
        </w:rPr>
        <w:t xml:space="preserve">Bulgarija, Estija, Kroatija, Latvija, Slovėnija, Vengrija – </w:t>
      </w:r>
      <w:proofErr w:type="spellStart"/>
      <w:r w:rsidRPr="003F754B">
        <w:rPr>
          <w:lang w:val="lt-LT"/>
        </w:rPr>
        <w:t>Rosacta</w:t>
      </w:r>
      <w:proofErr w:type="spellEnd"/>
    </w:p>
    <w:p w:rsidR="00F70101" w:rsidRPr="003227B5" w:rsidRDefault="00F70101" w:rsidP="00F70101">
      <w:pPr>
        <w:rPr>
          <w:lang w:val="lt-LT"/>
        </w:rPr>
      </w:pPr>
      <w:r w:rsidRPr="003F754B">
        <w:rPr>
          <w:lang w:val="lt-LT"/>
        </w:rPr>
        <w:t>Čekija, Danija, Jungtinė Karalystė</w:t>
      </w:r>
      <w:r>
        <w:rPr>
          <w:lang w:val="lt-LT"/>
        </w:rPr>
        <w:t xml:space="preserve"> </w:t>
      </w:r>
      <w:r w:rsidRPr="003906A3">
        <w:rPr>
          <w:lang w:val="lt-LT"/>
        </w:rPr>
        <w:t>(Šiaurės Airija)</w:t>
      </w:r>
      <w:r w:rsidRPr="003F754B">
        <w:rPr>
          <w:lang w:val="lt-LT"/>
        </w:rPr>
        <w:t xml:space="preserve">, Lenkija, Suomija, Norvegija, Švedija – </w:t>
      </w:r>
      <w:proofErr w:type="spellStart"/>
      <w:r w:rsidRPr="003F754B">
        <w:rPr>
          <w:lang w:val="lt-LT"/>
        </w:rPr>
        <w:t>Rowiren</w:t>
      </w:r>
      <w:proofErr w:type="spellEnd"/>
    </w:p>
    <w:p w:rsidR="00F70101" w:rsidRDefault="00F70101" w:rsidP="00F70101">
      <w:pPr>
        <w:rPr>
          <w:lang w:val="lt-LT"/>
        </w:rPr>
      </w:pPr>
      <w:r w:rsidRPr="003F754B">
        <w:rPr>
          <w:lang w:val="lt-LT"/>
        </w:rPr>
        <w:t>Austrija</w:t>
      </w:r>
      <w:r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Rosacta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Creme</w:t>
      </w:r>
      <w:proofErr w:type="spellEnd"/>
      <w:r w:rsidRPr="003F754B">
        <w:rPr>
          <w:lang w:val="lt-LT"/>
        </w:rPr>
        <w:t xml:space="preserve"> 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>Lietuva</w:t>
      </w:r>
      <w:r w:rsidRPr="004E0996"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Rosacta</w:t>
      </w:r>
      <w:proofErr w:type="spellEnd"/>
      <w:r w:rsidRPr="00610156">
        <w:rPr>
          <w:lang w:val="lt-LT"/>
        </w:rPr>
        <w:t xml:space="preserve"> kremas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 xml:space="preserve">Rumunija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Rosacta</w:t>
      </w:r>
      <w:proofErr w:type="spellEnd"/>
      <w:r w:rsidRPr="00610156">
        <w:rPr>
          <w:lang w:val="lt-LT"/>
        </w:rPr>
        <w:t xml:space="preserve"> </w:t>
      </w:r>
      <w:proofErr w:type="spellStart"/>
      <w:r w:rsidRPr="00610156">
        <w:rPr>
          <w:lang w:val="lt-LT"/>
        </w:rPr>
        <w:t>cremă</w:t>
      </w:r>
      <w:proofErr w:type="spellEnd"/>
      <w:r w:rsidRPr="003F754B">
        <w:rPr>
          <w:lang w:val="lt-LT"/>
        </w:rPr>
        <w:t xml:space="preserve"> </w:t>
      </w:r>
    </w:p>
    <w:p w:rsidR="00F70101" w:rsidRDefault="00F70101" w:rsidP="00F70101">
      <w:pPr>
        <w:rPr>
          <w:lang w:val="lt-LT"/>
        </w:rPr>
      </w:pPr>
      <w:r>
        <w:rPr>
          <w:lang w:val="lt-LT"/>
        </w:rPr>
        <w:t xml:space="preserve">Slovakija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 w:rsidRPr="00610156">
        <w:rPr>
          <w:lang w:val="lt-LT"/>
        </w:rPr>
        <w:t>Rowiren</w:t>
      </w:r>
      <w:proofErr w:type="spellEnd"/>
      <w:r w:rsidRPr="00610156">
        <w:rPr>
          <w:lang w:val="lt-LT"/>
        </w:rPr>
        <w:t xml:space="preserve"> </w:t>
      </w:r>
      <w:proofErr w:type="spellStart"/>
      <w:r w:rsidRPr="00610156">
        <w:rPr>
          <w:lang w:val="lt-LT"/>
        </w:rPr>
        <w:t>krém</w:t>
      </w:r>
      <w:proofErr w:type="spellEnd"/>
      <w:r>
        <w:rPr>
          <w:lang w:val="lt-LT"/>
        </w:rPr>
        <w:t xml:space="preserve"> </w:t>
      </w:r>
    </w:p>
    <w:p w:rsidR="00F70101" w:rsidRPr="003F754B" w:rsidRDefault="00F70101" w:rsidP="00F70101">
      <w:pPr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Ispanija</w:t>
      </w:r>
      <w:r>
        <w:rPr>
          <w:lang w:val="lt-LT"/>
        </w:rPr>
        <w:t xml:space="preserve"> </w:t>
      </w:r>
      <w:r w:rsidRPr="003F754B">
        <w:rPr>
          <w:lang w:val="lt-LT"/>
        </w:rPr>
        <w:t>–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Gelodol</w:t>
      </w:r>
      <w:proofErr w:type="spellEnd"/>
    </w:p>
    <w:p w:rsidR="00F70101" w:rsidRPr="003F754B" w:rsidRDefault="00F70101" w:rsidP="00F70101">
      <w:pPr>
        <w:ind w:left="567" w:hanging="567"/>
        <w:rPr>
          <w:lang w:val="lt-LT"/>
        </w:rPr>
      </w:pPr>
    </w:p>
    <w:p w:rsidR="00F70101" w:rsidRPr="003F754B" w:rsidRDefault="00F70101" w:rsidP="00F70101">
      <w:pPr>
        <w:ind w:left="567" w:hanging="567"/>
        <w:rPr>
          <w:lang w:val="lt-LT"/>
        </w:rPr>
      </w:pPr>
    </w:p>
    <w:p w:rsidR="00F70101" w:rsidRPr="003F754B" w:rsidRDefault="00F70101" w:rsidP="00F70101">
      <w:pPr>
        <w:tabs>
          <w:tab w:val="clear" w:pos="567"/>
        </w:tabs>
        <w:spacing w:line="240" w:lineRule="auto"/>
        <w:rPr>
          <w:rFonts w:asciiTheme="minorHAnsi" w:eastAsiaTheme="minorHAnsi" w:hAnsiTheme="minorHAnsi" w:cstheme="minorBidi"/>
          <w:b/>
          <w:snapToGrid/>
          <w:szCs w:val="22"/>
          <w:lang w:val="lt-LT"/>
        </w:rPr>
      </w:pPr>
      <w:r w:rsidRPr="003F754B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 xml:space="preserve"> 2024-03-22.</w:t>
      </w:r>
    </w:p>
    <w:p w:rsidR="00F70101" w:rsidRPr="003F754B" w:rsidRDefault="00F70101" w:rsidP="00F701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F70101" w:rsidRPr="003F754B" w:rsidRDefault="00F70101" w:rsidP="00F70101">
      <w:pPr>
        <w:numPr>
          <w:ilvl w:val="12"/>
          <w:numId w:val="0"/>
        </w:numPr>
        <w:spacing w:line="240" w:lineRule="auto"/>
        <w:ind w:right="-2"/>
        <w:rPr>
          <w:rFonts w:asciiTheme="minorHAnsi" w:eastAsiaTheme="minorHAnsi" w:hAnsiTheme="minorHAnsi" w:cstheme="minorBidi"/>
          <w:snapToGrid/>
          <w:szCs w:val="22"/>
          <w:lang w:val="lt-LT"/>
        </w:rPr>
      </w:pPr>
      <w:r w:rsidRPr="003F754B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3F754B">
        <w:rPr>
          <w:i/>
          <w:lang w:val="lt-LT"/>
        </w:rPr>
        <w:t xml:space="preserve"> </w:t>
      </w:r>
      <w:hyperlink r:id="rId8" w:history="1">
        <w:r w:rsidRPr="003F754B">
          <w:rPr>
            <w:rStyle w:val="Hipersaitas"/>
            <w:rFonts w:eastAsia="SimSun"/>
            <w:lang w:val="lt-LT"/>
          </w:rPr>
          <w:t>http://www.vvkt.lt/</w:t>
        </w:r>
      </w:hyperlink>
      <w:r w:rsidRPr="003F754B">
        <w:rPr>
          <w:lang w:val="lt-LT"/>
        </w:rPr>
        <w:t>.</w:t>
      </w:r>
    </w:p>
    <w:p w:rsidR="00F70101" w:rsidRPr="003F754B" w:rsidRDefault="00F70101" w:rsidP="00F70101">
      <w:pPr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EF4A4D">
      <w:type w:val="continuous"/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01"/>
    <w:rsid w:val="00072F85"/>
    <w:rsid w:val="00181364"/>
    <w:rsid w:val="00305C48"/>
    <w:rsid w:val="003362C6"/>
    <w:rsid w:val="00BA6577"/>
    <w:rsid w:val="00C30905"/>
    <w:rsid w:val="00EF4A4D"/>
    <w:rsid w:val="00F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200AD-72E7-44DB-B497-AD24EB08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010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701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70101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70101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F70101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70101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70101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rsid w:val="00F7010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7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5856</Words>
  <Characters>3339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Rosacta</vt:lpstr>
      <vt:lpstr>        4.	Galimas šalutinis poveikis</vt:lpstr>
      <vt:lpstr>        5.	Kaip laikyti Rosacta</vt:lpstr>
      <vt:lpstr>        6.	Pakuotės turinys ir kita informacija</vt:lpstr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2024-04-11T05:40:00Z</dcterms:created>
  <dcterms:modified xsi:type="dcterms:W3CDTF">2024-04-11T05:41:00Z</dcterms:modified>
</cp:coreProperties>
</file>