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17" w:rsidRPr="00E92A04" w:rsidRDefault="00054B17" w:rsidP="00054B17">
      <w:pPr>
        <w:widowControl w:val="0"/>
        <w:spacing w:line="240" w:lineRule="auto"/>
        <w:jc w:val="center"/>
        <w:outlineLvl w:val="1"/>
        <w:rPr>
          <w:b/>
          <w:szCs w:val="22"/>
          <w:lang w:val="lt-LT" w:eastAsia="x-none"/>
        </w:rPr>
      </w:pPr>
      <w:r w:rsidRPr="00E92A04">
        <w:rPr>
          <w:b/>
          <w:bCs/>
          <w:iCs/>
          <w:szCs w:val="22"/>
          <w:lang w:val="lt-LT" w:eastAsia="x-none"/>
        </w:rPr>
        <w:t>Pakuotės lapelis:</w:t>
      </w:r>
      <w:r w:rsidRPr="00E92A04">
        <w:rPr>
          <w:b/>
          <w:szCs w:val="22"/>
          <w:lang w:val="lt-LT" w:eastAsia="x-none"/>
        </w:rPr>
        <w:t xml:space="preserve"> </w:t>
      </w:r>
      <w:r w:rsidRPr="00E92A04">
        <w:rPr>
          <w:b/>
          <w:bCs/>
          <w:iCs/>
          <w:szCs w:val="22"/>
          <w:lang w:val="lt-LT" w:eastAsia="x-none"/>
        </w:rPr>
        <w:t>informacija pacient</w:t>
      </w:r>
      <w:r>
        <w:rPr>
          <w:b/>
          <w:bCs/>
          <w:iCs/>
          <w:szCs w:val="22"/>
          <w:lang w:val="lt-LT" w:eastAsia="x-none"/>
        </w:rPr>
        <w:t>ui</w:t>
      </w:r>
    </w:p>
    <w:p w:rsidR="00054B17" w:rsidRPr="00E92A04" w:rsidRDefault="00054B17" w:rsidP="00054B17">
      <w:pPr>
        <w:widowControl w:val="0"/>
        <w:numPr>
          <w:ilvl w:val="12"/>
          <w:numId w:val="0"/>
        </w:numPr>
        <w:shd w:val="clear" w:color="auto" w:fill="FFFFFF"/>
        <w:tabs>
          <w:tab w:val="clear" w:pos="567"/>
        </w:tabs>
        <w:spacing w:line="240" w:lineRule="auto"/>
        <w:jc w:val="center"/>
        <w:rPr>
          <w:szCs w:val="22"/>
          <w:lang w:val="lt-LT"/>
        </w:rPr>
      </w:pPr>
    </w:p>
    <w:p w:rsidR="00054B17" w:rsidRPr="00E92A04" w:rsidRDefault="00054B17" w:rsidP="00054B17">
      <w:pPr>
        <w:widowControl w:val="0"/>
        <w:spacing w:line="240" w:lineRule="auto"/>
        <w:jc w:val="center"/>
        <w:rPr>
          <w:b/>
          <w:szCs w:val="22"/>
          <w:lang w:val="lt-LT"/>
        </w:rPr>
      </w:pPr>
      <w:r>
        <w:rPr>
          <w:b/>
          <w:szCs w:val="22"/>
          <w:lang w:val="lt-LT"/>
        </w:rPr>
        <w:t>Doxylamine Krka</w:t>
      </w:r>
      <w:r w:rsidRPr="00E92A04">
        <w:rPr>
          <w:b/>
          <w:szCs w:val="22"/>
          <w:lang w:val="lt-LT"/>
        </w:rPr>
        <w:t xml:space="preserve"> 25 mg plėvele dengtos tabletės</w:t>
      </w:r>
    </w:p>
    <w:p w:rsidR="00054B17" w:rsidRPr="00E92A04" w:rsidRDefault="00054B17" w:rsidP="00054B17">
      <w:pPr>
        <w:widowControl w:val="0"/>
        <w:numPr>
          <w:ilvl w:val="12"/>
          <w:numId w:val="0"/>
        </w:numPr>
        <w:tabs>
          <w:tab w:val="clear" w:pos="567"/>
        </w:tabs>
        <w:spacing w:line="240" w:lineRule="auto"/>
        <w:jc w:val="center"/>
        <w:rPr>
          <w:szCs w:val="22"/>
          <w:lang w:val="lt-LT"/>
        </w:rPr>
      </w:pPr>
      <w:r w:rsidRPr="000D72F1">
        <w:rPr>
          <w:szCs w:val="22"/>
          <w:lang w:val="lt-LT"/>
        </w:rPr>
        <w:t>do</w:t>
      </w:r>
      <w:r w:rsidRPr="00E92A04">
        <w:rPr>
          <w:szCs w:val="22"/>
          <w:lang w:val="lt-LT"/>
        </w:rPr>
        <w:t>ksilamino-vandenilio sukcinatas</w:t>
      </w:r>
    </w:p>
    <w:p w:rsidR="00054B17" w:rsidRPr="00E92A04" w:rsidRDefault="00054B17" w:rsidP="00054B17">
      <w:pPr>
        <w:widowControl w:val="0"/>
        <w:numPr>
          <w:ilvl w:val="12"/>
          <w:numId w:val="0"/>
        </w:numPr>
        <w:tabs>
          <w:tab w:val="clear" w:pos="567"/>
        </w:tabs>
        <w:spacing w:line="240" w:lineRule="auto"/>
        <w:jc w:val="center"/>
        <w:rPr>
          <w:szCs w:val="22"/>
          <w:lang w:val="lt-LT"/>
        </w:rPr>
      </w:pPr>
    </w:p>
    <w:p w:rsidR="00054B17" w:rsidRPr="00E92A04" w:rsidRDefault="00054B17" w:rsidP="00054B17">
      <w:pPr>
        <w:widowControl w:val="0"/>
        <w:numPr>
          <w:ilvl w:val="12"/>
          <w:numId w:val="0"/>
        </w:numPr>
        <w:tabs>
          <w:tab w:val="clear" w:pos="567"/>
        </w:tabs>
        <w:spacing w:line="240" w:lineRule="auto"/>
        <w:jc w:val="center"/>
        <w:rPr>
          <w:b/>
          <w:szCs w:val="22"/>
          <w:lang w:val="lt-LT"/>
        </w:rPr>
      </w:pPr>
      <w:r w:rsidRPr="00E92A04">
        <w:rPr>
          <w:b/>
          <w:szCs w:val="22"/>
          <w:lang w:val="lt-LT"/>
        </w:rPr>
        <w:t>Skirtas vartoti suaugusiesiems</w:t>
      </w:r>
    </w:p>
    <w:p w:rsidR="00054B17" w:rsidRPr="00E92A04" w:rsidRDefault="00054B17" w:rsidP="00054B17">
      <w:pPr>
        <w:widowControl w:val="0"/>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b/>
          <w:szCs w:val="22"/>
          <w:lang w:val="lt-LT"/>
        </w:rPr>
      </w:pPr>
      <w:r w:rsidRPr="00E92A04">
        <w:rPr>
          <w:b/>
          <w:szCs w:val="22"/>
          <w:lang w:val="lt-LT"/>
        </w:rPr>
        <w:t>Atidžiai perskaitykite visą šį lapelį, prieš pradėdami vartoti vaistą, nes jame pateikiama Jums svarbi informacija.</w:t>
      </w:r>
    </w:p>
    <w:p w:rsidR="00054B17" w:rsidRPr="00E92A04" w:rsidRDefault="00054B17" w:rsidP="00054B17">
      <w:pPr>
        <w:widowControl w:val="0"/>
        <w:numPr>
          <w:ilvl w:val="0"/>
          <w:numId w:val="4"/>
        </w:numPr>
        <w:tabs>
          <w:tab w:val="clear" w:pos="567"/>
        </w:tabs>
        <w:spacing w:line="240" w:lineRule="auto"/>
        <w:ind w:left="567" w:hanging="567"/>
        <w:rPr>
          <w:szCs w:val="22"/>
          <w:lang w:val="lt-LT"/>
        </w:rPr>
      </w:pPr>
      <w:r w:rsidRPr="00E92A04">
        <w:rPr>
          <w:szCs w:val="22"/>
          <w:lang w:val="lt-LT"/>
        </w:rPr>
        <w:t>Neišmeskite šio lapelio, nes vėl gali prireikti jį perskaityti.</w:t>
      </w:r>
    </w:p>
    <w:p w:rsidR="00054B17" w:rsidRPr="00B34FA1" w:rsidRDefault="00054B17" w:rsidP="00054B17">
      <w:pPr>
        <w:numPr>
          <w:ilvl w:val="0"/>
          <w:numId w:val="4"/>
        </w:numPr>
        <w:tabs>
          <w:tab w:val="clear" w:pos="567"/>
        </w:tabs>
        <w:spacing w:line="240" w:lineRule="auto"/>
        <w:ind w:left="567" w:right="-2" w:hanging="567"/>
        <w:rPr>
          <w:szCs w:val="24"/>
          <w:lang w:val="lt-LT"/>
        </w:rPr>
      </w:pPr>
      <w:r w:rsidRPr="00B34FA1">
        <w:rPr>
          <w:noProof/>
          <w:szCs w:val="24"/>
          <w:lang w:val="lt-LT"/>
        </w:rPr>
        <w:t xml:space="preserve">Jeigu kiltų </w:t>
      </w:r>
      <w:r>
        <w:rPr>
          <w:noProof/>
          <w:szCs w:val="24"/>
          <w:lang w:val="lt-LT"/>
        </w:rPr>
        <w:t xml:space="preserve">daugiau klausimų, kreipkitės į </w:t>
      </w:r>
      <w:r w:rsidRPr="00B34FA1">
        <w:rPr>
          <w:noProof/>
          <w:szCs w:val="24"/>
          <w:lang w:val="lt-LT"/>
        </w:rPr>
        <w:t>gydytoją</w:t>
      </w:r>
      <w:r>
        <w:rPr>
          <w:noProof/>
          <w:szCs w:val="24"/>
          <w:lang w:val="lt-LT"/>
        </w:rPr>
        <w:t xml:space="preserve"> </w:t>
      </w:r>
      <w:r w:rsidRPr="00B34FA1">
        <w:rPr>
          <w:noProof/>
          <w:szCs w:val="24"/>
          <w:lang w:val="lt-LT"/>
        </w:rPr>
        <w:t>arba vaistininką.</w:t>
      </w:r>
    </w:p>
    <w:p w:rsidR="00054B17" w:rsidRPr="00E92A04" w:rsidRDefault="00054B17" w:rsidP="00054B17">
      <w:pPr>
        <w:widowControl w:val="0"/>
        <w:numPr>
          <w:ilvl w:val="0"/>
          <w:numId w:val="4"/>
        </w:numPr>
        <w:tabs>
          <w:tab w:val="clear" w:pos="567"/>
        </w:tabs>
        <w:spacing w:line="240" w:lineRule="auto"/>
        <w:ind w:left="567" w:hanging="567"/>
        <w:rPr>
          <w:szCs w:val="22"/>
          <w:lang w:val="lt-LT"/>
        </w:rPr>
      </w:pP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r>
        <w:rPr>
          <w:noProof/>
          <w:szCs w:val="24"/>
          <w:lang w:val="lt-LT"/>
        </w:rPr>
        <w:t xml:space="preserve"> </w:t>
      </w:r>
    </w:p>
    <w:p w:rsidR="00054B17" w:rsidRPr="00E92A04" w:rsidRDefault="00054B17" w:rsidP="00054B17">
      <w:pPr>
        <w:widowControl w:val="0"/>
        <w:numPr>
          <w:ilvl w:val="0"/>
          <w:numId w:val="4"/>
        </w:numPr>
        <w:tabs>
          <w:tab w:val="clear" w:pos="567"/>
        </w:tabs>
        <w:spacing w:line="240" w:lineRule="auto"/>
        <w:ind w:left="567" w:hanging="567"/>
        <w:rPr>
          <w:szCs w:val="22"/>
          <w:lang w:val="lt-LT"/>
        </w:rPr>
      </w:pPr>
      <w:r w:rsidRPr="00E92A04">
        <w:rPr>
          <w:szCs w:val="22"/>
          <w:lang w:val="lt-LT"/>
        </w:rPr>
        <w:t>Jeigu pasireiškė šalutinis poveikis (net jeigu jis šiame lapelyje nenurodytas), kreipkitės į gydytoją arba vaistininką. Žr. 4 skyrių.</w:t>
      </w:r>
    </w:p>
    <w:p w:rsidR="00054B17" w:rsidRPr="00E92A04" w:rsidRDefault="00054B17" w:rsidP="00054B17">
      <w:pPr>
        <w:widowControl w:val="0"/>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Apie ką rašoma šiame lapelyje?</w:t>
      </w:r>
    </w:p>
    <w:p w:rsidR="00054B17" w:rsidRPr="00E92A04" w:rsidRDefault="00054B17" w:rsidP="00054B17">
      <w:pPr>
        <w:widowControl w:val="0"/>
        <w:numPr>
          <w:ilvl w:val="12"/>
          <w:numId w:val="0"/>
        </w:numPr>
        <w:tabs>
          <w:tab w:val="clear" w:pos="567"/>
        </w:tabs>
        <w:spacing w:line="240" w:lineRule="auto"/>
        <w:ind w:left="567" w:right="-2" w:hanging="567"/>
        <w:rPr>
          <w:szCs w:val="22"/>
          <w:lang w:val="lt-LT"/>
        </w:rPr>
      </w:pPr>
      <w:r w:rsidRPr="00E92A04">
        <w:rPr>
          <w:szCs w:val="22"/>
          <w:lang w:val="lt-LT"/>
        </w:rPr>
        <w:t>1.</w:t>
      </w:r>
      <w:r w:rsidRPr="00E92A04">
        <w:rPr>
          <w:szCs w:val="22"/>
          <w:lang w:val="lt-LT"/>
        </w:rPr>
        <w:tab/>
        <w:t xml:space="preserve">Kas yra </w:t>
      </w:r>
      <w:r>
        <w:rPr>
          <w:szCs w:val="22"/>
          <w:lang w:val="lt-LT"/>
        </w:rPr>
        <w:t>Doxylamine Krka</w:t>
      </w:r>
      <w:r w:rsidRPr="00E92A04">
        <w:rPr>
          <w:szCs w:val="22"/>
          <w:lang w:val="lt-LT"/>
        </w:rPr>
        <w:t xml:space="preserve"> ir kam jis vartojamas</w:t>
      </w:r>
    </w:p>
    <w:p w:rsidR="00054B17" w:rsidRPr="00E92A04" w:rsidRDefault="00054B17" w:rsidP="00054B17">
      <w:pPr>
        <w:widowControl w:val="0"/>
        <w:numPr>
          <w:ilvl w:val="12"/>
          <w:numId w:val="0"/>
        </w:numPr>
        <w:tabs>
          <w:tab w:val="clear" w:pos="567"/>
        </w:tabs>
        <w:spacing w:line="240" w:lineRule="auto"/>
        <w:ind w:left="567" w:right="-2" w:hanging="567"/>
        <w:rPr>
          <w:szCs w:val="22"/>
          <w:lang w:val="lt-LT"/>
        </w:rPr>
      </w:pPr>
      <w:r w:rsidRPr="00E92A04">
        <w:rPr>
          <w:szCs w:val="22"/>
          <w:lang w:val="lt-LT"/>
        </w:rPr>
        <w:t>2.</w:t>
      </w:r>
      <w:r w:rsidRPr="00E92A04">
        <w:rPr>
          <w:szCs w:val="22"/>
          <w:lang w:val="lt-LT"/>
        </w:rPr>
        <w:tab/>
        <w:t xml:space="preserve">Kas žinotina prieš vartojant </w:t>
      </w:r>
      <w:r>
        <w:rPr>
          <w:szCs w:val="22"/>
          <w:lang w:val="lt-LT"/>
        </w:rPr>
        <w:t>Doxylamine Krka</w:t>
      </w:r>
    </w:p>
    <w:p w:rsidR="00054B17" w:rsidRPr="00E92A04" w:rsidRDefault="00054B17" w:rsidP="00054B17">
      <w:pPr>
        <w:widowControl w:val="0"/>
        <w:numPr>
          <w:ilvl w:val="12"/>
          <w:numId w:val="0"/>
        </w:numPr>
        <w:tabs>
          <w:tab w:val="clear" w:pos="567"/>
        </w:tabs>
        <w:spacing w:line="240" w:lineRule="auto"/>
        <w:ind w:left="567" w:right="-2" w:hanging="567"/>
        <w:rPr>
          <w:szCs w:val="22"/>
          <w:lang w:val="lt-LT"/>
        </w:rPr>
      </w:pPr>
      <w:r w:rsidRPr="00E92A04">
        <w:rPr>
          <w:szCs w:val="22"/>
          <w:lang w:val="lt-LT"/>
        </w:rPr>
        <w:t>3.</w:t>
      </w:r>
      <w:r w:rsidRPr="00E92A04">
        <w:rPr>
          <w:szCs w:val="22"/>
          <w:lang w:val="lt-LT"/>
        </w:rPr>
        <w:tab/>
        <w:t xml:space="preserve">Kaip vartoti </w:t>
      </w:r>
      <w:r>
        <w:rPr>
          <w:szCs w:val="22"/>
          <w:lang w:val="lt-LT"/>
        </w:rPr>
        <w:t>Doxylamine Krka</w:t>
      </w:r>
    </w:p>
    <w:p w:rsidR="00054B17" w:rsidRPr="00E92A04" w:rsidRDefault="00054B17" w:rsidP="00054B17">
      <w:pPr>
        <w:widowControl w:val="0"/>
        <w:numPr>
          <w:ilvl w:val="12"/>
          <w:numId w:val="0"/>
        </w:numPr>
        <w:tabs>
          <w:tab w:val="clear" w:pos="567"/>
        </w:tabs>
        <w:spacing w:line="240" w:lineRule="auto"/>
        <w:ind w:left="567" w:right="-2" w:hanging="567"/>
        <w:rPr>
          <w:szCs w:val="22"/>
          <w:lang w:val="lt-LT"/>
        </w:rPr>
      </w:pPr>
      <w:r w:rsidRPr="00E92A04">
        <w:rPr>
          <w:szCs w:val="22"/>
          <w:lang w:val="lt-LT"/>
        </w:rPr>
        <w:t>4.</w:t>
      </w:r>
      <w:r w:rsidRPr="00E92A04">
        <w:rPr>
          <w:szCs w:val="22"/>
          <w:lang w:val="lt-LT"/>
        </w:rPr>
        <w:tab/>
        <w:t>Galimas šalutinis poveikis</w:t>
      </w:r>
    </w:p>
    <w:p w:rsidR="00054B17" w:rsidRPr="00E92A04" w:rsidRDefault="00054B17" w:rsidP="00054B17">
      <w:pPr>
        <w:widowControl w:val="0"/>
        <w:numPr>
          <w:ilvl w:val="12"/>
          <w:numId w:val="0"/>
        </w:numPr>
        <w:tabs>
          <w:tab w:val="clear" w:pos="567"/>
          <w:tab w:val="left" w:pos="709"/>
        </w:tabs>
        <w:spacing w:line="240" w:lineRule="auto"/>
        <w:ind w:left="567" w:right="-2" w:hanging="567"/>
        <w:rPr>
          <w:szCs w:val="22"/>
          <w:lang w:val="lt-LT"/>
        </w:rPr>
      </w:pPr>
      <w:r w:rsidRPr="00E92A04">
        <w:rPr>
          <w:szCs w:val="22"/>
          <w:lang w:val="lt-LT"/>
        </w:rPr>
        <w:t>5.</w:t>
      </w:r>
      <w:r w:rsidRPr="00E92A04">
        <w:rPr>
          <w:szCs w:val="22"/>
          <w:lang w:val="lt-LT"/>
        </w:rPr>
        <w:tab/>
        <w:t xml:space="preserve">Kaip laikyti </w:t>
      </w:r>
      <w:r>
        <w:rPr>
          <w:szCs w:val="22"/>
          <w:lang w:val="lt-LT"/>
        </w:rPr>
        <w:t>Doxylamine Krka</w:t>
      </w:r>
    </w:p>
    <w:p w:rsidR="00054B17" w:rsidRPr="00E92A04" w:rsidRDefault="00054B17" w:rsidP="00054B17">
      <w:pPr>
        <w:widowControl w:val="0"/>
        <w:numPr>
          <w:ilvl w:val="12"/>
          <w:numId w:val="0"/>
        </w:numPr>
        <w:tabs>
          <w:tab w:val="clear" w:pos="567"/>
        </w:tabs>
        <w:spacing w:line="240" w:lineRule="auto"/>
        <w:ind w:left="567" w:right="-2" w:hanging="567"/>
        <w:rPr>
          <w:szCs w:val="22"/>
          <w:lang w:val="lt-LT"/>
        </w:rPr>
      </w:pPr>
      <w:r w:rsidRPr="00E92A04">
        <w:rPr>
          <w:szCs w:val="22"/>
          <w:lang w:val="lt-LT"/>
        </w:rPr>
        <w:t>6.</w:t>
      </w:r>
      <w:r w:rsidRPr="00E92A04">
        <w:rPr>
          <w:szCs w:val="22"/>
          <w:lang w:val="lt-LT"/>
        </w:rPr>
        <w:tab/>
        <w:t>Pakuotės turinys ir kita informacija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1.</w:t>
      </w:r>
      <w:r w:rsidRPr="00E92A04">
        <w:rPr>
          <w:b/>
          <w:bCs/>
          <w:szCs w:val="22"/>
          <w:lang w:val="lt-LT" w:eastAsia="x-none"/>
        </w:rPr>
        <w:tab/>
        <w:t xml:space="preserve">Kas yra </w:t>
      </w:r>
      <w:r>
        <w:rPr>
          <w:b/>
          <w:bCs/>
          <w:szCs w:val="22"/>
          <w:lang w:val="lt-LT" w:eastAsia="x-none"/>
        </w:rPr>
        <w:t>Doxylamine Krka</w:t>
      </w:r>
      <w:r w:rsidRPr="00E92A04">
        <w:rPr>
          <w:b/>
          <w:bCs/>
          <w:szCs w:val="22"/>
          <w:lang w:val="lt-LT" w:eastAsia="x-none"/>
        </w:rPr>
        <w:t xml:space="preserve"> ir kam jis vartojamas</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rPr>
          <w:iCs/>
          <w:snapToGrid/>
          <w:szCs w:val="22"/>
          <w:lang w:val="lt-LT"/>
        </w:rPr>
      </w:pPr>
      <w:r>
        <w:rPr>
          <w:szCs w:val="22"/>
          <w:lang w:val="lt-LT"/>
        </w:rPr>
        <w:t>Doxylamine Krka</w:t>
      </w:r>
      <w:r w:rsidRPr="00E92A04">
        <w:rPr>
          <w:szCs w:val="22"/>
          <w:lang w:val="lt-LT"/>
        </w:rPr>
        <w:t xml:space="preserve"> yra vaistas, kuriam būdingos slopinamosios savybės (antihistamininis raminamasis vaistas).</w:t>
      </w:r>
    </w:p>
    <w:p w:rsidR="00054B17" w:rsidRPr="00E92A04" w:rsidRDefault="00054B17" w:rsidP="00054B17">
      <w:pPr>
        <w:widowControl w:val="0"/>
        <w:autoSpaceDE w:val="0"/>
        <w:autoSpaceDN w:val="0"/>
        <w:adjustRightInd w:val="0"/>
        <w:spacing w:line="240" w:lineRule="auto"/>
        <w:rPr>
          <w:szCs w:val="22"/>
          <w:lang w:val="lt-LT" w:eastAsia="sl-SI"/>
        </w:rPr>
      </w:pPr>
    </w:p>
    <w:p w:rsidR="00054B17" w:rsidRPr="00E92A04" w:rsidRDefault="00054B17" w:rsidP="00054B17">
      <w:pPr>
        <w:widowControl w:val="0"/>
        <w:spacing w:line="240" w:lineRule="auto"/>
        <w:rPr>
          <w:szCs w:val="22"/>
          <w:lang w:val="lt-LT"/>
        </w:rPr>
      </w:pPr>
      <w:r>
        <w:rPr>
          <w:szCs w:val="22"/>
          <w:lang w:val="lt-LT"/>
        </w:rPr>
        <w:t>Doxylamine Krka</w:t>
      </w:r>
      <w:r w:rsidRPr="00E92A04">
        <w:rPr>
          <w:szCs w:val="22"/>
          <w:lang w:val="lt-LT"/>
        </w:rPr>
        <w:t xml:space="preserve"> vartojamas trumpalaikiam simptominiam </w:t>
      </w:r>
      <w:r>
        <w:rPr>
          <w:szCs w:val="22"/>
          <w:lang w:val="lt-LT"/>
        </w:rPr>
        <w:t xml:space="preserve">atsitiktinės </w:t>
      </w:r>
      <w:r w:rsidRPr="00E92A04">
        <w:rPr>
          <w:szCs w:val="22"/>
          <w:lang w:val="lt-LT"/>
        </w:rPr>
        <w:t xml:space="preserve"> nemigos (sutrikusio užmigimo ir atsibudimų naktį) gydymui suaugusiesiems.</w:t>
      </w:r>
    </w:p>
    <w:p w:rsidR="00054B17" w:rsidRPr="00E92A04" w:rsidRDefault="00054B17" w:rsidP="00054B17">
      <w:pPr>
        <w:pStyle w:val="NoSpacing"/>
        <w:widowControl w:val="0"/>
        <w:rPr>
          <w:rFonts w:ascii="Times New Roman" w:hAnsi="Times New Roman"/>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Pr>
          <w:szCs w:val="22"/>
          <w:lang w:val="lt-LT"/>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2.</w:t>
      </w:r>
      <w:r w:rsidRPr="00E92A04">
        <w:rPr>
          <w:b/>
          <w:bCs/>
          <w:szCs w:val="22"/>
          <w:lang w:val="lt-LT" w:eastAsia="x-none"/>
        </w:rPr>
        <w:tab/>
        <w:t xml:space="preserve">Kas žinotina prieš vartojant </w:t>
      </w:r>
      <w:r>
        <w:rPr>
          <w:b/>
          <w:bCs/>
          <w:szCs w:val="22"/>
          <w:lang w:val="lt-LT" w:eastAsia="x-none"/>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Pr>
          <w:b/>
          <w:bCs/>
          <w:szCs w:val="22"/>
          <w:lang w:val="lt-LT" w:eastAsia="x-none"/>
        </w:rPr>
        <w:t>Doxylamine Krka</w:t>
      </w:r>
      <w:r w:rsidRPr="00E92A04">
        <w:rPr>
          <w:b/>
          <w:bCs/>
          <w:szCs w:val="22"/>
          <w:lang w:val="lt-LT" w:eastAsia="x-none"/>
        </w:rPr>
        <w:t xml:space="preserve"> vartoti negalima:</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alergija doksilaminui, kitokiems antihistamininiams preparatams arba bet kuriai pagalbinei šio vaisto medžiagai (jos išvardytos 6 skyriuje);</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ūminis astmos priepuolis;</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uždaro kampo glaukoma;</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antinksčių navikas (feocromocitoma);</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prostatos padidėjimas (prostatos hipertrofija) su šlapimo susilaikymu;</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ūminis apsinuodijimas alkoholiu, vaistais nuo miego sutrikimų ar skausmo arba psichiką veikiančiais vaistais (neuroleptikais, raminamaisiais vaistais, antidepresantais, ličiu);</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yra epilepsija;</w:t>
      </w:r>
    </w:p>
    <w:p w:rsidR="00054B17" w:rsidRPr="00E92A04" w:rsidRDefault="00054B17" w:rsidP="00054B17">
      <w:pPr>
        <w:widowControl w:val="0"/>
        <w:numPr>
          <w:ilvl w:val="0"/>
          <w:numId w:val="5"/>
        </w:numPr>
        <w:tabs>
          <w:tab w:val="clear" w:pos="567"/>
        </w:tabs>
        <w:spacing w:line="240" w:lineRule="auto"/>
        <w:ind w:left="567" w:hanging="567"/>
        <w:rPr>
          <w:szCs w:val="22"/>
          <w:lang w:val="lt-LT"/>
        </w:rPr>
      </w:pPr>
      <w:r w:rsidRPr="00E92A04">
        <w:rPr>
          <w:szCs w:val="22"/>
          <w:lang w:val="lt-LT"/>
        </w:rPr>
        <w:t>jeigu vartojama bet kokių vaistų, vadinamų monoaminooksidazės inhibitoriais (MAOI) (vaistų nuo depresijos, Parkinsono</w:t>
      </w:r>
      <w:r>
        <w:rPr>
          <w:szCs w:val="22"/>
          <w:lang w:val="lt-LT"/>
        </w:rPr>
        <w:t xml:space="preserve"> (</w:t>
      </w:r>
      <w:r>
        <w:rPr>
          <w:i/>
          <w:szCs w:val="22"/>
          <w:lang w:val="lt-LT"/>
        </w:rPr>
        <w:t>Parkinson</w:t>
      </w:r>
      <w:r>
        <w:rPr>
          <w:szCs w:val="22"/>
          <w:lang w:val="lt-LT"/>
        </w:rPr>
        <w:t>)</w:t>
      </w:r>
      <w:r w:rsidRPr="00E92A04">
        <w:rPr>
          <w:szCs w:val="22"/>
          <w:lang w:val="lt-LT"/>
        </w:rPr>
        <w:t xml:space="preserve"> ligos ar kitų būklių, pvz., moklobemido, fenelzino ir tranilcipromino, izokarboksazido, linezoido, metileno mėlynojo, prokarbazino, razagilino ir selegilino).</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Įspėjimai ir atsargumo priemonės</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 xml:space="preserve">Pasitarkite su gydytoju arba vaistininku, prieš pradėdami vartoti </w:t>
      </w:r>
      <w:r>
        <w:rPr>
          <w:szCs w:val="22"/>
          <w:lang w:val="lt-LT"/>
        </w:rPr>
        <w:t>Doxylamine Krka</w:t>
      </w:r>
      <w:r w:rsidRPr="00E92A04">
        <w:rPr>
          <w:szCs w:val="22"/>
          <w:lang w:val="lt-LT"/>
        </w:rPr>
        <w:t>, jeigu:</w:t>
      </w:r>
    </w:p>
    <w:p w:rsidR="00054B17" w:rsidRPr="00E92A04" w:rsidRDefault="00054B17" w:rsidP="00054B17">
      <w:pPr>
        <w:widowControl w:val="0"/>
        <w:numPr>
          <w:ilvl w:val="0"/>
          <w:numId w:val="2"/>
        </w:numPr>
        <w:spacing w:line="240" w:lineRule="auto"/>
        <w:ind w:left="567" w:hanging="567"/>
        <w:rPr>
          <w:szCs w:val="22"/>
          <w:lang w:val="lt-LT"/>
        </w:rPr>
      </w:pPr>
      <w:r w:rsidRPr="00E92A04">
        <w:rPr>
          <w:szCs w:val="22"/>
          <w:lang w:val="lt-LT"/>
        </w:rPr>
        <w:t xml:space="preserve">yra kepenų </w:t>
      </w:r>
      <w:r>
        <w:rPr>
          <w:szCs w:val="22"/>
          <w:lang w:val="lt-LT"/>
        </w:rPr>
        <w:t xml:space="preserve">funkcijos </w:t>
      </w:r>
      <w:r w:rsidRPr="00E92A04">
        <w:rPr>
          <w:szCs w:val="22"/>
          <w:lang w:val="lt-LT"/>
        </w:rPr>
        <w:t xml:space="preserve">ar inkstų </w:t>
      </w:r>
      <w:r>
        <w:rPr>
          <w:szCs w:val="22"/>
          <w:lang w:val="lt-LT"/>
        </w:rPr>
        <w:t xml:space="preserve">funkcijos </w:t>
      </w:r>
      <w:r w:rsidRPr="00E92A04">
        <w:rPr>
          <w:szCs w:val="22"/>
          <w:lang w:val="lt-LT"/>
        </w:rPr>
        <w:t>sutrikimas;</w:t>
      </w:r>
    </w:p>
    <w:p w:rsidR="00054B17" w:rsidRPr="00E92A04" w:rsidRDefault="00054B17" w:rsidP="00054B17">
      <w:pPr>
        <w:widowControl w:val="0"/>
        <w:numPr>
          <w:ilvl w:val="0"/>
          <w:numId w:val="2"/>
        </w:numPr>
        <w:spacing w:line="240" w:lineRule="auto"/>
        <w:ind w:left="567" w:hanging="567"/>
        <w:rPr>
          <w:szCs w:val="22"/>
          <w:lang w:val="lt-LT"/>
        </w:rPr>
      </w:pPr>
      <w:r w:rsidRPr="00E92A04">
        <w:rPr>
          <w:szCs w:val="22"/>
          <w:lang w:val="lt-LT"/>
        </w:rPr>
        <w:t>jau sergate širdies liga ir yra didelis kraujospūdis (gali reikėti reguliariai stebėti širdies veiklą);</w:t>
      </w:r>
    </w:p>
    <w:p w:rsidR="00054B17" w:rsidRPr="00E92A04" w:rsidRDefault="00054B17" w:rsidP="00054B17">
      <w:pPr>
        <w:widowControl w:val="0"/>
        <w:numPr>
          <w:ilvl w:val="0"/>
          <w:numId w:val="2"/>
        </w:numPr>
        <w:spacing w:line="240" w:lineRule="auto"/>
        <w:ind w:left="567" w:hanging="567"/>
        <w:rPr>
          <w:szCs w:val="22"/>
          <w:lang w:val="lt-LT"/>
        </w:rPr>
      </w:pPr>
      <w:r w:rsidRPr="00E92A04">
        <w:rPr>
          <w:szCs w:val="22"/>
          <w:lang w:val="lt-LT"/>
        </w:rPr>
        <w:t>yra lėtinių kvėpavimo sutrikimų ar astma;</w:t>
      </w:r>
    </w:p>
    <w:p w:rsidR="00054B17" w:rsidRPr="00E92A04" w:rsidRDefault="00054B17" w:rsidP="00054B17">
      <w:pPr>
        <w:widowControl w:val="0"/>
        <w:numPr>
          <w:ilvl w:val="0"/>
          <w:numId w:val="2"/>
        </w:numPr>
        <w:spacing w:line="240" w:lineRule="auto"/>
        <w:ind w:left="567" w:hanging="567"/>
        <w:rPr>
          <w:szCs w:val="22"/>
          <w:lang w:val="lt-LT"/>
        </w:rPr>
      </w:pPr>
      <w:r w:rsidRPr="00E92A04">
        <w:rPr>
          <w:szCs w:val="22"/>
          <w:lang w:val="lt-LT"/>
        </w:rPr>
        <w:lastRenderedPageBreak/>
        <w:t>įėjimo į skrandį anga užsidaro nepakankamai ir maisto patenka atgal į stemplę (yra gastroezofagini</w:t>
      </w:r>
      <w:r>
        <w:rPr>
          <w:szCs w:val="22"/>
          <w:lang w:val="lt-LT"/>
        </w:rPr>
        <w:t>o</w:t>
      </w:r>
      <w:r w:rsidRPr="00E92A04">
        <w:rPr>
          <w:szCs w:val="22"/>
          <w:lang w:val="lt-LT"/>
        </w:rPr>
        <w:t xml:space="preserve"> refliuks</w:t>
      </w:r>
      <w:r>
        <w:rPr>
          <w:szCs w:val="22"/>
          <w:lang w:val="lt-LT"/>
        </w:rPr>
        <w:t>o liga</w:t>
      </w:r>
      <w:r w:rsidRPr="00E92A04">
        <w:rPr>
          <w:szCs w:val="22"/>
          <w:lang w:val="lt-LT"/>
        </w:rPr>
        <w:t>);</w:t>
      </w:r>
    </w:p>
    <w:p w:rsidR="00054B17" w:rsidRPr="00E92A04" w:rsidRDefault="00054B17" w:rsidP="00054B17">
      <w:pPr>
        <w:widowControl w:val="0"/>
        <w:numPr>
          <w:ilvl w:val="0"/>
          <w:numId w:val="2"/>
        </w:numPr>
        <w:spacing w:line="240" w:lineRule="auto"/>
        <w:ind w:left="567" w:hanging="567"/>
        <w:rPr>
          <w:szCs w:val="22"/>
          <w:lang w:val="lt-LT"/>
        </w:rPr>
      </w:pPr>
      <w:r w:rsidRPr="00E92A04">
        <w:rPr>
          <w:szCs w:val="22"/>
          <w:lang w:val="lt-LT"/>
        </w:rPr>
        <w:t>yra skrandžio ar pradinės žarnyno dalies sienelės erozijų arba prievarčio ir dvylikapirštės žarnos obstrukcija (pasunkėja maisto patekimas iš skrandžio į žarnyną).</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Privalote išmiegoti pakankamai laiko (me mažiau kaip 8 valandas), kad kitą rytą Jūsų gebėjimas reaguoti nebūtų sutrikęs.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Ypač atsargiai šio vaisto reikia vartoti pacientams, kuriems yra neurologinių galvos smegenų žievės pakenkimo požymių ar yra buvę traukulių, kadangi net mažų doksilamino dozių vartojimas gali išprovokuoti didžiuosius (</w:t>
      </w:r>
      <w:r w:rsidRPr="00E92A04">
        <w:rPr>
          <w:i/>
          <w:szCs w:val="22"/>
          <w:lang w:val="lt-LT"/>
        </w:rPr>
        <w:t>grand mal</w:t>
      </w:r>
      <w:r w:rsidRPr="00E92A04">
        <w:rPr>
          <w:szCs w:val="22"/>
          <w:lang w:val="lt-LT"/>
        </w:rPr>
        <w:t xml:space="preserve"> tipo) traukulius.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Jeigu esate vyresnis kaip 65 metų, padidėja šalutinio poveikio pasireiškimo rizika. Be to, padidėja griuvimo rizika.</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i/>
          <w:szCs w:val="22"/>
          <w:lang w:val="lt-LT"/>
        </w:rPr>
      </w:pPr>
      <w:r w:rsidRPr="00E92A04">
        <w:rPr>
          <w:i/>
          <w:szCs w:val="22"/>
          <w:lang w:val="lt-LT"/>
        </w:rPr>
        <w:t>Poveikis diagnostiniams testams</w:t>
      </w:r>
    </w:p>
    <w:p w:rsidR="00054B17" w:rsidRPr="00E92A04" w:rsidRDefault="00054B17" w:rsidP="00054B17">
      <w:pPr>
        <w:widowControl w:val="0"/>
        <w:spacing w:line="240" w:lineRule="auto"/>
        <w:rPr>
          <w:szCs w:val="22"/>
          <w:lang w:val="lt-LT"/>
        </w:rPr>
      </w:pPr>
      <w:r w:rsidRPr="00E92A04">
        <w:rPr>
          <w:szCs w:val="22"/>
          <w:lang w:val="lt-LT"/>
        </w:rPr>
        <w:t xml:space="preserve">Šis vaistas gali keisti odos testų, atliekamų alergijai diagnozuoti, rezultatus, todėl rekomenduojama </w:t>
      </w:r>
      <w:r>
        <w:rPr>
          <w:szCs w:val="22"/>
          <w:lang w:val="lt-LT"/>
        </w:rPr>
        <w:t>Doxylamine Krka</w:t>
      </w:r>
      <w:r w:rsidRPr="00E92A04">
        <w:rPr>
          <w:szCs w:val="22"/>
          <w:lang w:val="lt-LT"/>
        </w:rPr>
        <w:t xml:space="preserve"> vartojimą nutraukti likus ne mažiau kaip trims dienoms iki tyrimo atlikimo ir apie tai informuoti gydytoją.</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b/>
          <w:szCs w:val="22"/>
          <w:lang w:val="lt-LT"/>
        </w:rPr>
      </w:pPr>
      <w:r w:rsidRPr="00E92A04">
        <w:rPr>
          <w:b/>
          <w:szCs w:val="22"/>
          <w:lang w:val="lt-LT"/>
        </w:rPr>
        <w:t>Vaikams ir paaugliams</w:t>
      </w:r>
    </w:p>
    <w:p w:rsidR="00054B17" w:rsidRPr="00E92A04" w:rsidRDefault="00054B17" w:rsidP="00054B17">
      <w:pPr>
        <w:widowControl w:val="0"/>
        <w:spacing w:line="240" w:lineRule="auto"/>
        <w:rPr>
          <w:szCs w:val="22"/>
          <w:lang w:val="lt-LT"/>
        </w:rPr>
      </w:pPr>
      <w:r>
        <w:rPr>
          <w:szCs w:val="22"/>
          <w:lang w:val="lt-LT"/>
        </w:rPr>
        <w:t>Doxylamine Krka</w:t>
      </w:r>
      <w:r w:rsidRPr="00E92A04">
        <w:rPr>
          <w:szCs w:val="22"/>
          <w:lang w:val="lt-LT"/>
        </w:rPr>
        <w:t xml:space="preserve"> vaikams ir paaugliams vartoti negalima, kadangi doksilamino vartojimo naktiniam miegui pagerinti saugumas ir veiksmingumas vaikams ir paaugliams iki 18 metų neištirti.</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 xml:space="preserve">Kiti vaistai ir </w:t>
      </w:r>
      <w:r>
        <w:rPr>
          <w:b/>
          <w:bCs/>
          <w:szCs w:val="22"/>
          <w:lang w:val="lt-LT" w:eastAsia="x-none"/>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Jeigu vartojate ar neseniai vartojote kitų vaistų, įskaitant įsigytus be recepto, arba dėl to nesate tikri, apie tai pasakykite gydytojui arba vaistininkui.</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rPr>
          <w:szCs w:val="22"/>
          <w:lang w:val="lt-LT"/>
        </w:rPr>
      </w:pPr>
      <w:r>
        <w:rPr>
          <w:szCs w:val="22"/>
          <w:lang w:val="lt-LT"/>
        </w:rPr>
        <w:t>Doxylamine Krka</w:t>
      </w:r>
      <w:r w:rsidRPr="00E92A04">
        <w:rPr>
          <w:szCs w:val="22"/>
          <w:lang w:val="lt-LT"/>
        </w:rPr>
        <w:t xml:space="preserve"> negalima vartoti kartu su monoaminooksidazės inhibitoriais. Jei kartu vartojama </w:t>
      </w:r>
      <w:r>
        <w:rPr>
          <w:szCs w:val="22"/>
          <w:lang w:val="lt-LT"/>
        </w:rPr>
        <w:t>Doxylamine Krka</w:t>
      </w:r>
      <w:r w:rsidRPr="00E92A04">
        <w:rPr>
          <w:szCs w:val="22"/>
          <w:lang w:val="lt-LT"/>
        </w:rPr>
        <w:t xml:space="preserve"> ir monoaminooksidazės inhibitorių, gali sumažėti kraujospūdis ir sustiprėti centrinės nervų sistemos bei kvėpavimo slopinimas.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 xml:space="preserve">Gali sustiprėti kartu su </w:t>
      </w:r>
      <w:r>
        <w:rPr>
          <w:szCs w:val="22"/>
          <w:lang w:val="lt-LT"/>
        </w:rPr>
        <w:t>Doxylamine Krka</w:t>
      </w:r>
      <w:r w:rsidRPr="00E92A04">
        <w:rPr>
          <w:szCs w:val="22"/>
          <w:lang w:val="lt-LT"/>
        </w:rPr>
        <w:t xml:space="preserve"> vartojamų toliau išvardytų vaistų poveikis.</w:t>
      </w:r>
    </w:p>
    <w:p w:rsidR="00054B17" w:rsidRPr="00E92A04" w:rsidRDefault="00054B17" w:rsidP="00054B17">
      <w:pPr>
        <w:widowControl w:val="0"/>
        <w:numPr>
          <w:ilvl w:val="0"/>
          <w:numId w:val="3"/>
        </w:numPr>
        <w:spacing w:line="240" w:lineRule="auto"/>
        <w:ind w:left="567" w:hanging="567"/>
        <w:rPr>
          <w:szCs w:val="22"/>
          <w:lang w:val="lt-LT"/>
        </w:rPr>
      </w:pPr>
      <w:r w:rsidRPr="00E92A04">
        <w:rPr>
          <w:szCs w:val="22"/>
          <w:lang w:val="lt-LT"/>
        </w:rPr>
        <w:t>Centrinio poveikio vaistai (pvz., psichiką veikiantys, miegą gerinantys ar skausmą malšinantys vaistai, anestetikai, vaistai nuo traukulių).</w:t>
      </w:r>
    </w:p>
    <w:p w:rsidR="00054B17" w:rsidRPr="00E92A04" w:rsidRDefault="00054B17" w:rsidP="00054B17">
      <w:pPr>
        <w:widowControl w:val="0"/>
        <w:numPr>
          <w:ilvl w:val="0"/>
          <w:numId w:val="3"/>
        </w:numPr>
        <w:spacing w:line="240" w:lineRule="auto"/>
        <w:ind w:left="567" w:hanging="567"/>
        <w:rPr>
          <w:szCs w:val="22"/>
          <w:lang w:val="lt-LT"/>
        </w:rPr>
      </w:pPr>
      <w:r w:rsidRPr="00E92A04">
        <w:rPr>
          <w:szCs w:val="22"/>
          <w:lang w:val="lt-LT"/>
        </w:rPr>
        <w:t>Kiti anticholinerginį poveikį sukeliantys vaistai (pvz., biperidenas, vartojamas nuo Parkinsono</w:t>
      </w:r>
      <w:r>
        <w:rPr>
          <w:szCs w:val="22"/>
          <w:lang w:val="lt-LT"/>
        </w:rPr>
        <w:t xml:space="preserve"> (</w:t>
      </w:r>
      <w:r>
        <w:rPr>
          <w:i/>
          <w:szCs w:val="22"/>
          <w:lang w:val="lt-LT"/>
        </w:rPr>
        <w:t>Parkinson</w:t>
      </w:r>
      <w:r>
        <w:rPr>
          <w:szCs w:val="22"/>
          <w:lang w:val="lt-LT"/>
        </w:rPr>
        <w:t>)</w:t>
      </w:r>
      <w:r w:rsidRPr="00E92A04">
        <w:rPr>
          <w:szCs w:val="22"/>
          <w:lang w:val="lt-LT"/>
        </w:rPr>
        <w:t xml:space="preserve"> ligos, ir tricikliai antidepresantai, vartojami nuo depresijos); dėl to gali pasireikšti, pvz., gyvybei pavojų keliantis žarnyno paralyžius, šlapimo susilaikymas ir ūminis akispūdžio padidėjimas.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Gali susilpnėti toliau išvardytų vaistų poveikis.</w:t>
      </w:r>
    </w:p>
    <w:p w:rsidR="00054B17" w:rsidRPr="00E92A04" w:rsidRDefault="00054B17" w:rsidP="00054B17">
      <w:pPr>
        <w:widowControl w:val="0"/>
        <w:numPr>
          <w:ilvl w:val="0"/>
          <w:numId w:val="6"/>
        </w:numPr>
        <w:tabs>
          <w:tab w:val="clear" w:pos="567"/>
        </w:tabs>
        <w:spacing w:line="240" w:lineRule="auto"/>
        <w:ind w:left="567" w:hanging="567"/>
        <w:rPr>
          <w:szCs w:val="22"/>
          <w:lang w:val="lt-LT"/>
        </w:rPr>
      </w:pPr>
      <w:r w:rsidRPr="00E92A04">
        <w:rPr>
          <w:szCs w:val="22"/>
          <w:lang w:val="lt-LT"/>
        </w:rPr>
        <w:t>Fenitoinas</w:t>
      </w:r>
      <w:r>
        <w:rPr>
          <w:szCs w:val="22"/>
          <w:lang w:val="lt-LT"/>
        </w:rPr>
        <w:t xml:space="preserve"> (vaistas nuo epilepsijos priepuolių).</w:t>
      </w:r>
    </w:p>
    <w:p w:rsidR="00054B17" w:rsidRPr="00E92A04" w:rsidRDefault="00054B17" w:rsidP="00054B17">
      <w:pPr>
        <w:widowControl w:val="0"/>
        <w:numPr>
          <w:ilvl w:val="0"/>
          <w:numId w:val="6"/>
        </w:numPr>
        <w:tabs>
          <w:tab w:val="clear" w:pos="567"/>
        </w:tabs>
        <w:spacing w:line="240" w:lineRule="auto"/>
        <w:ind w:left="567" w:hanging="567"/>
        <w:rPr>
          <w:szCs w:val="22"/>
          <w:lang w:val="lt-LT"/>
        </w:rPr>
      </w:pPr>
      <w:r w:rsidRPr="00E92A04">
        <w:rPr>
          <w:szCs w:val="22"/>
          <w:lang w:val="lt-LT"/>
        </w:rPr>
        <w:t>Neuroleptikai</w:t>
      </w:r>
      <w:r>
        <w:rPr>
          <w:szCs w:val="22"/>
          <w:lang w:val="lt-LT"/>
        </w:rPr>
        <w:t>.</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r w:rsidRPr="00E92A04">
        <w:rPr>
          <w:szCs w:val="22"/>
          <w:lang w:val="lt-LT"/>
        </w:rPr>
        <w:t xml:space="preserve">Vartojant </w:t>
      </w:r>
      <w:r>
        <w:rPr>
          <w:szCs w:val="22"/>
          <w:lang w:val="lt-LT"/>
        </w:rPr>
        <w:t>Doxylamine Krka</w:t>
      </w:r>
      <w:r w:rsidRPr="00E92A04">
        <w:rPr>
          <w:szCs w:val="22"/>
          <w:lang w:val="lt-LT"/>
        </w:rPr>
        <w:t>:</w:t>
      </w:r>
    </w:p>
    <w:p w:rsidR="00054B17" w:rsidRPr="00E92A04" w:rsidRDefault="00054B17" w:rsidP="00054B17">
      <w:pPr>
        <w:widowControl w:val="0"/>
        <w:numPr>
          <w:ilvl w:val="0"/>
          <w:numId w:val="7"/>
        </w:numPr>
        <w:tabs>
          <w:tab w:val="clear" w:pos="567"/>
        </w:tabs>
        <w:spacing w:line="240" w:lineRule="auto"/>
        <w:ind w:left="567" w:hanging="567"/>
        <w:rPr>
          <w:szCs w:val="22"/>
          <w:lang w:val="lt-LT"/>
        </w:rPr>
      </w:pPr>
      <w:r w:rsidRPr="00E92A04">
        <w:rPr>
          <w:szCs w:val="22"/>
          <w:lang w:val="lt-LT"/>
        </w:rPr>
        <w:t>ir centrinę nervų sistemą veikiančių vaistų nuo didelio kraujospūdžio (guanabenzo, klonidino, alfa metildopos), gali sustiprėti nuovargis ir pasireikšti silpnumas;</w:t>
      </w:r>
    </w:p>
    <w:p w:rsidR="00054B17" w:rsidRPr="00E92A04" w:rsidRDefault="00054B17" w:rsidP="00054B17">
      <w:pPr>
        <w:widowControl w:val="0"/>
        <w:numPr>
          <w:ilvl w:val="0"/>
          <w:numId w:val="7"/>
        </w:numPr>
        <w:tabs>
          <w:tab w:val="clear" w:pos="567"/>
        </w:tabs>
        <w:spacing w:line="240" w:lineRule="auto"/>
        <w:ind w:left="567" w:hanging="567"/>
        <w:rPr>
          <w:szCs w:val="22"/>
          <w:lang w:val="lt-LT"/>
        </w:rPr>
      </w:pPr>
      <w:r w:rsidRPr="00E92A04">
        <w:rPr>
          <w:szCs w:val="22"/>
          <w:lang w:val="lt-LT"/>
        </w:rPr>
        <w:t>gali susilpnėti kitų vaistų (pvz., aminoglikozidų grupės antibiotikų, kai kurių vaistų nuo skausmo, kai kurių šlapimo išsiskyrimą skatinančių vaistų) sukelto prasidedančio vidinės ausies pažeidimo simptomai;</w:t>
      </w:r>
    </w:p>
    <w:p w:rsidR="00054B17" w:rsidRPr="00E92A04" w:rsidRDefault="00054B17" w:rsidP="00054B17">
      <w:pPr>
        <w:widowControl w:val="0"/>
        <w:numPr>
          <w:ilvl w:val="0"/>
          <w:numId w:val="7"/>
        </w:numPr>
        <w:tabs>
          <w:tab w:val="clear" w:pos="567"/>
        </w:tabs>
        <w:spacing w:line="240" w:lineRule="auto"/>
        <w:ind w:left="567" w:hanging="567"/>
        <w:rPr>
          <w:szCs w:val="22"/>
          <w:lang w:val="lt-LT"/>
        </w:rPr>
      </w:pPr>
      <w:r w:rsidRPr="00E92A04">
        <w:rPr>
          <w:szCs w:val="22"/>
          <w:lang w:val="lt-LT"/>
        </w:rPr>
        <w:t>odos testų rezultatai gali būti tariamai neigiami;</w:t>
      </w:r>
    </w:p>
    <w:p w:rsidR="00054B17" w:rsidRPr="00E92A04" w:rsidRDefault="00054B17" w:rsidP="00054B17">
      <w:pPr>
        <w:widowControl w:val="0"/>
        <w:numPr>
          <w:ilvl w:val="0"/>
          <w:numId w:val="7"/>
        </w:numPr>
        <w:tabs>
          <w:tab w:val="clear" w:pos="567"/>
        </w:tabs>
        <w:spacing w:line="240" w:lineRule="auto"/>
        <w:ind w:left="567" w:hanging="567"/>
        <w:rPr>
          <w:szCs w:val="22"/>
          <w:lang w:val="lt-LT"/>
        </w:rPr>
      </w:pPr>
      <w:r w:rsidRPr="00E92A04">
        <w:rPr>
          <w:szCs w:val="22"/>
          <w:lang w:val="lt-LT"/>
        </w:rPr>
        <w:t>epinefrino vartoti negalima (nes tai gali sukelti kraujagyslių išsiplėtimą, kraujospūdžio sumažėjimą ir širdies plakimo padažnėjimą).</w:t>
      </w:r>
    </w:p>
    <w:p w:rsidR="00054B17" w:rsidRPr="00E92A04" w:rsidRDefault="00054B17" w:rsidP="00054B17">
      <w:pPr>
        <w:widowControl w:val="0"/>
        <w:spacing w:line="240" w:lineRule="auto"/>
        <w:outlineLvl w:val="3"/>
        <w:rPr>
          <w:b/>
          <w:bCs/>
          <w:szCs w:val="22"/>
          <w:lang w:val="lt-LT" w:eastAsia="x-none"/>
        </w:rPr>
      </w:pPr>
    </w:p>
    <w:p w:rsidR="00054B17" w:rsidRPr="00E92A04" w:rsidRDefault="00054B17" w:rsidP="00054B17">
      <w:pPr>
        <w:widowControl w:val="0"/>
        <w:spacing w:line="240" w:lineRule="auto"/>
        <w:outlineLvl w:val="3"/>
        <w:rPr>
          <w:b/>
          <w:bCs/>
          <w:szCs w:val="22"/>
          <w:lang w:val="lt-LT" w:eastAsia="x-none"/>
        </w:rPr>
      </w:pPr>
      <w:r>
        <w:rPr>
          <w:b/>
          <w:bCs/>
          <w:szCs w:val="22"/>
          <w:lang w:val="lt-LT" w:eastAsia="x-none"/>
        </w:rPr>
        <w:t>Doxylamine Krka</w:t>
      </w:r>
      <w:r w:rsidRPr="00E92A04">
        <w:rPr>
          <w:b/>
          <w:bCs/>
          <w:szCs w:val="22"/>
          <w:lang w:val="lt-LT" w:eastAsia="x-none"/>
        </w:rPr>
        <w:t xml:space="preserve"> vartojimas su maistu, gėrimais ir alkoholiu</w:t>
      </w:r>
    </w:p>
    <w:p w:rsidR="00054B17" w:rsidRPr="00E92A04" w:rsidRDefault="00054B17" w:rsidP="00054B17">
      <w:pPr>
        <w:widowControl w:val="0"/>
        <w:spacing w:line="240" w:lineRule="auto"/>
        <w:rPr>
          <w:szCs w:val="22"/>
          <w:lang w:val="lt-LT"/>
        </w:rPr>
      </w:pPr>
      <w:r w:rsidRPr="00E92A04">
        <w:rPr>
          <w:szCs w:val="22"/>
          <w:lang w:val="lt-LT"/>
        </w:rPr>
        <w:t>Alkoholis gali neprognozuojamai keisti doksilamino poveikį.</w:t>
      </w:r>
    </w:p>
    <w:p w:rsidR="00054B17" w:rsidRPr="00E92A04" w:rsidRDefault="00054B17" w:rsidP="00054B17">
      <w:pPr>
        <w:widowControl w:val="0"/>
        <w:spacing w:line="240" w:lineRule="auto"/>
        <w:rPr>
          <w:szCs w:val="22"/>
          <w:lang w:val="lt-LT" w:eastAsia="x-none"/>
        </w:rPr>
      </w:pPr>
      <w:r w:rsidRPr="00E92A04">
        <w:rPr>
          <w:szCs w:val="22"/>
          <w:lang w:val="lt-LT"/>
        </w:rPr>
        <w:t>Gydymo</w:t>
      </w:r>
      <w:r w:rsidRPr="00E92A04">
        <w:rPr>
          <w:szCs w:val="22"/>
          <w:lang w:val="lt-LT" w:eastAsia="x-none"/>
        </w:rPr>
        <w:t xml:space="preserve"> </w:t>
      </w:r>
      <w:r>
        <w:rPr>
          <w:szCs w:val="22"/>
          <w:lang w:val="lt-LT" w:eastAsia="x-none"/>
        </w:rPr>
        <w:t>Doxylamine Krka</w:t>
      </w:r>
      <w:r w:rsidRPr="00E92A04">
        <w:rPr>
          <w:szCs w:val="22"/>
          <w:lang w:val="lt-LT" w:eastAsia="x-none"/>
        </w:rPr>
        <w:t xml:space="preserve"> metu reikia vengti vartoti alkoholį.</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Nėštumas ir žindymo laikotarpis</w:t>
      </w:r>
    </w:p>
    <w:p w:rsidR="00054B17" w:rsidRPr="00E92A04" w:rsidRDefault="00054B17" w:rsidP="00054B17">
      <w:pPr>
        <w:widowControl w:val="0"/>
        <w:numPr>
          <w:ilvl w:val="12"/>
          <w:numId w:val="0"/>
        </w:numPr>
        <w:tabs>
          <w:tab w:val="clear" w:pos="567"/>
        </w:tabs>
        <w:spacing w:line="240" w:lineRule="auto"/>
        <w:rPr>
          <w:szCs w:val="22"/>
          <w:lang w:val="lt-LT"/>
        </w:rPr>
      </w:pPr>
      <w:r w:rsidRPr="00E92A04">
        <w:rPr>
          <w:szCs w:val="22"/>
          <w:lang w:val="lt-LT"/>
        </w:rPr>
        <w:t>Jeigu esate nėščia, žindote kūdikį, manote, kad galbūt esate nėščia, arba planuojate pastoti, tai prieš vartodama šį vaistą, pasitarkite su gydytoju arba vaistininku.</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numPr>
          <w:ilvl w:val="12"/>
          <w:numId w:val="0"/>
        </w:numPr>
        <w:tabs>
          <w:tab w:val="clear" w:pos="567"/>
        </w:tabs>
        <w:spacing w:line="240" w:lineRule="auto"/>
        <w:rPr>
          <w:szCs w:val="22"/>
          <w:lang w:val="lt-LT"/>
        </w:rPr>
      </w:pPr>
      <w:r>
        <w:rPr>
          <w:szCs w:val="22"/>
          <w:lang w:val="lt-LT"/>
        </w:rPr>
        <w:t>Doxylamine Krka</w:t>
      </w:r>
      <w:r w:rsidRPr="00E92A04">
        <w:rPr>
          <w:szCs w:val="22"/>
          <w:lang w:val="lt-LT"/>
        </w:rPr>
        <w:t xml:space="preserve"> nėštumo metu galima vartoti tik tuo atveju, jei tai aiškiai nurodė gydytojas.</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numPr>
          <w:ilvl w:val="12"/>
          <w:numId w:val="0"/>
        </w:numPr>
        <w:tabs>
          <w:tab w:val="clear" w:pos="567"/>
        </w:tabs>
        <w:spacing w:line="240" w:lineRule="auto"/>
        <w:rPr>
          <w:color w:val="0D0D0D"/>
          <w:szCs w:val="22"/>
          <w:lang w:val="lt-LT"/>
        </w:rPr>
      </w:pPr>
      <w:r w:rsidRPr="00E92A04">
        <w:rPr>
          <w:szCs w:val="22"/>
          <w:lang w:val="lt-LT"/>
        </w:rPr>
        <w:t>Veiklioji medžiaga patenka į motinos pieną</w:t>
      </w:r>
      <w:r w:rsidRPr="00E92A04">
        <w:rPr>
          <w:color w:val="0D0D0D"/>
          <w:szCs w:val="22"/>
          <w:lang w:val="lt-LT"/>
        </w:rPr>
        <w:t>, todėl vartojant vaisto žindymą reikia nutraukti.</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Vairavimas ir mechanizmų valdymas</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Net vartojant taip kaip rekomenduojama, šis vaistas gebėjimą reaguoti gali paveikti tiek, kad gali pablogėti gebėjimas aktyviai dalyvauti eisme ar valdyti mechanizmus. Tokio poveikio rizika dar labiau padidėja, jei kartu vartojama alkoholio. Netikėto ar staigaus įvykio atveju galite nebesureaguoti pakankamai greitai ir tikslingai.</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Vairuoti automobilius ir kitas transporto priemones, valdyti bet kokius elektrinius įrankius ar mechanizmus bei dirbti nesant saugios pėdų atramos negalima.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color w:val="000000"/>
          <w:szCs w:val="22"/>
          <w:lang w:val="lt-LT" w:eastAsia="x-none"/>
        </w:rPr>
      </w:pPr>
      <w:r>
        <w:rPr>
          <w:b/>
          <w:bCs/>
          <w:szCs w:val="22"/>
          <w:lang w:val="lt-LT" w:eastAsia="x-none"/>
        </w:rPr>
        <w:t>Doxylamine Krka</w:t>
      </w:r>
      <w:r w:rsidRPr="00E92A04">
        <w:rPr>
          <w:b/>
          <w:bCs/>
          <w:szCs w:val="22"/>
          <w:lang w:val="lt-LT" w:eastAsia="x-none"/>
        </w:rPr>
        <w:t xml:space="preserve"> sudėtyje yra </w:t>
      </w:r>
      <w:r w:rsidRPr="00E92A04">
        <w:rPr>
          <w:b/>
          <w:bCs/>
          <w:color w:val="000000"/>
          <w:szCs w:val="22"/>
          <w:lang w:val="lt-LT" w:eastAsia="x-none"/>
        </w:rPr>
        <w:t>laktozės</w:t>
      </w:r>
    </w:p>
    <w:p w:rsidR="00054B17" w:rsidRPr="00E92A04" w:rsidRDefault="00054B17" w:rsidP="00054B17">
      <w:pPr>
        <w:widowControl w:val="0"/>
        <w:spacing w:line="240" w:lineRule="auto"/>
        <w:rPr>
          <w:szCs w:val="22"/>
          <w:lang w:val="lt-LT"/>
        </w:rPr>
      </w:pPr>
      <w:r w:rsidRPr="00E92A04">
        <w:rPr>
          <w:szCs w:val="22"/>
          <w:lang w:val="lt-LT"/>
        </w:rPr>
        <w:t>Jeigu gydytojas Jums yra sakęs, kad netoleruojate kokių nors angliavandenių, kreipkitės į jį prieš pradėdami vartoti šį vaistą.</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color w:val="000000"/>
          <w:szCs w:val="22"/>
          <w:lang w:val="lt-LT" w:eastAsia="x-none"/>
        </w:rPr>
      </w:pPr>
      <w:r>
        <w:rPr>
          <w:b/>
          <w:bCs/>
          <w:szCs w:val="22"/>
          <w:lang w:val="lt-LT" w:eastAsia="x-none"/>
        </w:rPr>
        <w:t>Doxylamine Krka</w:t>
      </w:r>
      <w:r w:rsidRPr="00E92A04">
        <w:rPr>
          <w:b/>
          <w:bCs/>
          <w:szCs w:val="22"/>
          <w:lang w:val="lt-LT" w:eastAsia="x-none"/>
        </w:rPr>
        <w:t xml:space="preserve"> sudėtyje yra </w:t>
      </w:r>
      <w:r w:rsidRPr="00E92A04">
        <w:rPr>
          <w:b/>
          <w:bCs/>
          <w:color w:val="000000"/>
          <w:szCs w:val="22"/>
          <w:lang w:val="lt-LT" w:eastAsia="x-none"/>
        </w:rPr>
        <w:t>natrio</w:t>
      </w:r>
    </w:p>
    <w:p w:rsidR="00054B17" w:rsidRPr="00E92A04" w:rsidRDefault="00054B17" w:rsidP="00054B17">
      <w:pPr>
        <w:widowControl w:val="0"/>
        <w:spacing w:line="240" w:lineRule="auto"/>
        <w:rPr>
          <w:szCs w:val="22"/>
          <w:lang w:val="lt-LT"/>
        </w:rPr>
      </w:pPr>
      <w:r w:rsidRPr="00E92A04">
        <w:rPr>
          <w:szCs w:val="22"/>
          <w:lang w:val="lt-LT"/>
        </w:rPr>
        <w:t>Šio vaisto tabletėje yra mažiau kaip 1 mmol (23 mg) natrio, t. y. jis beveik neturi reikšmės.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outlineLvl w:val="2"/>
        <w:rPr>
          <w:b/>
          <w:bCs/>
          <w:szCs w:val="22"/>
          <w:lang w:val="lt-LT" w:eastAsia="x-none"/>
        </w:rPr>
      </w:pPr>
      <w:r w:rsidRPr="00E92A04">
        <w:rPr>
          <w:b/>
          <w:bCs/>
          <w:szCs w:val="22"/>
          <w:lang w:val="lt-LT" w:eastAsia="x-none"/>
        </w:rPr>
        <w:t>3.</w:t>
      </w:r>
      <w:r w:rsidRPr="00E92A04">
        <w:rPr>
          <w:b/>
          <w:bCs/>
          <w:szCs w:val="22"/>
          <w:lang w:val="lt-LT" w:eastAsia="x-none"/>
        </w:rPr>
        <w:tab/>
        <w:t xml:space="preserve">Kaip vartoti </w:t>
      </w:r>
      <w:r>
        <w:rPr>
          <w:b/>
          <w:bCs/>
          <w:szCs w:val="22"/>
          <w:lang w:val="lt-LT" w:eastAsia="x-none"/>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B34FA1">
        <w:rPr>
          <w:noProof/>
          <w:szCs w:val="24"/>
          <w:lang w:val="lt-LT"/>
        </w:rPr>
        <w:t>Visada vartokite</w:t>
      </w:r>
      <w:r>
        <w:rPr>
          <w:noProof/>
          <w:szCs w:val="24"/>
          <w:lang w:val="lt-LT"/>
        </w:rPr>
        <w:t xml:space="preserve"> šį </w:t>
      </w:r>
      <w:r w:rsidRPr="00B34FA1">
        <w:rPr>
          <w:noProof/>
          <w:szCs w:val="24"/>
          <w:lang w:val="lt-LT"/>
        </w:rPr>
        <w:t>vaistą tiksliai kaip nurodė gydytojas arba vaistininkas.</w:t>
      </w:r>
      <w:r>
        <w:rPr>
          <w:noProof/>
          <w:szCs w:val="24"/>
          <w:lang w:val="lt-LT"/>
        </w:rPr>
        <w:t xml:space="preserve"> </w:t>
      </w:r>
      <w:r w:rsidRPr="00E92A04">
        <w:rPr>
          <w:szCs w:val="22"/>
          <w:lang w:val="lt-LT"/>
        </w:rPr>
        <w:t>Jeigu abejojate, kreipkitės į gydytoją arba vaistininką.</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Rekomenduojama dozė</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Suaugusiesiems reikia išgerti 1 tabletę (atitinka 25 mg doksilamino sukcinato) likus maždaug pusvalandžiui ar valandai iki miego laiko. Jei miego sutrikimas yra sunkus, galima vartoti 2 tabletes (atitinka 50 mg doksilamino sukcinato), tokia dozė yra maksimali.</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contextualSpacing/>
        <w:outlineLvl w:val="0"/>
        <w:rPr>
          <w:iCs/>
          <w:color w:val="000000"/>
          <w:szCs w:val="22"/>
          <w:lang w:val="lt-LT"/>
        </w:rPr>
      </w:pPr>
      <w:r w:rsidRPr="00E92A04">
        <w:rPr>
          <w:iCs/>
          <w:color w:val="000000"/>
          <w:szCs w:val="22"/>
          <w:lang w:val="lt-LT"/>
        </w:rPr>
        <w:t>Pacientams, kurių inkstų ar kepenų funkcija sutrikusi, ir senyviems bei nusilpusiems pacientams, kurie yra jautresni doksilamino poveikiui, dozę reikia sumažinti.</w:t>
      </w:r>
    </w:p>
    <w:p w:rsidR="00054B17" w:rsidRPr="00E92A04" w:rsidRDefault="00054B17" w:rsidP="00054B17">
      <w:pPr>
        <w:widowControl w:val="0"/>
        <w:spacing w:line="240" w:lineRule="auto"/>
        <w:contextualSpacing/>
        <w:outlineLvl w:val="0"/>
        <w:rPr>
          <w:iCs/>
          <w:color w:val="000000"/>
          <w:szCs w:val="22"/>
          <w:lang w:val="lt-LT"/>
        </w:rPr>
      </w:pPr>
      <w:r w:rsidRPr="00E92A04">
        <w:rPr>
          <w:iCs/>
          <w:color w:val="000000"/>
          <w:szCs w:val="22"/>
          <w:lang w:val="lt-LT"/>
        </w:rPr>
        <w:t>Jei vartojant šį vaistą reikiamai dozuoti neįmanoma, galima vartoti kitus tiekiamus vaistus.</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i/>
          <w:szCs w:val="22"/>
          <w:lang w:val="lt-LT"/>
        </w:rPr>
      </w:pPr>
      <w:r w:rsidRPr="00E92A04">
        <w:rPr>
          <w:i/>
          <w:szCs w:val="22"/>
          <w:lang w:val="lt-LT"/>
        </w:rPr>
        <w:t>Vartojimo metodas</w:t>
      </w:r>
    </w:p>
    <w:p w:rsidR="00054B17" w:rsidRPr="00E92A04" w:rsidRDefault="00054B17" w:rsidP="00054B17">
      <w:pPr>
        <w:widowControl w:val="0"/>
        <w:numPr>
          <w:ilvl w:val="12"/>
          <w:numId w:val="0"/>
        </w:numPr>
        <w:tabs>
          <w:tab w:val="clear" w:pos="567"/>
        </w:tabs>
        <w:spacing w:line="240" w:lineRule="auto"/>
        <w:ind w:right="-2"/>
        <w:rPr>
          <w:szCs w:val="22"/>
          <w:lang w:val="lt-LT"/>
        </w:rPr>
      </w:pPr>
      <w:r>
        <w:rPr>
          <w:szCs w:val="22"/>
          <w:lang w:val="lt-LT"/>
        </w:rPr>
        <w:t>Doxylamine Krka</w:t>
      </w:r>
      <w:r w:rsidRPr="00E92A04">
        <w:rPr>
          <w:szCs w:val="22"/>
          <w:lang w:val="lt-LT"/>
        </w:rPr>
        <w:t xml:space="preserve"> vartojamas per burną.</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Tabletę reikia užgerti stikline vandens.</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Vagelė skirta tik padėti tabletei perlaužti, jei ją visą nuryti sunku.</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t xml:space="preserve">Ką daryti pavartojus per didelę </w:t>
      </w:r>
      <w:r>
        <w:rPr>
          <w:b/>
          <w:bCs/>
          <w:szCs w:val="22"/>
          <w:lang w:val="lt-LT" w:eastAsia="x-none"/>
        </w:rPr>
        <w:t>Doxylamine Krka</w:t>
      </w:r>
      <w:r w:rsidRPr="00E92A04">
        <w:rPr>
          <w:b/>
          <w:bCs/>
          <w:szCs w:val="22"/>
          <w:lang w:val="lt-LT" w:eastAsia="x-none"/>
        </w:rPr>
        <w:t xml:space="preserve"> dozę?</w:t>
      </w:r>
    </w:p>
    <w:p w:rsidR="00054B17" w:rsidRPr="00E92A04" w:rsidRDefault="00054B17" w:rsidP="00054B17">
      <w:pPr>
        <w:widowControl w:val="0"/>
        <w:numPr>
          <w:ilvl w:val="12"/>
          <w:numId w:val="0"/>
        </w:numPr>
        <w:tabs>
          <w:tab w:val="clear" w:pos="567"/>
        </w:tabs>
        <w:spacing w:line="240" w:lineRule="auto"/>
        <w:ind w:right="-2"/>
        <w:rPr>
          <w:szCs w:val="22"/>
          <w:lang w:val="lt-LT" w:eastAsia="x-none"/>
        </w:rPr>
      </w:pPr>
      <w:r w:rsidRPr="00E92A04">
        <w:rPr>
          <w:szCs w:val="22"/>
          <w:lang w:val="lt-LT" w:eastAsia="x-none"/>
        </w:rPr>
        <w:t>Pradiniai perdozavimo požymiai gali būti centrinės nervų sistemos simptomai, tokie kaip neramumas, raumenų refleksų sustiprėjimas, sąmonės netekimas, kvėpavimo slopinimas ir širdies veiklos nutrūkimas. Kiti perdozavimo požymiai yra vyzdžių išsiplėtimas, padažnėjęs širdies plakimas (tachikardija), karščiavimas, odos ir gleivinės karščio pojūtis bei paraudimas. Jeigu atsiranda tokių simptomų, būtina nedelsiant kreiptis į gydytoją.</w:t>
      </w:r>
    </w:p>
    <w:p w:rsidR="00054B17" w:rsidRPr="00E92A04" w:rsidRDefault="00054B17" w:rsidP="00054B17">
      <w:pPr>
        <w:widowControl w:val="0"/>
        <w:numPr>
          <w:ilvl w:val="12"/>
          <w:numId w:val="0"/>
        </w:numPr>
        <w:tabs>
          <w:tab w:val="clear" w:pos="567"/>
        </w:tabs>
        <w:spacing w:line="240" w:lineRule="auto"/>
        <w:ind w:right="-2"/>
        <w:rPr>
          <w:szCs w:val="22"/>
          <w:lang w:val="lt-LT" w:eastAsia="x-none"/>
        </w:rPr>
      </w:pPr>
      <w:r w:rsidRPr="00E92A04">
        <w:rPr>
          <w:szCs w:val="22"/>
          <w:lang w:val="lt-LT" w:eastAsia="x-none"/>
        </w:rPr>
        <w:t>Be to, pranešta apie raumenų skaidulų irimo (rabdomiolizės) atvejus, pasireiškusius po perdozavimo.</w:t>
      </w:r>
    </w:p>
    <w:p w:rsidR="00054B17" w:rsidRPr="00E92A04" w:rsidRDefault="00054B17" w:rsidP="00054B17">
      <w:pPr>
        <w:widowControl w:val="0"/>
        <w:numPr>
          <w:ilvl w:val="12"/>
          <w:numId w:val="0"/>
        </w:numPr>
        <w:tabs>
          <w:tab w:val="clear" w:pos="567"/>
        </w:tabs>
        <w:spacing w:line="240" w:lineRule="auto"/>
        <w:ind w:right="-2"/>
        <w:rPr>
          <w:szCs w:val="22"/>
          <w:lang w:val="lt-LT" w:eastAsia="x-none"/>
        </w:rPr>
      </w:pPr>
      <w:r w:rsidRPr="00E92A04">
        <w:rPr>
          <w:szCs w:val="22"/>
          <w:lang w:val="lt-LT" w:eastAsia="x-none"/>
        </w:rPr>
        <w:t>Jūsų gydytojas nuspręs, ką reikia daryti.</w:t>
      </w:r>
    </w:p>
    <w:p w:rsidR="00054B17" w:rsidRPr="00E92A04" w:rsidRDefault="00054B17" w:rsidP="00054B17">
      <w:pPr>
        <w:widowControl w:val="0"/>
        <w:numPr>
          <w:ilvl w:val="12"/>
          <w:numId w:val="0"/>
        </w:numPr>
        <w:tabs>
          <w:tab w:val="clear" w:pos="567"/>
        </w:tabs>
        <w:spacing w:line="240" w:lineRule="auto"/>
        <w:ind w:right="-2"/>
        <w:rPr>
          <w:szCs w:val="22"/>
          <w:lang w:val="lt-LT" w:eastAsia="x-none"/>
        </w:rPr>
      </w:pPr>
      <w:r w:rsidRPr="00E92A04">
        <w:rPr>
          <w:szCs w:val="22"/>
          <w:lang w:val="lt-LT" w:eastAsia="x-none"/>
        </w:rPr>
        <w:t>Jei pasireikš virškinimo trakto ar centrinės nervų sistemos sutrikimų, burnos džiūvimas, šlapimo pūslės išsituštinimo sutrikimų (šlapinimosi sutrikimų) ar regos sutrikimų, gydytojas turės imtis atitinkamų priemonių, kurios priklausys nuo simptomų.</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sidRPr="00E92A04">
        <w:rPr>
          <w:b/>
          <w:bCs/>
          <w:szCs w:val="22"/>
          <w:lang w:val="lt-LT" w:eastAsia="x-none"/>
        </w:rPr>
        <w:lastRenderedPageBreak/>
        <w:t xml:space="preserve">Pamiršus pavartoti </w:t>
      </w:r>
      <w:r>
        <w:rPr>
          <w:b/>
          <w:bCs/>
          <w:szCs w:val="22"/>
          <w:lang w:val="lt-LT" w:eastAsia="x-none"/>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Negalima vartoti dvigubos dozės norint kompensuoti praleistą dozę.</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9"/>
        <w:rPr>
          <w:szCs w:val="22"/>
          <w:lang w:val="lt-LT"/>
        </w:rPr>
      </w:pPr>
      <w:r w:rsidRPr="00E92A04">
        <w:rPr>
          <w:szCs w:val="22"/>
          <w:lang w:val="lt-LT"/>
        </w:rPr>
        <w:t>Jeigu kiltų daugiau klausimų dėl šio vaisto vartojimo, kreipkitės į gydytoją arba vaistininką.</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spacing w:line="240" w:lineRule="auto"/>
        <w:outlineLvl w:val="2"/>
        <w:rPr>
          <w:b/>
          <w:bCs/>
          <w:szCs w:val="22"/>
          <w:lang w:val="lt-LT" w:eastAsia="x-none"/>
        </w:rPr>
      </w:pPr>
      <w:r w:rsidRPr="00E92A04">
        <w:rPr>
          <w:b/>
          <w:bCs/>
          <w:szCs w:val="22"/>
          <w:lang w:val="lt-LT" w:eastAsia="x-none"/>
        </w:rPr>
        <w:t>4.</w:t>
      </w:r>
      <w:r w:rsidRPr="00E92A04">
        <w:rPr>
          <w:b/>
          <w:bCs/>
          <w:szCs w:val="22"/>
          <w:lang w:val="lt-LT" w:eastAsia="x-none"/>
        </w:rPr>
        <w:tab/>
        <w:t>Galimas šalutinis poveikis</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numPr>
          <w:ilvl w:val="12"/>
          <w:numId w:val="0"/>
        </w:numPr>
        <w:tabs>
          <w:tab w:val="clear" w:pos="567"/>
        </w:tabs>
        <w:spacing w:line="240" w:lineRule="auto"/>
        <w:ind w:right="-29"/>
        <w:rPr>
          <w:szCs w:val="22"/>
          <w:lang w:val="lt-LT"/>
        </w:rPr>
      </w:pPr>
      <w:r w:rsidRPr="00E92A04">
        <w:rPr>
          <w:szCs w:val="22"/>
          <w:lang w:val="lt-LT"/>
        </w:rPr>
        <w:t>Šis vaistas, kaip ir visi kiti, gali sukelti šalutinį poveikį, nors jis pasireiškia ne visiems žmonėms.</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tabs>
          <w:tab w:val="clear" w:pos="567"/>
        </w:tabs>
        <w:spacing w:line="240" w:lineRule="auto"/>
        <w:rPr>
          <w:snapToGrid/>
          <w:szCs w:val="22"/>
          <w:lang w:val="lt-LT" w:eastAsia="sl-SI"/>
        </w:rPr>
      </w:pPr>
      <w:r w:rsidRPr="00E92A04">
        <w:rPr>
          <w:snapToGrid/>
          <w:szCs w:val="22"/>
          <w:lang w:val="lt-LT" w:eastAsia="sl-SI"/>
        </w:rPr>
        <w:t>Retas šalutinis poveikis (gali pasireikšti rečiau kaip 1 iš 1 000 žmonių):</w:t>
      </w:r>
    </w:p>
    <w:p w:rsidR="00054B17" w:rsidRPr="00E92A04" w:rsidRDefault="00054B17" w:rsidP="00054B17">
      <w:pPr>
        <w:widowControl w:val="0"/>
        <w:numPr>
          <w:ilvl w:val="0"/>
          <w:numId w:val="8"/>
        </w:numPr>
        <w:tabs>
          <w:tab w:val="clear" w:pos="567"/>
        </w:tabs>
        <w:spacing w:line="240" w:lineRule="auto"/>
        <w:ind w:left="567" w:hanging="567"/>
        <w:rPr>
          <w:snapToGrid/>
          <w:szCs w:val="22"/>
          <w:lang w:val="lt-LT" w:eastAsia="sl-SI"/>
        </w:rPr>
      </w:pPr>
      <w:r w:rsidRPr="00E92A04">
        <w:rPr>
          <w:snapToGrid/>
          <w:szCs w:val="22"/>
          <w:lang w:val="lt-LT" w:eastAsia="sl-SI"/>
        </w:rPr>
        <w:t>traukuliai.</w:t>
      </w:r>
    </w:p>
    <w:p w:rsidR="00054B17" w:rsidRPr="00E92A04" w:rsidRDefault="00054B17" w:rsidP="00054B17">
      <w:pPr>
        <w:widowControl w:val="0"/>
        <w:tabs>
          <w:tab w:val="clear" w:pos="567"/>
        </w:tabs>
        <w:spacing w:line="240" w:lineRule="auto"/>
        <w:rPr>
          <w:snapToGrid/>
          <w:szCs w:val="22"/>
          <w:lang w:val="lt-LT" w:eastAsia="sl-SI"/>
        </w:rPr>
      </w:pPr>
    </w:p>
    <w:p w:rsidR="00054B17" w:rsidRPr="00E92A04" w:rsidRDefault="00054B17" w:rsidP="00054B17">
      <w:pPr>
        <w:widowControl w:val="0"/>
        <w:tabs>
          <w:tab w:val="clear" w:pos="567"/>
        </w:tabs>
        <w:spacing w:line="240" w:lineRule="auto"/>
        <w:rPr>
          <w:snapToGrid/>
          <w:szCs w:val="22"/>
          <w:lang w:val="lt-LT" w:eastAsia="sl-SI"/>
        </w:rPr>
      </w:pPr>
      <w:r w:rsidRPr="00E92A04">
        <w:rPr>
          <w:snapToGrid/>
          <w:szCs w:val="22"/>
          <w:lang w:val="lt-LT" w:eastAsia="sl-SI"/>
        </w:rPr>
        <w:t>Labai retas šalutinis poveikis (gali pasireikšti rečiau kaip 1 iš 10 000 žmonių):</w:t>
      </w:r>
    </w:p>
    <w:p w:rsidR="00054B17" w:rsidRPr="00E92A04" w:rsidRDefault="00054B17" w:rsidP="00054B17">
      <w:pPr>
        <w:widowControl w:val="0"/>
        <w:numPr>
          <w:ilvl w:val="0"/>
          <w:numId w:val="9"/>
        </w:numPr>
        <w:tabs>
          <w:tab w:val="clear" w:pos="567"/>
        </w:tabs>
        <w:spacing w:line="240" w:lineRule="auto"/>
        <w:ind w:left="567" w:hanging="567"/>
        <w:rPr>
          <w:snapToGrid/>
          <w:szCs w:val="22"/>
          <w:lang w:val="lt-LT" w:eastAsia="sl-SI"/>
        </w:rPr>
      </w:pPr>
      <w:r w:rsidRPr="00E92A04">
        <w:rPr>
          <w:snapToGrid/>
          <w:szCs w:val="22"/>
          <w:lang w:val="lt-LT" w:eastAsia="sl-SI"/>
        </w:rPr>
        <w:t>kraujo ląstelių sutrikimai (tokie kaip nenormalus raudonųjų kraujo ląstelių irimas, trombocitų ar baltųjų kraujo ląstelių kiekio sumažėjimas);</w:t>
      </w:r>
    </w:p>
    <w:p w:rsidR="00054B17" w:rsidRPr="00E92A04" w:rsidRDefault="00054B17" w:rsidP="00054B17">
      <w:pPr>
        <w:widowControl w:val="0"/>
        <w:numPr>
          <w:ilvl w:val="0"/>
          <w:numId w:val="9"/>
        </w:numPr>
        <w:tabs>
          <w:tab w:val="clear" w:pos="567"/>
        </w:tabs>
        <w:spacing w:line="240" w:lineRule="auto"/>
        <w:ind w:left="567" w:hanging="567"/>
        <w:rPr>
          <w:snapToGrid/>
          <w:szCs w:val="22"/>
          <w:lang w:val="lt-LT" w:eastAsia="sl-SI"/>
        </w:rPr>
      </w:pPr>
      <w:r w:rsidRPr="00E92A04">
        <w:rPr>
          <w:snapToGrid/>
          <w:szCs w:val="22"/>
          <w:lang w:val="lt-LT" w:eastAsia="sl-SI"/>
        </w:rPr>
        <w:t>gyvybei pavojų keliantis žarnyno paralyžius.</w:t>
      </w:r>
    </w:p>
    <w:p w:rsidR="00054B17" w:rsidRPr="00E92A04" w:rsidRDefault="00054B17" w:rsidP="00054B17">
      <w:pPr>
        <w:widowControl w:val="0"/>
        <w:tabs>
          <w:tab w:val="clear" w:pos="567"/>
        </w:tabs>
        <w:spacing w:line="240" w:lineRule="auto"/>
        <w:rPr>
          <w:snapToGrid/>
          <w:szCs w:val="22"/>
          <w:lang w:val="lt-LT" w:eastAsia="sl-SI"/>
        </w:rPr>
      </w:pPr>
    </w:p>
    <w:p w:rsidR="00054B17" w:rsidRPr="00E92A04" w:rsidRDefault="00054B17" w:rsidP="00054B17">
      <w:pPr>
        <w:widowControl w:val="0"/>
        <w:tabs>
          <w:tab w:val="clear" w:pos="567"/>
        </w:tabs>
        <w:spacing w:line="240" w:lineRule="auto"/>
        <w:rPr>
          <w:snapToGrid/>
          <w:szCs w:val="22"/>
          <w:lang w:val="lt-LT" w:eastAsia="sl-SI"/>
        </w:rPr>
      </w:pPr>
      <w:r w:rsidRPr="00E92A04">
        <w:rPr>
          <w:snapToGrid/>
          <w:szCs w:val="22"/>
          <w:lang w:val="lt-LT" w:eastAsia="sl-SI"/>
        </w:rPr>
        <w:t>Dažnis nežinomas (</w:t>
      </w:r>
      <w:r w:rsidRPr="00E92A04">
        <w:rPr>
          <w:szCs w:val="22"/>
          <w:lang w:val="lt-LT"/>
        </w:rPr>
        <w:t>negali būti apskaičiuotas pagal turimus duomenis</w:t>
      </w:r>
      <w:r w:rsidRPr="00E92A04">
        <w:rPr>
          <w:snapToGrid/>
          <w:szCs w:val="22"/>
          <w:lang w:val="lt-LT" w:eastAsia="sl-SI"/>
        </w:rPr>
        <w:t>):</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pacientams, kuriems yra antinksčių navikas (feochromocitoma), iš jo gali išsiskirti labai stiprų poveikį širdies ir kraujagyslių sistemai sukeliančių medžiagų;</w:t>
      </w:r>
    </w:p>
    <w:p w:rsidR="00054B17" w:rsidRPr="00E92A04" w:rsidRDefault="00054B17" w:rsidP="00054B17">
      <w:pPr>
        <w:widowControl w:val="0"/>
        <w:autoSpaceDE w:val="0"/>
        <w:autoSpaceDN w:val="0"/>
        <w:adjustRightInd w:val="0"/>
        <w:spacing w:line="240" w:lineRule="auto"/>
        <w:rPr>
          <w:szCs w:val="22"/>
          <w:lang w:val="lt-LT"/>
        </w:rPr>
      </w:pPr>
      <w:r w:rsidRPr="00E92A04">
        <w:rPr>
          <w:snapToGrid/>
          <w:szCs w:val="22"/>
          <w:lang w:val="lt-LT" w:eastAsia="sl-SI"/>
        </w:rPr>
        <w:t>-</w:t>
      </w:r>
      <w:r w:rsidRPr="00E92A04">
        <w:rPr>
          <w:snapToGrid/>
          <w:szCs w:val="22"/>
          <w:lang w:val="lt-LT" w:eastAsia="sl-SI"/>
        </w:rPr>
        <w:tab/>
      </w:r>
      <w:r w:rsidRPr="00E92A04">
        <w:rPr>
          <w:szCs w:val="22"/>
          <w:lang w:val="lt-LT"/>
        </w:rPr>
        <w:t>gebėjimo susikaupti pablogėjimas, depresija, pailgėjęs reakcijos laikas.</w:t>
      </w:r>
    </w:p>
    <w:p w:rsidR="00054B17" w:rsidRPr="00E92A04" w:rsidRDefault="00054B17" w:rsidP="00054B17">
      <w:pPr>
        <w:widowControl w:val="0"/>
        <w:autoSpaceDE w:val="0"/>
        <w:autoSpaceDN w:val="0"/>
        <w:adjustRightInd w:val="0"/>
        <w:spacing w:line="240" w:lineRule="auto"/>
        <w:ind w:left="564" w:hanging="564"/>
        <w:rPr>
          <w:snapToGrid/>
          <w:szCs w:val="22"/>
          <w:lang w:val="lt-LT" w:eastAsia="sl-SI"/>
        </w:rPr>
      </w:pPr>
      <w:r w:rsidRPr="00E92A04">
        <w:rPr>
          <w:szCs w:val="22"/>
          <w:lang w:val="lt-LT"/>
        </w:rPr>
        <w:t>-</w:t>
      </w:r>
      <w:r w:rsidRPr="00E92A04">
        <w:rPr>
          <w:szCs w:val="22"/>
          <w:lang w:val="lt-LT"/>
        </w:rPr>
        <w:tab/>
        <w:t>paradoksinės reakcijos, tokios kaip neramumas, sujaudinimas, įtampa, nemiga, košmariški sapnai, minčių susipainiojimas, haliucinacijos, drebulys;</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svaigulys, apsnūdimas, galvos skausmas;</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vadinamasis vegetacinis šalutinis poveikis, toks kaip akių fokusavimo pasunkėjimas, burnos džiūvimas, nosies užgulimo pojūtis, padidėjęs akispūdis, vidurių užkietėjimas, šlapinimosi sutrikimas, pykinimas, vėmimas, viduriavimas, apetito netekimas ar padidėjimas, pilvo skausmas;</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 xml:space="preserve">galvos </w:t>
      </w:r>
      <w:r>
        <w:rPr>
          <w:snapToGrid/>
          <w:szCs w:val="22"/>
          <w:lang w:val="lt-LT" w:eastAsia="sl-SI"/>
        </w:rPr>
        <w:t>svaigimas</w:t>
      </w:r>
      <w:r w:rsidRPr="00E92A04">
        <w:rPr>
          <w:snapToGrid/>
          <w:szCs w:val="22"/>
          <w:lang w:val="lt-LT" w:eastAsia="sl-SI"/>
        </w:rPr>
        <w:t>, spengimas ausyse;</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padažnėjęs ar neritmiškas širdies plakimas, jau esančio širdies nepakankamumo pasunkėjimas, elektrokardiogramos (EKG) pokyčiai;</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didelis ar mažas kraujospūdis;</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Pr="00E92A04">
        <w:rPr>
          <w:szCs w:val="22"/>
          <w:lang w:val="lt-LT"/>
        </w:rPr>
        <w:t>kvėpavimo funkcijos pablogėjimas dėl bronchų sekreto sutirštėjimo, bronchų užsikimšimo ar susiaurėjimo</w:t>
      </w:r>
      <w:r w:rsidRPr="00E92A04">
        <w:rPr>
          <w:snapToGrid/>
          <w:szCs w:val="22"/>
          <w:lang w:val="lt-LT" w:eastAsia="sl-SI"/>
        </w:rPr>
        <w:t>;</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kepenų funkcijos sutrikimas (cholestazinė gelta);</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alerginės odos reakcijos ir jautrumas šviesai (reikia vengti tiesioginių saulės spindulių);</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raumenų silpnumas;</w:t>
      </w:r>
    </w:p>
    <w:p w:rsidR="00054B17" w:rsidRPr="00E92A04" w:rsidRDefault="00054B17" w:rsidP="00054B17">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silpnumas, kūno temperatūros reguliavimo sutrikimas.</w:t>
      </w:r>
    </w:p>
    <w:p w:rsidR="00054B17" w:rsidRPr="00E92A04" w:rsidRDefault="00054B17" w:rsidP="00054B17">
      <w:pPr>
        <w:widowControl w:val="0"/>
        <w:tabs>
          <w:tab w:val="clear" w:pos="567"/>
        </w:tabs>
        <w:spacing w:line="240" w:lineRule="auto"/>
        <w:rPr>
          <w:snapToGrid/>
          <w:szCs w:val="22"/>
          <w:lang w:val="lt-LT" w:eastAsia="sl-SI"/>
        </w:rPr>
      </w:pPr>
    </w:p>
    <w:p w:rsidR="00054B17" w:rsidRPr="00E92A04" w:rsidRDefault="00054B17" w:rsidP="00054B17">
      <w:pPr>
        <w:widowControl w:val="0"/>
        <w:autoSpaceDE w:val="0"/>
        <w:autoSpaceDN w:val="0"/>
        <w:adjustRightInd w:val="0"/>
        <w:spacing w:line="240" w:lineRule="auto"/>
        <w:rPr>
          <w:szCs w:val="22"/>
          <w:lang w:val="lt-LT"/>
        </w:rPr>
      </w:pPr>
      <w:r w:rsidRPr="00E92A04">
        <w:rPr>
          <w:szCs w:val="22"/>
          <w:lang w:val="lt-LT"/>
        </w:rPr>
        <w:t>Gydymą nutraukus staiga po ilgalaikio kasdienio vartojimo, gali vėl pasireikšti sunkesni miego sutrikimai.</w:t>
      </w:r>
    </w:p>
    <w:p w:rsidR="00054B17" w:rsidRPr="00E92A04" w:rsidRDefault="00054B17" w:rsidP="00054B17">
      <w:pPr>
        <w:widowControl w:val="0"/>
        <w:autoSpaceDE w:val="0"/>
        <w:autoSpaceDN w:val="0"/>
        <w:adjustRightInd w:val="0"/>
        <w:spacing w:line="240" w:lineRule="auto"/>
        <w:rPr>
          <w:szCs w:val="22"/>
          <w:lang w:val="lt-LT"/>
        </w:rPr>
      </w:pPr>
    </w:p>
    <w:p w:rsidR="00054B17" w:rsidRPr="00E92A04" w:rsidRDefault="00054B17" w:rsidP="00054B17">
      <w:pPr>
        <w:widowControl w:val="0"/>
        <w:autoSpaceDE w:val="0"/>
        <w:autoSpaceDN w:val="0"/>
        <w:adjustRightInd w:val="0"/>
        <w:spacing w:line="240" w:lineRule="auto"/>
        <w:rPr>
          <w:szCs w:val="22"/>
          <w:u w:val="single"/>
          <w:lang w:val="lt-LT"/>
        </w:rPr>
      </w:pPr>
      <w:r w:rsidRPr="00E92A04">
        <w:rPr>
          <w:szCs w:val="22"/>
          <w:u w:val="single"/>
          <w:lang w:val="lt-LT"/>
        </w:rPr>
        <w:t>Pastaba</w:t>
      </w:r>
    </w:p>
    <w:p w:rsidR="00054B17" w:rsidRPr="00E92A04" w:rsidRDefault="00054B17" w:rsidP="00054B17">
      <w:pPr>
        <w:widowControl w:val="0"/>
        <w:autoSpaceDE w:val="0"/>
        <w:autoSpaceDN w:val="0"/>
        <w:adjustRightInd w:val="0"/>
        <w:spacing w:line="240" w:lineRule="auto"/>
        <w:rPr>
          <w:szCs w:val="22"/>
          <w:lang w:val="lt-LT"/>
        </w:rPr>
      </w:pPr>
      <w:r w:rsidRPr="00E92A04">
        <w:rPr>
          <w:szCs w:val="22"/>
          <w:lang w:val="lt-LT"/>
        </w:rPr>
        <w:t>Šalutinio poveikio dažnis ir sunkumas gali sumažėti atidžiai ir individualiai koreguojant paros dozes. Šalutinio poveikio pasireiškimo rizika yra didesnė senyviems pacientams, be to, tokiems pacientams gali padidėti griuvimo rizika.</w:t>
      </w:r>
    </w:p>
    <w:p w:rsidR="00054B17" w:rsidRPr="00E92A04" w:rsidRDefault="00054B17" w:rsidP="00054B17">
      <w:pPr>
        <w:widowControl w:val="0"/>
        <w:numPr>
          <w:ilvl w:val="12"/>
          <w:numId w:val="0"/>
        </w:numPr>
        <w:tabs>
          <w:tab w:val="clear" w:pos="567"/>
        </w:tabs>
        <w:spacing w:line="240" w:lineRule="auto"/>
        <w:ind w:right="-29"/>
        <w:rPr>
          <w:szCs w:val="22"/>
          <w:lang w:val="lt-LT"/>
        </w:rPr>
      </w:pPr>
    </w:p>
    <w:p w:rsidR="00054B17" w:rsidRPr="00E92A04" w:rsidRDefault="00054B17" w:rsidP="00054B17">
      <w:pPr>
        <w:widowControl w:val="0"/>
        <w:spacing w:line="240" w:lineRule="auto"/>
        <w:rPr>
          <w:b/>
          <w:szCs w:val="22"/>
          <w:lang w:val="lt-LT"/>
        </w:rPr>
      </w:pPr>
      <w:r w:rsidRPr="00E92A04">
        <w:rPr>
          <w:b/>
          <w:szCs w:val="22"/>
          <w:lang w:val="lt-LT"/>
        </w:rPr>
        <w:t>Pranešimas apie šalutinį poveikį</w:t>
      </w:r>
    </w:p>
    <w:p w:rsidR="00054B17" w:rsidRPr="00E92A04" w:rsidRDefault="00054B17" w:rsidP="00054B17">
      <w:pPr>
        <w:widowControl w:val="0"/>
        <w:spacing w:line="240" w:lineRule="auto"/>
        <w:rPr>
          <w:szCs w:val="22"/>
          <w:lang w:val="lt-LT"/>
        </w:rPr>
      </w:pPr>
      <w:r w:rsidRPr="00E92A04">
        <w:rPr>
          <w:szCs w:val="22"/>
          <w:lang w:val="lt-LT"/>
        </w:rPr>
        <w:t>Jeigu pasireiškė šalutinis poveikis, įskaitant šiame lapelyje nenurodytą, pasakykite gydytojui arba vaistininkui.</w:t>
      </w:r>
    </w:p>
    <w:p w:rsidR="00054B17" w:rsidRPr="00E92A04" w:rsidRDefault="00054B17" w:rsidP="00054B17">
      <w:pPr>
        <w:widowControl w:val="0"/>
        <w:spacing w:line="240" w:lineRule="auto"/>
        <w:rPr>
          <w:szCs w:val="22"/>
          <w:lang w:val="lt-LT"/>
        </w:rPr>
      </w:pPr>
      <w:r w:rsidRPr="00E92A04">
        <w:rPr>
          <w:szCs w:val="22"/>
          <w:lang w:val="lt-LT"/>
        </w:rPr>
        <w:t>Apie šalutinį poveikį taip pat galite pranešti Valstybinei vaistų kontrolės tarnybai prie Lietuvos Respublikos sveikatos apsaugos ministerijos nemokamu t</w:t>
      </w:r>
      <w:r w:rsidRPr="00E92A04">
        <w:rPr>
          <w:szCs w:val="22"/>
          <w:lang w:val="lt-LT" w:eastAsia="zh-CN"/>
        </w:rPr>
        <w:t>elefonu 8 800 73568</w:t>
      </w:r>
      <w:r w:rsidRPr="00E92A04">
        <w:rPr>
          <w:szCs w:val="22"/>
          <w:lang w:val="lt-LT"/>
        </w:rPr>
        <w:t xml:space="preserve"> arba užpildyti interneto svetainėje </w:t>
      </w:r>
      <w:hyperlink r:id="rId5" w:history="1">
        <w:r w:rsidRPr="00E92A04">
          <w:rPr>
            <w:rFonts w:eastAsia="SimSun"/>
            <w:color w:val="0000FF"/>
            <w:szCs w:val="22"/>
            <w:u w:val="single"/>
            <w:lang w:val="lt-LT"/>
          </w:rPr>
          <w:t>www.vvkt.lt</w:t>
        </w:r>
      </w:hyperlink>
      <w:r w:rsidRPr="00E92A04">
        <w:rPr>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E92A04">
        <w:rPr>
          <w:rFonts w:eastAsia="Calibri"/>
          <w:szCs w:val="22"/>
          <w:lang w:val="lt-LT" w:eastAsia="zh-CN"/>
        </w:rPr>
        <w:t xml:space="preserve">elefonu (8 6) 143 35 34; </w:t>
      </w:r>
      <w:r w:rsidRPr="00E92A04">
        <w:rPr>
          <w:szCs w:val="22"/>
          <w:lang w:val="lt-LT"/>
        </w:rPr>
        <w:t xml:space="preserve">el. paštu </w:t>
      </w:r>
      <w:hyperlink r:id="rId6" w:history="1">
        <w:r w:rsidRPr="00E92A04">
          <w:rPr>
            <w:rFonts w:eastAsia="SimSun"/>
            <w:color w:val="0000FF"/>
            <w:szCs w:val="22"/>
            <w:u w:val="single"/>
            <w:lang w:val="lt-LT"/>
          </w:rPr>
          <w:t>NepageidaujamaR@vvkt.lt</w:t>
        </w:r>
      </w:hyperlink>
      <w:r w:rsidRPr="00E92A04">
        <w:rPr>
          <w:szCs w:val="22"/>
          <w:lang w:val="lt-LT"/>
        </w:rPr>
        <w:t xml:space="preserve">, per Valstybinės vaistų kontrolės tarnybos prie Lietuvos Respublikos </w:t>
      </w:r>
      <w:r w:rsidRPr="00E92A04">
        <w:rPr>
          <w:szCs w:val="22"/>
          <w:lang w:val="lt-LT"/>
        </w:rPr>
        <w:lastRenderedPageBreak/>
        <w:t xml:space="preserve">sveikatos apsaugos ministerijos interneto svetainę (adresu </w:t>
      </w:r>
      <w:hyperlink r:id="rId7" w:history="1">
        <w:r w:rsidRPr="00D9263D">
          <w:rPr>
            <w:rStyle w:val="Hyperlink"/>
            <w:szCs w:val="22"/>
            <w:lang w:val="lt-LT"/>
          </w:rPr>
          <w:t>http://www.vvkt.lt</w:t>
        </w:r>
      </w:hyperlink>
      <w:r>
        <w:rPr>
          <w:szCs w:val="22"/>
          <w:lang w:val="lt-LT"/>
        </w:rPr>
        <w:t xml:space="preserve"> </w:t>
      </w:r>
      <w:r w:rsidRPr="00E92A04">
        <w:rPr>
          <w:szCs w:val="22"/>
          <w:lang w:val="lt-LT"/>
        </w:rPr>
        <w:t>). Pranešdami apie šalutinį poveikį galite mums padėti gauti daugiau informacijos apie šio vaisto saugumą.</w:t>
      </w: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rPr>
          <w:szCs w:val="22"/>
          <w:lang w:val="lt-LT"/>
        </w:rPr>
      </w:pPr>
    </w:p>
    <w:p w:rsidR="00054B17" w:rsidRPr="00E92A04" w:rsidRDefault="00054B17" w:rsidP="00054B17">
      <w:pPr>
        <w:widowControl w:val="0"/>
        <w:spacing w:line="240" w:lineRule="auto"/>
        <w:outlineLvl w:val="2"/>
        <w:rPr>
          <w:b/>
          <w:bCs/>
          <w:szCs w:val="22"/>
          <w:lang w:val="lt-LT" w:eastAsia="x-none"/>
        </w:rPr>
      </w:pPr>
      <w:r w:rsidRPr="00E92A04">
        <w:rPr>
          <w:b/>
          <w:bCs/>
          <w:szCs w:val="22"/>
          <w:lang w:val="lt-LT" w:eastAsia="x-none"/>
        </w:rPr>
        <w:t>5.</w:t>
      </w:r>
      <w:r w:rsidRPr="00E92A04">
        <w:rPr>
          <w:b/>
          <w:bCs/>
          <w:szCs w:val="22"/>
          <w:lang w:val="lt-LT" w:eastAsia="x-none"/>
        </w:rPr>
        <w:tab/>
        <w:t xml:space="preserve">Kaip laikyti </w:t>
      </w:r>
      <w:r>
        <w:rPr>
          <w:b/>
          <w:bCs/>
          <w:szCs w:val="22"/>
          <w:lang w:val="lt-LT" w:eastAsia="x-none"/>
        </w:rPr>
        <w:t>Doxylamine Krka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Šį vaistą laikykite vaikams nepastebimoje ir nepasiekiamoje vietoje.</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Ant lizdinės plokštelės ar dėžutės po „EXP“ arba „Tinka iki“ nurodytam tinkamumo laikui pasibaigus, šio vaisto vartoti negalima. Vaistas tinkamas vartoti iki paskutinės nurodyto mėnesio dienos.</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Šiam vaistui specialių laikymo sąlygų nereikia.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i/>
          <w:szCs w:val="22"/>
          <w:lang w:val="lt-LT"/>
        </w:rPr>
      </w:pPr>
      <w:r w:rsidRPr="00E92A04">
        <w:rPr>
          <w:szCs w:val="22"/>
          <w:lang w:val="lt-LT"/>
        </w:rPr>
        <w:t>Vaistų negalima išmesti į kanalizaciją arba su buitinėmis atliekomis. Kaip išmesti nereikalingus vaistus, klauskite vaistininko. Šios priemonės padės apsaugoti aplinką.</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outlineLvl w:val="2"/>
        <w:rPr>
          <w:b/>
          <w:bCs/>
          <w:szCs w:val="22"/>
          <w:lang w:val="lt-LT" w:eastAsia="x-none"/>
        </w:rPr>
      </w:pPr>
      <w:r w:rsidRPr="00E92A04">
        <w:rPr>
          <w:b/>
          <w:bCs/>
          <w:szCs w:val="22"/>
          <w:lang w:val="lt-LT" w:eastAsia="x-none"/>
        </w:rPr>
        <w:t>6.</w:t>
      </w:r>
      <w:r w:rsidRPr="00E92A04">
        <w:rPr>
          <w:bCs/>
          <w:szCs w:val="22"/>
          <w:lang w:val="lt-LT" w:eastAsia="x-none"/>
        </w:rPr>
        <w:tab/>
      </w:r>
      <w:r w:rsidRPr="00E92A04">
        <w:rPr>
          <w:b/>
          <w:bCs/>
          <w:szCs w:val="22"/>
          <w:lang w:val="lt-LT" w:eastAsia="x-none"/>
        </w:rPr>
        <w:t>Pakuotės turinys ir kita informacija</w:t>
      </w:r>
    </w:p>
    <w:p w:rsidR="00054B17" w:rsidRPr="00E92A04" w:rsidRDefault="00054B17" w:rsidP="00054B17">
      <w:pPr>
        <w:widowControl w:val="0"/>
        <w:numPr>
          <w:ilvl w:val="12"/>
          <w:numId w:val="0"/>
        </w:numPr>
        <w:tabs>
          <w:tab w:val="clear" w:pos="567"/>
        </w:tabs>
        <w:spacing w:line="240" w:lineRule="auto"/>
        <w:rPr>
          <w:szCs w:val="22"/>
          <w:lang w:val="lt-LT"/>
        </w:rPr>
      </w:pPr>
    </w:p>
    <w:p w:rsidR="00054B17" w:rsidRPr="00E92A04" w:rsidRDefault="00054B17" w:rsidP="00054B17">
      <w:pPr>
        <w:widowControl w:val="0"/>
        <w:spacing w:line="240" w:lineRule="auto"/>
        <w:outlineLvl w:val="3"/>
        <w:rPr>
          <w:b/>
          <w:bCs/>
          <w:szCs w:val="22"/>
          <w:lang w:val="lt-LT" w:eastAsia="x-none"/>
        </w:rPr>
      </w:pPr>
      <w:r>
        <w:rPr>
          <w:b/>
          <w:bCs/>
          <w:szCs w:val="22"/>
          <w:lang w:val="lt-LT" w:eastAsia="x-none"/>
        </w:rPr>
        <w:t>Doxylamine Krka</w:t>
      </w:r>
      <w:r w:rsidRPr="00E92A04">
        <w:rPr>
          <w:b/>
          <w:bCs/>
          <w:szCs w:val="22"/>
          <w:lang w:val="lt-LT" w:eastAsia="x-none"/>
        </w:rPr>
        <w:t xml:space="preserve"> sudėtis</w:t>
      </w:r>
    </w:p>
    <w:p w:rsidR="00054B17" w:rsidRPr="00E92A04" w:rsidRDefault="00054B17" w:rsidP="00054B17">
      <w:pPr>
        <w:widowControl w:val="0"/>
        <w:numPr>
          <w:ilvl w:val="0"/>
          <w:numId w:val="1"/>
        </w:numPr>
        <w:tabs>
          <w:tab w:val="clear" w:pos="567"/>
        </w:tabs>
        <w:spacing w:line="240" w:lineRule="auto"/>
        <w:ind w:left="567" w:right="-2" w:hanging="567"/>
        <w:rPr>
          <w:szCs w:val="22"/>
          <w:lang w:val="lt-LT"/>
        </w:rPr>
      </w:pPr>
      <w:r w:rsidRPr="00E92A04">
        <w:rPr>
          <w:szCs w:val="22"/>
          <w:lang w:val="lt-LT"/>
        </w:rPr>
        <w:t>Veiklioji medžiaga yra doksilamino-vandenilio sukcinatas.</w:t>
      </w:r>
    </w:p>
    <w:p w:rsidR="00054B17" w:rsidRPr="00E92A04" w:rsidRDefault="00054B17" w:rsidP="00054B17">
      <w:pPr>
        <w:widowControl w:val="0"/>
        <w:tabs>
          <w:tab w:val="clear" w:pos="567"/>
        </w:tabs>
        <w:spacing w:line="240" w:lineRule="auto"/>
        <w:ind w:left="567" w:right="-2"/>
        <w:rPr>
          <w:szCs w:val="22"/>
          <w:lang w:val="lt-LT"/>
        </w:rPr>
      </w:pPr>
      <w:r w:rsidRPr="00E92A04">
        <w:rPr>
          <w:szCs w:val="22"/>
          <w:lang w:val="lt-LT"/>
        </w:rPr>
        <w:t>Kiekvienoje plėvele dengtoje tabletėje yra 25 mg doksilamino-vandenilio sukcinato.</w:t>
      </w:r>
    </w:p>
    <w:p w:rsidR="00054B17" w:rsidRPr="00E92A04" w:rsidRDefault="00054B17" w:rsidP="00054B17">
      <w:pPr>
        <w:widowControl w:val="0"/>
        <w:numPr>
          <w:ilvl w:val="0"/>
          <w:numId w:val="10"/>
        </w:numPr>
        <w:tabs>
          <w:tab w:val="clear" w:pos="567"/>
        </w:tabs>
        <w:spacing w:line="240" w:lineRule="auto"/>
        <w:ind w:left="567" w:right="-2" w:hanging="567"/>
        <w:rPr>
          <w:szCs w:val="22"/>
          <w:lang w:val="lt-LT"/>
        </w:rPr>
      </w:pPr>
      <w:r w:rsidRPr="00E92A04">
        <w:rPr>
          <w:szCs w:val="22"/>
          <w:lang w:val="lt-LT"/>
        </w:rPr>
        <w:t>Pagalbinės medžiagos yra laktozė monohidratas, kroskarmeliozės natrio druska, mikrokristalinė celiuliozė, magnio stearatas (tabletės branduolys), hipromeliozė, titano dioksidas (E171), makrogolis 400 (tabletės plėvelė). Žr. 2 skyrių „</w:t>
      </w:r>
      <w:r>
        <w:rPr>
          <w:szCs w:val="22"/>
          <w:lang w:val="lt-LT"/>
        </w:rPr>
        <w:t>Doxylamine Krka</w:t>
      </w:r>
      <w:r w:rsidRPr="00E92A04">
        <w:rPr>
          <w:szCs w:val="22"/>
          <w:lang w:val="lt-LT"/>
        </w:rPr>
        <w:t xml:space="preserve"> sudėtyje yra laktozės“, „</w:t>
      </w:r>
      <w:r>
        <w:rPr>
          <w:szCs w:val="22"/>
          <w:lang w:val="lt-LT"/>
        </w:rPr>
        <w:t>Doxylamine Krka</w:t>
      </w:r>
      <w:r w:rsidRPr="00E92A04">
        <w:rPr>
          <w:szCs w:val="22"/>
          <w:lang w:val="lt-LT"/>
        </w:rPr>
        <w:t xml:space="preserve"> sudėtyje yra natrio“.</w:t>
      </w:r>
    </w:p>
    <w:p w:rsidR="00054B17" w:rsidRPr="00E92A04" w:rsidRDefault="00054B17" w:rsidP="00054B17">
      <w:pPr>
        <w:widowControl w:val="0"/>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bCs/>
          <w:szCs w:val="22"/>
          <w:lang w:val="lt-LT" w:eastAsia="x-none"/>
        </w:rPr>
      </w:pPr>
      <w:r>
        <w:rPr>
          <w:b/>
          <w:bCs/>
          <w:szCs w:val="22"/>
          <w:lang w:val="lt-LT" w:eastAsia="x-none"/>
        </w:rPr>
        <w:t>Doxylamine Krka</w:t>
      </w:r>
      <w:r w:rsidRPr="00E92A04">
        <w:rPr>
          <w:b/>
          <w:bCs/>
          <w:szCs w:val="22"/>
          <w:lang w:val="lt-LT" w:eastAsia="x-none"/>
        </w:rPr>
        <w:t xml:space="preserve"> išvaizda ir kiekis pakuotėje</w:t>
      </w:r>
    </w:p>
    <w:p w:rsidR="00054B17" w:rsidRPr="00E92A04" w:rsidRDefault="00054B17" w:rsidP="00054B17">
      <w:pPr>
        <w:widowControl w:val="0"/>
        <w:spacing w:line="240" w:lineRule="auto"/>
        <w:jc w:val="both"/>
        <w:outlineLvl w:val="3"/>
        <w:rPr>
          <w:b/>
          <w:bCs/>
          <w:szCs w:val="22"/>
          <w:lang w:val="lt-LT" w:eastAsia="x-none"/>
        </w:rPr>
      </w:pPr>
    </w:p>
    <w:p w:rsidR="00054B17" w:rsidRPr="00E92A04" w:rsidRDefault="00054B17" w:rsidP="00054B17">
      <w:pPr>
        <w:widowControl w:val="0"/>
        <w:spacing w:line="240" w:lineRule="auto"/>
        <w:jc w:val="both"/>
        <w:outlineLvl w:val="3"/>
        <w:rPr>
          <w:szCs w:val="22"/>
          <w:lang w:val="lt-LT"/>
        </w:rPr>
      </w:pPr>
      <w:r>
        <w:rPr>
          <w:szCs w:val="22"/>
          <w:lang w:val="lt-LT"/>
        </w:rPr>
        <w:t>Doxylamine Krka</w:t>
      </w:r>
      <w:r w:rsidRPr="00E92A04">
        <w:rPr>
          <w:szCs w:val="22"/>
          <w:lang w:val="lt-LT"/>
        </w:rPr>
        <w:t xml:space="preserve"> plėvele dengtos tabletės yra baltos arba beveik baltos spalvos, ovalios, abipus išgaubtos, vienoje pusėje yra vagelė. Tabletės matmenys: 12 mm x 6 mm. Vagelė skirta tik tabletei perlaužti, kad būtų lengviau nuryti, bet ne jai padalyti į lygias dozes.</w:t>
      </w:r>
    </w:p>
    <w:p w:rsidR="00054B17" w:rsidRPr="00E92A04" w:rsidRDefault="00054B17" w:rsidP="00054B17">
      <w:pPr>
        <w:widowControl w:val="0"/>
        <w:tabs>
          <w:tab w:val="clear" w:pos="567"/>
        </w:tabs>
        <w:spacing w:line="240" w:lineRule="auto"/>
        <w:rPr>
          <w:szCs w:val="22"/>
          <w:lang w:val="lt-LT"/>
        </w:rPr>
      </w:pPr>
    </w:p>
    <w:p w:rsidR="00054B17" w:rsidRPr="00E92A04" w:rsidRDefault="00054B17" w:rsidP="00054B17">
      <w:pPr>
        <w:widowControl w:val="0"/>
        <w:tabs>
          <w:tab w:val="clear" w:pos="567"/>
        </w:tabs>
        <w:spacing w:line="240" w:lineRule="auto"/>
        <w:rPr>
          <w:szCs w:val="22"/>
          <w:lang w:val="lt-LT"/>
        </w:rPr>
      </w:pPr>
      <w:r>
        <w:rPr>
          <w:szCs w:val="22"/>
          <w:lang w:val="lt-LT"/>
        </w:rPr>
        <w:t>Doxylamine Krka</w:t>
      </w:r>
      <w:r w:rsidRPr="00E92A04">
        <w:rPr>
          <w:szCs w:val="22"/>
          <w:lang w:val="lt-LT"/>
        </w:rPr>
        <w:t xml:space="preserve"> kartono dėžutėje yra 7, 10, 14 arba 20 plėvele dengtų tablečių lizdinėse plokštelėse.</w:t>
      </w:r>
    </w:p>
    <w:p w:rsidR="00054B17" w:rsidRPr="00E92A04" w:rsidRDefault="00054B17" w:rsidP="00054B17">
      <w:pPr>
        <w:widowControl w:val="0"/>
        <w:tabs>
          <w:tab w:val="clear" w:pos="567"/>
        </w:tabs>
        <w:spacing w:line="240" w:lineRule="auto"/>
        <w:rPr>
          <w:szCs w:val="22"/>
          <w:lang w:val="lt-LT"/>
        </w:rPr>
      </w:pPr>
    </w:p>
    <w:p w:rsidR="00054B17" w:rsidRPr="00E92A04" w:rsidRDefault="00054B17" w:rsidP="00054B17">
      <w:pPr>
        <w:widowControl w:val="0"/>
        <w:tabs>
          <w:tab w:val="clear" w:pos="567"/>
        </w:tabs>
        <w:spacing w:line="240" w:lineRule="auto"/>
        <w:rPr>
          <w:szCs w:val="22"/>
          <w:lang w:val="lt-LT"/>
        </w:rPr>
      </w:pPr>
      <w:r w:rsidRPr="00E92A04">
        <w:rPr>
          <w:szCs w:val="22"/>
          <w:lang w:val="lt-LT"/>
        </w:rPr>
        <w:t>Gali būti tiekiamos ne visų dydžių pakuotės.</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spacing w:line="240" w:lineRule="auto"/>
        <w:jc w:val="both"/>
        <w:outlineLvl w:val="3"/>
        <w:rPr>
          <w:b/>
          <w:szCs w:val="22"/>
          <w:lang w:val="lt-LT"/>
        </w:rPr>
      </w:pPr>
      <w:r w:rsidRPr="00E92A04">
        <w:rPr>
          <w:b/>
          <w:bCs/>
          <w:szCs w:val="22"/>
          <w:lang w:val="lt-LT" w:eastAsia="x-none"/>
        </w:rPr>
        <w:t>Registruotojas</w:t>
      </w:r>
      <w:r w:rsidRPr="00E92A04" w:rsidDel="00E9565E">
        <w:rPr>
          <w:b/>
          <w:bCs/>
          <w:szCs w:val="22"/>
          <w:lang w:val="lt-LT" w:eastAsia="x-none"/>
        </w:rPr>
        <w:t xml:space="preserve"> </w:t>
      </w:r>
      <w:r w:rsidRPr="00E92A04">
        <w:rPr>
          <w:b/>
          <w:bCs/>
          <w:szCs w:val="22"/>
          <w:lang w:val="lt-LT" w:eastAsia="x-none"/>
        </w:rPr>
        <w:t>ir g</w:t>
      </w:r>
      <w:r w:rsidRPr="00E92A04">
        <w:rPr>
          <w:b/>
          <w:szCs w:val="22"/>
          <w:lang w:val="lt-LT"/>
        </w:rPr>
        <w:t>amintojas</w:t>
      </w:r>
    </w:p>
    <w:p w:rsidR="00054B17" w:rsidRPr="00E92A04" w:rsidRDefault="00054B17" w:rsidP="00054B17">
      <w:pPr>
        <w:widowControl w:val="0"/>
        <w:tabs>
          <w:tab w:val="clear" w:pos="567"/>
        </w:tabs>
        <w:spacing w:line="240" w:lineRule="auto"/>
        <w:rPr>
          <w:i/>
          <w:szCs w:val="22"/>
          <w:lang w:val="lt-LT"/>
        </w:rPr>
      </w:pPr>
    </w:p>
    <w:p w:rsidR="00054B17" w:rsidRPr="00E92A04" w:rsidRDefault="00054B17" w:rsidP="00054B17">
      <w:pPr>
        <w:widowControl w:val="0"/>
        <w:tabs>
          <w:tab w:val="clear" w:pos="567"/>
        </w:tabs>
        <w:spacing w:line="240" w:lineRule="auto"/>
        <w:rPr>
          <w:i/>
          <w:szCs w:val="22"/>
          <w:lang w:val="lt-LT"/>
        </w:rPr>
      </w:pPr>
      <w:r w:rsidRPr="00E92A04">
        <w:rPr>
          <w:i/>
          <w:szCs w:val="22"/>
          <w:lang w:val="lt-LT"/>
        </w:rPr>
        <w:t>Registruotojas</w:t>
      </w:r>
    </w:p>
    <w:p w:rsidR="00054B17" w:rsidRPr="00E92A04" w:rsidRDefault="00054B17" w:rsidP="00054B17">
      <w:pPr>
        <w:widowControl w:val="0"/>
        <w:tabs>
          <w:tab w:val="clear" w:pos="567"/>
        </w:tabs>
        <w:spacing w:line="240" w:lineRule="auto"/>
        <w:rPr>
          <w:szCs w:val="22"/>
          <w:lang w:val="lt-LT"/>
        </w:rPr>
      </w:pPr>
      <w:r w:rsidRPr="00E92A04">
        <w:rPr>
          <w:szCs w:val="22"/>
          <w:lang w:val="lt-LT"/>
        </w:rPr>
        <w:t>KRKA, d.d., Novo mesto</w:t>
      </w:r>
    </w:p>
    <w:p w:rsidR="00054B17" w:rsidRPr="00E92A04" w:rsidRDefault="00054B17" w:rsidP="00054B17">
      <w:pPr>
        <w:widowControl w:val="0"/>
        <w:tabs>
          <w:tab w:val="clear" w:pos="567"/>
        </w:tabs>
        <w:spacing w:line="240" w:lineRule="auto"/>
        <w:rPr>
          <w:szCs w:val="22"/>
          <w:lang w:val="lt-LT"/>
        </w:rPr>
      </w:pPr>
      <w:r w:rsidRPr="00E92A04">
        <w:rPr>
          <w:szCs w:val="22"/>
          <w:lang w:val="lt-LT"/>
        </w:rPr>
        <w:t>Šmarješka cesta 6</w:t>
      </w:r>
    </w:p>
    <w:p w:rsidR="00054B17" w:rsidRPr="00E92A04" w:rsidRDefault="00054B17" w:rsidP="00054B17">
      <w:pPr>
        <w:widowControl w:val="0"/>
        <w:tabs>
          <w:tab w:val="clear" w:pos="567"/>
        </w:tabs>
        <w:spacing w:line="240" w:lineRule="auto"/>
        <w:rPr>
          <w:szCs w:val="22"/>
          <w:lang w:val="lt-LT"/>
        </w:rPr>
      </w:pPr>
      <w:r w:rsidRPr="00E92A04">
        <w:rPr>
          <w:szCs w:val="22"/>
          <w:lang w:val="lt-LT"/>
        </w:rPr>
        <w:t>8501 Novo mesto</w:t>
      </w:r>
    </w:p>
    <w:p w:rsidR="00054B17" w:rsidRPr="00E92A04" w:rsidRDefault="00054B17" w:rsidP="00054B17">
      <w:pPr>
        <w:widowControl w:val="0"/>
        <w:tabs>
          <w:tab w:val="clear" w:pos="567"/>
        </w:tabs>
        <w:spacing w:line="240" w:lineRule="auto"/>
        <w:rPr>
          <w:szCs w:val="22"/>
          <w:lang w:val="lt-LT"/>
        </w:rPr>
      </w:pPr>
      <w:r w:rsidRPr="00E92A04">
        <w:rPr>
          <w:szCs w:val="22"/>
          <w:lang w:val="lt-LT"/>
        </w:rPr>
        <w:t>Slovėnija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i/>
          <w:szCs w:val="22"/>
          <w:lang w:val="lt-LT"/>
        </w:rPr>
      </w:pPr>
      <w:r w:rsidRPr="00E92A04">
        <w:rPr>
          <w:i/>
          <w:szCs w:val="22"/>
          <w:lang w:val="lt-LT"/>
        </w:rPr>
        <w:t>Gamintojas</w:t>
      </w:r>
    </w:p>
    <w:p w:rsidR="00054B17" w:rsidRPr="00E92A04" w:rsidRDefault="00054B17" w:rsidP="00054B17">
      <w:pPr>
        <w:widowControl w:val="0"/>
        <w:tabs>
          <w:tab w:val="clear" w:pos="567"/>
        </w:tabs>
        <w:spacing w:line="240" w:lineRule="auto"/>
        <w:rPr>
          <w:szCs w:val="22"/>
          <w:lang w:val="lt-LT"/>
        </w:rPr>
      </w:pPr>
      <w:r w:rsidRPr="00E92A04">
        <w:rPr>
          <w:szCs w:val="22"/>
          <w:lang w:val="lt-LT"/>
        </w:rPr>
        <w:t>KRKA, d.d., Novo mesto</w:t>
      </w:r>
    </w:p>
    <w:p w:rsidR="00054B17" w:rsidRPr="00E92A04" w:rsidRDefault="00054B17" w:rsidP="00054B17">
      <w:pPr>
        <w:widowControl w:val="0"/>
        <w:tabs>
          <w:tab w:val="clear" w:pos="567"/>
        </w:tabs>
        <w:spacing w:line="240" w:lineRule="auto"/>
        <w:rPr>
          <w:szCs w:val="22"/>
          <w:lang w:val="lt-LT"/>
        </w:rPr>
      </w:pPr>
      <w:r w:rsidRPr="00E92A04">
        <w:rPr>
          <w:szCs w:val="22"/>
          <w:lang w:val="lt-LT"/>
        </w:rPr>
        <w:t>Šmarješka cesta 6</w:t>
      </w:r>
    </w:p>
    <w:p w:rsidR="00054B17" w:rsidRPr="00E92A04" w:rsidRDefault="00054B17" w:rsidP="00054B17">
      <w:pPr>
        <w:widowControl w:val="0"/>
        <w:tabs>
          <w:tab w:val="clear" w:pos="567"/>
        </w:tabs>
        <w:spacing w:line="240" w:lineRule="auto"/>
        <w:rPr>
          <w:szCs w:val="22"/>
          <w:lang w:val="lt-LT"/>
        </w:rPr>
      </w:pPr>
      <w:r w:rsidRPr="00E92A04">
        <w:rPr>
          <w:szCs w:val="22"/>
          <w:lang w:val="lt-LT"/>
        </w:rPr>
        <w:t>8501 Novo mesto</w:t>
      </w:r>
    </w:p>
    <w:p w:rsidR="00054B17" w:rsidRPr="00E92A04" w:rsidRDefault="00054B17" w:rsidP="00054B17">
      <w:pPr>
        <w:widowControl w:val="0"/>
        <w:tabs>
          <w:tab w:val="clear" w:pos="567"/>
        </w:tabs>
        <w:spacing w:line="240" w:lineRule="auto"/>
        <w:rPr>
          <w:szCs w:val="22"/>
          <w:lang w:val="lt-LT"/>
        </w:rPr>
      </w:pPr>
      <w:r w:rsidRPr="00E92A04">
        <w:rPr>
          <w:szCs w:val="22"/>
          <w:lang w:val="lt-LT"/>
        </w:rPr>
        <w:t>Slovėnija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arba</w:t>
      </w:r>
    </w:p>
    <w:p w:rsidR="00054B17" w:rsidRPr="00E92A04" w:rsidRDefault="00054B17" w:rsidP="00054B17">
      <w:pPr>
        <w:widowControl w:val="0"/>
        <w:numPr>
          <w:ilvl w:val="12"/>
          <w:numId w:val="0"/>
        </w:numPr>
        <w:tabs>
          <w:tab w:val="clear" w:pos="567"/>
        </w:tabs>
        <w:spacing w:line="240" w:lineRule="auto"/>
        <w:ind w:right="-2"/>
        <w:rPr>
          <w:szCs w:val="22"/>
          <w:lang w:val="lt-LT"/>
        </w:rPr>
      </w:pP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TAD Pharma GmbH</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Heinz-Lohmann-Straße 5</w:t>
      </w:r>
    </w:p>
    <w:p w:rsidR="00054B17" w:rsidRPr="00E92A04" w:rsidRDefault="00054B17" w:rsidP="00054B17">
      <w:pPr>
        <w:widowControl w:val="0"/>
        <w:numPr>
          <w:ilvl w:val="12"/>
          <w:numId w:val="0"/>
        </w:numPr>
        <w:tabs>
          <w:tab w:val="clear" w:pos="567"/>
        </w:tabs>
        <w:spacing w:line="240" w:lineRule="auto"/>
        <w:ind w:right="-2"/>
        <w:rPr>
          <w:szCs w:val="22"/>
          <w:lang w:val="lt-LT"/>
        </w:rPr>
      </w:pPr>
      <w:r w:rsidRPr="00E92A04">
        <w:rPr>
          <w:szCs w:val="22"/>
          <w:lang w:val="lt-LT"/>
        </w:rPr>
        <w:t>27472 Cuxhaven</w:t>
      </w:r>
    </w:p>
    <w:p w:rsidR="00054B17" w:rsidRPr="00E92A04" w:rsidRDefault="00054B17" w:rsidP="00054B17">
      <w:pPr>
        <w:widowControl w:val="0"/>
        <w:spacing w:line="240" w:lineRule="auto"/>
        <w:jc w:val="both"/>
        <w:rPr>
          <w:snapToGrid/>
          <w:szCs w:val="22"/>
          <w:lang w:val="lt-LT" w:eastAsia="sl-SI"/>
        </w:rPr>
      </w:pPr>
      <w:r w:rsidRPr="00E92A04">
        <w:rPr>
          <w:szCs w:val="22"/>
          <w:lang w:val="lt-LT"/>
        </w:rPr>
        <w:t>Vokietija</w:t>
      </w:r>
    </w:p>
    <w:p w:rsidR="00054B17" w:rsidRPr="00E92A04" w:rsidRDefault="00054B17" w:rsidP="00054B17">
      <w:pPr>
        <w:widowControl w:val="0"/>
        <w:tabs>
          <w:tab w:val="clear" w:pos="567"/>
        </w:tabs>
        <w:spacing w:line="240" w:lineRule="auto"/>
        <w:rPr>
          <w:snapToGrid/>
          <w:szCs w:val="22"/>
          <w:lang w:val="lt-LT" w:eastAsia="sl-SI"/>
        </w:rPr>
      </w:pPr>
    </w:p>
    <w:p w:rsidR="00054B17" w:rsidRPr="00E92A04" w:rsidRDefault="00054B17" w:rsidP="00054B17">
      <w:pPr>
        <w:widowControl w:val="0"/>
        <w:tabs>
          <w:tab w:val="clear" w:pos="567"/>
        </w:tabs>
        <w:spacing w:line="240" w:lineRule="auto"/>
        <w:rPr>
          <w:snapToGrid/>
          <w:szCs w:val="22"/>
          <w:lang w:val="lt-LT" w:eastAsia="sl-SI"/>
        </w:rPr>
      </w:pPr>
      <w:r w:rsidRPr="00E92A04">
        <w:rPr>
          <w:snapToGrid/>
          <w:szCs w:val="22"/>
          <w:lang w:val="lt-LT" w:eastAsia="sl-SI"/>
        </w:rPr>
        <w:t>Jeigu apie šį vaistą norite sužinoti daugiau, kreipkitės į vietinį registruotojo atstovą.</w:t>
      </w:r>
    </w:p>
    <w:p w:rsidR="00054B17" w:rsidRPr="00E92A04" w:rsidRDefault="00054B17" w:rsidP="00054B17">
      <w:pPr>
        <w:widowControl w:val="0"/>
        <w:tabs>
          <w:tab w:val="clear" w:pos="567"/>
        </w:tabs>
        <w:spacing w:line="240" w:lineRule="auto"/>
        <w:rPr>
          <w:snapToGrid/>
          <w:szCs w:val="22"/>
          <w:lang w:val="lt-LT" w:eastAsia="sl-SI"/>
        </w:rPr>
      </w:pPr>
    </w:p>
    <w:tbl>
      <w:tblPr>
        <w:tblW w:w="4678" w:type="dxa"/>
        <w:tblInd w:w="-34" w:type="dxa"/>
        <w:tblLayout w:type="fixed"/>
        <w:tblLook w:val="0000" w:firstRow="0" w:lastRow="0" w:firstColumn="0" w:lastColumn="0" w:noHBand="0" w:noVBand="0"/>
      </w:tblPr>
      <w:tblGrid>
        <w:gridCol w:w="4678"/>
      </w:tblGrid>
      <w:tr w:rsidR="00054B17" w:rsidRPr="00E92A04" w:rsidTr="008F7BDF">
        <w:tc>
          <w:tcPr>
            <w:tcW w:w="4678" w:type="dxa"/>
          </w:tcPr>
          <w:tbl>
            <w:tblPr>
              <w:tblW w:w="4678" w:type="dxa"/>
              <w:tblLayout w:type="fixed"/>
              <w:tblLook w:val="0000" w:firstRow="0" w:lastRow="0" w:firstColumn="0" w:lastColumn="0" w:noHBand="0" w:noVBand="0"/>
            </w:tblPr>
            <w:tblGrid>
              <w:gridCol w:w="4678"/>
            </w:tblGrid>
            <w:tr w:rsidR="00054B17" w:rsidRPr="00E92A04" w:rsidTr="008F7BDF">
              <w:tc>
                <w:tcPr>
                  <w:tcW w:w="4678" w:type="dxa"/>
                </w:tcPr>
                <w:p w:rsidR="00054B17" w:rsidRPr="00E92A04" w:rsidRDefault="00054B17" w:rsidP="008F7BDF">
                  <w:pPr>
                    <w:widowControl w:val="0"/>
                    <w:tabs>
                      <w:tab w:val="clear" w:pos="567"/>
                    </w:tabs>
                    <w:spacing w:line="240" w:lineRule="auto"/>
                    <w:rPr>
                      <w:snapToGrid/>
                      <w:szCs w:val="22"/>
                      <w:lang w:val="lt-LT" w:eastAsia="sl-SI"/>
                    </w:rPr>
                  </w:pPr>
                  <w:r w:rsidRPr="00E92A04">
                    <w:rPr>
                      <w:snapToGrid/>
                      <w:szCs w:val="22"/>
                      <w:lang w:val="lt-LT" w:eastAsia="sl-SI"/>
                    </w:rPr>
                    <w:t>UAB KRKA Lietuva</w:t>
                  </w:r>
                </w:p>
                <w:p w:rsidR="00054B17" w:rsidRPr="00E92A04" w:rsidRDefault="00054B17" w:rsidP="008F7BDF">
                  <w:pPr>
                    <w:widowControl w:val="0"/>
                    <w:tabs>
                      <w:tab w:val="clear" w:pos="567"/>
                    </w:tabs>
                    <w:spacing w:line="240" w:lineRule="auto"/>
                    <w:rPr>
                      <w:snapToGrid/>
                      <w:szCs w:val="22"/>
                      <w:lang w:val="lt-LT" w:eastAsia="sl-SI"/>
                    </w:rPr>
                  </w:pPr>
                  <w:r w:rsidRPr="00E92A04">
                    <w:rPr>
                      <w:snapToGrid/>
                      <w:szCs w:val="22"/>
                      <w:lang w:val="lt-LT" w:eastAsia="sl-SI"/>
                    </w:rPr>
                    <w:t>Senasis Ukmergės kelias 4,</w:t>
                  </w:r>
                </w:p>
                <w:p w:rsidR="00054B17" w:rsidRPr="00E92A04" w:rsidRDefault="00054B17" w:rsidP="008F7BDF">
                  <w:pPr>
                    <w:widowControl w:val="0"/>
                    <w:tabs>
                      <w:tab w:val="clear" w:pos="567"/>
                    </w:tabs>
                    <w:spacing w:line="240" w:lineRule="auto"/>
                    <w:rPr>
                      <w:snapToGrid/>
                      <w:szCs w:val="22"/>
                      <w:lang w:val="lt-LT" w:eastAsia="sl-SI"/>
                    </w:rPr>
                  </w:pPr>
                  <w:r w:rsidRPr="00E92A04">
                    <w:rPr>
                      <w:snapToGrid/>
                      <w:szCs w:val="22"/>
                      <w:lang w:val="lt-LT" w:eastAsia="sl-SI"/>
                    </w:rPr>
                    <w:t>Užubalių km., Vilniaus r.</w:t>
                  </w:r>
                </w:p>
                <w:p w:rsidR="00054B17" w:rsidRPr="00E92A04" w:rsidRDefault="00054B17" w:rsidP="008F7BDF">
                  <w:pPr>
                    <w:widowControl w:val="0"/>
                    <w:tabs>
                      <w:tab w:val="clear" w:pos="567"/>
                    </w:tabs>
                    <w:spacing w:line="240" w:lineRule="auto"/>
                    <w:rPr>
                      <w:snapToGrid/>
                      <w:szCs w:val="22"/>
                      <w:lang w:val="lt-LT" w:eastAsia="sl-SI"/>
                    </w:rPr>
                  </w:pPr>
                  <w:r w:rsidRPr="00E92A04">
                    <w:rPr>
                      <w:snapToGrid/>
                      <w:szCs w:val="22"/>
                      <w:lang w:val="lt-LT" w:eastAsia="sl-SI"/>
                    </w:rPr>
                    <w:t>LT - 14013</w:t>
                  </w:r>
                </w:p>
                <w:p w:rsidR="00054B17" w:rsidRPr="00E92A04" w:rsidRDefault="00054B17" w:rsidP="008F7BDF">
                  <w:pPr>
                    <w:widowControl w:val="0"/>
                    <w:tabs>
                      <w:tab w:val="clear" w:pos="567"/>
                    </w:tabs>
                    <w:spacing w:line="240" w:lineRule="auto"/>
                    <w:rPr>
                      <w:snapToGrid/>
                      <w:szCs w:val="22"/>
                      <w:lang w:val="lt-LT" w:eastAsia="sl-SI"/>
                    </w:rPr>
                  </w:pPr>
                  <w:r w:rsidRPr="00E92A04">
                    <w:rPr>
                      <w:snapToGrid/>
                      <w:szCs w:val="22"/>
                      <w:lang w:val="lt-LT" w:eastAsia="sl-SI"/>
                    </w:rPr>
                    <w:t>Tel. + 370 5 236 27 40</w:t>
                  </w:r>
                </w:p>
              </w:tc>
            </w:tr>
          </w:tbl>
          <w:p w:rsidR="00054B17" w:rsidRPr="00E92A04" w:rsidRDefault="00054B17" w:rsidP="008F7BDF">
            <w:pPr>
              <w:widowControl w:val="0"/>
              <w:tabs>
                <w:tab w:val="clear" w:pos="567"/>
                <w:tab w:val="left" w:pos="-720"/>
              </w:tabs>
              <w:spacing w:line="240" w:lineRule="auto"/>
              <w:rPr>
                <w:snapToGrid/>
                <w:szCs w:val="22"/>
                <w:lang w:val="lt-LT" w:eastAsia="sl-SI"/>
              </w:rPr>
            </w:pPr>
          </w:p>
        </w:tc>
      </w:tr>
    </w:tbl>
    <w:p w:rsidR="00054B17" w:rsidRPr="00E92A04" w:rsidRDefault="00054B17" w:rsidP="00054B17">
      <w:pPr>
        <w:widowControl w:val="0"/>
        <w:numPr>
          <w:ilvl w:val="12"/>
          <w:numId w:val="0"/>
        </w:numPr>
        <w:spacing w:line="240" w:lineRule="auto"/>
        <w:ind w:right="-2"/>
        <w:rPr>
          <w:b/>
          <w:i/>
          <w:szCs w:val="22"/>
          <w:lang w:val="lt-LT"/>
        </w:rPr>
      </w:pPr>
    </w:p>
    <w:p w:rsidR="00054B17" w:rsidRPr="00E92A04" w:rsidRDefault="00054B17" w:rsidP="00054B17">
      <w:pPr>
        <w:widowControl w:val="0"/>
        <w:numPr>
          <w:ilvl w:val="12"/>
          <w:numId w:val="0"/>
        </w:numPr>
        <w:spacing w:line="240" w:lineRule="auto"/>
        <w:ind w:right="-2"/>
        <w:rPr>
          <w:b/>
          <w:szCs w:val="22"/>
          <w:lang w:val="lt-LT"/>
        </w:rPr>
      </w:pPr>
      <w:r w:rsidRPr="00E92A04">
        <w:rPr>
          <w:b/>
          <w:szCs w:val="22"/>
          <w:lang w:val="lt-LT"/>
        </w:rPr>
        <w:t>Šis vaistas EEE valstybėse narėse registruotas tokiais pavadinimais:</w:t>
      </w:r>
    </w:p>
    <w:p w:rsidR="00054B17" w:rsidRPr="00E92A04" w:rsidRDefault="00054B17" w:rsidP="00054B17">
      <w:pPr>
        <w:widowControl w:val="0"/>
        <w:numPr>
          <w:ilvl w:val="12"/>
          <w:numId w:val="0"/>
        </w:numPr>
        <w:spacing w:line="240" w:lineRule="auto"/>
        <w:ind w:right="-2"/>
        <w:rPr>
          <w:szCs w:val="22"/>
          <w:lang w:val="lt-LT"/>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835"/>
      </w:tblGrid>
      <w:tr w:rsidR="00054B17" w:rsidRPr="00E92A04" w:rsidTr="008F7BDF">
        <w:tc>
          <w:tcPr>
            <w:tcW w:w="4536" w:type="dxa"/>
          </w:tcPr>
          <w:p w:rsidR="00054B17" w:rsidRPr="00E92A04" w:rsidRDefault="00054B17" w:rsidP="008F7BDF">
            <w:pPr>
              <w:widowControl w:val="0"/>
              <w:numPr>
                <w:ilvl w:val="12"/>
                <w:numId w:val="0"/>
              </w:numPr>
              <w:spacing w:line="240" w:lineRule="auto"/>
              <w:ind w:right="-2"/>
              <w:rPr>
                <w:b/>
                <w:szCs w:val="22"/>
                <w:lang w:val="lt-LT"/>
              </w:rPr>
            </w:pPr>
            <w:r w:rsidRPr="00E92A04">
              <w:rPr>
                <w:b/>
                <w:szCs w:val="22"/>
                <w:lang w:val="lt-LT"/>
              </w:rPr>
              <w:t>Valstybės narės pavadinimas</w:t>
            </w:r>
          </w:p>
        </w:tc>
        <w:tc>
          <w:tcPr>
            <w:tcW w:w="2835" w:type="dxa"/>
          </w:tcPr>
          <w:p w:rsidR="00054B17" w:rsidRPr="00E92A04" w:rsidRDefault="00054B17" w:rsidP="008F7BDF">
            <w:pPr>
              <w:widowControl w:val="0"/>
              <w:numPr>
                <w:ilvl w:val="12"/>
                <w:numId w:val="0"/>
              </w:numPr>
              <w:spacing w:line="240" w:lineRule="auto"/>
              <w:ind w:right="-2"/>
              <w:rPr>
                <w:b/>
                <w:szCs w:val="22"/>
                <w:lang w:val="lt-LT"/>
              </w:rPr>
            </w:pPr>
            <w:r w:rsidRPr="00E92A04">
              <w:rPr>
                <w:b/>
                <w:szCs w:val="22"/>
                <w:lang w:val="lt-LT"/>
              </w:rPr>
              <w:t>Vaisto pavadinimas</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Bulgarija</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ru-RU"/>
              </w:rPr>
              <w:t>Слийпзон</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Čekija, Vokietija, Ispanija, Portugalija, Rumunija, Slovakija</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Dornite</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Lenkija</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rPr>
              <w:t>Nitedor</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 xml:space="preserve">Estija, Kroatija </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Calmesan</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Latvija, Slovėnija</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Noctiben</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Pr>
                <w:szCs w:val="22"/>
                <w:lang w:val="lt-LT"/>
              </w:rPr>
              <w:t>Lietuva</w:t>
            </w:r>
          </w:p>
        </w:tc>
        <w:tc>
          <w:tcPr>
            <w:tcW w:w="2835" w:type="dxa"/>
          </w:tcPr>
          <w:p w:rsidR="00054B17" w:rsidRPr="00E92A04" w:rsidDel="00A66F12" w:rsidRDefault="00054B17" w:rsidP="008F7BDF">
            <w:pPr>
              <w:widowControl w:val="0"/>
              <w:numPr>
                <w:ilvl w:val="12"/>
                <w:numId w:val="0"/>
              </w:numPr>
              <w:spacing w:line="240" w:lineRule="auto"/>
              <w:ind w:right="-2"/>
              <w:rPr>
                <w:szCs w:val="22"/>
                <w:lang w:val="lt-LT"/>
              </w:rPr>
            </w:pPr>
            <w:r>
              <w:rPr>
                <w:szCs w:val="22"/>
                <w:lang w:val="lt-LT"/>
              </w:rPr>
              <w:t>Doxylamine Krka</w:t>
            </w:r>
          </w:p>
        </w:tc>
      </w:tr>
      <w:tr w:rsidR="00054B17" w:rsidRPr="00E92A04" w:rsidTr="008F7BDF">
        <w:tc>
          <w:tcPr>
            <w:tcW w:w="4536"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Vengrija</w:t>
            </w:r>
          </w:p>
        </w:tc>
        <w:tc>
          <w:tcPr>
            <w:tcW w:w="2835" w:type="dxa"/>
          </w:tcPr>
          <w:p w:rsidR="00054B17" w:rsidRPr="00E92A04" w:rsidRDefault="00054B17" w:rsidP="008F7BDF">
            <w:pPr>
              <w:widowControl w:val="0"/>
              <w:numPr>
                <w:ilvl w:val="12"/>
                <w:numId w:val="0"/>
              </w:numPr>
              <w:spacing w:line="240" w:lineRule="auto"/>
              <w:ind w:right="-2"/>
              <w:rPr>
                <w:szCs w:val="22"/>
                <w:lang w:val="lt-LT"/>
              </w:rPr>
            </w:pPr>
            <w:r w:rsidRPr="00E92A04">
              <w:rPr>
                <w:szCs w:val="22"/>
                <w:lang w:val="lt-LT"/>
              </w:rPr>
              <w:t>Doxylamin Krka</w:t>
            </w:r>
          </w:p>
        </w:tc>
      </w:tr>
    </w:tbl>
    <w:p w:rsidR="00054B17" w:rsidRPr="00E92A04" w:rsidRDefault="00054B17" w:rsidP="00054B17">
      <w:pPr>
        <w:widowControl w:val="0"/>
        <w:numPr>
          <w:ilvl w:val="12"/>
          <w:numId w:val="0"/>
        </w:numPr>
        <w:spacing w:line="240" w:lineRule="auto"/>
        <w:ind w:right="-2"/>
        <w:rPr>
          <w:szCs w:val="22"/>
          <w:lang w:val="lt-LT"/>
        </w:rPr>
      </w:pPr>
    </w:p>
    <w:p w:rsidR="00054B17" w:rsidRDefault="00054B17" w:rsidP="00054B17">
      <w:pPr>
        <w:widowControl w:val="0"/>
        <w:numPr>
          <w:ilvl w:val="12"/>
          <w:numId w:val="0"/>
        </w:numPr>
        <w:spacing w:line="240" w:lineRule="auto"/>
        <w:ind w:right="-2"/>
        <w:rPr>
          <w:b/>
          <w:szCs w:val="22"/>
          <w:lang w:val="lt-LT"/>
        </w:rPr>
      </w:pPr>
      <w:r w:rsidRPr="00E92A04">
        <w:rPr>
          <w:b/>
          <w:szCs w:val="22"/>
          <w:lang w:val="lt-LT"/>
        </w:rPr>
        <w:t>Šis pakuotės lapelis paskutinį kartą peržiūrėtas</w:t>
      </w:r>
      <w:r>
        <w:rPr>
          <w:b/>
          <w:szCs w:val="22"/>
          <w:lang w:val="lt-LT"/>
        </w:rPr>
        <w:t xml:space="preserve"> 2018-10-08.</w:t>
      </w:r>
    </w:p>
    <w:p w:rsidR="00054B17" w:rsidRPr="00E92A04" w:rsidRDefault="00054B17" w:rsidP="00054B17">
      <w:pPr>
        <w:widowControl w:val="0"/>
        <w:numPr>
          <w:ilvl w:val="12"/>
          <w:numId w:val="0"/>
        </w:numPr>
        <w:spacing w:line="240" w:lineRule="auto"/>
        <w:ind w:right="-2"/>
        <w:rPr>
          <w:szCs w:val="22"/>
          <w:lang w:val="lt-LT"/>
        </w:rPr>
      </w:pPr>
    </w:p>
    <w:p w:rsidR="00054B17" w:rsidRPr="00E92A04" w:rsidRDefault="00054B17" w:rsidP="00054B17">
      <w:pPr>
        <w:widowControl w:val="0"/>
        <w:numPr>
          <w:ilvl w:val="12"/>
          <w:numId w:val="0"/>
        </w:numPr>
        <w:spacing w:line="240" w:lineRule="auto"/>
        <w:ind w:right="-2"/>
        <w:rPr>
          <w:szCs w:val="22"/>
          <w:lang w:val="lt-LT"/>
        </w:rPr>
      </w:pPr>
    </w:p>
    <w:p w:rsidR="00054B17" w:rsidRPr="00E92A04" w:rsidRDefault="00054B17" w:rsidP="00054B17">
      <w:pPr>
        <w:widowControl w:val="0"/>
        <w:numPr>
          <w:ilvl w:val="12"/>
          <w:numId w:val="0"/>
        </w:numPr>
        <w:spacing w:line="240" w:lineRule="auto"/>
        <w:ind w:right="-2"/>
        <w:rPr>
          <w:szCs w:val="22"/>
          <w:lang w:val="lt-LT"/>
        </w:rPr>
      </w:pPr>
      <w:r w:rsidRPr="00E92A04">
        <w:rPr>
          <w:szCs w:val="22"/>
          <w:lang w:val="lt-LT"/>
        </w:rPr>
        <w:t>Išsami informacija apie šį vaistą pateikiama Valstybinės vaistų kontrolės tarnybos prie Lietuvos Respublikos sveikatos apsaugos ministerijos tinklalapyje</w:t>
      </w:r>
      <w:r w:rsidRPr="00E92A04">
        <w:rPr>
          <w:i/>
          <w:szCs w:val="22"/>
          <w:lang w:val="lt-LT"/>
        </w:rPr>
        <w:t xml:space="preserve"> </w:t>
      </w:r>
      <w:hyperlink r:id="rId8" w:history="1">
        <w:r w:rsidRPr="00E92A04">
          <w:rPr>
            <w:rFonts w:eastAsia="SimSun"/>
            <w:color w:val="0000FF"/>
            <w:szCs w:val="22"/>
            <w:u w:val="single"/>
            <w:lang w:val="lt-LT"/>
          </w:rPr>
          <w:t>http://www.vvkt.lt/</w:t>
        </w:r>
      </w:hyperlink>
      <w:r w:rsidRPr="00E92A04">
        <w:rPr>
          <w:szCs w:val="22"/>
          <w:lang w:val="lt-LT"/>
        </w:rPr>
        <w:t>.</w:t>
      </w:r>
    </w:p>
    <w:p w:rsidR="00306564" w:rsidRDefault="00306564">
      <w:bookmarkStart w:id="0" w:name="_GoBack"/>
      <w:bookmarkEnd w:id="0"/>
    </w:p>
    <w:sectPr w:rsidR="00306564" w:rsidSect="00717B10">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D6" w:rsidRDefault="00054B17">
    <w:pPr>
      <w:pStyle w:val="Footer"/>
      <w:jc w:val="center"/>
    </w:pPr>
  </w:p>
  <w:p w:rsidR="000E6DD6" w:rsidRDefault="00054B1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86CDC"/>
    <w:multiLevelType w:val="hybridMultilevel"/>
    <w:tmpl w:val="F114353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9332CF"/>
    <w:multiLevelType w:val="hybridMultilevel"/>
    <w:tmpl w:val="B31E0C7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0B3423"/>
    <w:multiLevelType w:val="hybridMultilevel"/>
    <w:tmpl w:val="E63C3C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41049"/>
    <w:multiLevelType w:val="hybridMultilevel"/>
    <w:tmpl w:val="E0220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4A7340"/>
    <w:multiLevelType w:val="hybridMultilevel"/>
    <w:tmpl w:val="510A64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31B45"/>
    <w:multiLevelType w:val="hybridMultilevel"/>
    <w:tmpl w:val="B1D260E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4D2CFF"/>
    <w:multiLevelType w:val="hybridMultilevel"/>
    <w:tmpl w:val="DBF00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C1A7A"/>
    <w:multiLevelType w:val="hybridMultilevel"/>
    <w:tmpl w:val="F30E153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32369F"/>
    <w:multiLevelType w:val="hybridMultilevel"/>
    <w:tmpl w:val="66D0ACE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7"/>
  </w:num>
  <w:num w:numId="3">
    <w:abstractNumId w:val="5"/>
  </w:num>
  <w:num w:numId="4">
    <w:abstractNumId w:val="6"/>
  </w:num>
  <w:num w:numId="5">
    <w:abstractNumId w:val="2"/>
  </w:num>
  <w:num w:numId="6">
    <w:abstractNumId w:val="3"/>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17"/>
    <w:rsid w:val="00054B17"/>
    <w:rsid w:val="00306564"/>
    <w:rsid w:val="00BB6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372A7-80A1-4C72-87A0-DB349B67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17"/>
    <w:pPr>
      <w:tabs>
        <w:tab w:val="left" w:pos="567"/>
      </w:tabs>
      <w:spacing w:after="0" w:line="260" w:lineRule="exact"/>
    </w:pPr>
    <w:rPr>
      <w:rFonts w:eastAsia="Times New Roman" w:cs="Times New Roman"/>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4B17"/>
    <w:pPr>
      <w:tabs>
        <w:tab w:val="center" w:pos="4536"/>
        <w:tab w:val="right" w:pos="8306"/>
      </w:tabs>
    </w:pPr>
    <w:rPr>
      <w:lang w:eastAsia="x-none"/>
    </w:rPr>
  </w:style>
  <w:style w:type="character" w:customStyle="1" w:styleId="FooterChar">
    <w:name w:val="Footer Char"/>
    <w:basedOn w:val="DefaultParagraphFont"/>
    <w:link w:val="Footer"/>
    <w:uiPriority w:val="99"/>
    <w:rsid w:val="00054B17"/>
    <w:rPr>
      <w:rFonts w:eastAsia="Times New Roman" w:cs="Times New Roman"/>
      <w:snapToGrid w:val="0"/>
      <w:szCs w:val="20"/>
      <w:lang w:val="en-GB" w:eastAsia="x-none"/>
    </w:rPr>
  </w:style>
  <w:style w:type="character" w:styleId="Hyperlink">
    <w:name w:val="Hyperlink"/>
    <w:uiPriority w:val="99"/>
    <w:rsid w:val="00054B17"/>
    <w:rPr>
      <w:color w:val="0000FF"/>
      <w:u w:val="single"/>
    </w:rPr>
  </w:style>
  <w:style w:type="paragraph" w:styleId="NoSpacing">
    <w:name w:val="No Spacing"/>
    <w:uiPriority w:val="1"/>
    <w:qFormat/>
    <w:rsid w:val="00054B17"/>
    <w:pPr>
      <w:spacing w:after="0" w:line="240" w:lineRule="auto"/>
    </w:pPr>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9263</Words>
  <Characters>5281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2018-10-09T12:41:00Z</dcterms:created>
  <dcterms:modified xsi:type="dcterms:W3CDTF">2018-10-09T12:41:00Z</dcterms:modified>
</cp:coreProperties>
</file>