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C0" w:rsidRPr="00696CB1" w:rsidRDefault="00E40F7F" w:rsidP="00696CB1">
      <w:pPr>
        <w:pStyle w:val="Paprastasistekstas"/>
        <w:widowControl w:val="0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  <w:r w:rsidRPr="00696CB1">
        <w:rPr>
          <w:rFonts w:ascii="Times New Roman" w:hAnsi="Times New Roman"/>
          <w:color w:val="000000"/>
          <w:sz w:val="22"/>
          <w:szCs w:val="22"/>
          <w:lang w:val="lt-LT"/>
        </w:rPr>
        <w:tab/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color w:val="008000"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96CB1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PREPARATO CHARAKTERISTIKŲ SANTRAUKA</w:t>
      </w: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94ADD">
        <w:rPr>
          <w:lang w:val="lt-LT"/>
        </w:rPr>
        <w:br w:type="page"/>
      </w:r>
      <w:r w:rsidRPr="00696CB1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C17BDC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250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 xml:space="preserve"> plėvele dengtos tabletės</w:t>
      </w:r>
      <w:r w:rsidRPr="00696CB1">
        <w:rPr>
          <w:szCs w:val="22"/>
          <w:lang w:val="lt-LT"/>
        </w:rPr>
        <w:cr/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2.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C17BDC" w:rsidRPr="00696CB1" w:rsidRDefault="004461D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Kiekvienoje t</w:t>
      </w:r>
      <w:r w:rsidR="00C17BDC" w:rsidRPr="00696CB1">
        <w:rPr>
          <w:szCs w:val="22"/>
          <w:lang w:val="lt-LT"/>
        </w:rPr>
        <w:t>abletėje yra 250</w:t>
      </w:r>
      <w:r w:rsidR="00404FF5" w:rsidRPr="00696CB1">
        <w:rPr>
          <w:szCs w:val="22"/>
          <w:lang w:val="lt-LT"/>
        </w:rPr>
        <w:t> mg</w:t>
      </w:r>
      <w:r w:rsidR="00C17BDC" w:rsidRPr="00696CB1">
        <w:rPr>
          <w:szCs w:val="22"/>
          <w:lang w:val="lt-LT"/>
        </w:rPr>
        <w:t xml:space="preserve"> </w:t>
      </w:r>
      <w:proofErr w:type="spellStart"/>
      <w:r w:rsidR="00C17BDC" w:rsidRPr="00696CB1">
        <w:rPr>
          <w:szCs w:val="22"/>
          <w:lang w:val="lt-LT"/>
        </w:rPr>
        <w:t>gefitinibo</w:t>
      </w:r>
      <w:proofErr w:type="spellEnd"/>
      <w:r w:rsidR="005D6BD4" w:rsidRPr="00696CB1">
        <w:rPr>
          <w:szCs w:val="22"/>
          <w:lang w:val="lt-LT"/>
        </w:rPr>
        <w:t>.</w:t>
      </w:r>
    </w:p>
    <w:p w:rsidR="00C17BDC" w:rsidRPr="00696CB1" w:rsidRDefault="00C17BDC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u w:val="single"/>
          <w:lang w:val="lt-LT"/>
        </w:rPr>
        <w:t>Pagalbinė</w:t>
      </w:r>
      <w:r w:rsidR="004461D3" w:rsidRPr="00696CB1">
        <w:rPr>
          <w:szCs w:val="22"/>
          <w:u w:val="single"/>
          <w:lang w:val="lt-LT"/>
        </w:rPr>
        <w:t xml:space="preserve">s </w:t>
      </w:r>
      <w:r w:rsidRPr="00696CB1">
        <w:rPr>
          <w:szCs w:val="22"/>
          <w:u w:val="single"/>
          <w:lang w:val="lt-LT"/>
        </w:rPr>
        <w:t>medžiag</w:t>
      </w:r>
      <w:r w:rsidR="004461D3" w:rsidRPr="00696CB1">
        <w:rPr>
          <w:szCs w:val="22"/>
          <w:u w:val="single"/>
          <w:lang w:val="lt-LT"/>
        </w:rPr>
        <w:t>os</w:t>
      </w:r>
      <w:r w:rsidRPr="00696CB1">
        <w:rPr>
          <w:szCs w:val="22"/>
          <w:u w:val="single"/>
          <w:lang w:val="lt-LT"/>
        </w:rPr>
        <w:t>, kurių poveikis žinomas</w:t>
      </w:r>
      <w:r w:rsidR="00BA7FD4">
        <w:rPr>
          <w:szCs w:val="22"/>
          <w:u w:val="single"/>
          <w:lang w:val="lt-LT"/>
        </w:rPr>
        <w:t>:</w:t>
      </w:r>
    </w:p>
    <w:p w:rsidR="004461D3" w:rsidRPr="00696CB1" w:rsidRDefault="004461D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Kiekvienoje tabletėje yra 163,5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 xml:space="preserve"> laktozės (</w:t>
      </w:r>
      <w:proofErr w:type="spellStart"/>
      <w:r w:rsidRPr="00696CB1">
        <w:rPr>
          <w:szCs w:val="22"/>
          <w:lang w:val="lt-LT"/>
        </w:rPr>
        <w:t>monohidrato</w:t>
      </w:r>
      <w:proofErr w:type="spellEnd"/>
      <w:r w:rsidRPr="00696CB1">
        <w:rPr>
          <w:szCs w:val="22"/>
          <w:lang w:val="lt-LT"/>
        </w:rPr>
        <w:t xml:space="preserve"> </w:t>
      </w:r>
      <w:r w:rsidR="005D6BD4" w:rsidRPr="00696CB1">
        <w:rPr>
          <w:szCs w:val="22"/>
          <w:lang w:val="lt-LT"/>
        </w:rPr>
        <w:t>pavidalu</w:t>
      </w:r>
      <w:r w:rsidRPr="00696CB1">
        <w:rPr>
          <w:szCs w:val="22"/>
          <w:lang w:val="lt-LT"/>
        </w:rPr>
        <w:t>).</w:t>
      </w:r>
    </w:p>
    <w:p w:rsidR="004461D3" w:rsidRPr="00696CB1" w:rsidRDefault="004461D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Visos pagalbinės medžiagos išvardytos 6.1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uje.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3.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DC45D4" w:rsidRPr="00696CB1" w:rsidRDefault="00D25601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Plėvele dengta tabletė</w:t>
      </w:r>
      <w:r w:rsidR="005D6BD4" w:rsidRPr="00696CB1">
        <w:rPr>
          <w:szCs w:val="22"/>
          <w:lang w:val="lt-LT"/>
        </w:rPr>
        <w:t xml:space="preserve"> (tabletė).</w:t>
      </w:r>
    </w:p>
    <w:p w:rsidR="00853543" w:rsidRPr="00696CB1" w:rsidRDefault="00853543" w:rsidP="00696CB1">
      <w:pPr>
        <w:widowControl w:val="0"/>
        <w:spacing w:line="240" w:lineRule="auto"/>
        <w:rPr>
          <w:szCs w:val="22"/>
          <w:lang w:val="lt-LT"/>
        </w:rPr>
      </w:pPr>
    </w:p>
    <w:p w:rsidR="00DC45D4" w:rsidRPr="00696CB1" w:rsidRDefault="005D6BD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Rudos</w:t>
      </w:r>
      <w:r w:rsidR="00404FF5" w:rsidRPr="00696CB1">
        <w:rPr>
          <w:szCs w:val="22"/>
          <w:lang w:val="lt-LT"/>
        </w:rPr>
        <w:t xml:space="preserve"> spalvos</w:t>
      </w:r>
      <w:r w:rsidR="00DC45D4" w:rsidRPr="00696CB1">
        <w:rPr>
          <w:szCs w:val="22"/>
          <w:lang w:val="lt-LT"/>
        </w:rPr>
        <w:t>, apvalios, abipus išgaubtos</w:t>
      </w:r>
      <w:r w:rsidRPr="00696CB1">
        <w:rPr>
          <w:szCs w:val="22"/>
          <w:lang w:val="lt-LT"/>
        </w:rPr>
        <w:t>,</w:t>
      </w:r>
      <w:r w:rsidR="00DC45D4" w:rsidRPr="00696CB1">
        <w:rPr>
          <w:szCs w:val="22"/>
          <w:lang w:val="lt-LT"/>
        </w:rPr>
        <w:t xml:space="preserve"> maždaug 11 mm</w:t>
      </w:r>
      <w:r w:rsidRPr="00696CB1">
        <w:rPr>
          <w:szCs w:val="22"/>
          <w:lang w:val="lt-LT"/>
        </w:rPr>
        <w:t xml:space="preserve"> skersmens plėvele dengtos tabletės, kurių</w:t>
      </w:r>
      <w:r w:rsidR="00DC45D4" w:rsidRPr="00696CB1">
        <w:rPr>
          <w:szCs w:val="22"/>
          <w:lang w:val="lt-LT"/>
        </w:rPr>
        <w:t xml:space="preserve"> vienoje pusėje įspausta „G9FB 250“.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4.1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8C3A64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skirtas s</w:t>
      </w:r>
      <w:r w:rsidR="009827D7" w:rsidRPr="00696CB1">
        <w:rPr>
          <w:szCs w:val="22"/>
          <w:lang w:val="lt-LT"/>
        </w:rPr>
        <w:t xml:space="preserve">uaugusių pacientų lokaliai progresavusio arba </w:t>
      </w:r>
      <w:proofErr w:type="spellStart"/>
      <w:r w:rsidR="009827D7" w:rsidRPr="00696CB1">
        <w:rPr>
          <w:szCs w:val="22"/>
          <w:lang w:val="lt-LT"/>
        </w:rPr>
        <w:t>metastazavusio</w:t>
      </w:r>
      <w:proofErr w:type="spellEnd"/>
      <w:r w:rsidR="009827D7" w:rsidRPr="00696CB1">
        <w:rPr>
          <w:szCs w:val="22"/>
          <w:lang w:val="lt-LT"/>
        </w:rPr>
        <w:t xml:space="preserve"> </w:t>
      </w:r>
      <w:proofErr w:type="spellStart"/>
      <w:r w:rsidR="009827D7" w:rsidRPr="00696CB1">
        <w:rPr>
          <w:szCs w:val="22"/>
          <w:lang w:val="lt-LT"/>
        </w:rPr>
        <w:t>nesmulkialąstelinio</w:t>
      </w:r>
      <w:proofErr w:type="spellEnd"/>
      <w:r w:rsidR="009827D7" w:rsidRPr="00696CB1">
        <w:rPr>
          <w:szCs w:val="22"/>
          <w:lang w:val="lt-LT"/>
        </w:rPr>
        <w:t xml:space="preserve"> plaučių vėžio</w:t>
      </w:r>
      <w:r w:rsidR="005276B4" w:rsidRPr="00696CB1">
        <w:rPr>
          <w:szCs w:val="22"/>
          <w:lang w:val="lt-LT"/>
        </w:rPr>
        <w:t xml:space="preserve"> (NSLPV)</w:t>
      </w:r>
      <w:r w:rsidR="009827D7" w:rsidRPr="00696CB1">
        <w:rPr>
          <w:szCs w:val="22"/>
          <w:lang w:val="lt-LT"/>
        </w:rPr>
        <w:t xml:space="preserve">, turinčio </w:t>
      </w:r>
      <w:r w:rsidR="005D6BD4" w:rsidRPr="00696CB1">
        <w:rPr>
          <w:szCs w:val="22"/>
          <w:lang w:val="lt-LT"/>
        </w:rPr>
        <w:t>epidermio augimo faktoriaus receptorių</w:t>
      </w:r>
      <w:r w:rsidR="009827D7" w:rsidRPr="00696CB1">
        <w:rPr>
          <w:szCs w:val="22"/>
          <w:lang w:val="lt-LT"/>
        </w:rPr>
        <w:t xml:space="preserve"> </w:t>
      </w:r>
      <w:proofErr w:type="spellStart"/>
      <w:r w:rsidR="009827D7" w:rsidRPr="00696CB1">
        <w:rPr>
          <w:szCs w:val="22"/>
          <w:lang w:val="lt-LT"/>
        </w:rPr>
        <w:t>tirozinkinazę</w:t>
      </w:r>
      <w:proofErr w:type="spellEnd"/>
      <w:r w:rsidR="009827D7" w:rsidRPr="00696CB1">
        <w:rPr>
          <w:szCs w:val="22"/>
          <w:lang w:val="lt-LT"/>
        </w:rPr>
        <w:t xml:space="preserve"> </w:t>
      </w:r>
      <w:r w:rsidR="005D6BD4" w:rsidRPr="00696CB1">
        <w:rPr>
          <w:szCs w:val="22"/>
          <w:lang w:val="lt-LT"/>
        </w:rPr>
        <w:t xml:space="preserve">(EAFR-TK) </w:t>
      </w:r>
      <w:r w:rsidR="009827D7" w:rsidRPr="00696CB1">
        <w:rPr>
          <w:szCs w:val="22"/>
          <w:lang w:val="lt-LT"/>
        </w:rPr>
        <w:t xml:space="preserve">aktyvinančių mutacijų, </w:t>
      </w:r>
      <w:proofErr w:type="spellStart"/>
      <w:r w:rsidR="009827D7" w:rsidRPr="00696CB1">
        <w:rPr>
          <w:szCs w:val="22"/>
          <w:lang w:val="lt-LT"/>
        </w:rPr>
        <w:t>monoterapija</w:t>
      </w:r>
      <w:r w:rsidRPr="00696CB1">
        <w:rPr>
          <w:szCs w:val="22"/>
          <w:lang w:val="lt-LT"/>
        </w:rPr>
        <w:t>i</w:t>
      </w:r>
      <w:proofErr w:type="spellEnd"/>
      <w:r w:rsidR="009827D7" w:rsidRPr="00696CB1">
        <w:rPr>
          <w:szCs w:val="22"/>
          <w:lang w:val="lt-LT"/>
        </w:rPr>
        <w:t xml:space="preserve"> (žr. 4.4</w:t>
      </w:r>
      <w:r w:rsidR="00404FF5" w:rsidRPr="00696CB1">
        <w:rPr>
          <w:szCs w:val="22"/>
          <w:lang w:val="lt-LT"/>
        </w:rPr>
        <w:t> skyri</w:t>
      </w:r>
      <w:r w:rsidR="009827D7" w:rsidRPr="00696CB1">
        <w:rPr>
          <w:szCs w:val="22"/>
          <w:lang w:val="lt-LT"/>
        </w:rPr>
        <w:t>ų).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4.2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Gydymą </w:t>
      </w: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turi pradėti ir prižiūrėti gydytojas, turintis gydymo vaistiniais preparatais nuo vėžio patirties.</w:t>
      </w: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Dozavimas</w:t>
      </w:r>
    </w:p>
    <w:p w:rsidR="004C782A" w:rsidRPr="00696CB1" w:rsidRDefault="004C782A" w:rsidP="00696CB1">
      <w:pPr>
        <w:widowControl w:val="0"/>
        <w:spacing w:line="240" w:lineRule="auto"/>
        <w:rPr>
          <w:szCs w:val="22"/>
          <w:u w:val="single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Rekomenduojama </w:t>
      </w: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dozė – viena 250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 xml:space="preserve"> tabletė kartą per parą. Praleistą dozę pacientas turi išgerti iš karto prisiminęs. Vis dėlto jeigu iki laiko kitai dozei gerti liko mažiau kaip 12</w:t>
      </w:r>
      <w:r w:rsidR="00404FF5" w:rsidRPr="00696CB1">
        <w:rPr>
          <w:szCs w:val="22"/>
          <w:lang w:val="lt-LT"/>
        </w:rPr>
        <w:t> val.</w:t>
      </w:r>
      <w:r w:rsidRPr="00696CB1">
        <w:rPr>
          <w:szCs w:val="22"/>
          <w:lang w:val="lt-LT"/>
        </w:rPr>
        <w:t xml:space="preserve">, praleistosios dozės reikia nevartoti. </w:t>
      </w:r>
      <w:r w:rsidR="00F75C14" w:rsidRPr="00696CB1">
        <w:rPr>
          <w:szCs w:val="22"/>
          <w:lang w:val="lt-LT"/>
        </w:rPr>
        <w:t>N</w:t>
      </w:r>
      <w:r w:rsidRPr="00696CB1">
        <w:rPr>
          <w:szCs w:val="22"/>
          <w:lang w:val="lt-LT"/>
        </w:rPr>
        <w:t xml:space="preserve">egalima </w:t>
      </w:r>
      <w:r w:rsidR="00262BA6" w:rsidRPr="00696CB1">
        <w:rPr>
          <w:szCs w:val="22"/>
          <w:lang w:val="lt-LT"/>
        </w:rPr>
        <w:t>vartoti</w:t>
      </w:r>
      <w:r w:rsidRPr="00696CB1">
        <w:rPr>
          <w:szCs w:val="22"/>
          <w:lang w:val="lt-LT"/>
        </w:rPr>
        <w:t xml:space="preserve"> dvigubos dozės (t.</w:t>
      </w:r>
      <w:r w:rsidR="00262BA6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y. dviejų dozių iš karto) norint</w:t>
      </w:r>
      <w:r w:rsidR="00262BA6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kompensuoti praleistą dozę.</w:t>
      </w:r>
    </w:p>
    <w:p w:rsidR="00262BA6" w:rsidRPr="00696CB1" w:rsidRDefault="00262BA6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Vaikų populiacija</w:t>
      </w: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saugumas ir veiksmingumas vaikams ir paaugliams iki 18</w:t>
      </w:r>
      <w:r w:rsidR="00575BC9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metų dar </w:t>
      </w:r>
      <w:r w:rsidR="00575BC9" w:rsidRPr="00696CB1">
        <w:rPr>
          <w:szCs w:val="22"/>
          <w:lang w:val="lt-LT"/>
        </w:rPr>
        <w:t>neištirti</w:t>
      </w:r>
      <w:r w:rsidRPr="00696CB1">
        <w:rPr>
          <w:szCs w:val="22"/>
          <w:lang w:val="lt-LT"/>
        </w:rPr>
        <w:t xml:space="preserve">. </w:t>
      </w:r>
      <w:proofErr w:type="spellStart"/>
      <w:r w:rsidR="00575BC9" w:rsidRPr="00696CB1">
        <w:rPr>
          <w:szCs w:val="22"/>
          <w:lang w:val="lt-LT"/>
        </w:rPr>
        <w:t>Gefitinib</w:t>
      </w:r>
      <w:proofErr w:type="spellEnd"/>
      <w:r w:rsidR="00575BC9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575BC9" w:rsidRPr="00696CB1">
        <w:rPr>
          <w:szCs w:val="22"/>
          <w:lang w:val="lt-LT"/>
        </w:rPr>
        <w:t xml:space="preserve"> nėra skirtas vaikams </w:t>
      </w:r>
      <w:r w:rsidR="005276B4" w:rsidRPr="00696CB1">
        <w:rPr>
          <w:szCs w:val="22"/>
          <w:lang w:val="lt-LT"/>
        </w:rPr>
        <w:t>NSLPV</w:t>
      </w:r>
      <w:r w:rsidRPr="00696CB1">
        <w:rPr>
          <w:szCs w:val="22"/>
          <w:lang w:val="lt-LT"/>
        </w:rPr>
        <w:t xml:space="preserve"> gydyti.</w:t>
      </w:r>
    </w:p>
    <w:p w:rsidR="003E1EC8" w:rsidRPr="00696CB1" w:rsidRDefault="003E1EC8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3E1EC8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Pacientams, kurių kepenų funkcija sutrikusi</w:t>
      </w: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Pacientų, </w:t>
      </w:r>
      <w:r w:rsidR="00EF2CD4" w:rsidRPr="00696CB1">
        <w:rPr>
          <w:szCs w:val="22"/>
          <w:lang w:val="lt-LT"/>
        </w:rPr>
        <w:t>kuriems yra</w:t>
      </w:r>
      <w:r w:rsidRPr="00696CB1">
        <w:rPr>
          <w:szCs w:val="22"/>
          <w:lang w:val="lt-LT"/>
        </w:rPr>
        <w:t xml:space="preserve"> </w:t>
      </w:r>
      <w:r w:rsidR="00264E83" w:rsidRPr="00696CB1">
        <w:rPr>
          <w:szCs w:val="22"/>
          <w:lang w:val="lt-LT"/>
        </w:rPr>
        <w:t xml:space="preserve">cirozės sukeltas </w:t>
      </w:r>
      <w:r w:rsidRPr="00696CB1">
        <w:rPr>
          <w:szCs w:val="22"/>
          <w:lang w:val="lt-LT"/>
        </w:rPr>
        <w:t>vidutini</w:t>
      </w:r>
      <w:r w:rsidR="00EF2CD4" w:rsidRPr="00696CB1">
        <w:rPr>
          <w:szCs w:val="22"/>
          <w:lang w:val="lt-LT"/>
        </w:rPr>
        <w:t>o sunkumo</w:t>
      </w:r>
      <w:r w:rsidRPr="00696CB1">
        <w:rPr>
          <w:szCs w:val="22"/>
          <w:lang w:val="lt-LT"/>
        </w:rPr>
        <w:t xml:space="preserve"> ar sunk</w:t>
      </w:r>
      <w:r w:rsidR="00EF2CD4" w:rsidRPr="00696CB1">
        <w:rPr>
          <w:szCs w:val="22"/>
          <w:lang w:val="lt-LT"/>
        </w:rPr>
        <w:t>us</w:t>
      </w:r>
      <w:r w:rsidRPr="00696CB1">
        <w:rPr>
          <w:szCs w:val="22"/>
          <w:lang w:val="lt-LT"/>
        </w:rPr>
        <w:t xml:space="preserve"> kepenų </w:t>
      </w:r>
      <w:r w:rsidR="00EF2CD4" w:rsidRPr="00696CB1">
        <w:rPr>
          <w:szCs w:val="22"/>
          <w:lang w:val="lt-LT"/>
        </w:rPr>
        <w:t>funkcijos sutrikimas</w:t>
      </w:r>
      <w:r w:rsidRPr="00696CB1">
        <w:rPr>
          <w:szCs w:val="22"/>
          <w:lang w:val="lt-LT"/>
        </w:rPr>
        <w:t xml:space="preserve"> (B arba C</w:t>
      </w:r>
      <w:r w:rsidR="00EF2CD4" w:rsidRPr="00696CB1">
        <w:rPr>
          <w:szCs w:val="22"/>
          <w:lang w:val="lt-LT"/>
        </w:rPr>
        <w:t xml:space="preserve"> pagal </w:t>
      </w:r>
      <w:proofErr w:type="spellStart"/>
      <w:r w:rsidR="00EF2CD4" w:rsidRPr="00696CB1">
        <w:rPr>
          <w:i/>
          <w:szCs w:val="22"/>
          <w:lang w:val="lt-LT"/>
        </w:rPr>
        <w:t>Child-Pugh</w:t>
      </w:r>
      <w:proofErr w:type="spellEnd"/>
      <w:r w:rsidR="00335E7B" w:rsidRPr="00696CB1">
        <w:rPr>
          <w:szCs w:val="22"/>
          <w:lang w:val="lt-LT"/>
        </w:rPr>
        <w:t xml:space="preserve"> klasifikacij</w:t>
      </w:r>
      <w:r w:rsidR="005276B4" w:rsidRPr="00696CB1">
        <w:rPr>
          <w:szCs w:val="22"/>
          <w:lang w:val="lt-LT"/>
        </w:rPr>
        <w:t>ą</w:t>
      </w:r>
      <w:r w:rsidRPr="00696CB1">
        <w:rPr>
          <w:szCs w:val="22"/>
          <w:lang w:val="lt-LT"/>
        </w:rPr>
        <w:t>),</w:t>
      </w:r>
      <w:r w:rsidR="00EF2CD4" w:rsidRPr="00696CB1">
        <w:rPr>
          <w:szCs w:val="22"/>
          <w:lang w:val="lt-LT"/>
        </w:rPr>
        <w:t xml:space="preserve"> kraujo </w:t>
      </w:r>
      <w:r w:rsidRPr="00696CB1">
        <w:rPr>
          <w:szCs w:val="22"/>
          <w:lang w:val="lt-LT"/>
        </w:rPr>
        <w:t xml:space="preserve">plazmoje susidaro didesnė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koncentracija. Tokius pacientus reikia atidžiai stebėti dėl galimų</w:t>
      </w:r>
      <w:r w:rsidR="00EF2CD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nepageidaujamų reiškinių. Kai </w:t>
      </w:r>
      <w:proofErr w:type="spellStart"/>
      <w:r w:rsidRPr="00696CB1">
        <w:rPr>
          <w:szCs w:val="22"/>
          <w:lang w:val="lt-LT"/>
        </w:rPr>
        <w:t>aspartato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transaminazės</w:t>
      </w:r>
      <w:proofErr w:type="spellEnd"/>
      <w:r w:rsidRPr="00696CB1">
        <w:rPr>
          <w:szCs w:val="22"/>
          <w:lang w:val="lt-LT"/>
        </w:rPr>
        <w:t xml:space="preserve"> (AST)</w:t>
      </w:r>
      <w:r w:rsidR="00264E83" w:rsidRPr="00696CB1">
        <w:rPr>
          <w:szCs w:val="22"/>
          <w:lang w:val="lt-LT"/>
        </w:rPr>
        <w:t xml:space="preserve"> ar</w:t>
      </w:r>
      <w:r w:rsidRPr="00696CB1">
        <w:rPr>
          <w:szCs w:val="22"/>
          <w:lang w:val="lt-LT"/>
        </w:rPr>
        <w:t xml:space="preserve"> šarminės </w:t>
      </w:r>
      <w:proofErr w:type="spellStart"/>
      <w:r w:rsidRPr="00696CB1">
        <w:rPr>
          <w:szCs w:val="22"/>
          <w:lang w:val="lt-LT"/>
        </w:rPr>
        <w:t>fosfatazės</w:t>
      </w:r>
      <w:proofErr w:type="spellEnd"/>
      <w:r w:rsidRPr="00696CB1">
        <w:rPr>
          <w:szCs w:val="22"/>
          <w:lang w:val="lt-LT"/>
        </w:rPr>
        <w:t xml:space="preserve"> </w:t>
      </w:r>
      <w:r w:rsidR="00264E83" w:rsidRPr="00696CB1">
        <w:rPr>
          <w:szCs w:val="22"/>
          <w:lang w:val="lt-LT"/>
        </w:rPr>
        <w:t xml:space="preserve">aktyvumas </w:t>
      </w:r>
      <w:r w:rsidRPr="00696CB1">
        <w:rPr>
          <w:szCs w:val="22"/>
          <w:lang w:val="lt-LT"/>
        </w:rPr>
        <w:t xml:space="preserve">ar </w:t>
      </w:r>
      <w:proofErr w:type="spellStart"/>
      <w:r w:rsidRPr="00696CB1">
        <w:rPr>
          <w:szCs w:val="22"/>
          <w:lang w:val="lt-LT"/>
        </w:rPr>
        <w:t>bilirubino</w:t>
      </w:r>
      <w:proofErr w:type="spellEnd"/>
      <w:r w:rsidR="00EF2CD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koncentracija</w:t>
      </w:r>
      <w:r w:rsidR="00EF2CD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buvo padidėjusi dėl metastazių kepenyse, vaistinio preparato koncentracija plazmoje</w:t>
      </w:r>
      <w:r w:rsidR="00EF2CD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nepadidėjo (žr. 5.2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EF2CD4" w:rsidRPr="00696CB1" w:rsidRDefault="00EF2CD4" w:rsidP="00696CB1">
      <w:pPr>
        <w:widowControl w:val="0"/>
        <w:spacing w:line="240" w:lineRule="auto"/>
        <w:rPr>
          <w:szCs w:val="22"/>
          <w:lang w:val="lt-LT"/>
        </w:rPr>
      </w:pPr>
    </w:p>
    <w:p w:rsidR="00EF2CD4" w:rsidRPr="00696CB1" w:rsidRDefault="00EF2CD4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Pacientams, kurių inkstų funkcija sutrikusi</w:t>
      </w:r>
    </w:p>
    <w:p w:rsidR="009827D7" w:rsidRPr="00696CB1" w:rsidRDefault="00EF2CD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 yra inkstų funkcijos sutrikimas ir </w:t>
      </w:r>
      <w:proofErr w:type="spellStart"/>
      <w:r w:rsidR="009827D7" w:rsidRPr="00696CB1">
        <w:rPr>
          <w:szCs w:val="22"/>
          <w:lang w:val="lt-LT"/>
        </w:rPr>
        <w:t>kreatinino</w:t>
      </w:r>
      <w:proofErr w:type="spellEnd"/>
      <w:r w:rsidR="009827D7" w:rsidRPr="00696CB1">
        <w:rPr>
          <w:szCs w:val="22"/>
          <w:lang w:val="lt-LT"/>
        </w:rPr>
        <w:t xml:space="preserve"> klirensas &gt;</w:t>
      </w:r>
      <w:r w:rsidRPr="00696CB1">
        <w:rPr>
          <w:szCs w:val="22"/>
          <w:lang w:val="lt-LT"/>
        </w:rPr>
        <w:t> </w:t>
      </w:r>
      <w:r w:rsidR="009827D7" w:rsidRPr="00696CB1">
        <w:rPr>
          <w:szCs w:val="22"/>
          <w:lang w:val="lt-LT"/>
        </w:rPr>
        <w:t>20</w:t>
      </w:r>
      <w:r w:rsidRPr="00696CB1">
        <w:rPr>
          <w:szCs w:val="22"/>
          <w:lang w:val="lt-LT"/>
        </w:rPr>
        <w:t> </w:t>
      </w:r>
      <w:r w:rsidR="009827D7" w:rsidRPr="00696CB1">
        <w:rPr>
          <w:szCs w:val="22"/>
          <w:lang w:val="lt-LT"/>
        </w:rPr>
        <w:t>ml/min., dozės</w:t>
      </w:r>
      <w:r w:rsidRPr="00696CB1">
        <w:rPr>
          <w:szCs w:val="22"/>
          <w:lang w:val="lt-LT"/>
        </w:rPr>
        <w:t xml:space="preserve"> </w:t>
      </w:r>
      <w:r w:rsidR="009827D7" w:rsidRPr="00696CB1">
        <w:rPr>
          <w:szCs w:val="22"/>
          <w:lang w:val="lt-LT"/>
        </w:rPr>
        <w:t xml:space="preserve">koreguoti nereikia. Duomenų apie šio vaistinio preparato vartojimą, kai </w:t>
      </w:r>
      <w:proofErr w:type="spellStart"/>
      <w:r w:rsidR="009827D7" w:rsidRPr="00696CB1">
        <w:rPr>
          <w:szCs w:val="22"/>
          <w:lang w:val="lt-LT"/>
        </w:rPr>
        <w:t>kreatinino</w:t>
      </w:r>
      <w:proofErr w:type="spellEnd"/>
      <w:r w:rsidR="009827D7" w:rsidRPr="00696CB1">
        <w:rPr>
          <w:szCs w:val="22"/>
          <w:lang w:val="lt-LT"/>
        </w:rPr>
        <w:t xml:space="preserve"> klirensas</w:t>
      </w:r>
      <w:r w:rsidRPr="00696CB1">
        <w:rPr>
          <w:szCs w:val="22"/>
          <w:lang w:val="lt-LT"/>
        </w:rPr>
        <w:t xml:space="preserve"> ≤ </w:t>
      </w:r>
      <w:r w:rsidR="009827D7" w:rsidRPr="00696CB1">
        <w:rPr>
          <w:szCs w:val="22"/>
          <w:lang w:val="lt-LT"/>
        </w:rPr>
        <w:t>20</w:t>
      </w:r>
      <w:r w:rsidR="00264E83" w:rsidRPr="00696CB1">
        <w:rPr>
          <w:szCs w:val="22"/>
          <w:lang w:val="lt-LT"/>
        </w:rPr>
        <w:t> </w:t>
      </w:r>
      <w:r w:rsidR="009827D7" w:rsidRPr="00696CB1">
        <w:rPr>
          <w:szCs w:val="22"/>
          <w:lang w:val="lt-LT"/>
        </w:rPr>
        <w:t>ml/min</w:t>
      </w:r>
      <w:r w:rsidR="00264E83" w:rsidRPr="00696CB1">
        <w:rPr>
          <w:szCs w:val="22"/>
          <w:lang w:val="lt-LT"/>
        </w:rPr>
        <w:t>.</w:t>
      </w:r>
      <w:r w:rsidR="009827D7" w:rsidRPr="00696CB1">
        <w:rPr>
          <w:szCs w:val="22"/>
          <w:lang w:val="lt-LT"/>
        </w:rPr>
        <w:t xml:space="preserve">, yra mažai, </w:t>
      </w:r>
      <w:r w:rsidR="009827D7" w:rsidRPr="00696CB1">
        <w:rPr>
          <w:szCs w:val="22"/>
          <w:lang w:val="lt-LT"/>
        </w:rPr>
        <w:lastRenderedPageBreak/>
        <w:t xml:space="preserve">todėl tokiems pacientams jo </w:t>
      </w:r>
      <w:r w:rsidRPr="00696CB1">
        <w:rPr>
          <w:szCs w:val="22"/>
          <w:lang w:val="lt-LT"/>
        </w:rPr>
        <w:t>rekomenduojama skirti</w:t>
      </w:r>
      <w:r w:rsidR="009827D7" w:rsidRPr="00696CB1">
        <w:rPr>
          <w:szCs w:val="22"/>
          <w:lang w:val="lt-LT"/>
        </w:rPr>
        <w:t xml:space="preserve"> atsargiai (žr. 5.2</w:t>
      </w:r>
      <w:r w:rsidR="00404FF5" w:rsidRPr="00696CB1">
        <w:rPr>
          <w:szCs w:val="22"/>
          <w:lang w:val="lt-LT"/>
        </w:rPr>
        <w:t> skyri</w:t>
      </w:r>
      <w:r w:rsidR="009827D7" w:rsidRPr="00696CB1">
        <w:rPr>
          <w:szCs w:val="22"/>
          <w:lang w:val="lt-LT"/>
        </w:rPr>
        <w:t>ų).</w:t>
      </w: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EF2CD4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Senyviems pacientams</w:t>
      </w: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Dėl paciento amžiaus dozės koreguoti nereikia (žr. 5.2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362A32" w:rsidRPr="00696CB1" w:rsidRDefault="00362A32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 xml:space="preserve">CYP2D6 lėtiems </w:t>
      </w:r>
      <w:proofErr w:type="spellStart"/>
      <w:r w:rsidRPr="00696CB1">
        <w:rPr>
          <w:i/>
          <w:szCs w:val="22"/>
          <w:lang w:val="lt-LT"/>
        </w:rPr>
        <w:t>metabolizuotojams</w:t>
      </w:r>
      <w:proofErr w:type="spellEnd"/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Lėto CYP2D6 metabolizmo genotipo pacientams dozės specifiškai koreguoti nereikia, tačiau juos</w:t>
      </w:r>
      <w:r w:rsidR="00362A3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reikia atidžiai stebėti dėl galimų nepageidaujamų reiškinių (žr. 5.2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362A32" w:rsidRPr="00696CB1" w:rsidRDefault="00362A32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Dozės koregavimas dėl toksinio poveikio</w:t>
      </w: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Pacientams, kurie blogai toleruoja viduriavimą arba nepageidaujamas odos reakcijas, gali padėti</w:t>
      </w:r>
      <w:r w:rsidR="00DF78D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trumpas (iki 14</w:t>
      </w:r>
      <w:r w:rsidR="00DF78D7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dienų) šio vaistinio preparato vartojimo nutraukimas, po kurio vėl </w:t>
      </w:r>
      <w:r w:rsidR="00264E83" w:rsidRPr="00696CB1">
        <w:rPr>
          <w:szCs w:val="22"/>
          <w:lang w:val="lt-LT"/>
        </w:rPr>
        <w:t>pradedama vartoti</w:t>
      </w:r>
      <w:r w:rsidRPr="00696CB1">
        <w:rPr>
          <w:szCs w:val="22"/>
          <w:lang w:val="lt-LT"/>
        </w:rPr>
        <w:t xml:space="preserve"> 250</w:t>
      </w:r>
      <w:r w:rsidR="00404FF5" w:rsidRPr="00696CB1">
        <w:rPr>
          <w:szCs w:val="22"/>
          <w:lang w:val="lt-LT"/>
        </w:rPr>
        <w:t> mg</w:t>
      </w:r>
      <w:r w:rsidR="00DF78D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dozė (žr. 4.8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 Jeigu ir po trumpo vartojimo nutraukimo pacientas negali toleruoti šio vaistinio</w:t>
      </w:r>
      <w:r w:rsidR="00DF78D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preparato, reikia nutraukti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vartojimą ir </w:t>
      </w:r>
      <w:r w:rsidR="00264E83" w:rsidRPr="00696CB1">
        <w:rPr>
          <w:szCs w:val="22"/>
          <w:lang w:val="lt-LT"/>
        </w:rPr>
        <w:t>ap</w:t>
      </w:r>
      <w:r w:rsidRPr="00696CB1">
        <w:rPr>
          <w:szCs w:val="22"/>
          <w:lang w:val="lt-LT"/>
        </w:rPr>
        <w:t>svarstyti kitokio gydymo galimybę.</w:t>
      </w:r>
    </w:p>
    <w:p w:rsidR="00DF78D7" w:rsidRPr="00696CB1" w:rsidRDefault="00DF78D7" w:rsidP="00696CB1">
      <w:pPr>
        <w:widowControl w:val="0"/>
        <w:spacing w:line="240" w:lineRule="auto"/>
        <w:rPr>
          <w:szCs w:val="22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Vartojimo metodas</w:t>
      </w:r>
    </w:p>
    <w:p w:rsidR="004C782A" w:rsidRPr="00696CB1" w:rsidRDefault="004C782A" w:rsidP="00696CB1">
      <w:pPr>
        <w:widowControl w:val="0"/>
        <w:spacing w:line="240" w:lineRule="auto"/>
        <w:rPr>
          <w:szCs w:val="22"/>
          <w:u w:val="single"/>
          <w:lang w:val="lt-LT"/>
        </w:rPr>
      </w:pPr>
    </w:p>
    <w:p w:rsidR="009827D7" w:rsidRPr="00696CB1" w:rsidRDefault="009827D7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Tabletes galima gerti valgant arba ne valgio metu, kasdien maždaug tuo pačiu laiku. Tabletę galima</w:t>
      </w:r>
      <w:r w:rsidR="00AD476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nuryti nepažeistą, užgeriant vandeniu. Jeigu visos tabletės pacientas nuryti negali, ją galima</w:t>
      </w:r>
      <w:r w:rsidR="00AD476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disperguoti negazuotame vandenyje (kitų skysčių tam naudoti negalima). </w:t>
      </w:r>
      <w:r w:rsidR="00AD476F" w:rsidRPr="00696CB1">
        <w:rPr>
          <w:szCs w:val="22"/>
          <w:lang w:val="lt-LT"/>
        </w:rPr>
        <w:t>N</w:t>
      </w:r>
      <w:r w:rsidRPr="00696CB1">
        <w:rPr>
          <w:szCs w:val="22"/>
          <w:lang w:val="lt-LT"/>
        </w:rPr>
        <w:t>esutraiškytą</w:t>
      </w:r>
      <w:r w:rsidR="00AD476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tabletę </w:t>
      </w:r>
      <w:r w:rsidR="00AD476F" w:rsidRPr="00696CB1">
        <w:rPr>
          <w:szCs w:val="22"/>
          <w:lang w:val="lt-LT"/>
        </w:rPr>
        <w:t xml:space="preserve">reikia įmesti </w:t>
      </w:r>
      <w:r w:rsidRPr="00696CB1">
        <w:rPr>
          <w:szCs w:val="22"/>
          <w:lang w:val="lt-LT"/>
        </w:rPr>
        <w:t>į pusę stiklinės geriamojo vandens</w:t>
      </w:r>
      <w:r w:rsidR="00AD476F" w:rsidRPr="00696CB1">
        <w:rPr>
          <w:szCs w:val="22"/>
          <w:lang w:val="lt-LT"/>
        </w:rPr>
        <w:t xml:space="preserve"> ir</w:t>
      </w:r>
      <w:r w:rsidRPr="00696CB1">
        <w:rPr>
          <w:szCs w:val="22"/>
          <w:lang w:val="lt-LT"/>
        </w:rPr>
        <w:t xml:space="preserve"> protarpiais pasukioti stiklinę, kol tabletė</w:t>
      </w:r>
      <w:r w:rsidR="00AD476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disperg</w:t>
      </w:r>
      <w:r w:rsidR="00AD476F" w:rsidRPr="00696CB1">
        <w:rPr>
          <w:szCs w:val="22"/>
          <w:lang w:val="lt-LT"/>
        </w:rPr>
        <w:t>uosis (tai gali užtrukti iki 20 </w:t>
      </w:r>
      <w:r w:rsidRPr="00696CB1">
        <w:rPr>
          <w:szCs w:val="22"/>
          <w:lang w:val="lt-LT"/>
        </w:rPr>
        <w:t>min.). Dispersiją reikia išgerti, kai tik tabletė baigs disperguotis</w:t>
      </w:r>
      <w:r w:rsidR="00AD476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(t.</w:t>
      </w:r>
      <w:r w:rsidR="00AD476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y. per 60</w:t>
      </w:r>
      <w:r w:rsidR="00F01CC9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min.). </w:t>
      </w:r>
      <w:r w:rsidR="00F01CC9" w:rsidRPr="00696CB1">
        <w:rPr>
          <w:szCs w:val="22"/>
          <w:lang w:val="lt-LT"/>
        </w:rPr>
        <w:t>Po to</w:t>
      </w:r>
      <w:r w:rsidRPr="00696CB1">
        <w:rPr>
          <w:szCs w:val="22"/>
          <w:lang w:val="lt-LT"/>
        </w:rPr>
        <w:t xml:space="preserve"> stiklinę reikia praskalauti puse stiklinės vandens ir jį taip pat išgerti.</w:t>
      </w:r>
      <w:r w:rsidR="00AD476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Dispersiją taip pat galima vartoti per nosies-skrandži</w:t>
      </w:r>
      <w:r w:rsidR="00F01CC9" w:rsidRPr="00696CB1">
        <w:rPr>
          <w:szCs w:val="22"/>
          <w:lang w:val="lt-LT"/>
        </w:rPr>
        <w:t xml:space="preserve">o arba </w:t>
      </w:r>
      <w:proofErr w:type="spellStart"/>
      <w:r w:rsidR="00F01CC9" w:rsidRPr="00696CB1">
        <w:rPr>
          <w:szCs w:val="22"/>
          <w:lang w:val="lt-LT"/>
        </w:rPr>
        <w:t>gastrostomijos</w:t>
      </w:r>
      <w:proofErr w:type="spellEnd"/>
      <w:r w:rsidR="00F01CC9" w:rsidRPr="00696CB1">
        <w:rPr>
          <w:szCs w:val="22"/>
          <w:lang w:val="lt-LT"/>
        </w:rPr>
        <w:t xml:space="preserve"> vamzdelį.</w:t>
      </w:r>
      <w:r w:rsidRPr="00696CB1">
        <w:rPr>
          <w:szCs w:val="22"/>
          <w:lang w:val="lt-LT"/>
        </w:rPr>
        <w:cr/>
      </w: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4.3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1B3360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Padidėjęs jautrumas veikliajai arba bet kuriai 6.1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uje nurodytai pagalbinei medžiagai</w:t>
      </w:r>
      <w:r w:rsidR="001B3360" w:rsidRPr="00696CB1">
        <w:rPr>
          <w:szCs w:val="22"/>
          <w:lang w:val="lt-LT"/>
        </w:rPr>
        <w:t>.</w:t>
      </w:r>
    </w:p>
    <w:p w:rsidR="00A26EF1" w:rsidRPr="00696CB1" w:rsidRDefault="00A26EF1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1B3360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Žindymas (žr. 4.6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  <w:r w:rsidRPr="00696CB1">
        <w:rPr>
          <w:szCs w:val="22"/>
          <w:lang w:val="lt-LT"/>
        </w:rPr>
        <w:cr/>
      </w: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4.4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Svarstant </w:t>
      </w:r>
      <w:proofErr w:type="spellStart"/>
      <w:r w:rsidR="00DB68BA" w:rsidRPr="00696CB1">
        <w:rPr>
          <w:szCs w:val="22"/>
          <w:lang w:val="lt-LT"/>
        </w:rPr>
        <w:t>Gefitinib</w:t>
      </w:r>
      <w:proofErr w:type="spellEnd"/>
      <w:r w:rsidR="00DB68BA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vartojimo lokaliai progresavusiam ar </w:t>
      </w:r>
      <w:proofErr w:type="spellStart"/>
      <w:r w:rsidRPr="00696CB1">
        <w:rPr>
          <w:szCs w:val="22"/>
          <w:lang w:val="lt-LT"/>
        </w:rPr>
        <w:t>metastazavusiam</w:t>
      </w:r>
      <w:proofErr w:type="spellEnd"/>
      <w:r w:rsidRPr="00696CB1">
        <w:rPr>
          <w:szCs w:val="22"/>
          <w:lang w:val="lt-LT"/>
        </w:rPr>
        <w:t xml:space="preserve"> </w:t>
      </w:r>
      <w:r w:rsidR="00F01CC9" w:rsidRPr="00696CB1">
        <w:rPr>
          <w:szCs w:val="22"/>
          <w:lang w:val="lt-LT"/>
        </w:rPr>
        <w:t xml:space="preserve">NSLPV </w:t>
      </w:r>
      <w:r w:rsidRPr="00696CB1">
        <w:rPr>
          <w:szCs w:val="22"/>
          <w:lang w:val="lt-LT"/>
        </w:rPr>
        <w:t xml:space="preserve">gydyti tikslingumą, svarbu </w:t>
      </w:r>
      <w:r w:rsidR="00F01CC9" w:rsidRPr="00696CB1">
        <w:rPr>
          <w:szCs w:val="22"/>
          <w:lang w:val="lt-LT"/>
        </w:rPr>
        <w:t xml:space="preserve">visiems pacientams </w:t>
      </w:r>
      <w:r w:rsidRPr="00696CB1">
        <w:rPr>
          <w:szCs w:val="22"/>
          <w:lang w:val="lt-LT"/>
        </w:rPr>
        <w:t>pamėginti įvertinti navikinio audinio EAFR</w:t>
      </w:r>
      <w:r w:rsidR="00DB68B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mutacijas. Jei naviko mėginys tam netinka, tai galima naudoti cirkuliuojančią navikinę DNR</w:t>
      </w:r>
      <w:r w:rsidR="00DB68B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(</w:t>
      </w:r>
      <w:proofErr w:type="spellStart"/>
      <w:r w:rsidRPr="00696CB1">
        <w:rPr>
          <w:szCs w:val="22"/>
          <w:lang w:val="lt-LT"/>
        </w:rPr>
        <w:t>cnDNR</w:t>
      </w:r>
      <w:proofErr w:type="spellEnd"/>
      <w:r w:rsidRPr="00696CB1">
        <w:rPr>
          <w:szCs w:val="22"/>
          <w:lang w:val="lt-LT"/>
        </w:rPr>
        <w:t>), gautą iš kraujo (plazmos) mėginio.</w:t>
      </w:r>
    </w:p>
    <w:p w:rsidR="00DB68BA" w:rsidRPr="00696CB1" w:rsidRDefault="00DB68BA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Būtina pasirinkti tinkamą, patikimą ir jautrų metodą ar metodus, kurio (kurių) nauda navikų ar </w:t>
      </w:r>
      <w:proofErr w:type="spellStart"/>
      <w:r w:rsidRPr="00696CB1">
        <w:rPr>
          <w:szCs w:val="22"/>
          <w:lang w:val="lt-LT"/>
        </w:rPr>
        <w:t>cnDNR</w:t>
      </w:r>
      <w:proofErr w:type="spellEnd"/>
      <w:r w:rsidR="006A0FB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EAFR mutacijų būklei vertinti yra įrodyta, kad nebūtų gauti klaidingai neigiami ar klaidingai teigiami</w:t>
      </w:r>
      <w:r w:rsidR="006A0FB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duomenys (žr. 5.1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6A0FBF" w:rsidRPr="00696CB1" w:rsidRDefault="006A0FBF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i/>
          <w:szCs w:val="22"/>
          <w:lang w:val="lt-LT"/>
        </w:rPr>
      </w:pPr>
      <w:proofErr w:type="spellStart"/>
      <w:r w:rsidRPr="00696CB1">
        <w:rPr>
          <w:i/>
          <w:szCs w:val="22"/>
          <w:lang w:val="lt-LT"/>
        </w:rPr>
        <w:t>Intersticinė</w:t>
      </w:r>
      <w:proofErr w:type="spellEnd"/>
      <w:r w:rsidRPr="00696CB1">
        <w:rPr>
          <w:i/>
          <w:szCs w:val="22"/>
          <w:lang w:val="lt-LT"/>
        </w:rPr>
        <w:t xml:space="preserve"> plaučių liga</w:t>
      </w:r>
      <w:r w:rsidR="006A0FBF" w:rsidRPr="00696CB1">
        <w:rPr>
          <w:i/>
          <w:szCs w:val="22"/>
          <w:lang w:val="lt-LT"/>
        </w:rPr>
        <w:t xml:space="preserve"> (IPL)</w:t>
      </w: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1,3% pacientų, vartojusių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, pasireiškė </w:t>
      </w:r>
      <w:proofErr w:type="spellStart"/>
      <w:r w:rsidRPr="00696CB1">
        <w:rPr>
          <w:szCs w:val="22"/>
          <w:lang w:val="lt-LT"/>
        </w:rPr>
        <w:t>intersticinė</w:t>
      </w:r>
      <w:proofErr w:type="spellEnd"/>
      <w:r w:rsidRPr="00696CB1">
        <w:rPr>
          <w:szCs w:val="22"/>
          <w:lang w:val="lt-LT"/>
        </w:rPr>
        <w:t xml:space="preserve"> plaučių liga</w:t>
      </w:r>
      <w:r w:rsidR="00ED19C7" w:rsidRPr="00696CB1">
        <w:rPr>
          <w:szCs w:val="22"/>
          <w:lang w:val="lt-LT"/>
        </w:rPr>
        <w:t xml:space="preserve"> (IPL)</w:t>
      </w:r>
      <w:r w:rsidRPr="00696CB1">
        <w:rPr>
          <w:szCs w:val="22"/>
          <w:lang w:val="lt-LT"/>
        </w:rPr>
        <w:t>, kuri gali prasidėti ūmiai</w:t>
      </w:r>
      <w:r w:rsidR="00ED19C7" w:rsidRPr="00696CB1">
        <w:rPr>
          <w:szCs w:val="22"/>
          <w:lang w:val="lt-LT"/>
        </w:rPr>
        <w:t xml:space="preserve"> ir </w:t>
      </w:r>
      <w:r w:rsidRPr="00696CB1">
        <w:rPr>
          <w:szCs w:val="22"/>
          <w:lang w:val="lt-LT"/>
        </w:rPr>
        <w:t xml:space="preserve">kuriais atvejais </w:t>
      </w:r>
      <w:r w:rsidR="00ED19C7" w:rsidRPr="00696CB1">
        <w:rPr>
          <w:szCs w:val="22"/>
          <w:lang w:val="lt-LT"/>
        </w:rPr>
        <w:t>buvo mirtin</w:t>
      </w:r>
      <w:r w:rsidR="00F01CC9" w:rsidRPr="00696CB1">
        <w:rPr>
          <w:szCs w:val="22"/>
          <w:lang w:val="lt-LT"/>
        </w:rPr>
        <w:t>a</w:t>
      </w:r>
      <w:r w:rsidRPr="00696CB1">
        <w:rPr>
          <w:szCs w:val="22"/>
          <w:lang w:val="lt-LT"/>
        </w:rPr>
        <w:t xml:space="preserve"> (žr. 4.8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 Pasunkėjus kvėpavimo sutrikim</w:t>
      </w:r>
      <w:r w:rsidR="00F01CC9" w:rsidRPr="00696CB1">
        <w:rPr>
          <w:szCs w:val="22"/>
          <w:lang w:val="lt-LT"/>
        </w:rPr>
        <w:t>ų simptomams</w:t>
      </w:r>
      <w:r w:rsidRPr="00696CB1">
        <w:rPr>
          <w:szCs w:val="22"/>
          <w:lang w:val="lt-LT"/>
        </w:rPr>
        <w:t xml:space="preserve"> (pvz., dusuliui,</w:t>
      </w:r>
      <w:r w:rsidR="000B1B5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kosuliui ir karščiavimui), reikia nutraukti </w:t>
      </w:r>
      <w:proofErr w:type="spellStart"/>
      <w:r w:rsidR="00DB68BA" w:rsidRPr="00696CB1">
        <w:rPr>
          <w:szCs w:val="22"/>
          <w:lang w:val="lt-LT"/>
        </w:rPr>
        <w:t>Gefitinib</w:t>
      </w:r>
      <w:proofErr w:type="spellEnd"/>
      <w:r w:rsidR="00DB68BA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vartojimą ir nedelsiant ištirti pacientą. Jeigu</w:t>
      </w:r>
      <w:r w:rsidR="000B1B55" w:rsidRPr="00696CB1">
        <w:rPr>
          <w:szCs w:val="22"/>
          <w:lang w:val="lt-LT"/>
        </w:rPr>
        <w:t xml:space="preserve"> IPL</w:t>
      </w:r>
      <w:r w:rsidRPr="00696CB1">
        <w:rPr>
          <w:szCs w:val="22"/>
          <w:lang w:val="lt-LT"/>
        </w:rPr>
        <w:t xml:space="preserve"> diagnozė pasitvirtina, reikia visam laikui nutraukti </w:t>
      </w:r>
      <w:proofErr w:type="spellStart"/>
      <w:r w:rsidR="00DB68BA" w:rsidRPr="00696CB1">
        <w:rPr>
          <w:szCs w:val="22"/>
          <w:lang w:val="lt-LT"/>
        </w:rPr>
        <w:t>Gefitinib</w:t>
      </w:r>
      <w:proofErr w:type="spellEnd"/>
      <w:r w:rsidR="00DB68BA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vartojimą ir</w:t>
      </w:r>
      <w:r w:rsidR="000B1B5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atitinkamai gydyti pacientą.</w:t>
      </w:r>
    </w:p>
    <w:p w:rsidR="00F01CC9" w:rsidRPr="00696CB1" w:rsidRDefault="00F01CC9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130992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Į </w:t>
      </w:r>
      <w:r w:rsidR="002A0BC8" w:rsidRPr="00696CB1">
        <w:rPr>
          <w:szCs w:val="22"/>
          <w:lang w:val="lt-LT"/>
        </w:rPr>
        <w:t>Japonijoje atlikt</w:t>
      </w:r>
      <w:r w:rsidRPr="00696CB1">
        <w:rPr>
          <w:szCs w:val="22"/>
          <w:lang w:val="lt-LT"/>
        </w:rPr>
        <w:t>ą</w:t>
      </w:r>
      <w:r w:rsidR="002A0BC8" w:rsidRPr="00696CB1">
        <w:rPr>
          <w:szCs w:val="22"/>
          <w:lang w:val="lt-LT"/>
        </w:rPr>
        <w:t xml:space="preserve"> </w:t>
      </w:r>
      <w:proofErr w:type="spellStart"/>
      <w:r w:rsidR="002A0BC8" w:rsidRPr="00696CB1">
        <w:rPr>
          <w:szCs w:val="22"/>
          <w:lang w:val="lt-LT"/>
        </w:rPr>
        <w:t>farmakoepidemio</w:t>
      </w:r>
      <w:r w:rsidRPr="00696CB1">
        <w:rPr>
          <w:szCs w:val="22"/>
          <w:lang w:val="lt-LT"/>
        </w:rPr>
        <w:t>login</w:t>
      </w:r>
      <w:r w:rsidR="007150E2" w:rsidRPr="00696CB1">
        <w:rPr>
          <w:szCs w:val="22"/>
          <w:lang w:val="lt-LT"/>
        </w:rPr>
        <w:t>į</w:t>
      </w:r>
      <w:proofErr w:type="spellEnd"/>
      <w:r w:rsidRPr="00696CB1">
        <w:rPr>
          <w:szCs w:val="22"/>
          <w:lang w:val="lt-LT"/>
        </w:rPr>
        <w:t xml:space="preserve"> atvejų kontrolės tyrimą buvo </w:t>
      </w:r>
      <w:r w:rsidR="002A0BC8" w:rsidRPr="00696CB1">
        <w:rPr>
          <w:szCs w:val="22"/>
          <w:lang w:val="lt-LT"/>
        </w:rPr>
        <w:t xml:space="preserve">įtraukti 3159 </w:t>
      </w:r>
      <w:r w:rsidR="007150E2" w:rsidRPr="00696CB1">
        <w:rPr>
          <w:szCs w:val="22"/>
          <w:lang w:val="lt-LT"/>
        </w:rPr>
        <w:t xml:space="preserve">NSLPV </w:t>
      </w:r>
      <w:r w:rsidR="002A0BC8" w:rsidRPr="00696CB1">
        <w:rPr>
          <w:szCs w:val="22"/>
          <w:lang w:val="lt-LT"/>
        </w:rPr>
        <w:t xml:space="preserve">sirgę pacientai, kuriems taikytas gydymas </w:t>
      </w:r>
      <w:proofErr w:type="spellStart"/>
      <w:r w:rsidR="002A0BC8" w:rsidRPr="00696CB1">
        <w:rPr>
          <w:szCs w:val="22"/>
          <w:lang w:val="lt-LT"/>
        </w:rPr>
        <w:t>gefitinibu</w:t>
      </w:r>
      <w:proofErr w:type="spellEnd"/>
      <w:r w:rsidR="002A0BC8" w:rsidRPr="00696CB1">
        <w:rPr>
          <w:szCs w:val="22"/>
          <w:lang w:val="lt-LT"/>
        </w:rPr>
        <w:t xml:space="preserve"> arba chemoterapija. Šiuos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pacientus stebėjus iki 12 savaičių, identifikuoti tokie </w:t>
      </w:r>
      <w:r w:rsidRPr="00696CB1">
        <w:rPr>
          <w:szCs w:val="22"/>
          <w:lang w:val="lt-LT"/>
        </w:rPr>
        <w:t>IPL</w:t>
      </w:r>
      <w:r w:rsidR="002A0BC8" w:rsidRPr="00696CB1">
        <w:rPr>
          <w:szCs w:val="22"/>
          <w:lang w:val="lt-LT"/>
        </w:rPr>
        <w:t xml:space="preserve"> rizikos veiksniai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(nepriklausomai nuo, ar pacientui taikytas gydymas </w:t>
      </w:r>
      <w:proofErr w:type="spellStart"/>
      <w:r w:rsidR="002A0BC8" w:rsidRPr="00696CB1">
        <w:rPr>
          <w:szCs w:val="22"/>
          <w:lang w:val="lt-LT"/>
        </w:rPr>
        <w:t>gefitinibu</w:t>
      </w:r>
      <w:proofErr w:type="spellEnd"/>
      <w:r w:rsidR="002A0BC8" w:rsidRPr="00696CB1">
        <w:rPr>
          <w:szCs w:val="22"/>
          <w:lang w:val="lt-LT"/>
        </w:rPr>
        <w:t>, ar chemoterapija): rūkymas,</w:t>
      </w:r>
      <w:r w:rsidRPr="00696CB1">
        <w:rPr>
          <w:szCs w:val="22"/>
          <w:lang w:val="lt-LT"/>
        </w:rPr>
        <w:t xml:space="preserve"> bloga funkcinė būklė</w:t>
      </w:r>
      <w:r w:rsidR="007150E2" w:rsidRPr="00696CB1">
        <w:rPr>
          <w:szCs w:val="22"/>
          <w:lang w:val="lt-LT"/>
        </w:rPr>
        <w:t xml:space="preserve"> (FB</w:t>
      </w:r>
      <w:r w:rsidR="002A0BC8" w:rsidRPr="00696CB1">
        <w:rPr>
          <w:szCs w:val="22"/>
          <w:lang w:val="lt-LT"/>
        </w:rPr>
        <w:t xml:space="preserve"> ≥</w:t>
      </w:r>
      <w:r w:rsidR="007150E2" w:rsidRPr="00696CB1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2), kompiuterinės tomografijos būdu nustatytas sumažėjęs normalus</w:t>
      </w:r>
      <w:r w:rsidRPr="00696CB1">
        <w:rPr>
          <w:szCs w:val="22"/>
          <w:lang w:val="lt-LT"/>
        </w:rPr>
        <w:t xml:space="preserve"> </w:t>
      </w:r>
      <w:r w:rsidR="007150E2" w:rsidRPr="00696CB1">
        <w:rPr>
          <w:szCs w:val="22"/>
          <w:lang w:val="lt-LT"/>
        </w:rPr>
        <w:t>plautis (≤ </w:t>
      </w:r>
      <w:r w:rsidR="002A0BC8" w:rsidRPr="00696CB1">
        <w:rPr>
          <w:szCs w:val="22"/>
          <w:lang w:val="lt-LT"/>
        </w:rPr>
        <w:t>50</w:t>
      </w:r>
      <w:r w:rsidR="00B32ED6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%), neseniai (mažiau kaip prieš 6</w:t>
      </w:r>
      <w:r w:rsidR="007150E2" w:rsidRPr="00696CB1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 xml:space="preserve">mėn.) diagnozuotas </w:t>
      </w:r>
      <w:r w:rsidR="007150E2" w:rsidRPr="00696CB1">
        <w:rPr>
          <w:szCs w:val="22"/>
          <w:lang w:val="lt-LT"/>
        </w:rPr>
        <w:t>NSLPV</w:t>
      </w:r>
      <w:r w:rsidR="002A0BC8" w:rsidRPr="00696CB1">
        <w:rPr>
          <w:szCs w:val="22"/>
          <w:lang w:val="lt-LT"/>
        </w:rPr>
        <w:t>,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iki gydymo buvusi </w:t>
      </w:r>
      <w:r w:rsidRPr="00696CB1">
        <w:rPr>
          <w:szCs w:val="22"/>
          <w:lang w:val="lt-LT"/>
        </w:rPr>
        <w:t>IPL, vyresn</w:t>
      </w:r>
      <w:r w:rsidR="007150E2" w:rsidRPr="00696CB1">
        <w:rPr>
          <w:szCs w:val="22"/>
          <w:lang w:val="lt-LT"/>
        </w:rPr>
        <w:t>is (≥ </w:t>
      </w:r>
      <w:r w:rsidRPr="00696CB1">
        <w:rPr>
          <w:szCs w:val="22"/>
          <w:lang w:val="lt-LT"/>
        </w:rPr>
        <w:t>55 </w:t>
      </w:r>
      <w:r w:rsidR="002A0BC8" w:rsidRPr="00696CB1">
        <w:rPr>
          <w:szCs w:val="22"/>
          <w:lang w:val="lt-LT"/>
        </w:rPr>
        <w:t>metai) amžius ir širdies liga.</w:t>
      </w:r>
      <w:r w:rsidRPr="00696CB1">
        <w:rPr>
          <w:szCs w:val="22"/>
          <w:lang w:val="lt-LT"/>
        </w:rPr>
        <w:t xml:space="preserve"> IPL</w:t>
      </w:r>
      <w:r w:rsidR="002A0BC8" w:rsidRPr="00696CB1">
        <w:rPr>
          <w:szCs w:val="22"/>
          <w:lang w:val="lt-LT"/>
        </w:rPr>
        <w:t xml:space="preserve"> rizikos padidėjimas vartojant </w:t>
      </w:r>
      <w:proofErr w:type="spellStart"/>
      <w:r w:rsidR="002A0BC8" w:rsidRPr="00696CB1">
        <w:rPr>
          <w:szCs w:val="22"/>
          <w:lang w:val="lt-LT"/>
        </w:rPr>
        <w:t>gefitinibą</w:t>
      </w:r>
      <w:proofErr w:type="spellEnd"/>
      <w:r w:rsidR="002A0BC8" w:rsidRPr="00696CB1">
        <w:rPr>
          <w:szCs w:val="22"/>
          <w:lang w:val="lt-LT"/>
        </w:rPr>
        <w:t xml:space="preserve"> (palygin</w:t>
      </w:r>
      <w:r w:rsidR="007150E2" w:rsidRPr="00696CB1">
        <w:rPr>
          <w:szCs w:val="22"/>
          <w:lang w:val="lt-LT"/>
        </w:rPr>
        <w:t xml:space="preserve">ti </w:t>
      </w:r>
      <w:r w:rsidR="002A0BC8" w:rsidRPr="00696CB1">
        <w:rPr>
          <w:szCs w:val="22"/>
          <w:lang w:val="lt-LT"/>
        </w:rPr>
        <w:t>su chemoterapija) buvo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>ypač ryškus per pirmąsias 4</w:t>
      </w:r>
      <w:r w:rsidRPr="00696CB1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gydymo savaites (koreguotas šansų santykis – 3,8, 95</w:t>
      </w:r>
      <w:r w:rsidR="00B32ED6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% PI – 1,9-7,7),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vėliau santykinė rizika buvo </w:t>
      </w:r>
      <w:r w:rsidR="002A0BC8" w:rsidRPr="00696CB1">
        <w:rPr>
          <w:szCs w:val="22"/>
          <w:lang w:val="lt-LT"/>
        </w:rPr>
        <w:lastRenderedPageBreak/>
        <w:t>mažesnė (koreguotas šansų santykis – 2,5, 95</w:t>
      </w:r>
      <w:r w:rsidR="00B32ED6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% PI – 1,1</w:t>
      </w:r>
      <w:r w:rsidR="007150E2" w:rsidRPr="00696CB1">
        <w:rPr>
          <w:szCs w:val="22"/>
          <w:lang w:val="lt-LT"/>
        </w:rPr>
        <w:noBreakHyphen/>
      </w:r>
      <w:r w:rsidR="002A0BC8" w:rsidRPr="00696CB1">
        <w:rPr>
          <w:szCs w:val="22"/>
          <w:lang w:val="lt-LT"/>
        </w:rPr>
        <w:t xml:space="preserve">5,8). </w:t>
      </w:r>
      <w:r w:rsidRPr="00696CB1">
        <w:rPr>
          <w:szCs w:val="22"/>
          <w:lang w:val="lt-LT"/>
        </w:rPr>
        <w:t>IPL</w:t>
      </w:r>
      <w:r w:rsidR="002A0BC8" w:rsidRPr="00696CB1">
        <w:rPr>
          <w:szCs w:val="22"/>
          <w:lang w:val="lt-LT"/>
        </w:rPr>
        <w:t xml:space="preserve"> susirgusių pacientų mirties riziką </w:t>
      </w:r>
      <w:proofErr w:type="spellStart"/>
      <w:r w:rsidR="002A0BC8" w:rsidRPr="00696CB1">
        <w:rPr>
          <w:szCs w:val="22"/>
          <w:lang w:val="lt-LT"/>
        </w:rPr>
        <w:t>gefitinibo</w:t>
      </w:r>
      <w:proofErr w:type="spellEnd"/>
      <w:r w:rsidR="002A0BC8" w:rsidRPr="00696CB1">
        <w:rPr>
          <w:szCs w:val="22"/>
          <w:lang w:val="lt-LT"/>
        </w:rPr>
        <w:t xml:space="preserve"> ir chemoterapijos grupėse didino šie rizikos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>veiksniai: rūkymas, kompiuterinės tomografijos būdu nustatytas sumažėjęs normalus plautis (≤</w:t>
      </w:r>
      <w:r w:rsidR="00B32ED6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50</w:t>
      </w:r>
      <w:r w:rsidR="00B32ED6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 xml:space="preserve">%), iki gydymo buvusi </w:t>
      </w:r>
      <w:r w:rsidRPr="00696CB1">
        <w:rPr>
          <w:szCs w:val="22"/>
          <w:lang w:val="lt-LT"/>
        </w:rPr>
        <w:t>IPL</w:t>
      </w:r>
      <w:r w:rsidR="007150E2" w:rsidRPr="00696CB1">
        <w:rPr>
          <w:szCs w:val="22"/>
          <w:lang w:val="lt-LT"/>
        </w:rPr>
        <w:t>, vyresnis (≥ </w:t>
      </w:r>
      <w:r w:rsidR="002A0BC8" w:rsidRPr="00696CB1">
        <w:rPr>
          <w:szCs w:val="22"/>
          <w:lang w:val="lt-LT"/>
        </w:rPr>
        <w:t>65</w:t>
      </w:r>
      <w:r w:rsidRPr="00696CB1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metai) amžius ir ekstensyvios sukibimo su</w:t>
      </w:r>
      <w:r w:rsidRPr="00696CB1">
        <w:rPr>
          <w:szCs w:val="22"/>
          <w:lang w:val="lt-LT"/>
        </w:rPr>
        <w:t xml:space="preserve"> </w:t>
      </w:r>
      <w:r w:rsidR="007150E2" w:rsidRPr="00696CB1">
        <w:rPr>
          <w:szCs w:val="22"/>
          <w:lang w:val="lt-LT"/>
        </w:rPr>
        <w:t>pleura sritys (≥ </w:t>
      </w:r>
      <w:r w:rsidR="002A0BC8" w:rsidRPr="00696CB1">
        <w:rPr>
          <w:szCs w:val="22"/>
          <w:lang w:val="lt-LT"/>
        </w:rPr>
        <w:t>50</w:t>
      </w:r>
      <w:r w:rsidR="00B32ED6">
        <w:rPr>
          <w:szCs w:val="22"/>
          <w:lang w:val="lt-LT"/>
        </w:rPr>
        <w:t> </w:t>
      </w:r>
      <w:r w:rsidR="002A0BC8" w:rsidRPr="00696CB1">
        <w:rPr>
          <w:szCs w:val="22"/>
          <w:lang w:val="lt-LT"/>
        </w:rPr>
        <w:t>%).</w:t>
      </w:r>
    </w:p>
    <w:p w:rsidR="00130992" w:rsidRPr="00696CB1" w:rsidRDefault="00130992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i/>
          <w:szCs w:val="22"/>
          <w:lang w:val="lt-LT"/>
        </w:rPr>
      </w:pPr>
      <w:proofErr w:type="spellStart"/>
      <w:r w:rsidRPr="00696CB1">
        <w:rPr>
          <w:i/>
          <w:szCs w:val="22"/>
          <w:lang w:val="lt-LT"/>
        </w:rPr>
        <w:t>Hepatotoksinis</w:t>
      </w:r>
      <w:proofErr w:type="spellEnd"/>
      <w:r w:rsidRPr="00696CB1">
        <w:rPr>
          <w:i/>
          <w:szCs w:val="22"/>
          <w:lang w:val="lt-LT"/>
        </w:rPr>
        <w:t xml:space="preserve"> poveikis ir kepenų funkcijos sutrikimas</w:t>
      </w: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Stebėta </w:t>
      </w:r>
      <w:r w:rsidR="005657D2" w:rsidRPr="00696CB1">
        <w:rPr>
          <w:szCs w:val="22"/>
          <w:lang w:val="lt-LT"/>
        </w:rPr>
        <w:t xml:space="preserve">nenormalių </w:t>
      </w:r>
      <w:r w:rsidRPr="00696CB1">
        <w:rPr>
          <w:szCs w:val="22"/>
          <w:lang w:val="lt-LT"/>
        </w:rPr>
        <w:t xml:space="preserve">kepenų funkcijos tyrimų </w:t>
      </w:r>
      <w:r w:rsidR="005657D2" w:rsidRPr="00696CB1">
        <w:rPr>
          <w:szCs w:val="22"/>
          <w:lang w:val="lt-LT"/>
        </w:rPr>
        <w:t>rezultatų pokyčių</w:t>
      </w:r>
      <w:r w:rsidRPr="00696CB1">
        <w:rPr>
          <w:szCs w:val="22"/>
          <w:lang w:val="lt-LT"/>
        </w:rPr>
        <w:t xml:space="preserve"> (</w:t>
      </w:r>
      <w:proofErr w:type="spellStart"/>
      <w:r w:rsidRPr="00696CB1">
        <w:rPr>
          <w:szCs w:val="22"/>
          <w:lang w:val="lt-LT"/>
        </w:rPr>
        <w:t>alanino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aminotransferazės</w:t>
      </w:r>
      <w:proofErr w:type="spellEnd"/>
      <w:r w:rsidR="005657D2" w:rsidRPr="00696CB1">
        <w:rPr>
          <w:szCs w:val="22"/>
          <w:lang w:val="lt-LT"/>
        </w:rPr>
        <w:t xml:space="preserve"> ir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aspartato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aminotransferazės</w:t>
      </w:r>
      <w:proofErr w:type="spellEnd"/>
      <w:r w:rsidRPr="00696CB1">
        <w:rPr>
          <w:szCs w:val="22"/>
          <w:lang w:val="lt-LT"/>
        </w:rPr>
        <w:t xml:space="preserve"> </w:t>
      </w:r>
      <w:r w:rsidR="005657D2" w:rsidRPr="00696CB1">
        <w:rPr>
          <w:szCs w:val="22"/>
          <w:lang w:val="lt-LT"/>
        </w:rPr>
        <w:t xml:space="preserve">aktyvumo bei </w:t>
      </w:r>
      <w:proofErr w:type="spellStart"/>
      <w:r w:rsidRPr="00696CB1">
        <w:rPr>
          <w:szCs w:val="22"/>
          <w:lang w:val="lt-LT"/>
        </w:rPr>
        <w:t>bilirubino</w:t>
      </w:r>
      <w:proofErr w:type="spellEnd"/>
      <w:r w:rsidRPr="00696CB1">
        <w:rPr>
          <w:szCs w:val="22"/>
          <w:lang w:val="lt-LT"/>
        </w:rPr>
        <w:t xml:space="preserve"> </w:t>
      </w:r>
      <w:r w:rsidR="005657D2" w:rsidRPr="00696CB1">
        <w:rPr>
          <w:szCs w:val="22"/>
          <w:lang w:val="lt-LT"/>
        </w:rPr>
        <w:t>kiekio</w:t>
      </w:r>
      <w:r w:rsidRPr="00696CB1">
        <w:rPr>
          <w:szCs w:val="22"/>
          <w:lang w:val="lt-LT"/>
        </w:rPr>
        <w:t xml:space="preserve"> padidėjimas), kuri</w:t>
      </w:r>
      <w:r w:rsidR="00320F35" w:rsidRPr="00696CB1">
        <w:rPr>
          <w:szCs w:val="22"/>
          <w:lang w:val="lt-LT"/>
        </w:rPr>
        <w:t>e</w:t>
      </w:r>
      <w:r w:rsidRPr="00696CB1">
        <w:rPr>
          <w:szCs w:val="22"/>
          <w:lang w:val="lt-LT"/>
        </w:rPr>
        <w:t xml:space="preserve"> nedažnais atvejais pasireiškė</w:t>
      </w:r>
      <w:r w:rsidR="00320F35" w:rsidRPr="00696CB1">
        <w:rPr>
          <w:szCs w:val="22"/>
          <w:lang w:val="lt-LT"/>
        </w:rPr>
        <w:t xml:space="preserve"> kaip</w:t>
      </w:r>
      <w:r w:rsidRPr="00696CB1">
        <w:rPr>
          <w:szCs w:val="22"/>
          <w:lang w:val="lt-LT"/>
        </w:rPr>
        <w:t xml:space="preserve"> hepatit</w:t>
      </w:r>
      <w:r w:rsidR="00320F35" w:rsidRPr="00696CB1">
        <w:rPr>
          <w:szCs w:val="22"/>
          <w:lang w:val="lt-LT"/>
        </w:rPr>
        <w:t>as</w:t>
      </w:r>
      <w:r w:rsidRPr="00696CB1">
        <w:rPr>
          <w:szCs w:val="22"/>
          <w:lang w:val="lt-LT"/>
        </w:rPr>
        <w:t xml:space="preserve"> (žr. 4.8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  <w:r w:rsidR="005657D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Gauta pavienių pranešimų apie kepenų nepakankamumą, kuris kai kuriais atvejais </w:t>
      </w:r>
      <w:r w:rsidR="00320F35" w:rsidRPr="00696CB1">
        <w:rPr>
          <w:szCs w:val="22"/>
          <w:lang w:val="lt-LT"/>
        </w:rPr>
        <w:t>buvo mirtinas</w:t>
      </w:r>
      <w:r w:rsidRPr="00696CB1">
        <w:rPr>
          <w:szCs w:val="22"/>
          <w:lang w:val="lt-LT"/>
        </w:rPr>
        <w:t>. Dėl to</w:t>
      </w:r>
      <w:r w:rsidR="005657D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rekomenduojama periodiškai tirti kepenų funkciją. </w:t>
      </w:r>
      <w:r w:rsidR="005657D2" w:rsidRPr="00696CB1">
        <w:rPr>
          <w:szCs w:val="22"/>
          <w:lang w:val="lt-LT"/>
        </w:rPr>
        <w:t>Jei yra</w:t>
      </w:r>
      <w:r w:rsidRPr="00696CB1">
        <w:rPr>
          <w:szCs w:val="22"/>
          <w:lang w:val="lt-LT"/>
        </w:rPr>
        <w:t xml:space="preserve"> lengv</w:t>
      </w:r>
      <w:r w:rsidR="005657D2" w:rsidRPr="00696CB1">
        <w:rPr>
          <w:szCs w:val="22"/>
          <w:lang w:val="lt-LT"/>
        </w:rPr>
        <w:t>ų</w:t>
      </w:r>
      <w:r w:rsidRPr="00696CB1">
        <w:rPr>
          <w:szCs w:val="22"/>
          <w:lang w:val="lt-LT"/>
        </w:rPr>
        <w:t xml:space="preserve"> arba vidutinio </w:t>
      </w:r>
      <w:r w:rsidR="005657D2" w:rsidRPr="00696CB1">
        <w:rPr>
          <w:szCs w:val="22"/>
          <w:lang w:val="lt-LT"/>
        </w:rPr>
        <w:t>sunkumo</w:t>
      </w:r>
      <w:r w:rsidRPr="00696CB1">
        <w:rPr>
          <w:szCs w:val="22"/>
          <w:lang w:val="lt-LT"/>
        </w:rPr>
        <w:t xml:space="preserve"> kepenų</w:t>
      </w:r>
      <w:r w:rsidR="005657D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funkcijos </w:t>
      </w:r>
      <w:r w:rsidR="005657D2" w:rsidRPr="00696CB1">
        <w:rPr>
          <w:szCs w:val="22"/>
          <w:lang w:val="lt-LT"/>
        </w:rPr>
        <w:t>pokyčių</w:t>
      </w:r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</w:t>
      </w:r>
      <w:r w:rsidR="005657D2" w:rsidRPr="00696CB1">
        <w:rPr>
          <w:szCs w:val="22"/>
          <w:lang w:val="lt-LT"/>
        </w:rPr>
        <w:t>būtina vartoti</w:t>
      </w:r>
      <w:r w:rsidRPr="00696CB1">
        <w:rPr>
          <w:szCs w:val="22"/>
          <w:lang w:val="lt-LT"/>
        </w:rPr>
        <w:t xml:space="preserve"> atsargiai. Jei </w:t>
      </w:r>
      <w:r w:rsidR="005657D2" w:rsidRPr="00696CB1">
        <w:rPr>
          <w:szCs w:val="22"/>
          <w:lang w:val="lt-LT"/>
        </w:rPr>
        <w:t>minėti pokyčiai yra sunkūs</w:t>
      </w:r>
      <w:r w:rsidRPr="00696CB1">
        <w:rPr>
          <w:szCs w:val="22"/>
          <w:lang w:val="lt-LT"/>
        </w:rPr>
        <w:t>, svarstytinas</w:t>
      </w:r>
      <w:r w:rsidR="005657D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vaistinio preparato vartojimo nutraukimo tikslingumas.</w:t>
      </w:r>
    </w:p>
    <w:p w:rsidR="005657D2" w:rsidRPr="00696CB1" w:rsidRDefault="005657D2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Nustatyta, kad kai kepenų funkcija sutrikusi dėl cirozės, </w:t>
      </w:r>
      <w:r w:rsidR="005657D2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 xml:space="preserve">plazmoje </w:t>
      </w:r>
      <w:r w:rsidR="005657D2" w:rsidRPr="00696CB1">
        <w:rPr>
          <w:szCs w:val="22"/>
          <w:lang w:val="lt-LT"/>
        </w:rPr>
        <w:t>būna</w:t>
      </w:r>
      <w:r w:rsidRPr="00696CB1">
        <w:rPr>
          <w:szCs w:val="22"/>
          <w:lang w:val="lt-LT"/>
        </w:rPr>
        <w:t xml:space="preserve"> didesnė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="005657D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koncentracija (žr. 5.2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E40F7F" w:rsidRPr="00696CB1" w:rsidRDefault="00E40F7F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Sąveika su kitais vaistiniais preparatais</w:t>
      </w:r>
    </w:p>
    <w:p w:rsidR="005657D2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CYP3A4 </w:t>
      </w:r>
      <w:proofErr w:type="spellStart"/>
      <w:r w:rsidRPr="00696CB1">
        <w:rPr>
          <w:szCs w:val="22"/>
          <w:lang w:val="lt-LT"/>
        </w:rPr>
        <w:t>induktoriai</w:t>
      </w:r>
      <w:proofErr w:type="spellEnd"/>
      <w:r w:rsidRPr="00696CB1">
        <w:rPr>
          <w:szCs w:val="22"/>
          <w:lang w:val="lt-LT"/>
        </w:rPr>
        <w:t xml:space="preserve"> gali pagreitinti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metabolizmą ir sumažinti jo koncentraciją </w:t>
      </w:r>
      <w:r w:rsidR="005657D2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>plazmoje.</w:t>
      </w:r>
      <w:r w:rsidR="005657D2" w:rsidRPr="00696CB1">
        <w:rPr>
          <w:szCs w:val="22"/>
          <w:lang w:val="lt-LT"/>
        </w:rPr>
        <w:t xml:space="preserve"> Gali sumažėti kartu su CYP3Ag </w:t>
      </w:r>
      <w:proofErr w:type="spellStart"/>
      <w:r w:rsidR="005657D2" w:rsidRPr="00696CB1">
        <w:rPr>
          <w:szCs w:val="22"/>
          <w:lang w:val="lt-LT"/>
        </w:rPr>
        <w:t>induktoriais</w:t>
      </w:r>
      <w:proofErr w:type="spellEnd"/>
      <w:r w:rsidRPr="00696CB1">
        <w:rPr>
          <w:szCs w:val="22"/>
          <w:lang w:val="lt-LT"/>
        </w:rPr>
        <w:t xml:space="preserve"> (pvz., </w:t>
      </w:r>
      <w:proofErr w:type="spellStart"/>
      <w:r w:rsidRPr="00696CB1">
        <w:rPr>
          <w:szCs w:val="22"/>
          <w:lang w:val="lt-LT"/>
        </w:rPr>
        <w:t>fenitoin</w:t>
      </w:r>
      <w:r w:rsidR="005657D2" w:rsidRPr="00696CB1">
        <w:rPr>
          <w:szCs w:val="22"/>
          <w:lang w:val="lt-LT"/>
        </w:rPr>
        <w:t>u</w:t>
      </w:r>
      <w:proofErr w:type="spellEnd"/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karbamazepin</w:t>
      </w:r>
      <w:r w:rsidR="005657D2" w:rsidRPr="00696CB1">
        <w:rPr>
          <w:szCs w:val="22"/>
          <w:lang w:val="lt-LT"/>
        </w:rPr>
        <w:t>u</w:t>
      </w:r>
      <w:proofErr w:type="spellEnd"/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rifampicin</w:t>
      </w:r>
      <w:r w:rsidR="005657D2" w:rsidRPr="00696CB1">
        <w:rPr>
          <w:szCs w:val="22"/>
          <w:lang w:val="lt-LT"/>
        </w:rPr>
        <w:t>u</w:t>
      </w:r>
      <w:proofErr w:type="spellEnd"/>
      <w:r w:rsidRPr="00696CB1">
        <w:rPr>
          <w:szCs w:val="22"/>
          <w:lang w:val="lt-LT"/>
        </w:rPr>
        <w:t>, barbitūratai</w:t>
      </w:r>
      <w:r w:rsidR="005657D2" w:rsidRPr="00696CB1">
        <w:rPr>
          <w:szCs w:val="22"/>
          <w:lang w:val="lt-LT"/>
        </w:rPr>
        <w:t>s</w:t>
      </w:r>
      <w:r w:rsidRPr="00696CB1">
        <w:rPr>
          <w:szCs w:val="22"/>
          <w:lang w:val="lt-LT"/>
        </w:rPr>
        <w:t xml:space="preserve"> ar augaliniai</w:t>
      </w:r>
      <w:r w:rsidR="005657D2" w:rsidRPr="00696CB1">
        <w:rPr>
          <w:szCs w:val="22"/>
          <w:lang w:val="lt-LT"/>
        </w:rPr>
        <w:t xml:space="preserve">s </w:t>
      </w:r>
      <w:r w:rsidRPr="00696CB1">
        <w:rPr>
          <w:szCs w:val="22"/>
          <w:lang w:val="lt-LT"/>
        </w:rPr>
        <w:t>preparatai</w:t>
      </w:r>
      <w:r w:rsidR="005657D2" w:rsidRPr="00696CB1">
        <w:rPr>
          <w:szCs w:val="22"/>
          <w:lang w:val="lt-LT"/>
        </w:rPr>
        <w:t>s</w:t>
      </w:r>
      <w:r w:rsidRPr="00696CB1">
        <w:rPr>
          <w:szCs w:val="22"/>
          <w:lang w:val="lt-LT"/>
        </w:rPr>
        <w:t xml:space="preserve">, kurių sudėtyje yra </w:t>
      </w:r>
      <w:r w:rsidR="005657D2" w:rsidRPr="00696CB1">
        <w:rPr>
          <w:szCs w:val="22"/>
          <w:lang w:val="lt-LT"/>
        </w:rPr>
        <w:t xml:space="preserve">paprastosios </w:t>
      </w:r>
      <w:r w:rsidRPr="00696CB1">
        <w:rPr>
          <w:szCs w:val="22"/>
          <w:lang w:val="lt-LT"/>
        </w:rPr>
        <w:t xml:space="preserve">jonažolės, </w:t>
      </w:r>
      <w:proofErr w:type="spellStart"/>
      <w:r w:rsidRPr="00696CB1">
        <w:rPr>
          <w:i/>
          <w:szCs w:val="22"/>
          <w:lang w:val="lt-LT"/>
        </w:rPr>
        <w:t>Hypericum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perforatum</w:t>
      </w:r>
      <w:proofErr w:type="spellEnd"/>
      <w:r w:rsidRPr="00696CB1">
        <w:rPr>
          <w:szCs w:val="22"/>
          <w:lang w:val="lt-LT"/>
        </w:rPr>
        <w:t xml:space="preserve">)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="005657D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veiksmingum</w:t>
      </w:r>
      <w:r w:rsidR="005657D2" w:rsidRPr="00696CB1">
        <w:rPr>
          <w:szCs w:val="22"/>
          <w:lang w:val="lt-LT"/>
        </w:rPr>
        <w:t>as</w:t>
      </w:r>
      <w:r w:rsidRPr="00696CB1">
        <w:rPr>
          <w:szCs w:val="22"/>
          <w:lang w:val="lt-LT"/>
        </w:rPr>
        <w:t xml:space="preserve">, todėl </w:t>
      </w:r>
      <w:r w:rsidR="005657D2" w:rsidRPr="00696CB1">
        <w:rPr>
          <w:szCs w:val="22"/>
          <w:lang w:val="lt-LT"/>
        </w:rPr>
        <w:t xml:space="preserve">minėtų vaistinių preparatų su </w:t>
      </w:r>
      <w:proofErr w:type="spellStart"/>
      <w:r w:rsidR="005657D2" w:rsidRPr="00696CB1">
        <w:rPr>
          <w:szCs w:val="22"/>
          <w:lang w:val="lt-LT"/>
        </w:rPr>
        <w:t>gefitinibu</w:t>
      </w:r>
      <w:proofErr w:type="spellEnd"/>
      <w:r w:rsidR="005657D2" w:rsidRPr="00696CB1">
        <w:rPr>
          <w:szCs w:val="22"/>
          <w:lang w:val="lt-LT"/>
        </w:rPr>
        <w:t xml:space="preserve"> vartoti nerekomenduojama</w:t>
      </w:r>
      <w:r w:rsidRPr="00696CB1">
        <w:rPr>
          <w:szCs w:val="22"/>
          <w:lang w:val="lt-LT"/>
        </w:rPr>
        <w:t xml:space="preserve"> (žr. 4.5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5657D2" w:rsidRPr="00696CB1" w:rsidRDefault="005657D2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5657D2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Atskiriems</w:t>
      </w:r>
      <w:r w:rsidR="002A0BC8" w:rsidRPr="00696CB1">
        <w:rPr>
          <w:szCs w:val="22"/>
          <w:lang w:val="lt-LT"/>
        </w:rPr>
        <w:t xml:space="preserve"> pacientams, turintiems lėto CYP2D6 </w:t>
      </w:r>
      <w:proofErr w:type="spellStart"/>
      <w:r w:rsidR="002A0BC8" w:rsidRPr="00696CB1">
        <w:rPr>
          <w:szCs w:val="22"/>
          <w:lang w:val="lt-LT"/>
        </w:rPr>
        <w:t>metabolizavimo</w:t>
      </w:r>
      <w:proofErr w:type="spellEnd"/>
      <w:r w:rsidR="002A0BC8" w:rsidRPr="00696CB1">
        <w:rPr>
          <w:szCs w:val="22"/>
          <w:lang w:val="lt-LT"/>
        </w:rPr>
        <w:t xml:space="preserve"> genotipą, </w:t>
      </w:r>
      <w:r w:rsidRPr="00696CB1">
        <w:rPr>
          <w:szCs w:val="22"/>
          <w:lang w:val="lt-LT"/>
        </w:rPr>
        <w:t>stiprūs</w:t>
      </w:r>
      <w:r w:rsidR="002A0BC8" w:rsidRPr="00696CB1">
        <w:rPr>
          <w:szCs w:val="22"/>
          <w:lang w:val="lt-LT"/>
        </w:rPr>
        <w:t xml:space="preserve"> CYP3A4</w:t>
      </w:r>
      <w:r w:rsidRPr="00696CB1">
        <w:rPr>
          <w:szCs w:val="22"/>
          <w:lang w:val="lt-LT"/>
        </w:rPr>
        <w:t xml:space="preserve"> inhibitoriai</w:t>
      </w:r>
      <w:r w:rsidR="002A0BC8" w:rsidRPr="00696CB1">
        <w:rPr>
          <w:szCs w:val="22"/>
          <w:lang w:val="lt-LT"/>
        </w:rPr>
        <w:t xml:space="preserve"> gali sukelti </w:t>
      </w:r>
      <w:proofErr w:type="spellStart"/>
      <w:r w:rsidR="002A0BC8" w:rsidRPr="00696CB1">
        <w:rPr>
          <w:szCs w:val="22"/>
          <w:lang w:val="lt-LT"/>
        </w:rPr>
        <w:t>gefitinibo</w:t>
      </w:r>
      <w:proofErr w:type="spellEnd"/>
      <w:r w:rsidR="002A0BC8" w:rsidRPr="00696CB1">
        <w:rPr>
          <w:szCs w:val="22"/>
          <w:lang w:val="lt-LT"/>
        </w:rPr>
        <w:t xml:space="preserve"> koncentracijos </w:t>
      </w:r>
      <w:r w:rsidRPr="00696CB1">
        <w:rPr>
          <w:szCs w:val="22"/>
          <w:lang w:val="lt-LT"/>
        </w:rPr>
        <w:t>kraujo</w:t>
      </w:r>
      <w:r w:rsidR="00A03040"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>plazmoje padidėjimą. Pacientą,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pradedantį vartoti CYP3A4 inhibitorių, reikia atidžiai stebėti dėl galimų </w:t>
      </w:r>
      <w:proofErr w:type="spellStart"/>
      <w:r w:rsidR="002A0BC8" w:rsidRPr="00696CB1">
        <w:rPr>
          <w:szCs w:val="22"/>
          <w:lang w:val="lt-LT"/>
        </w:rPr>
        <w:t>gefitinibo</w:t>
      </w:r>
      <w:proofErr w:type="spellEnd"/>
      <w:r w:rsidR="002A0BC8" w:rsidRPr="00696CB1">
        <w:rPr>
          <w:szCs w:val="22"/>
          <w:lang w:val="lt-LT"/>
        </w:rPr>
        <w:t xml:space="preserve"> nepageidaujamų</w:t>
      </w:r>
      <w:r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>reakcijų (žr. 4.5</w:t>
      </w:r>
      <w:r w:rsidR="00404FF5" w:rsidRPr="00696CB1">
        <w:rPr>
          <w:szCs w:val="22"/>
          <w:lang w:val="lt-LT"/>
        </w:rPr>
        <w:t> skyri</w:t>
      </w:r>
      <w:r w:rsidR="002A0BC8" w:rsidRPr="00696CB1">
        <w:rPr>
          <w:szCs w:val="22"/>
          <w:lang w:val="lt-LT"/>
        </w:rPr>
        <w:t>ų).</w:t>
      </w:r>
    </w:p>
    <w:p w:rsidR="005657D2" w:rsidRPr="00696CB1" w:rsidRDefault="005657D2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Kai kuriems </w:t>
      </w:r>
      <w:proofErr w:type="spellStart"/>
      <w:r w:rsidRPr="00696CB1">
        <w:rPr>
          <w:szCs w:val="22"/>
          <w:lang w:val="lt-LT"/>
        </w:rPr>
        <w:t>varfariną</w:t>
      </w:r>
      <w:proofErr w:type="spellEnd"/>
      <w:r w:rsidRPr="00696CB1">
        <w:rPr>
          <w:szCs w:val="22"/>
          <w:lang w:val="lt-LT"/>
        </w:rPr>
        <w:t xml:space="preserve"> kartu su </w:t>
      </w:r>
      <w:proofErr w:type="spellStart"/>
      <w:r w:rsidRPr="00696CB1">
        <w:rPr>
          <w:szCs w:val="22"/>
          <w:lang w:val="lt-LT"/>
        </w:rPr>
        <w:t>gefitinibu</w:t>
      </w:r>
      <w:proofErr w:type="spellEnd"/>
      <w:r w:rsidRPr="00696CB1">
        <w:rPr>
          <w:szCs w:val="22"/>
          <w:lang w:val="lt-LT"/>
        </w:rPr>
        <w:t xml:space="preserve"> vartojusiems pacientams padidėjo tarptautinis normalizuotas</w:t>
      </w:r>
      <w:r w:rsidR="00FA7273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santykis (TNS) ir (arba) </w:t>
      </w:r>
      <w:r w:rsidR="00A03040" w:rsidRPr="00696CB1">
        <w:rPr>
          <w:szCs w:val="22"/>
          <w:lang w:val="lt-LT"/>
        </w:rPr>
        <w:t>atsirado</w:t>
      </w:r>
      <w:r w:rsidRPr="00696CB1">
        <w:rPr>
          <w:szCs w:val="22"/>
          <w:lang w:val="lt-LT"/>
        </w:rPr>
        <w:t xml:space="preserve"> kraujavimo reiškinių (žr. 4.5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 Jei pacientas kartu vartoja</w:t>
      </w:r>
      <w:r w:rsidR="00FA7273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varfariną</w:t>
      </w:r>
      <w:proofErr w:type="spellEnd"/>
      <w:r w:rsidRPr="00696CB1">
        <w:rPr>
          <w:szCs w:val="22"/>
          <w:lang w:val="lt-LT"/>
        </w:rPr>
        <w:t xml:space="preserve"> ir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, reikia reguliariai tirti, ar nepakito </w:t>
      </w:r>
      <w:proofErr w:type="spellStart"/>
      <w:r w:rsidRPr="00696CB1">
        <w:rPr>
          <w:szCs w:val="22"/>
          <w:lang w:val="lt-LT"/>
        </w:rPr>
        <w:t>protrombino</w:t>
      </w:r>
      <w:proofErr w:type="spellEnd"/>
      <w:r w:rsidRPr="00696CB1">
        <w:rPr>
          <w:szCs w:val="22"/>
          <w:lang w:val="lt-LT"/>
        </w:rPr>
        <w:t xml:space="preserve"> laikas (PL) arba TNS.</w:t>
      </w:r>
    </w:p>
    <w:p w:rsidR="00FA7273" w:rsidRPr="00696CB1" w:rsidRDefault="00FA7273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Vaistiniai preparatai, </w:t>
      </w:r>
      <w:r w:rsidR="00FA248E" w:rsidRPr="00696CB1">
        <w:rPr>
          <w:szCs w:val="22"/>
          <w:lang w:val="lt-LT"/>
        </w:rPr>
        <w:t>galintys</w:t>
      </w:r>
      <w:r w:rsidRPr="00696CB1">
        <w:rPr>
          <w:szCs w:val="22"/>
          <w:lang w:val="lt-LT"/>
        </w:rPr>
        <w:t xml:space="preserve"> reikšming</w:t>
      </w:r>
      <w:r w:rsidR="00FA248E" w:rsidRPr="00696CB1">
        <w:rPr>
          <w:szCs w:val="22"/>
          <w:lang w:val="lt-LT"/>
        </w:rPr>
        <w:t xml:space="preserve">ai ir </w:t>
      </w:r>
      <w:r w:rsidRPr="00696CB1">
        <w:rPr>
          <w:szCs w:val="22"/>
          <w:lang w:val="lt-LT"/>
        </w:rPr>
        <w:t>ilga</w:t>
      </w:r>
      <w:r w:rsidR="00FA248E" w:rsidRPr="00696CB1">
        <w:rPr>
          <w:szCs w:val="22"/>
          <w:lang w:val="lt-LT"/>
        </w:rPr>
        <w:t>m padidinti</w:t>
      </w:r>
      <w:r w:rsidRPr="00696CB1">
        <w:rPr>
          <w:szCs w:val="22"/>
          <w:lang w:val="lt-LT"/>
        </w:rPr>
        <w:t xml:space="preserve"> skrandžio pH (pvz., protonų siurblio</w:t>
      </w:r>
      <w:r w:rsidR="00FA248E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inhibitoriai ir H</w:t>
      </w:r>
      <w:r w:rsidRPr="00696CB1">
        <w:rPr>
          <w:szCs w:val="22"/>
          <w:vertAlign w:val="subscript"/>
          <w:lang w:val="lt-LT"/>
        </w:rPr>
        <w:t>2</w:t>
      </w:r>
      <w:r w:rsidRPr="00696CB1">
        <w:rPr>
          <w:szCs w:val="22"/>
          <w:lang w:val="lt-LT"/>
        </w:rPr>
        <w:t xml:space="preserve"> antagonistai), gali sumažinti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biologinį prieinamumą bei koncentraciją</w:t>
      </w:r>
      <w:r w:rsidR="00FA248E" w:rsidRPr="00696CB1">
        <w:rPr>
          <w:szCs w:val="22"/>
          <w:lang w:val="lt-LT"/>
        </w:rPr>
        <w:t xml:space="preserve"> kraujo </w:t>
      </w:r>
      <w:r w:rsidRPr="00696CB1">
        <w:rPr>
          <w:szCs w:val="22"/>
          <w:lang w:val="lt-LT"/>
        </w:rPr>
        <w:t xml:space="preserve">plazmoje ir dėl to veiksmingumą. Panašų poveikį gali sukelti ir </w:t>
      </w:r>
      <w:proofErr w:type="spellStart"/>
      <w:r w:rsidRPr="00696CB1">
        <w:rPr>
          <w:szCs w:val="22"/>
          <w:lang w:val="lt-LT"/>
        </w:rPr>
        <w:t>antacidiniai</w:t>
      </w:r>
      <w:proofErr w:type="spellEnd"/>
      <w:r w:rsidRPr="00696CB1">
        <w:rPr>
          <w:szCs w:val="22"/>
          <w:lang w:val="lt-LT"/>
        </w:rPr>
        <w:t xml:space="preserve"> vaistiniai preparatai,</w:t>
      </w:r>
      <w:r w:rsidR="00FA248E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jeigu jie geriami reguliariai ir laiko tarpas </w:t>
      </w:r>
      <w:r w:rsidR="00A03040" w:rsidRPr="00696CB1">
        <w:rPr>
          <w:szCs w:val="22"/>
          <w:lang w:val="lt-LT"/>
        </w:rPr>
        <w:t>tarp</w:t>
      </w:r>
      <w:r w:rsidRPr="00696CB1">
        <w:rPr>
          <w:szCs w:val="22"/>
          <w:lang w:val="lt-LT"/>
        </w:rPr>
        <w:t xml:space="preserve"> jų iki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vartojimo yra trumpas (žr. 4.5 ir</w:t>
      </w:r>
      <w:r w:rsidR="00FA248E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5.2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us).</w:t>
      </w:r>
    </w:p>
    <w:p w:rsidR="00FA248E" w:rsidRPr="00696CB1" w:rsidRDefault="00FA248E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II fazės klinikinių tyrimų, kurių metu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vartotas kartu su </w:t>
      </w:r>
      <w:proofErr w:type="spellStart"/>
      <w:r w:rsidRPr="00696CB1">
        <w:rPr>
          <w:szCs w:val="22"/>
          <w:lang w:val="lt-LT"/>
        </w:rPr>
        <w:t>vinorelbinu</w:t>
      </w:r>
      <w:proofErr w:type="spellEnd"/>
      <w:r w:rsidRPr="00696CB1">
        <w:rPr>
          <w:szCs w:val="22"/>
          <w:lang w:val="lt-LT"/>
        </w:rPr>
        <w:t>, duomenimis,</w:t>
      </w:r>
      <w:r w:rsidR="0016525F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gali sustiprinti </w:t>
      </w:r>
      <w:proofErr w:type="spellStart"/>
      <w:r w:rsidRPr="00696CB1">
        <w:rPr>
          <w:szCs w:val="22"/>
          <w:lang w:val="lt-LT"/>
        </w:rPr>
        <w:t>neutropeniją</w:t>
      </w:r>
      <w:proofErr w:type="spellEnd"/>
      <w:r w:rsidRPr="00696CB1">
        <w:rPr>
          <w:szCs w:val="22"/>
          <w:lang w:val="lt-LT"/>
        </w:rPr>
        <w:t xml:space="preserve"> sukeliantį </w:t>
      </w:r>
      <w:proofErr w:type="spellStart"/>
      <w:r w:rsidRPr="00696CB1">
        <w:rPr>
          <w:szCs w:val="22"/>
          <w:lang w:val="lt-LT"/>
        </w:rPr>
        <w:t>vinorelbino</w:t>
      </w:r>
      <w:proofErr w:type="spellEnd"/>
      <w:r w:rsidRPr="00696CB1">
        <w:rPr>
          <w:szCs w:val="22"/>
          <w:lang w:val="lt-LT"/>
        </w:rPr>
        <w:t xml:space="preserve"> poveikį.</w:t>
      </w:r>
    </w:p>
    <w:p w:rsidR="0016525F" w:rsidRPr="00696CB1" w:rsidRDefault="0016525F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Laktozė</w:t>
      </w:r>
    </w:p>
    <w:p w:rsidR="002A0BC8" w:rsidRPr="00696CB1" w:rsidRDefault="00DB68BA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2A0BC8" w:rsidRPr="00696CB1">
        <w:rPr>
          <w:szCs w:val="22"/>
          <w:lang w:val="lt-LT"/>
        </w:rPr>
        <w:t xml:space="preserve"> sudėtyje yra laktozės. Šio vaistinio preparato negalima skirti pacientams, kuriems nustatytas</w:t>
      </w:r>
      <w:r w:rsidR="00DF2C25"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retas paveldimas sutrikimas – </w:t>
      </w:r>
      <w:proofErr w:type="spellStart"/>
      <w:r w:rsidR="002A0BC8" w:rsidRPr="00696CB1">
        <w:rPr>
          <w:szCs w:val="22"/>
          <w:lang w:val="lt-LT"/>
        </w:rPr>
        <w:t>galaktozės</w:t>
      </w:r>
      <w:proofErr w:type="spellEnd"/>
      <w:r w:rsidR="002A0BC8" w:rsidRPr="00696CB1">
        <w:rPr>
          <w:szCs w:val="22"/>
          <w:lang w:val="lt-LT"/>
        </w:rPr>
        <w:t xml:space="preserve"> </w:t>
      </w:r>
      <w:proofErr w:type="spellStart"/>
      <w:r w:rsidR="002A0BC8" w:rsidRPr="00696CB1">
        <w:rPr>
          <w:szCs w:val="22"/>
          <w:lang w:val="lt-LT"/>
        </w:rPr>
        <w:t>netoleravimas</w:t>
      </w:r>
      <w:proofErr w:type="spellEnd"/>
      <w:r w:rsidR="002A0BC8" w:rsidRPr="00696CB1">
        <w:rPr>
          <w:szCs w:val="22"/>
          <w:lang w:val="lt-LT"/>
        </w:rPr>
        <w:t xml:space="preserve">, </w:t>
      </w:r>
      <w:r w:rsidR="00DF2C25" w:rsidRPr="00696CB1">
        <w:rPr>
          <w:szCs w:val="22"/>
          <w:lang w:val="lt-LT"/>
        </w:rPr>
        <w:t>visiškas</w:t>
      </w:r>
      <w:r w:rsidR="002A0BC8" w:rsidRPr="00696CB1">
        <w:rPr>
          <w:szCs w:val="22"/>
          <w:lang w:val="lt-LT"/>
        </w:rPr>
        <w:t xml:space="preserve"> laktazės stygius arba gliukozės ir</w:t>
      </w:r>
      <w:r w:rsidR="00DF2C25" w:rsidRPr="00696CB1">
        <w:rPr>
          <w:szCs w:val="22"/>
          <w:lang w:val="lt-LT"/>
        </w:rPr>
        <w:t xml:space="preserve"> </w:t>
      </w:r>
      <w:proofErr w:type="spellStart"/>
      <w:r w:rsidR="002A0BC8" w:rsidRPr="00696CB1">
        <w:rPr>
          <w:szCs w:val="22"/>
          <w:lang w:val="lt-LT"/>
        </w:rPr>
        <w:t>galaktozės</w:t>
      </w:r>
      <w:proofErr w:type="spellEnd"/>
      <w:r w:rsidR="002A0BC8" w:rsidRPr="00696CB1">
        <w:rPr>
          <w:szCs w:val="22"/>
          <w:lang w:val="lt-LT"/>
        </w:rPr>
        <w:t xml:space="preserve"> </w:t>
      </w:r>
      <w:proofErr w:type="spellStart"/>
      <w:r w:rsidR="002A0BC8" w:rsidRPr="00696CB1">
        <w:rPr>
          <w:szCs w:val="22"/>
          <w:lang w:val="lt-LT"/>
        </w:rPr>
        <w:t>malabsorbcija</w:t>
      </w:r>
      <w:proofErr w:type="spellEnd"/>
      <w:r w:rsidR="002A0BC8" w:rsidRPr="00696CB1">
        <w:rPr>
          <w:szCs w:val="22"/>
          <w:lang w:val="lt-LT"/>
        </w:rPr>
        <w:t>.</w:t>
      </w:r>
    </w:p>
    <w:p w:rsidR="00DF2C25" w:rsidRPr="00696CB1" w:rsidRDefault="00DF2C25" w:rsidP="00696CB1">
      <w:pPr>
        <w:widowControl w:val="0"/>
        <w:spacing w:line="240" w:lineRule="auto"/>
        <w:rPr>
          <w:szCs w:val="22"/>
          <w:lang w:val="lt-LT"/>
        </w:rPr>
      </w:pPr>
    </w:p>
    <w:p w:rsidR="008F3ACB" w:rsidRPr="00E94ADD" w:rsidRDefault="004C782A" w:rsidP="00E94ADD">
      <w:pPr>
        <w:widowControl w:val="0"/>
        <w:spacing w:line="240" w:lineRule="auto"/>
        <w:rPr>
          <w:i/>
          <w:lang w:val="lt-LT"/>
        </w:rPr>
      </w:pPr>
      <w:r w:rsidRPr="00696CB1">
        <w:rPr>
          <w:i/>
          <w:szCs w:val="22"/>
          <w:lang w:val="lt-LT"/>
        </w:rPr>
        <w:t>Natris</w:t>
      </w:r>
    </w:p>
    <w:p w:rsidR="004C782A" w:rsidRPr="00696CB1" w:rsidRDefault="00E752C8" w:rsidP="00696CB1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lang w:val="lt-LT"/>
        </w:rPr>
      </w:pPr>
      <w:proofErr w:type="spellStart"/>
      <w:r w:rsidRPr="00696CB1">
        <w:rPr>
          <w:lang w:val="lt-LT"/>
        </w:rPr>
        <w:t>Gefitinib</w:t>
      </w:r>
      <w:proofErr w:type="spellEnd"/>
      <w:r w:rsidRPr="00696CB1">
        <w:rPr>
          <w:lang w:val="lt-LT"/>
        </w:rPr>
        <w:t xml:space="preserve"> </w:t>
      </w:r>
      <w:proofErr w:type="spellStart"/>
      <w:r w:rsidR="009E39E4" w:rsidRPr="00696CB1">
        <w:rPr>
          <w:lang w:val="lt-LT"/>
        </w:rPr>
        <w:t>Krka</w:t>
      </w:r>
      <w:proofErr w:type="spellEnd"/>
      <w:r w:rsidR="00F34163" w:rsidRPr="00696CB1">
        <w:rPr>
          <w:lang w:val="lt-LT"/>
        </w:rPr>
        <w:t xml:space="preserve"> </w:t>
      </w:r>
      <w:r w:rsidR="0005189D">
        <w:rPr>
          <w:lang w:val="lt-LT"/>
        </w:rPr>
        <w:t xml:space="preserve">plėvele dengtoje </w:t>
      </w:r>
      <w:r w:rsidR="004C782A" w:rsidRPr="00696CB1">
        <w:rPr>
          <w:lang w:val="lt-LT"/>
        </w:rPr>
        <w:t>tabletėje yra mažiau kai</w:t>
      </w:r>
      <w:r w:rsidR="009A49D1">
        <w:rPr>
          <w:lang w:val="lt-LT"/>
        </w:rPr>
        <w:t>p 1 </w:t>
      </w:r>
      <w:proofErr w:type="spellStart"/>
      <w:r w:rsidR="009A49D1">
        <w:rPr>
          <w:lang w:val="lt-LT"/>
        </w:rPr>
        <w:t>mmol</w:t>
      </w:r>
      <w:proofErr w:type="spellEnd"/>
      <w:r w:rsidR="009A49D1">
        <w:rPr>
          <w:lang w:val="lt-LT"/>
        </w:rPr>
        <w:t xml:space="preserve"> natrio (23 </w:t>
      </w:r>
      <w:r w:rsidR="004C782A" w:rsidRPr="00696CB1">
        <w:rPr>
          <w:lang w:val="lt-LT"/>
        </w:rPr>
        <w:t xml:space="preserve">mg), </w:t>
      </w:r>
      <w:proofErr w:type="spellStart"/>
      <w:r w:rsidR="004C782A" w:rsidRPr="00696CB1">
        <w:rPr>
          <w:lang w:val="lt-LT"/>
        </w:rPr>
        <w:t>t.y</w:t>
      </w:r>
      <w:proofErr w:type="spellEnd"/>
      <w:r w:rsidR="004C782A" w:rsidRPr="00696CB1">
        <w:rPr>
          <w:lang w:val="lt-LT"/>
        </w:rPr>
        <w:t xml:space="preserve">. jis beveik neturi </w:t>
      </w:r>
      <w:proofErr w:type="spellStart"/>
      <w:r w:rsidR="004C782A" w:rsidRPr="00696CB1">
        <w:rPr>
          <w:lang w:val="lt-LT"/>
        </w:rPr>
        <w:t>reiškmės</w:t>
      </w:r>
      <w:proofErr w:type="spellEnd"/>
      <w:r w:rsidR="004C782A" w:rsidRPr="00696CB1">
        <w:rPr>
          <w:lang w:val="lt-LT"/>
        </w:rPr>
        <w:t>.</w:t>
      </w:r>
    </w:p>
    <w:p w:rsidR="00DF2C25" w:rsidRPr="00696CB1" w:rsidRDefault="00DF2C25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Kitos atsargumo priemonės</w:t>
      </w: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Pacientui reikia patarti nedelsiant </w:t>
      </w:r>
      <w:r w:rsidR="00DA7717" w:rsidRPr="00696CB1">
        <w:rPr>
          <w:szCs w:val="22"/>
          <w:lang w:val="lt-LT"/>
        </w:rPr>
        <w:t xml:space="preserve">kreiptis į gydytoją pasireiškus </w:t>
      </w:r>
      <w:r w:rsidRPr="00696CB1">
        <w:rPr>
          <w:szCs w:val="22"/>
          <w:lang w:val="lt-LT"/>
        </w:rPr>
        <w:t>stipriam ar nepraeinančiam viduriavimui, pykinimui, vėmimui arba anoreksijai (šie sutrikimai</w:t>
      </w:r>
      <w:r w:rsidR="00DA771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netiesiogiai gali sukelti </w:t>
      </w:r>
      <w:proofErr w:type="spellStart"/>
      <w:r w:rsidR="005D6BD4" w:rsidRPr="00696CB1">
        <w:rPr>
          <w:szCs w:val="22"/>
          <w:lang w:val="lt-LT"/>
        </w:rPr>
        <w:t>dehidraciją</w:t>
      </w:r>
      <w:proofErr w:type="spellEnd"/>
      <w:r w:rsidRPr="00696CB1">
        <w:rPr>
          <w:szCs w:val="22"/>
          <w:lang w:val="lt-LT"/>
        </w:rPr>
        <w:t>).</w:t>
      </w:r>
      <w:r w:rsidR="00DA771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Šiuos simptomus reikia koreguoti atsižvelgiant į klinikinę </w:t>
      </w:r>
      <w:r w:rsidR="00DA7717" w:rsidRPr="00696CB1">
        <w:rPr>
          <w:szCs w:val="22"/>
          <w:lang w:val="lt-LT"/>
        </w:rPr>
        <w:t>situaciją</w:t>
      </w:r>
      <w:r w:rsidRPr="00696CB1">
        <w:rPr>
          <w:szCs w:val="22"/>
          <w:lang w:val="lt-LT"/>
        </w:rPr>
        <w:t xml:space="preserve"> (žr. 4.8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DA7717" w:rsidRPr="00696CB1" w:rsidRDefault="00DA7717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A03040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Atsiradus galimų</w:t>
      </w:r>
      <w:r w:rsidR="002A0BC8" w:rsidRPr="00696CB1">
        <w:rPr>
          <w:szCs w:val="22"/>
          <w:lang w:val="lt-LT"/>
        </w:rPr>
        <w:t xml:space="preserve"> </w:t>
      </w:r>
      <w:proofErr w:type="spellStart"/>
      <w:r w:rsidR="002A0BC8" w:rsidRPr="00696CB1">
        <w:rPr>
          <w:szCs w:val="22"/>
          <w:lang w:val="lt-LT"/>
        </w:rPr>
        <w:t>keratit</w:t>
      </w:r>
      <w:r w:rsidRPr="00696CB1">
        <w:rPr>
          <w:szCs w:val="22"/>
          <w:lang w:val="lt-LT"/>
        </w:rPr>
        <w:t>o</w:t>
      </w:r>
      <w:proofErr w:type="spellEnd"/>
      <w:r w:rsidR="002A0BC8" w:rsidRPr="00696CB1">
        <w:rPr>
          <w:szCs w:val="22"/>
          <w:lang w:val="lt-LT"/>
        </w:rPr>
        <w:t xml:space="preserve"> požymių ir simptomų (</w:t>
      </w:r>
      <w:r w:rsidRPr="00696CB1">
        <w:rPr>
          <w:szCs w:val="22"/>
          <w:lang w:val="lt-LT"/>
        </w:rPr>
        <w:t>paūmėjęs ar pasunkėjęs</w:t>
      </w:r>
      <w:r w:rsidR="00A117A3"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akies uždegimas, ašarojimas, jautrumas šviesai, </w:t>
      </w:r>
      <w:r w:rsidR="00A117A3" w:rsidRPr="00696CB1">
        <w:rPr>
          <w:szCs w:val="22"/>
          <w:lang w:val="lt-LT"/>
        </w:rPr>
        <w:t xml:space="preserve">matomo vaizdo </w:t>
      </w:r>
      <w:proofErr w:type="spellStart"/>
      <w:r w:rsidR="00A117A3" w:rsidRPr="00696CB1">
        <w:rPr>
          <w:szCs w:val="22"/>
          <w:lang w:val="lt-LT"/>
        </w:rPr>
        <w:t>neryškumas</w:t>
      </w:r>
      <w:proofErr w:type="spellEnd"/>
      <w:r w:rsidR="00A117A3" w:rsidRPr="00696CB1">
        <w:rPr>
          <w:szCs w:val="22"/>
          <w:lang w:val="lt-LT"/>
        </w:rPr>
        <w:t>, akies skausmas ir (</w:t>
      </w:r>
      <w:r w:rsidR="002A0BC8" w:rsidRPr="00696CB1">
        <w:rPr>
          <w:szCs w:val="22"/>
          <w:lang w:val="lt-LT"/>
        </w:rPr>
        <w:t>ar</w:t>
      </w:r>
      <w:r w:rsidR="00A117A3" w:rsidRPr="00696CB1">
        <w:rPr>
          <w:szCs w:val="22"/>
          <w:lang w:val="lt-LT"/>
        </w:rPr>
        <w:t>ba)</w:t>
      </w:r>
      <w:r w:rsidR="002A0BC8" w:rsidRPr="00696CB1">
        <w:rPr>
          <w:szCs w:val="22"/>
          <w:lang w:val="lt-LT"/>
        </w:rPr>
        <w:t xml:space="preserve"> akies</w:t>
      </w:r>
      <w:r w:rsidR="00A117A3" w:rsidRPr="00696CB1">
        <w:rPr>
          <w:szCs w:val="22"/>
          <w:lang w:val="lt-LT"/>
        </w:rPr>
        <w:t xml:space="preserve"> </w:t>
      </w:r>
      <w:r w:rsidR="002A0BC8" w:rsidRPr="00696CB1">
        <w:rPr>
          <w:szCs w:val="22"/>
          <w:lang w:val="lt-LT"/>
        </w:rPr>
        <w:t xml:space="preserve">paraudimas), pacientą </w:t>
      </w:r>
      <w:r w:rsidR="002A0BC8" w:rsidRPr="00696CB1">
        <w:rPr>
          <w:szCs w:val="22"/>
          <w:lang w:val="lt-LT"/>
        </w:rPr>
        <w:lastRenderedPageBreak/>
        <w:t xml:space="preserve">reikia skubiai </w:t>
      </w:r>
      <w:r w:rsidR="00A117A3" w:rsidRPr="00696CB1">
        <w:rPr>
          <w:szCs w:val="22"/>
          <w:lang w:val="lt-LT"/>
        </w:rPr>
        <w:t>nusiųsti</w:t>
      </w:r>
      <w:r w:rsidR="002A0BC8" w:rsidRPr="00696CB1">
        <w:rPr>
          <w:szCs w:val="22"/>
          <w:lang w:val="lt-LT"/>
        </w:rPr>
        <w:t xml:space="preserve"> oftalmologijos specialistui.</w:t>
      </w:r>
    </w:p>
    <w:p w:rsidR="00A117A3" w:rsidRPr="00696CB1" w:rsidRDefault="00A117A3" w:rsidP="00696CB1">
      <w:pPr>
        <w:widowControl w:val="0"/>
        <w:spacing w:line="240" w:lineRule="auto"/>
        <w:rPr>
          <w:szCs w:val="22"/>
          <w:lang w:val="lt-LT"/>
        </w:rPr>
      </w:pPr>
    </w:p>
    <w:p w:rsidR="002842A2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Patvirtinus opinio </w:t>
      </w:r>
      <w:proofErr w:type="spellStart"/>
      <w:r w:rsidRPr="00696CB1">
        <w:rPr>
          <w:szCs w:val="22"/>
          <w:lang w:val="lt-LT"/>
        </w:rPr>
        <w:t>keratito</w:t>
      </w:r>
      <w:proofErr w:type="spellEnd"/>
      <w:r w:rsidRPr="00696CB1">
        <w:rPr>
          <w:szCs w:val="22"/>
          <w:lang w:val="lt-LT"/>
        </w:rPr>
        <w:t xml:space="preserve"> diagnozę, reikia </w:t>
      </w:r>
      <w:r w:rsidR="004B0280" w:rsidRPr="00696CB1">
        <w:rPr>
          <w:szCs w:val="22"/>
          <w:lang w:val="lt-LT"/>
        </w:rPr>
        <w:t>sustabdyti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vartojimą. Jeigu simptomai</w:t>
      </w:r>
      <w:r w:rsidR="004B0280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nepraeina arba atsinaujina vėl </w:t>
      </w:r>
      <w:r w:rsidR="00A03040" w:rsidRPr="00696CB1">
        <w:rPr>
          <w:szCs w:val="22"/>
          <w:lang w:val="lt-LT"/>
        </w:rPr>
        <w:t xml:space="preserve">pradėjus </w:t>
      </w:r>
      <w:r w:rsidRPr="00696CB1">
        <w:rPr>
          <w:szCs w:val="22"/>
          <w:lang w:val="lt-LT"/>
        </w:rPr>
        <w:t xml:space="preserve">vartoti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>, reikia apsvarstyti šio vaistinio preparato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vartojimo nutraukimo visam laikui tikslingumą</w:t>
      </w:r>
      <w:r w:rsidR="002842A2" w:rsidRPr="00696CB1">
        <w:rPr>
          <w:szCs w:val="22"/>
          <w:lang w:val="lt-LT"/>
        </w:rPr>
        <w:t>.</w:t>
      </w:r>
    </w:p>
    <w:p w:rsidR="002842A2" w:rsidRPr="00696CB1" w:rsidRDefault="002842A2" w:rsidP="00696CB1">
      <w:pPr>
        <w:widowControl w:val="0"/>
        <w:spacing w:line="240" w:lineRule="auto"/>
        <w:rPr>
          <w:szCs w:val="22"/>
          <w:lang w:val="lt-LT"/>
        </w:rPr>
      </w:pP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I/II fazės tyrimo metu </w:t>
      </w:r>
      <w:proofErr w:type="spellStart"/>
      <w:r w:rsidRPr="00696CB1">
        <w:rPr>
          <w:szCs w:val="22"/>
          <w:lang w:val="lt-LT"/>
        </w:rPr>
        <w:t>gefi</w:t>
      </w:r>
      <w:r w:rsidR="00A03040" w:rsidRPr="00696CB1">
        <w:rPr>
          <w:szCs w:val="22"/>
          <w:lang w:val="lt-LT"/>
        </w:rPr>
        <w:t>tinibu</w:t>
      </w:r>
      <w:proofErr w:type="spellEnd"/>
      <w:r w:rsidR="00A03040" w:rsidRPr="00696CB1">
        <w:rPr>
          <w:szCs w:val="22"/>
          <w:lang w:val="lt-LT"/>
        </w:rPr>
        <w:t xml:space="preserve"> ir spinduliais gydant 45 </w:t>
      </w:r>
      <w:r w:rsidRPr="00696CB1">
        <w:rPr>
          <w:szCs w:val="22"/>
          <w:lang w:val="lt-LT"/>
        </w:rPr>
        <w:t xml:space="preserve">vaikus, kuriems </w:t>
      </w:r>
      <w:r w:rsidR="002842A2" w:rsidRPr="00696CB1">
        <w:rPr>
          <w:szCs w:val="22"/>
          <w:lang w:val="lt-LT"/>
        </w:rPr>
        <w:t xml:space="preserve">buvo </w:t>
      </w:r>
      <w:r w:rsidRPr="00696CB1">
        <w:rPr>
          <w:szCs w:val="22"/>
          <w:lang w:val="lt-LT"/>
        </w:rPr>
        <w:t>naujai diagnozuota smegenų</w:t>
      </w:r>
      <w:r w:rsidR="00A03040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kamieno </w:t>
      </w:r>
      <w:proofErr w:type="spellStart"/>
      <w:r w:rsidRPr="00696CB1">
        <w:rPr>
          <w:szCs w:val="22"/>
          <w:lang w:val="lt-LT"/>
        </w:rPr>
        <w:t>glioma</w:t>
      </w:r>
      <w:proofErr w:type="spellEnd"/>
      <w:r w:rsidRPr="00696CB1">
        <w:rPr>
          <w:szCs w:val="22"/>
          <w:lang w:val="lt-LT"/>
        </w:rPr>
        <w:t xml:space="preserve"> arba</w:t>
      </w:r>
      <w:r w:rsidR="00A03040" w:rsidRPr="00696CB1">
        <w:rPr>
          <w:szCs w:val="22"/>
          <w:lang w:val="lt-LT"/>
        </w:rPr>
        <w:t xml:space="preserve"> buvo</w:t>
      </w:r>
      <w:r w:rsidRPr="00696CB1">
        <w:rPr>
          <w:szCs w:val="22"/>
          <w:lang w:val="lt-LT"/>
        </w:rPr>
        <w:t xml:space="preserve"> ne </w:t>
      </w:r>
      <w:r w:rsidR="002842A2" w:rsidRPr="00696CB1">
        <w:rPr>
          <w:szCs w:val="22"/>
          <w:lang w:val="lt-LT"/>
        </w:rPr>
        <w:t xml:space="preserve">visiškai </w:t>
      </w:r>
      <w:proofErr w:type="spellStart"/>
      <w:r w:rsidR="002842A2" w:rsidRPr="00696CB1">
        <w:rPr>
          <w:szCs w:val="22"/>
          <w:lang w:val="lt-LT"/>
        </w:rPr>
        <w:t>rezekuota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supratentorinė</w:t>
      </w:r>
      <w:proofErr w:type="spellEnd"/>
      <w:r w:rsidRPr="00696CB1">
        <w:rPr>
          <w:szCs w:val="22"/>
          <w:lang w:val="lt-LT"/>
        </w:rPr>
        <w:t xml:space="preserve"> piktybinė </w:t>
      </w:r>
      <w:proofErr w:type="spellStart"/>
      <w:r w:rsidRPr="00696CB1">
        <w:rPr>
          <w:szCs w:val="22"/>
          <w:lang w:val="lt-LT"/>
        </w:rPr>
        <w:t>glioma</w:t>
      </w:r>
      <w:proofErr w:type="spellEnd"/>
      <w:r w:rsidRPr="00696CB1">
        <w:rPr>
          <w:szCs w:val="22"/>
          <w:lang w:val="lt-LT"/>
        </w:rPr>
        <w:t xml:space="preserve">, </w:t>
      </w:r>
      <w:r w:rsidR="002842A2" w:rsidRPr="00696CB1">
        <w:rPr>
          <w:szCs w:val="22"/>
          <w:lang w:val="lt-LT"/>
        </w:rPr>
        <w:t>nustatyti</w:t>
      </w:r>
      <w:r w:rsidRPr="00696CB1">
        <w:rPr>
          <w:szCs w:val="22"/>
          <w:lang w:val="lt-LT"/>
        </w:rPr>
        <w:t xml:space="preserve"> 4 kraujavimo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centrinėje nervų sistemoje (CNS) atvejai</w:t>
      </w:r>
      <w:r w:rsidR="002842A2" w:rsidRPr="00696CB1">
        <w:rPr>
          <w:szCs w:val="22"/>
          <w:lang w:val="lt-LT"/>
        </w:rPr>
        <w:t xml:space="preserve"> (1 iš jų buvo mirtinas)</w:t>
      </w:r>
      <w:r w:rsidRPr="00696CB1">
        <w:rPr>
          <w:szCs w:val="22"/>
          <w:lang w:val="lt-LT"/>
        </w:rPr>
        <w:t>. Dar vienas kraujavimo CNS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atvejis </w:t>
      </w:r>
      <w:r w:rsidR="002842A2" w:rsidRPr="00696CB1">
        <w:rPr>
          <w:szCs w:val="22"/>
          <w:lang w:val="lt-LT"/>
        </w:rPr>
        <w:t>praneštas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ependimoma</w:t>
      </w:r>
      <w:proofErr w:type="spellEnd"/>
      <w:r w:rsidRPr="00696CB1">
        <w:rPr>
          <w:szCs w:val="22"/>
          <w:lang w:val="lt-LT"/>
        </w:rPr>
        <w:t xml:space="preserve"> sirgusiam vaikui, vartojusiam tik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. </w:t>
      </w:r>
      <w:r w:rsidR="002842A2" w:rsidRPr="00696CB1">
        <w:rPr>
          <w:szCs w:val="22"/>
          <w:lang w:val="lt-LT"/>
        </w:rPr>
        <w:t>K</w:t>
      </w:r>
      <w:r w:rsidRPr="00696CB1">
        <w:rPr>
          <w:szCs w:val="22"/>
          <w:lang w:val="lt-LT"/>
        </w:rPr>
        <w:t>raujavimo į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smegenis </w:t>
      </w:r>
      <w:r w:rsidR="002842A2" w:rsidRPr="00696CB1">
        <w:rPr>
          <w:szCs w:val="22"/>
          <w:lang w:val="lt-LT"/>
        </w:rPr>
        <w:t>rizikos padidėjimo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vartojantiems </w:t>
      </w:r>
      <w:r w:rsidR="00A03040" w:rsidRPr="00696CB1">
        <w:rPr>
          <w:szCs w:val="22"/>
          <w:lang w:val="lt-LT"/>
        </w:rPr>
        <w:t xml:space="preserve">NSLPV </w:t>
      </w:r>
      <w:r w:rsidRPr="00696CB1">
        <w:rPr>
          <w:szCs w:val="22"/>
          <w:lang w:val="lt-LT"/>
        </w:rPr>
        <w:t>sergantiems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suaugusiems pacientams nenustatyta.</w:t>
      </w:r>
    </w:p>
    <w:p w:rsidR="002842A2" w:rsidRPr="00696CB1" w:rsidRDefault="002842A2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Gauta pranešimų apie vartojant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įvykusią virškinimo trakto perforaciją. Dauguma atvejų ji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pasireiškė esant kitų žinomų rizikos veiksnių</w:t>
      </w:r>
      <w:r w:rsidR="002842A2" w:rsidRPr="00696CB1">
        <w:rPr>
          <w:szCs w:val="22"/>
          <w:lang w:val="lt-LT"/>
        </w:rPr>
        <w:t xml:space="preserve">, įskaitant </w:t>
      </w:r>
      <w:r w:rsidR="00A03040" w:rsidRPr="00696CB1">
        <w:rPr>
          <w:szCs w:val="22"/>
          <w:lang w:val="lt-LT"/>
        </w:rPr>
        <w:t xml:space="preserve">tam tikrus </w:t>
      </w:r>
      <w:r w:rsidR="002842A2" w:rsidRPr="00696CB1">
        <w:rPr>
          <w:szCs w:val="22"/>
          <w:lang w:val="lt-LT"/>
        </w:rPr>
        <w:t xml:space="preserve">kartu vartojamus </w:t>
      </w:r>
      <w:r w:rsidR="00A03040" w:rsidRPr="00696CB1">
        <w:rPr>
          <w:szCs w:val="22"/>
          <w:lang w:val="lt-LT"/>
        </w:rPr>
        <w:t>vaistinius preparatus</w:t>
      </w:r>
      <w:r w:rsidR="002842A2" w:rsidRPr="00696CB1">
        <w:rPr>
          <w:szCs w:val="22"/>
          <w:lang w:val="lt-LT"/>
        </w:rPr>
        <w:t>, pvz., steroidus</w:t>
      </w:r>
      <w:r w:rsidRPr="00696CB1">
        <w:rPr>
          <w:szCs w:val="22"/>
          <w:lang w:val="lt-LT"/>
        </w:rPr>
        <w:t xml:space="preserve"> ar nesteroidini</w:t>
      </w:r>
      <w:r w:rsidR="002842A2" w:rsidRPr="00696CB1">
        <w:rPr>
          <w:szCs w:val="22"/>
          <w:lang w:val="lt-LT"/>
        </w:rPr>
        <w:t>us</w:t>
      </w:r>
      <w:r w:rsidRPr="00696CB1">
        <w:rPr>
          <w:szCs w:val="22"/>
          <w:lang w:val="lt-LT"/>
        </w:rPr>
        <w:t xml:space="preserve"> vaistini</w:t>
      </w:r>
      <w:r w:rsidR="002842A2" w:rsidRPr="00696CB1">
        <w:rPr>
          <w:szCs w:val="22"/>
          <w:lang w:val="lt-LT"/>
        </w:rPr>
        <w:t>us preparatus</w:t>
      </w:r>
      <w:r w:rsidRPr="00696CB1">
        <w:rPr>
          <w:szCs w:val="22"/>
          <w:lang w:val="lt-LT"/>
        </w:rPr>
        <w:t xml:space="preserve"> nuo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uždegimo </w:t>
      </w:r>
      <w:r w:rsidR="002842A2" w:rsidRPr="00696CB1">
        <w:rPr>
          <w:szCs w:val="22"/>
          <w:lang w:val="lt-LT"/>
        </w:rPr>
        <w:t>(NVNU)</w:t>
      </w:r>
      <w:r w:rsidRPr="00696CB1">
        <w:rPr>
          <w:szCs w:val="22"/>
          <w:lang w:val="lt-LT"/>
        </w:rPr>
        <w:t xml:space="preserve">, </w:t>
      </w:r>
      <w:r w:rsidR="002842A2" w:rsidRPr="00696CB1">
        <w:rPr>
          <w:szCs w:val="22"/>
          <w:lang w:val="lt-LT"/>
        </w:rPr>
        <w:t>buvusį</w:t>
      </w:r>
      <w:r w:rsidRPr="00696CB1">
        <w:rPr>
          <w:szCs w:val="22"/>
          <w:lang w:val="lt-LT"/>
        </w:rPr>
        <w:t xml:space="preserve"> virškinimo trakto </w:t>
      </w:r>
      <w:r w:rsidR="002842A2" w:rsidRPr="00696CB1">
        <w:rPr>
          <w:szCs w:val="22"/>
          <w:lang w:val="lt-LT"/>
        </w:rPr>
        <w:t>išopėjimą</w:t>
      </w:r>
      <w:r w:rsidRPr="00696CB1">
        <w:rPr>
          <w:szCs w:val="22"/>
          <w:lang w:val="lt-LT"/>
        </w:rPr>
        <w:t>, amži</w:t>
      </w:r>
      <w:r w:rsidR="002842A2" w:rsidRPr="00696CB1">
        <w:rPr>
          <w:szCs w:val="22"/>
          <w:lang w:val="lt-LT"/>
        </w:rPr>
        <w:t>ų</w:t>
      </w:r>
      <w:r w:rsidRPr="00696CB1">
        <w:rPr>
          <w:szCs w:val="22"/>
          <w:lang w:val="lt-LT"/>
        </w:rPr>
        <w:t>, rūkym</w:t>
      </w:r>
      <w:r w:rsidR="002842A2" w:rsidRPr="00696CB1">
        <w:rPr>
          <w:szCs w:val="22"/>
          <w:lang w:val="lt-LT"/>
        </w:rPr>
        <w:t>ą</w:t>
      </w:r>
      <w:r w:rsidRPr="00696CB1">
        <w:rPr>
          <w:szCs w:val="22"/>
          <w:lang w:val="lt-LT"/>
        </w:rPr>
        <w:t>, metastaz</w:t>
      </w:r>
      <w:r w:rsidR="002842A2" w:rsidRPr="00696CB1">
        <w:rPr>
          <w:szCs w:val="22"/>
          <w:lang w:val="lt-LT"/>
        </w:rPr>
        <w:t>e</w:t>
      </w:r>
      <w:r w:rsidRPr="00696CB1">
        <w:rPr>
          <w:szCs w:val="22"/>
          <w:lang w:val="lt-LT"/>
        </w:rPr>
        <w:t>s žarnų</w:t>
      </w:r>
      <w:r w:rsidR="002842A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pe</w:t>
      </w:r>
      <w:r w:rsidR="002842A2" w:rsidRPr="00696CB1">
        <w:rPr>
          <w:szCs w:val="22"/>
          <w:lang w:val="lt-LT"/>
        </w:rPr>
        <w:t>rforacijos vietose</w:t>
      </w:r>
      <w:r w:rsidRPr="00696CB1">
        <w:rPr>
          <w:szCs w:val="22"/>
          <w:lang w:val="lt-LT"/>
        </w:rPr>
        <w:t>.</w:t>
      </w:r>
    </w:p>
    <w:p w:rsidR="002A0BC8" w:rsidRPr="00696CB1" w:rsidRDefault="002A0BC8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4.5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metabolizuoja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citochromo</w:t>
      </w:r>
      <w:proofErr w:type="spellEnd"/>
      <w:r w:rsidRPr="00696CB1">
        <w:rPr>
          <w:szCs w:val="22"/>
          <w:lang w:val="lt-LT"/>
        </w:rPr>
        <w:t xml:space="preserve"> P450 </w:t>
      </w:r>
      <w:proofErr w:type="spellStart"/>
      <w:r w:rsidRPr="00696CB1">
        <w:rPr>
          <w:szCs w:val="22"/>
          <w:lang w:val="lt-LT"/>
        </w:rPr>
        <w:t>izofermentai</w:t>
      </w:r>
      <w:proofErr w:type="spellEnd"/>
      <w:r w:rsidRPr="00696CB1">
        <w:rPr>
          <w:szCs w:val="22"/>
          <w:lang w:val="lt-LT"/>
        </w:rPr>
        <w:t xml:space="preserve"> CYP3A4 (daugiausia) ir CYP2D6.</w:t>
      </w: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 xml:space="preserve">Veikliosios medžiagos, kurios gali padidinti </w:t>
      </w:r>
      <w:proofErr w:type="spellStart"/>
      <w:r w:rsidRPr="00696CB1">
        <w:rPr>
          <w:i/>
          <w:szCs w:val="22"/>
          <w:lang w:val="lt-LT"/>
        </w:rPr>
        <w:t>gefitinibo</w:t>
      </w:r>
      <w:proofErr w:type="spellEnd"/>
      <w:r w:rsidRPr="00696CB1">
        <w:rPr>
          <w:i/>
          <w:szCs w:val="22"/>
          <w:lang w:val="lt-LT"/>
        </w:rPr>
        <w:t xml:space="preserve"> koncentraciją kraujo plazmoje</w:t>
      </w: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Tyrimų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duomenimis,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yra p-</w:t>
      </w:r>
      <w:proofErr w:type="spellStart"/>
      <w:r w:rsidRPr="00696CB1">
        <w:rPr>
          <w:szCs w:val="22"/>
          <w:lang w:val="lt-LT"/>
        </w:rPr>
        <w:t>glikoproteino</w:t>
      </w:r>
      <w:proofErr w:type="spellEnd"/>
      <w:r w:rsidRPr="00696CB1">
        <w:rPr>
          <w:szCs w:val="22"/>
          <w:lang w:val="lt-LT"/>
        </w:rPr>
        <w:t xml:space="preserve"> (</w:t>
      </w:r>
      <w:proofErr w:type="spellStart"/>
      <w:r w:rsidRPr="00696CB1">
        <w:rPr>
          <w:szCs w:val="22"/>
          <w:lang w:val="lt-LT"/>
        </w:rPr>
        <w:t>Pgp</w:t>
      </w:r>
      <w:proofErr w:type="spellEnd"/>
      <w:r w:rsidRPr="00696CB1">
        <w:rPr>
          <w:szCs w:val="22"/>
          <w:lang w:val="lt-LT"/>
        </w:rPr>
        <w:t xml:space="preserve">) substratas. Turimi duomenys nerodo, kad ši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nustatyta savybė turėtų </w:t>
      </w:r>
      <w:r w:rsidR="001E0341" w:rsidRPr="00696CB1">
        <w:rPr>
          <w:szCs w:val="22"/>
          <w:lang w:val="lt-LT"/>
        </w:rPr>
        <w:t>kokią nors klinikinę reikšmę</w:t>
      </w:r>
      <w:r w:rsidRPr="00696CB1">
        <w:rPr>
          <w:szCs w:val="22"/>
          <w:lang w:val="lt-LT"/>
        </w:rPr>
        <w:t>.</w:t>
      </w:r>
    </w:p>
    <w:p w:rsidR="00EE1512" w:rsidRPr="00696CB1" w:rsidRDefault="00EE1512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Medžiagos, </w:t>
      </w:r>
      <w:r w:rsidR="007D41E4" w:rsidRPr="00696CB1">
        <w:rPr>
          <w:szCs w:val="22"/>
          <w:lang w:val="lt-LT"/>
        </w:rPr>
        <w:t>kurios slopina</w:t>
      </w:r>
      <w:r w:rsidRPr="00696CB1">
        <w:rPr>
          <w:szCs w:val="22"/>
          <w:lang w:val="lt-LT"/>
        </w:rPr>
        <w:t xml:space="preserve"> CYP3A4, gali mažinti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klirensą. Kartu vartojant vaistinius</w:t>
      </w:r>
      <w:r w:rsidR="00913E2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preparatus, kurie stipriai slopina CYP3A4 (pvz., </w:t>
      </w:r>
      <w:proofErr w:type="spellStart"/>
      <w:r w:rsidRPr="00696CB1">
        <w:rPr>
          <w:szCs w:val="22"/>
          <w:lang w:val="lt-LT"/>
        </w:rPr>
        <w:t>ketokonazolą</w:t>
      </w:r>
      <w:proofErr w:type="spellEnd"/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pozakonazolą</w:t>
      </w:r>
      <w:proofErr w:type="spellEnd"/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vorikonazolą</w:t>
      </w:r>
      <w:proofErr w:type="spellEnd"/>
      <w:r w:rsidRPr="00696CB1">
        <w:rPr>
          <w:szCs w:val="22"/>
          <w:lang w:val="lt-LT"/>
        </w:rPr>
        <w:t>, proteazės</w:t>
      </w:r>
      <w:r w:rsidR="00913E2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inhibitorius, </w:t>
      </w:r>
      <w:proofErr w:type="spellStart"/>
      <w:r w:rsidRPr="00696CB1">
        <w:rPr>
          <w:szCs w:val="22"/>
          <w:lang w:val="lt-LT"/>
        </w:rPr>
        <w:t>klaritromiciną</w:t>
      </w:r>
      <w:proofErr w:type="spellEnd"/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telitromiciną</w:t>
      </w:r>
      <w:proofErr w:type="spellEnd"/>
      <w:r w:rsidRPr="00696CB1">
        <w:rPr>
          <w:szCs w:val="22"/>
          <w:lang w:val="lt-LT"/>
        </w:rPr>
        <w:t xml:space="preserve">), gali padidėti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koncentracija </w:t>
      </w:r>
      <w:r w:rsidR="00913E25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>plazmoje. Šis</w:t>
      </w:r>
      <w:r w:rsidR="00913E2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padidėjimas gali būti kliniškai reikšmingas, kadangi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nepageidaujamos reakcijos yra</w:t>
      </w:r>
      <w:r w:rsidR="00913E2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susijusios su jo doze ir ekspozicija. Atskiriems pacientams, turintiems CYP2D6 lėto </w:t>
      </w:r>
      <w:proofErr w:type="spellStart"/>
      <w:r w:rsidRPr="00696CB1">
        <w:rPr>
          <w:szCs w:val="22"/>
          <w:lang w:val="lt-LT"/>
        </w:rPr>
        <w:t>metabolizavimo</w:t>
      </w:r>
      <w:proofErr w:type="spellEnd"/>
      <w:r w:rsidR="00AB770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genotipą, šis padidėjimas gali būti ryškesnis. Prieš tai vartotas </w:t>
      </w:r>
      <w:proofErr w:type="spellStart"/>
      <w:r w:rsidRPr="00696CB1">
        <w:rPr>
          <w:szCs w:val="22"/>
          <w:lang w:val="lt-LT"/>
        </w:rPr>
        <w:t>itrakonazolas</w:t>
      </w:r>
      <w:proofErr w:type="spellEnd"/>
      <w:r w:rsidR="00AB770A" w:rsidRPr="00696CB1">
        <w:rPr>
          <w:szCs w:val="22"/>
          <w:lang w:val="lt-LT"/>
        </w:rPr>
        <w:t xml:space="preserve"> (stiprus CYP3A4 inhibitorius)</w:t>
      </w:r>
      <w:r w:rsidRPr="00696CB1">
        <w:rPr>
          <w:szCs w:val="22"/>
          <w:lang w:val="lt-LT"/>
        </w:rPr>
        <w:t xml:space="preserve"> sveikiems savanoriams sukėlė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vidutinio AUC padidėjimą 80%. Jeigu kartu tenka</w:t>
      </w:r>
      <w:r w:rsidR="00AB770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vartoti </w:t>
      </w:r>
      <w:r w:rsidR="00AB770A" w:rsidRPr="00696CB1">
        <w:rPr>
          <w:szCs w:val="22"/>
          <w:lang w:val="lt-LT"/>
        </w:rPr>
        <w:t>stiprius</w:t>
      </w:r>
      <w:r w:rsidRPr="00696CB1">
        <w:rPr>
          <w:szCs w:val="22"/>
          <w:lang w:val="lt-LT"/>
        </w:rPr>
        <w:t xml:space="preserve"> CYP3A4</w:t>
      </w:r>
      <w:r w:rsidR="00AB770A" w:rsidRPr="00696CB1">
        <w:rPr>
          <w:szCs w:val="22"/>
          <w:lang w:val="lt-LT"/>
        </w:rPr>
        <w:t xml:space="preserve"> inhibitorius</w:t>
      </w:r>
      <w:r w:rsidRPr="00696CB1">
        <w:rPr>
          <w:szCs w:val="22"/>
          <w:lang w:val="lt-LT"/>
        </w:rPr>
        <w:t>, pacientą reikia atidžiai stebėti dėl galimų</w:t>
      </w:r>
      <w:r w:rsidR="00AB770A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nepageidaujamų reakcijų.</w:t>
      </w:r>
    </w:p>
    <w:p w:rsidR="00AB770A" w:rsidRPr="00696CB1" w:rsidRDefault="00AB770A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Duomenų apie CYP2D6 inhibitorių vartojimą kartu</w:t>
      </w:r>
      <w:r w:rsidR="007D41E4" w:rsidRPr="00696CB1">
        <w:rPr>
          <w:szCs w:val="22"/>
          <w:lang w:val="lt-LT"/>
        </w:rPr>
        <w:t xml:space="preserve"> su </w:t>
      </w:r>
      <w:proofErr w:type="spellStart"/>
      <w:r w:rsidR="007D41E4" w:rsidRPr="00696CB1">
        <w:rPr>
          <w:szCs w:val="22"/>
          <w:lang w:val="lt-LT"/>
        </w:rPr>
        <w:t>gefitinibu</w:t>
      </w:r>
      <w:proofErr w:type="spellEnd"/>
      <w:r w:rsidRPr="00696CB1">
        <w:rPr>
          <w:szCs w:val="22"/>
          <w:lang w:val="lt-LT"/>
        </w:rPr>
        <w:t xml:space="preserve"> nėra, tačiau </w:t>
      </w:r>
      <w:r w:rsidR="001D1492" w:rsidRPr="00696CB1">
        <w:rPr>
          <w:szCs w:val="22"/>
          <w:lang w:val="lt-LT"/>
        </w:rPr>
        <w:t>stiprūs šio fermento inhibitoriai gali</w:t>
      </w:r>
      <w:r w:rsidRPr="00696CB1">
        <w:rPr>
          <w:szCs w:val="22"/>
          <w:lang w:val="lt-LT"/>
        </w:rPr>
        <w:t xml:space="preserve"> sukelti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koncentracijos ekstensyvių CYP2D6</w:t>
      </w:r>
      <w:r w:rsidR="001D1492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metabolizuotojų</w:t>
      </w:r>
      <w:proofErr w:type="spellEnd"/>
      <w:r w:rsidR="001D1492" w:rsidRPr="00696CB1">
        <w:rPr>
          <w:szCs w:val="22"/>
          <w:lang w:val="lt-LT"/>
        </w:rPr>
        <w:t xml:space="preserve"> kraujo</w:t>
      </w:r>
      <w:r w:rsidRPr="00696CB1">
        <w:rPr>
          <w:szCs w:val="22"/>
          <w:lang w:val="lt-LT"/>
        </w:rPr>
        <w:t xml:space="preserve"> plazmoje padidėjimą </w:t>
      </w:r>
      <w:r w:rsidR="007D41E4" w:rsidRPr="00696CB1">
        <w:rPr>
          <w:szCs w:val="22"/>
          <w:lang w:val="lt-LT"/>
        </w:rPr>
        <w:t xml:space="preserve">maždaug du kartus </w:t>
      </w:r>
      <w:r w:rsidRPr="00696CB1">
        <w:rPr>
          <w:szCs w:val="22"/>
          <w:lang w:val="lt-LT"/>
        </w:rPr>
        <w:t>(žr. 5.2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 xml:space="preserve">ų). </w:t>
      </w:r>
      <w:r w:rsidR="001D1492" w:rsidRPr="00696CB1">
        <w:rPr>
          <w:szCs w:val="22"/>
          <w:lang w:val="lt-LT"/>
        </w:rPr>
        <w:t xml:space="preserve">Jei kartu pradedamas gydymas stipriu </w:t>
      </w:r>
      <w:r w:rsidRPr="00696CB1">
        <w:rPr>
          <w:szCs w:val="22"/>
          <w:lang w:val="lt-LT"/>
        </w:rPr>
        <w:t xml:space="preserve">CYP2D6 </w:t>
      </w:r>
      <w:r w:rsidR="001D1492" w:rsidRPr="00696CB1">
        <w:rPr>
          <w:szCs w:val="22"/>
          <w:lang w:val="lt-LT"/>
        </w:rPr>
        <w:t>inhibitoriumi</w:t>
      </w:r>
      <w:r w:rsidRPr="00696CB1">
        <w:rPr>
          <w:szCs w:val="22"/>
          <w:lang w:val="lt-LT"/>
        </w:rPr>
        <w:t xml:space="preserve">, </w:t>
      </w:r>
      <w:r w:rsidR="001D1492" w:rsidRPr="00696CB1">
        <w:rPr>
          <w:szCs w:val="22"/>
          <w:lang w:val="lt-LT"/>
        </w:rPr>
        <w:t xml:space="preserve">pacientą </w:t>
      </w:r>
      <w:r w:rsidRPr="00696CB1">
        <w:rPr>
          <w:szCs w:val="22"/>
          <w:lang w:val="lt-LT"/>
        </w:rPr>
        <w:t>reikia atidžiai stebėti dėl galimų nepageidaujamų reakcijų.</w:t>
      </w:r>
    </w:p>
    <w:p w:rsidR="00D113E2" w:rsidRPr="00696CB1" w:rsidRDefault="00D113E2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 xml:space="preserve">Veikliosios medžiagos, kurios gali sumažinti </w:t>
      </w:r>
      <w:proofErr w:type="spellStart"/>
      <w:r w:rsidRPr="00696CB1">
        <w:rPr>
          <w:i/>
          <w:szCs w:val="22"/>
          <w:lang w:val="lt-LT"/>
        </w:rPr>
        <w:t>gefitinibo</w:t>
      </w:r>
      <w:proofErr w:type="spellEnd"/>
      <w:r w:rsidRPr="00696CB1">
        <w:rPr>
          <w:i/>
          <w:szCs w:val="22"/>
          <w:lang w:val="lt-LT"/>
        </w:rPr>
        <w:t xml:space="preserve"> koncentraciją </w:t>
      </w:r>
      <w:r w:rsidR="00D113E2" w:rsidRPr="00696CB1">
        <w:rPr>
          <w:i/>
          <w:szCs w:val="22"/>
          <w:lang w:val="lt-LT"/>
        </w:rPr>
        <w:t xml:space="preserve">kraujo </w:t>
      </w:r>
      <w:r w:rsidRPr="00696CB1">
        <w:rPr>
          <w:i/>
          <w:szCs w:val="22"/>
          <w:lang w:val="lt-LT"/>
        </w:rPr>
        <w:t>plazmoje</w:t>
      </w: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Medžiagos, </w:t>
      </w:r>
      <w:r w:rsidR="00CB1B43" w:rsidRPr="00696CB1">
        <w:rPr>
          <w:szCs w:val="22"/>
          <w:lang w:val="lt-LT"/>
        </w:rPr>
        <w:t>kurios yra</w:t>
      </w:r>
      <w:r w:rsidRPr="00696CB1">
        <w:rPr>
          <w:szCs w:val="22"/>
          <w:lang w:val="lt-LT"/>
        </w:rPr>
        <w:t xml:space="preserve"> CYP3A4 </w:t>
      </w:r>
      <w:proofErr w:type="spellStart"/>
      <w:r w:rsidR="00CB1B43" w:rsidRPr="00696CB1">
        <w:rPr>
          <w:szCs w:val="22"/>
          <w:lang w:val="lt-LT"/>
        </w:rPr>
        <w:t>induktoriai</w:t>
      </w:r>
      <w:proofErr w:type="spellEnd"/>
      <w:r w:rsidRPr="00696CB1">
        <w:rPr>
          <w:szCs w:val="22"/>
          <w:lang w:val="lt-LT"/>
        </w:rPr>
        <w:t xml:space="preserve">, gali pagreitinti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metabolizmą, sumažinti jo</w:t>
      </w:r>
      <w:r w:rsidR="00CB1B43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koncentraciją</w:t>
      </w:r>
      <w:r w:rsidR="00CB1B43" w:rsidRPr="00696CB1">
        <w:rPr>
          <w:szCs w:val="22"/>
          <w:lang w:val="lt-LT"/>
        </w:rPr>
        <w:t xml:space="preserve"> kraujo</w:t>
      </w:r>
      <w:r w:rsidRPr="00696CB1">
        <w:rPr>
          <w:szCs w:val="22"/>
          <w:lang w:val="lt-LT"/>
        </w:rPr>
        <w:t xml:space="preserve"> plazmoje ir tokiu būdu sumažinti veiksmingumą. </w:t>
      </w:r>
      <w:r w:rsidR="00CB1B43" w:rsidRPr="00696CB1">
        <w:rPr>
          <w:szCs w:val="22"/>
          <w:lang w:val="lt-LT"/>
        </w:rPr>
        <w:t>Stiprių</w:t>
      </w:r>
      <w:r w:rsidRPr="00696CB1">
        <w:rPr>
          <w:szCs w:val="22"/>
          <w:lang w:val="lt-LT"/>
        </w:rPr>
        <w:t xml:space="preserve"> CYP3A4 </w:t>
      </w:r>
      <w:proofErr w:type="spellStart"/>
      <w:r w:rsidR="00CB1B43" w:rsidRPr="00696CB1">
        <w:rPr>
          <w:szCs w:val="22"/>
          <w:lang w:val="lt-LT"/>
        </w:rPr>
        <w:t>induktorių</w:t>
      </w:r>
      <w:proofErr w:type="spellEnd"/>
      <w:r w:rsidRPr="00696CB1">
        <w:rPr>
          <w:szCs w:val="22"/>
          <w:lang w:val="lt-LT"/>
        </w:rPr>
        <w:t xml:space="preserve"> (pvz., </w:t>
      </w:r>
      <w:proofErr w:type="spellStart"/>
      <w:r w:rsidRPr="00696CB1">
        <w:rPr>
          <w:szCs w:val="22"/>
          <w:lang w:val="lt-LT"/>
        </w:rPr>
        <w:t>fenitoino</w:t>
      </w:r>
      <w:proofErr w:type="spellEnd"/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karbamaze</w:t>
      </w:r>
      <w:r w:rsidR="007D41E4" w:rsidRPr="00696CB1">
        <w:rPr>
          <w:szCs w:val="22"/>
          <w:lang w:val="lt-LT"/>
        </w:rPr>
        <w:t>pino</w:t>
      </w:r>
      <w:proofErr w:type="spellEnd"/>
      <w:r w:rsidR="007D41E4" w:rsidRPr="00696CB1">
        <w:rPr>
          <w:szCs w:val="22"/>
          <w:lang w:val="lt-LT"/>
        </w:rPr>
        <w:t xml:space="preserve">, </w:t>
      </w:r>
      <w:proofErr w:type="spellStart"/>
      <w:r w:rsidR="007D41E4" w:rsidRPr="00696CB1">
        <w:rPr>
          <w:szCs w:val="22"/>
          <w:lang w:val="lt-LT"/>
        </w:rPr>
        <w:t>rifampicino</w:t>
      </w:r>
      <w:proofErr w:type="spellEnd"/>
      <w:r w:rsidR="007D41E4" w:rsidRPr="00696CB1">
        <w:rPr>
          <w:szCs w:val="22"/>
          <w:lang w:val="lt-LT"/>
        </w:rPr>
        <w:t>, barbitūratų a</w:t>
      </w:r>
      <w:r w:rsidRPr="00696CB1">
        <w:rPr>
          <w:szCs w:val="22"/>
          <w:lang w:val="lt-LT"/>
        </w:rPr>
        <w:t xml:space="preserve">r </w:t>
      </w:r>
      <w:r w:rsidR="00D113E2" w:rsidRPr="00696CB1">
        <w:rPr>
          <w:szCs w:val="22"/>
          <w:lang w:val="lt-LT"/>
        </w:rPr>
        <w:t>paprastosios jo</w:t>
      </w:r>
      <w:r w:rsidR="00CB1B43" w:rsidRPr="00696CB1">
        <w:rPr>
          <w:szCs w:val="22"/>
          <w:lang w:val="lt-LT"/>
        </w:rPr>
        <w:t>n</w:t>
      </w:r>
      <w:r w:rsidR="00D113E2" w:rsidRPr="00696CB1">
        <w:rPr>
          <w:szCs w:val="22"/>
          <w:lang w:val="lt-LT"/>
        </w:rPr>
        <w:t>ažolės</w:t>
      </w:r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i/>
          <w:szCs w:val="22"/>
          <w:lang w:val="lt-LT"/>
        </w:rPr>
        <w:t>Hypericum</w:t>
      </w:r>
      <w:proofErr w:type="spellEnd"/>
      <w:r w:rsidR="00D113E2"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perforatum</w:t>
      </w:r>
      <w:proofErr w:type="spellEnd"/>
      <w:r w:rsidRPr="00696CB1">
        <w:rPr>
          <w:szCs w:val="22"/>
          <w:lang w:val="lt-LT"/>
        </w:rPr>
        <w:t xml:space="preserve">) </w:t>
      </w:r>
      <w:r w:rsidR="007D41E4" w:rsidRPr="00696CB1">
        <w:rPr>
          <w:szCs w:val="22"/>
          <w:lang w:val="lt-LT"/>
        </w:rPr>
        <w:t xml:space="preserve">vartoti kartu su </w:t>
      </w:r>
      <w:proofErr w:type="spellStart"/>
      <w:r w:rsidR="007D41E4" w:rsidRPr="00696CB1">
        <w:rPr>
          <w:szCs w:val="22"/>
          <w:lang w:val="lt-LT"/>
        </w:rPr>
        <w:t>gefitinibu</w:t>
      </w:r>
      <w:proofErr w:type="spellEnd"/>
      <w:r w:rsidR="007D41E4" w:rsidRPr="00696CB1">
        <w:rPr>
          <w:szCs w:val="22"/>
          <w:lang w:val="lt-LT"/>
        </w:rPr>
        <w:t xml:space="preserve"> nerekomenduojama</w:t>
      </w:r>
      <w:r w:rsidRPr="00696CB1">
        <w:rPr>
          <w:szCs w:val="22"/>
          <w:lang w:val="lt-LT"/>
        </w:rPr>
        <w:t xml:space="preserve">. Sveikiems savanoriams </w:t>
      </w:r>
      <w:r w:rsidR="00CB1B43" w:rsidRPr="00696CB1">
        <w:rPr>
          <w:szCs w:val="22"/>
          <w:lang w:val="lt-LT"/>
        </w:rPr>
        <w:t xml:space="preserve">prieš tai vartojus </w:t>
      </w:r>
      <w:proofErr w:type="spellStart"/>
      <w:r w:rsidR="00CB1B43" w:rsidRPr="00696CB1">
        <w:rPr>
          <w:szCs w:val="22"/>
          <w:lang w:val="lt-LT"/>
        </w:rPr>
        <w:t>rifampiciną</w:t>
      </w:r>
      <w:proofErr w:type="spellEnd"/>
      <w:r w:rsidR="00CB1B43" w:rsidRPr="00696CB1">
        <w:rPr>
          <w:szCs w:val="22"/>
          <w:lang w:val="lt-LT"/>
        </w:rPr>
        <w:t xml:space="preserve"> (stiprų </w:t>
      </w:r>
      <w:r w:rsidRPr="00696CB1">
        <w:rPr>
          <w:szCs w:val="22"/>
          <w:lang w:val="lt-LT"/>
        </w:rPr>
        <w:t>CYP3A4</w:t>
      </w:r>
      <w:r w:rsidR="00CB1B43" w:rsidRPr="00696CB1">
        <w:rPr>
          <w:szCs w:val="22"/>
          <w:lang w:val="lt-LT"/>
        </w:rPr>
        <w:t xml:space="preserve"> </w:t>
      </w:r>
      <w:proofErr w:type="spellStart"/>
      <w:r w:rsidR="00CB1B43" w:rsidRPr="00696CB1">
        <w:rPr>
          <w:szCs w:val="22"/>
          <w:lang w:val="lt-LT"/>
        </w:rPr>
        <w:t>induktorių</w:t>
      </w:r>
      <w:proofErr w:type="spellEnd"/>
      <w:r w:rsidR="00CB1B43" w:rsidRPr="00696CB1">
        <w:rPr>
          <w:szCs w:val="22"/>
          <w:lang w:val="lt-LT"/>
        </w:rPr>
        <w:t>)</w:t>
      </w:r>
      <w:r w:rsidRPr="00696CB1">
        <w:rPr>
          <w:szCs w:val="22"/>
          <w:lang w:val="lt-LT"/>
        </w:rPr>
        <w:t xml:space="preserve">,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vidutinis AUC sumažėjo 83</w:t>
      </w:r>
      <w:r w:rsidR="00B32ED6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% (žr. 4.4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</w:p>
    <w:p w:rsidR="00966E5B" w:rsidRPr="00696CB1" w:rsidRDefault="00966E5B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Medžiagos, kurios sukelia reikšmingą nuolatinį skrandžio pH padidėjimą, gali sumažinti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="00966E5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koncentraciją </w:t>
      </w:r>
      <w:r w:rsidR="007D41E4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 xml:space="preserve">plazmoje ir tokiu būdu sumažinti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veiksmingumą. Didelės trumpai veikiančių</w:t>
      </w:r>
      <w:r w:rsidR="00966E5B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antacidinių</w:t>
      </w:r>
      <w:proofErr w:type="spellEnd"/>
      <w:r w:rsidRPr="00696CB1">
        <w:rPr>
          <w:szCs w:val="22"/>
          <w:lang w:val="lt-LT"/>
        </w:rPr>
        <w:t xml:space="preserve"> vaistinių preparatų dozės gali sukelti panašų poveikį, jeigu geriamos reguliariai ir laiko</w:t>
      </w:r>
      <w:r w:rsidR="007D41E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tarpas </w:t>
      </w:r>
      <w:r w:rsidR="007D41E4" w:rsidRPr="00696CB1">
        <w:rPr>
          <w:szCs w:val="22"/>
          <w:lang w:val="lt-LT"/>
        </w:rPr>
        <w:t>tarp</w:t>
      </w:r>
      <w:r w:rsidRPr="00696CB1">
        <w:rPr>
          <w:szCs w:val="22"/>
          <w:lang w:val="lt-LT"/>
        </w:rPr>
        <w:t xml:space="preserve"> jų iki </w:t>
      </w:r>
      <w:proofErr w:type="spellStart"/>
      <w:r w:rsidR="00966E5B"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vartojimo yra trumpas. Kartu vartojant </w:t>
      </w:r>
      <w:proofErr w:type="spellStart"/>
      <w:r w:rsidRPr="00696CB1">
        <w:rPr>
          <w:szCs w:val="22"/>
          <w:lang w:val="lt-LT"/>
        </w:rPr>
        <w:t>ranitidino</w:t>
      </w:r>
      <w:proofErr w:type="spellEnd"/>
      <w:r w:rsidRPr="00696CB1">
        <w:rPr>
          <w:szCs w:val="22"/>
          <w:lang w:val="lt-LT"/>
        </w:rPr>
        <w:t xml:space="preserve"> dozę, kuri sukėlė nuolatinį</w:t>
      </w:r>
      <w:r w:rsidR="007D41E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skrandžio pH padidėjimą iki 5 ar daugiau,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vidutinis AUC sveikiems savanoriams sumažėjo</w:t>
      </w:r>
      <w:r w:rsidR="00966E5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47% (žr. 4.4 ir 5.2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us).</w:t>
      </w:r>
    </w:p>
    <w:p w:rsidR="00966E5B" w:rsidRPr="00696CB1" w:rsidRDefault="00966E5B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Veikliosios medžiagos, kurių koncentraciją</w:t>
      </w:r>
      <w:r w:rsidR="00966E5B" w:rsidRPr="00696CB1">
        <w:rPr>
          <w:i/>
          <w:szCs w:val="22"/>
          <w:lang w:val="lt-LT"/>
        </w:rPr>
        <w:t xml:space="preserve"> kraujo</w:t>
      </w:r>
      <w:r w:rsidRPr="00696CB1">
        <w:rPr>
          <w:i/>
          <w:szCs w:val="22"/>
          <w:lang w:val="lt-LT"/>
        </w:rPr>
        <w:t xml:space="preserve"> plazmoje gali </w:t>
      </w:r>
      <w:r w:rsidR="007D41E4" w:rsidRPr="00696CB1">
        <w:rPr>
          <w:i/>
          <w:szCs w:val="22"/>
          <w:lang w:val="lt-LT"/>
        </w:rPr>
        <w:t>keisti</w:t>
      </w:r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gefitinibas</w:t>
      </w:r>
      <w:proofErr w:type="spellEnd"/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Tyrimai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parodė, kad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CYP2D6 </w:t>
      </w:r>
      <w:r w:rsidR="009B498A" w:rsidRPr="00696CB1">
        <w:rPr>
          <w:szCs w:val="22"/>
          <w:lang w:val="lt-LT"/>
        </w:rPr>
        <w:t>slopinantis poveikis yra ribotas</w:t>
      </w:r>
      <w:r w:rsidRPr="00696CB1">
        <w:rPr>
          <w:szCs w:val="22"/>
          <w:lang w:val="lt-LT"/>
        </w:rPr>
        <w:t xml:space="preserve">. Klinikinių tyrimų </w:t>
      </w:r>
      <w:r w:rsidRPr="00696CB1">
        <w:rPr>
          <w:szCs w:val="22"/>
          <w:lang w:val="lt-LT"/>
        </w:rPr>
        <w:lastRenderedPageBreak/>
        <w:t>metu</w:t>
      </w:r>
      <w:r w:rsidR="009B498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pacientai vartojo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kartu su </w:t>
      </w:r>
      <w:proofErr w:type="spellStart"/>
      <w:r w:rsidRPr="00696CB1">
        <w:rPr>
          <w:szCs w:val="22"/>
          <w:lang w:val="lt-LT"/>
        </w:rPr>
        <w:t>metoprololiu</w:t>
      </w:r>
      <w:proofErr w:type="spellEnd"/>
      <w:r w:rsidR="009B498A" w:rsidRPr="00696CB1">
        <w:rPr>
          <w:szCs w:val="22"/>
          <w:lang w:val="lt-LT"/>
        </w:rPr>
        <w:t xml:space="preserve"> </w:t>
      </w:r>
      <w:r w:rsidR="00E96AB4" w:rsidRPr="00696CB1">
        <w:rPr>
          <w:szCs w:val="22"/>
          <w:lang w:val="lt-LT"/>
        </w:rPr>
        <w:t xml:space="preserve">(CYP2D6 substratas) </w:t>
      </w:r>
      <w:r w:rsidR="009B498A" w:rsidRPr="00696CB1">
        <w:rPr>
          <w:szCs w:val="22"/>
          <w:lang w:val="lt-LT"/>
        </w:rPr>
        <w:t>ir</w:t>
      </w:r>
      <w:r w:rsidRPr="00696CB1">
        <w:rPr>
          <w:szCs w:val="22"/>
          <w:lang w:val="lt-LT"/>
        </w:rPr>
        <w:t xml:space="preserve"> tai lėmė </w:t>
      </w:r>
      <w:proofErr w:type="spellStart"/>
      <w:r w:rsidRPr="00696CB1">
        <w:rPr>
          <w:szCs w:val="22"/>
          <w:lang w:val="lt-LT"/>
        </w:rPr>
        <w:t>metoprololio</w:t>
      </w:r>
      <w:proofErr w:type="spellEnd"/>
      <w:r w:rsidRPr="00696CB1">
        <w:rPr>
          <w:szCs w:val="22"/>
          <w:lang w:val="lt-LT"/>
        </w:rPr>
        <w:t xml:space="preserve"> ekspozicijos padidėjimą</w:t>
      </w:r>
      <w:r w:rsidR="00E96AB4" w:rsidRPr="00696CB1">
        <w:rPr>
          <w:szCs w:val="22"/>
          <w:lang w:val="lt-LT"/>
        </w:rPr>
        <w:t xml:space="preserve"> 35</w:t>
      </w:r>
      <w:r w:rsidR="00B32ED6">
        <w:rPr>
          <w:szCs w:val="22"/>
          <w:lang w:val="lt-LT"/>
        </w:rPr>
        <w:t> </w:t>
      </w:r>
      <w:r w:rsidR="00E96AB4" w:rsidRPr="00696CB1">
        <w:rPr>
          <w:szCs w:val="22"/>
          <w:lang w:val="lt-LT"/>
        </w:rPr>
        <w:t>%</w:t>
      </w:r>
      <w:r w:rsidRPr="00696CB1">
        <w:rPr>
          <w:szCs w:val="22"/>
          <w:lang w:val="lt-LT"/>
        </w:rPr>
        <w:t>. Tok</w:t>
      </w:r>
      <w:r w:rsidR="00EB110E" w:rsidRPr="00696CB1">
        <w:rPr>
          <w:szCs w:val="22"/>
          <w:lang w:val="lt-LT"/>
        </w:rPr>
        <w:t>s</w:t>
      </w:r>
      <w:r w:rsidRPr="00696CB1">
        <w:rPr>
          <w:szCs w:val="22"/>
          <w:lang w:val="lt-LT"/>
        </w:rPr>
        <w:t xml:space="preserve"> padidėjimas gal</w:t>
      </w:r>
      <w:r w:rsidR="009B498A" w:rsidRPr="00696CB1">
        <w:rPr>
          <w:szCs w:val="22"/>
          <w:lang w:val="lt-LT"/>
        </w:rPr>
        <w:t>i</w:t>
      </w:r>
      <w:r w:rsidRPr="00696CB1">
        <w:rPr>
          <w:szCs w:val="22"/>
          <w:lang w:val="lt-LT"/>
        </w:rPr>
        <w:t xml:space="preserve"> būti reikšmingas tiems</w:t>
      </w:r>
      <w:r w:rsidR="009B498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CYP2D6 substratams, kurių terapin</w:t>
      </w:r>
      <w:r w:rsidR="009B498A" w:rsidRPr="00696CB1">
        <w:rPr>
          <w:szCs w:val="22"/>
          <w:lang w:val="lt-LT"/>
        </w:rPr>
        <w:t>is indeksas</w:t>
      </w:r>
      <w:r w:rsidRPr="00696CB1">
        <w:rPr>
          <w:szCs w:val="22"/>
          <w:lang w:val="lt-LT"/>
        </w:rPr>
        <w:t xml:space="preserve"> </w:t>
      </w:r>
      <w:r w:rsidR="009B498A" w:rsidRPr="00696CB1">
        <w:rPr>
          <w:szCs w:val="22"/>
          <w:lang w:val="lt-LT"/>
        </w:rPr>
        <w:t>mažas</w:t>
      </w:r>
      <w:r w:rsidRPr="00696CB1">
        <w:rPr>
          <w:szCs w:val="22"/>
          <w:lang w:val="lt-LT"/>
        </w:rPr>
        <w:t>. Svarstant CYP2D6 substratų</w:t>
      </w:r>
      <w:r w:rsidR="009B498A" w:rsidRPr="00696CB1">
        <w:rPr>
          <w:szCs w:val="22"/>
          <w:lang w:val="lt-LT"/>
        </w:rPr>
        <w:t xml:space="preserve"> (ypač</w:t>
      </w:r>
      <w:r w:rsidRPr="00696CB1">
        <w:rPr>
          <w:szCs w:val="22"/>
          <w:lang w:val="lt-LT"/>
        </w:rPr>
        <w:t xml:space="preserve"> kurių </w:t>
      </w:r>
      <w:r w:rsidR="009B498A" w:rsidRPr="00696CB1">
        <w:rPr>
          <w:szCs w:val="22"/>
          <w:lang w:val="lt-LT"/>
        </w:rPr>
        <w:t>terapinis indeksas mažas)</w:t>
      </w:r>
      <w:r w:rsidRPr="00696CB1">
        <w:rPr>
          <w:szCs w:val="22"/>
          <w:lang w:val="lt-LT"/>
        </w:rPr>
        <w:t xml:space="preserve"> vartojimo kartu su </w:t>
      </w:r>
      <w:proofErr w:type="spellStart"/>
      <w:r w:rsidRPr="00696CB1">
        <w:rPr>
          <w:szCs w:val="22"/>
          <w:lang w:val="lt-LT"/>
        </w:rPr>
        <w:t>gefitinibu</w:t>
      </w:r>
      <w:proofErr w:type="spellEnd"/>
      <w:r w:rsidRPr="00696CB1">
        <w:rPr>
          <w:szCs w:val="22"/>
          <w:lang w:val="lt-LT"/>
        </w:rPr>
        <w:t xml:space="preserve"> galimybę, reikia apsvarstyti CYP2D6 substrato dozės</w:t>
      </w:r>
      <w:r w:rsidR="009B498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koregavimo tikslingumą.</w:t>
      </w:r>
    </w:p>
    <w:p w:rsidR="009B498A" w:rsidRPr="00696CB1" w:rsidRDefault="009B498A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slopina </w:t>
      </w:r>
      <w:proofErr w:type="spellStart"/>
      <w:r w:rsidRPr="00696CB1">
        <w:rPr>
          <w:szCs w:val="22"/>
          <w:lang w:val="lt-LT"/>
        </w:rPr>
        <w:t>perneš</w:t>
      </w:r>
      <w:r w:rsidR="00EB110E" w:rsidRPr="00696CB1">
        <w:rPr>
          <w:szCs w:val="22"/>
          <w:lang w:val="lt-LT"/>
        </w:rPr>
        <w:t>os</w:t>
      </w:r>
      <w:proofErr w:type="spellEnd"/>
      <w:r w:rsidRPr="00696CB1">
        <w:rPr>
          <w:szCs w:val="22"/>
          <w:lang w:val="lt-LT"/>
        </w:rPr>
        <w:t xml:space="preserve"> baltymą BCRP, tačiau </w:t>
      </w:r>
      <w:r w:rsidR="009B498A" w:rsidRPr="00696CB1">
        <w:rPr>
          <w:szCs w:val="22"/>
          <w:lang w:val="lt-LT"/>
        </w:rPr>
        <w:t>tokio poveikio</w:t>
      </w:r>
      <w:r w:rsidRPr="00696CB1">
        <w:rPr>
          <w:szCs w:val="22"/>
          <w:lang w:val="lt-LT"/>
        </w:rPr>
        <w:t xml:space="preserve"> klinikinė reikšmė</w:t>
      </w:r>
      <w:r w:rsidR="009B498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nežinoma.</w:t>
      </w:r>
    </w:p>
    <w:p w:rsidR="009B498A" w:rsidRPr="00696CB1" w:rsidRDefault="009B498A" w:rsidP="00696CB1">
      <w:pPr>
        <w:widowControl w:val="0"/>
        <w:spacing w:line="240" w:lineRule="auto"/>
        <w:rPr>
          <w:szCs w:val="22"/>
          <w:lang w:val="lt-LT"/>
        </w:rPr>
      </w:pPr>
    </w:p>
    <w:p w:rsidR="00AE29F4" w:rsidRPr="00696CB1" w:rsidRDefault="00AE29F4" w:rsidP="00696CB1">
      <w:pPr>
        <w:widowControl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Kita galima sąveika</w:t>
      </w:r>
    </w:p>
    <w:p w:rsidR="00F34163" w:rsidRPr="00696CB1" w:rsidRDefault="00AE29F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Kai kuriems pacientams, kartu vartojusiems </w:t>
      </w:r>
      <w:proofErr w:type="spellStart"/>
      <w:r w:rsidRPr="00696CB1">
        <w:rPr>
          <w:szCs w:val="22"/>
          <w:lang w:val="lt-LT"/>
        </w:rPr>
        <w:t>varfariną</w:t>
      </w:r>
      <w:proofErr w:type="spellEnd"/>
      <w:r w:rsidRPr="00696CB1">
        <w:rPr>
          <w:szCs w:val="22"/>
          <w:lang w:val="lt-LT"/>
        </w:rPr>
        <w:t>, stebėtas TNS padidėjimas ir (arba) kraujavimo</w:t>
      </w:r>
      <w:r w:rsidR="0020782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reiškinių (žr. 4.4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ų).</w:t>
      </w:r>
      <w:r w:rsidRPr="00696CB1">
        <w:rPr>
          <w:szCs w:val="22"/>
          <w:lang w:val="lt-LT"/>
        </w:rPr>
        <w:cr/>
      </w: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4.6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113C28" w:rsidRPr="00696CB1" w:rsidRDefault="00113C28" w:rsidP="00696CB1">
      <w:pPr>
        <w:widowControl w:val="0"/>
        <w:spacing w:line="240" w:lineRule="auto"/>
        <w:rPr>
          <w:color w:val="0D0D0D"/>
          <w:szCs w:val="22"/>
          <w:u w:val="single"/>
          <w:lang w:val="lt-LT"/>
        </w:rPr>
      </w:pPr>
      <w:r w:rsidRPr="00696CB1">
        <w:rPr>
          <w:color w:val="0D0D0D"/>
          <w:szCs w:val="22"/>
          <w:u w:val="single"/>
          <w:lang w:val="lt-LT"/>
        </w:rPr>
        <w:t>Vaisingos moterys</w:t>
      </w:r>
    </w:p>
    <w:p w:rsidR="00113C28" w:rsidRPr="00696CB1" w:rsidRDefault="00113C28" w:rsidP="00696CB1">
      <w:pPr>
        <w:widowControl w:val="0"/>
        <w:spacing w:line="240" w:lineRule="auto"/>
        <w:rPr>
          <w:color w:val="0D0D0D"/>
          <w:szCs w:val="22"/>
          <w:lang w:val="lt-LT"/>
        </w:rPr>
      </w:pPr>
      <w:r w:rsidRPr="00696CB1">
        <w:rPr>
          <w:color w:val="0D0D0D"/>
          <w:szCs w:val="22"/>
          <w:lang w:val="lt-LT"/>
        </w:rPr>
        <w:t>Vaisingoms moterims reikia patarti gydymo laikotarpiu nepastot</w:t>
      </w:r>
      <w:r w:rsidR="0009581A" w:rsidRPr="00696CB1">
        <w:rPr>
          <w:color w:val="0D0D0D"/>
          <w:szCs w:val="22"/>
          <w:lang w:val="lt-LT"/>
        </w:rPr>
        <w:t>i</w:t>
      </w:r>
      <w:r w:rsidRPr="00696CB1">
        <w:rPr>
          <w:color w:val="0D0D0D"/>
          <w:szCs w:val="22"/>
          <w:lang w:val="lt-LT"/>
        </w:rPr>
        <w:t>.</w:t>
      </w:r>
    </w:p>
    <w:p w:rsidR="00113C28" w:rsidRPr="00696CB1" w:rsidRDefault="00113C28" w:rsidP="00696CB1">
      <w:pPr>
        <w:widowControl w:val="0"/>
        <w:spacing w:line="240" w:lineRule="auto"/>
        <w:rPr>
          <w:color w:val="0D0D0D"/>
          <w:szCs w:val="22"/>
          <w:lang w:val="lt-LT"/>
        </w:rPr>
      </w:pPr>
    </w:p>
    <w:p w:rsidR="00113C28" w:rsidRPr="00696CB1" w:rsidRDefault="00113C28" w:rsidP="00696CB1">
      <w:pPr>
        <w:widowControl w:val="0"/>
        <w:spacing w:line="240" w:lineRule="auto"/>
        <w:rPr>
          <w:color w:val="0D0D0D"/>
          <w:szCs w:val="22"/>
          <w:u w:val="single"/>
          <w:lang w:val="lt-LT"/>
        </w:rPr>
      </w:pPr>
      <w:r w:rsidRPr="00696CB1">
        <w:rPr>
          <w:color w:val="0D0D0D"/>
          <w:szCs w:val="22"/>
          <w:u w:val="single"/>
          <w:lang w:val="lt-LT"/>
        </w:rPr>
        <w:t>Nėštumas</w:t>
      </w:r>
    </w:p>
    <w:p w:rsidR="00113C28" w:rsidRPr="00696CB1" w:rsidRDefault="0009581A" w:rsidP="00696CB1">
      <w:pPr>
        <w:widowControl w:val="0"/>
        <w:spacing w:line="240" w:lineRule="auto"/>
        <w:rPr>
          <w:color w:val="0D0D0D"/>
          <w:szCs w:val="22"/>
          <w:lang w:val="lt-LT"/>
        </w:rPr>
      </w:pPr>
      <w:r w:rsidRPr="00696CB1">
        <w:rPr>
          <w:bCs/>
          <w:iCs/>
          <w:color w:val="0D0D0D"/>
          <w:szCs w:val="22"/>
          <w:lang w:val="lt-LT"/>
        </w:rPr>
        <w:t>D</w:t>
      </w:r>
      <w:r w:rsidRPr="00696CB1">
        <w:rPr>
          <w:color w:val="0D0D0D"/>
          <w:szCs w:val="22"/>
          <w:lang w:val="lt-LT"/>
        </w:rPr>
        <w:t xml:space="preserve">uomenų apie </w:t>
      </w:r>
      <w:proofErr w:type="spellStart"/>
      <w:r w:rsidRPr="00696CB1">
        <w:rPr>
          <w:color w:val="0D0D0D"/>
          <w:szCs w:val="22"/>
          <w:lang w:val="lt-LT"/>
        </w:rPr>
        <w:t>gefitinibo</w:t>
      </w:r>
      <w:proofErr w:type="spellEnd"/>
      <w:r w:rsidRPr="00696CB1">
        <w:rPr>
          <w:color w:val="0D0D0D"/>
          <w:szCs w:val="22"/>
          <w:lang w:val="lt-LT"/>
        </w:rPr>
        <w:t xml:space="preserve"> vartojimą nėštumo metu nėra</w:t>
      </w:r>
      <w:r w:rsidR="00113C28" w:rsidRPr="00696CB1">
        <w:rPr>
          <w:color w:val="0D0D0D"/>
          <w:szCs w:val="22"/>
          <w:lang w:val="lt-LT"/>
        </w:rPr>
        <w:t>. Tyrimai su gyvūnais parodė toksinį poveikį reprodukcijai (žr. 5.3</w:t>
      </w:r>
      <w:r w:rsidR="00404FF5" w:rsidRPr="00696CB1">
        <w:rPr>
          <w:color w:val="0D0D0D"/>
          <w:szCs w:val="22"/>
          <w:lang w:val="lt-LT"/>
        </w:rPr>
        <w:t> skyri</w:t>
      </w:r>
      <w:r w:rsidR="00113C28" w:rsidRPr="00696CB1">
        <w:rPr>
          <w:color w:val="0D0D0D"/>
          <w:szCs w:val="22"/>
          <w:lang w:val="lt-LT"/>
        </w:rPr>
        <w:t xml:space="preserve">ų). Galimas pavojus žmonėms nežinomas. Nėštumo laikotarpiu </w:t>
      </w:r>
      <w:proofErr w:type="spellStart"/>
      <w:r w:rsidR="00113C28" w:rsidRPr="00696CB1">
        <w:rPr>
          <w:color w:val="0D0D0D"/>
          <w:szCs w:val="22"/>
          <w:lang w:val="lt-LT"/>
        </w:rPr>
        <w:t>gefitinibo</w:t>
      </w:r>
      <w:proofErr w:type="spellEnd"/>
      <w:r w:rsidR="00113C28" w:rsidRPr="00696CB1">
        <w:rPr>
          <w:color w:val="0D0D0D"/>
          <w:szCs w:val="22"/>
          <w:lang w:val="lt-LT"/>
        </w:rPr>
        <w:t xml:space="preserve"> vartoti negalima, išskyrus neabejotinai būtinus atvejus.</w:t>
      </w:r>
    </w:p>
    <w:p w:rsidR="00113C28" w:rsidRPr="00696CB1" w:rsidRDefault="00113C28" w:rsidP="00696CB1">
      <w:pPr>
        <w:widowControl w:val="0"/>
        <w:spacing w:line="240" w:lineRule="auto"/>
        <w:rPr>
          <w:color w:val="0D0D0D"/>
          <w:szCs w:val="22"/>
          <w:lang w:val="lt-LT"/>
        </w:rPr>
      </w:pPr>
    </w:p>
    <w:p w:rsidR="00113C28" w:rsidRPr="00696CB1" w:rsidRDefault="00113C28" w:rsidP="00696CB1">
      <w:pPr>
        <w:widowControl w:val="0"/>
        <w:spacing w:line="240" w:lineRule="auto"/>
        <w:rPr>
          <w:color w:val="0D0D0D"/>
          <w:szCs w:val="22"/>
          <w:u w:val="single"/>
          <w:lang w:val="lt-LT"/>
        </w:rPr>
      </w:pPr>
      <w:r w:rsidRPr="00696CB1">
        <w:rPr>
          <w:color w:val="0D0D0D"/>
          <w:szCs w:val="22"/>
          <w:u w:val="single"/>
          <w:lang w:val="lt-LT"/>
        </w:rPr>
        <w:t>Žindymas</w:t>
      </w:r>
    </w:p>
    <w:p w:rsidR="00F34163" w:rsidRPr="00696CB1" w:rsidRDefault="00113C28" w:rsidP="00696CB1">
      <w:pPr>
        <w:widowControl w:val="0"/>
        <w:spacing w:line="240" w:lineRule="auto"/>
        <w:rPr>
          <w:color w:val="0D0D0D"/>
          <w:szCs w:val="22"/>
          <w:lang w:val="lt-LT"/>
        </w:rPr>
      </w:pPr>
      <w:r w:rsidRPr="00696CB1">
        <w:rPr>
          <w:color w:val="0D0D0D"/>
          <w:szCs w:val="22"/>
          <w:lang w:val="lt-LT"/>
        </w:rPr>
        <w:t xml:space="preserve">Ar </w:t>
      </w:r>
      <w:proofErr w:type="spellStart"/>
      <w:r w:rsidRPr="00696CB1">
        <w:rPr>
          <w:color w:val="0D0D0D"/>
          <w:szCs w:val="22"/>
          <w:lang w:val="lt-LT"/>
        </w:rPr>
        <w:t>gefitinibo</w:t>
      </w:r>
      <w:proofErr w:type="spellEnd"/>
      <w:r w:rsidRPr="00696CB1">
        <w:rPr>
          <w:color w:val="0D0D0D"/>
          <w:szCs w:val="22"/>
          <w:lang w:val="lt-LT"/>
        </w:rPr>
        <w:t xml:space="preserve"> išskiriama į moters pieną, nežinoma. </w:t>
      </w:r>
      <w:proofErr w:type="spellStart"/>
      <w:r w:rsidRPr="00696CB1">
        <w:rPr>
          <w:color w:val="0D0D0D"/>
          <w:szCs w:val="22"/>
          <w:lang w:val="lt-LT"/>
        </w:rPr>
        <w:t>Gefitinibo</w:t>
      </w:r>
      <w:proofErr w:type="spellEnd"/>
      <w:r w:rsidRPr="00696CB1">
        <w:rPr>
          <w:color w:val="0D0D0D"/>
          <w:szCs w:val="22"/>
          <w:lang w:val="lt-LT"/>
        </w:rPr>
        <w:t xml:space="preserve"> ir jo metabolitų kaupiasi žiurkių piene</w:t>
      </w:r>
      <w:r w:rsidR="0085207E" w:rsidRPr="00696CB1">
        <w:rPr>
          <w:color w:val="0D0D0D"/>
          <w:szCs w:val="22"/>
          <w:lang w:val="lt-LT"/>
        </w:rPr>
        <w:t xml:space="preserve"> </w:t>
      </w:r>
      <w:r w:rsidRPr="00696CB1">
        <w:rPr>
          <w:color w:val="0D0D0D"/>
          <w:szCs w:val="22"/>
          <w:lang w:val="lt-LT"/>
        </w:rPr>
        <w:t>laktacijos metu (žr. 5.3</w:t>
      </w:r>
      <w:r w:rsidR="00404FF5" w:rsidRPr="00696CB1">
        <w:rPr>
          <w:color w:val="0D0D0D"/>
          <w:szCs w:val="22"/>
          <w:lang w:val="lt-LT"/>
        </w:rPr>
        <w:t> skyri</w:t>
      </w:r>
      <w:r w:rsidRPr="00696CB1">
        <w:rPr>
          <w:color w:val="0D0D0D"/>
          <w:szCs w:val="22"/>
          <w:lang w:val="lt-LT"/>
        </w:rPr>
        <w:t xml:space="preserve">ų). Žindymo </w:t>
      </w:r>
      <w:r w:rsidR="0009581A" w:rsidRPr="00696CB1">
        <w:rPr>
          <w:color w:val="0D0D0D"/>
          <w:szCs w:val="22"/>
          <w:lang w:val="lt-LT"/>
        </w:rPr>
        <w:t>metu</w:t>
      </w:r>
      <w:r w:rsidRPr="00696CB1">
        <w:rPr>
          <w:color w:val="0D0D0D"/>
          <w:szCs w:val="22"/>
          <w:lang w:val="lt-LT"/>
        </w:rPr>
        <w:t xml:space="preserve"> </w:t>
      </w:r>
      <w:proofErr w:type="spellStart"/>
      <w:r w:rsidRPr="00696CB1">
        <w:rPr>
          <w:color w:val="0D0D0D"/>
          <w:szCs w:val="22"/>
          <w:lang w:val="lt-LT"/>
        </w:rPr>
        <w:t>gefitinibo</w:t>
      </w:r>
      <w:proofErr w:type="spellEnd"/>
      <w:r w:rsidRPr="00696CB1">
        <w:rPr>
          <w:color w:val="0D0D0D"/>
          <w:szCs w:val="22"/>
          <w:lang w:val="lt-LT"/>
        </w:rPr>
        <w:t xml:space="preserve"> vartoti negalima, todėl šio vaistinio</w:t>
      </w:r>
      <w:r w:rsidR="0085207E" w:rsidRPr="00696CB1">
        <w:rPr>
          <w:color w:val="0D0D0D"/>
          <w:szCs w:val="22"/>
          <w:lang w:val="lt-LT"/>
        </w:rPr>
        <w:t xml:space="preserve"> </w:t>
      </w:r>
      <w:r w:rsidRPr="00696CB1">
        <w:rPr>
          <w:color w:val="0D0D0D"/>
          <w:szCs w:val="22"/>
          <w:lang w:val="lt-LT"/>
        </w:rPr>
        <w:t>preparato vartojimo laikotarpiui žindymą reikia nutraukti (žr. 4.3</w:t>
      </w:r>
      <w:r w:rsidR="00404FF5" w:rsidRPr="00696CB1">
        <w:rPr>
          <w:color w:val="0D0D0D"/>
          <w:szCs w:val="22"/>
          <w:lang w:val="lt-LT"/>
        </w:rPr>
        <w:t> skyri</w:t>
      </w:r>
      <w:r w:rsidRPr="00696CB1">
        <w:rPr>
          <w:color w:val="0D0D0D"/>
          <w:szCs w:val="22"/>
          <w:lang w:val="lt-LT"/>
        </w:rPr>
        <w:t>ų).</w:t>
      </w:r>
    </w:p>
    <w:p w:rsidR="00113C28" w:rsidRPr="00696CB1" w:rsidRDefault="00113C28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4.7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65737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Vartojant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, buvo </w:t>
      </w:r>
      <w:proofErr w:type="spellStart"/>
      <w:r w:rsidRPr="00696CB1">
        <w:rPr>
          <w:szCs w:val="22"/>
          <w:lang w:val="lt-LT"/>
        </w:rPr>
        <w:t>astenijos</w:t>
      </w:r>
      <w:proofErr w:type="spellEnd"/>
      <w:r w:rsidRPr="00696CB1">
        <w:rPr>
          <w:szCs w:val="22"/>
          <w:lang w:val="lt-LT"/>
        </w:rPr>
        <w:t xml:space="preserve"> atvejų. Jai pasireiškus, vairuoti ir valdyti mechanizmus būtina</w:t>
      </w:r>
      <w:r w:rsidR="00470C3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atsargiai.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4.8</w:t>
      </w:r>
      <w:r w:rsidRPr="00696CB1">
        <w:rPr>
          <w:b/>
          <w:szCs w:val="22"/>
          <w:lang w:val="lt-LT"/>
        </w:rPr>
        <w:tab/>
        <w:t>Nepageidaujamas poveikis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u w:val="single"/>
          <w:lang w:val="lt-LT"/>
        </w:rPr>
      </w:pPr>
    </w:p>
    <w:p w:rsidR="00F34163" w:rsidRPr="00696CB1" w:rsidRDefault="007939BE" w:rsidP="00696CB1">
      <w:pPr>
        <w:widowControl w:val="0"/>
        <w:spacing w:line="240" w:lineRule="auto"/>
        <w:rPr>
          <w:iCs/>
          <w:szCs w:val="22"/>
          <w:u w:val="single"/>
          <w:lang w:val="lt-LT" w:eastAsia="lt-LT"/>
        </w:rPr>
      </w:pPr>
      <w:r w:rsidRPr="00696CB1">
        <w:rPr>
          <w:iCs/>
          <w:szCs w:val="22"/>
          <w:u w:val="single"/>
          <w:lang w:val="lt-LT" w:eastAsia="lt-LT"/>
        </w:rPr>
        <w:t>Saugumo duomenų santrauka</w:t>
      </w:r>
    </w:p>
    <w:p w:rsidR="000B3DD2" w:rsidRPr="00696CB1" w:rsidRDefault="007939BE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iCs/>
          <w:szCs w:val="22"/>
          <w:lang w:val="lt-LT" w:eastAsia="lt-LT"/>
        </w:rPr>
      </w:pPr>
      <w:r w:rsidRPr="00696CB1">
        <w:rPr>
          <w:iCs/>
          <w:szCs w:val="22"/>
          <w:lang w:val="lt-LT" w:eastAsia="lt-LT"/>
        </w:rPr>
        <w:t>ISEL, INTEREST ir IPASS III fazės klinikinių tyrimų bendrais duomenimis (</w:t>
      </w:r>
      <w:proofErr w:type="spellStart"/>
      <w:r w:rsidRPr="00696CB1">
        <w:rPr>
          <w:iCs/>
          <w:szCs w:val="22"/>
          <w:lang w:val="lt-LT" w:eastAsia="lt-LT"/>
        </w:rPr>
        <w:t>gefitinibą</w:t>
      </w:r>
      <w:proofErr w:type="spellEnd"/>
      <w:r w:rsidRPr="00696CB1">
        <w:rPr>
          <w:iCs/>
          <w:szCs w:val="22"/>
          <w:lang w:val="lt-LT" w:eastAsia="lt-LT"/>
        </w:rPr>
        <w:t xml:space="preserve"> vartojo 2462 pacientai), dažniausios nepageidaujamos reakcijos į vaistinį preparatą (NRV), pasireiškusios daugiau kaip 20</w:t>
      </w:r>
      <w:r w:rsidR="00B32ED6">
        <w:rPr>
          <w:iCs/>
          <w:szCs w:val="22"/>
          <w:lang w:val="lt-LT" w:eastAsia="lt-LT"/>
        </w:rPr>
        <w:t> </w:t>
      </w:r>
      <w:r w:rsidRPr="00696CB1">
        <w:rPr>
          <w:iCs/>
          <w:szCs w:val="22"/>
          <w:lang w:val="lt-LT" w:eastAsia="lt-LT"/>
        </w:rPr>
        <w:t>% pacientų, buvo viduriavimas ir odos reakcijos (išbėrimas, spuogai, sausa oda ir niežulys). Dažniausiai NRV pasireiškia pirmąjį gydymo mėnesį ir būna laikinos. Maždaug 8</w:t>
      </w:r>
      <w:r w:rsidR="00B32ED6">
        <w:rPr>
          <w:iCs/>
          <w:szCs w:val="22"/>
          <w:lang w:val="lt-LT" w:eastAsia="lt-LT"/>
        </w:rPr>
        <w:t> </w:t>
      </w:r>
      <w:r w:rsidRPr="00696CB1">
        <w:rPr>
          <w:iCs/>
          <w:szCs w:val="22"/>
          <w:lang w:val="lt-LT" w:eastAsia="lt-LT"/>
        </w:rPr>
        <w:t xml:space="preserve">% pacientų pasireiškė sunki NRV (3-4 laipsnio pagal bendruosius </w:t>
      </w:r>
      <w:proofErr w:type="spellStart"/>
      <w:r w:rsidRPr="00696CB1">
        <w:rPr>
          <w:iCs/>
          <w:szCs w:val="22"/>
          <w:lang w:val="lt-LT" w:eastAsia="lt-LT"/>
        </w:rPr>
        <w:t>toksiškumo</w:t>
      </w:r>
      <w:proofErr w:type="spellEnd"/>
      <w:r w:rsidRPr="00696CB1">
        <w:rPr>
          <w:iCs/>
          <w:szCs w:val="22"/>
          <w:lang w:val="lt-LT" w:eastAsia="lt-LT"/>
        </w:rPr>
        <w:t xml:space="preserve"> kriterijus, BTK).</w:t>
      </w:r>
    </w:p>
    <w:p w:rsidR="007939BE" w:rsidRPr="00696CB1" w:rsidRDefault="007939BE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iCs/>
          <w:szCs w:val="22"/>
          <w:lang w:val="lt-LT" w:eastAsia="lt-LT"/>
        </w:rPr>
      </w:pPr>
      <w:r w:rsidRPr="00696CB1">
        <w:rPr>
          <w:iCs/>
          <w:szCs w:val="22"/>
          <w:lang w:val="lt-LT" w:eastAsia="lt-LT"/>
        </w:rPr>
        <w:t>Maždaug</w:t>
      </w:r>
      <w:r w:rsidR="005E5430" w:rsidRPr="00696CB1">
        <w:rPr>
          <w:iCs/>
          <w:szCs w:val="22"/>
          <w:lang w:val="lt-LT" w:eastAsia="lt-LT"/>
        </w:rPr>
        <w:t xml:space="preserve"> </w:t>
      </w:r>
      <w:r w:rsidRPr="00696CB1">
        <w:rPr>
          <w:iCs/>
          <w:szCs w:val="22"/>
          <w:lang w:val="lt-LT" w:eastAsia="lt-LT"/>
        </w:rPr>
        <w:t>3</w:t>
      </w:r>
      <w:r w:rsidR="00B32ED6">
        <w:rPr>
          <w:iCs/>
          <w:szCs w:val="22"/>
          <w:lang w:val="lt-LT" w:eastAsia="lt-LT"/>
        </w:rPr>
        <w:t> </w:t>
      </w:r>
      <w:r w:rsidRPr="00696CB1">
        <w:rPr>
          <w:iCs/>
          <w:szCs w:val="22"/>
          <w:lang w:val="lt-LT" w:eastAsia="lt-LT"/>
        </w:rPr>
        <w:t>% pacientų šio vaistinio preparato vartojimą nutraukė dėl NRV.</w:t>
      </w:r>
    </w:p>
    <w:p w:rsidR="007939BE" w:rsidRPr="00696CB1" w:rsidRDefault="007939BE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iCs/>
          <w:szCs w:val="22"/>
          <w:lang w:val="lt-LT" w:eastAsia="lt-LT"/>
        </w:rPr>
      </w:pPr>
    </w:p>
    <w:p w:rsidR="007939BE" w:rsidRPr="00696CB1" w:rsidRDefault="007939BE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iCs/>
          <w:szCs w:val="22"/>
          <w:lang w:val="lt-LT" w:eastAsia="lt-LT"/>
        </w:rPr>
      </w:pPr>
      <w:r w:rsidRPr="00696CB1">
        <w:rPr>
          <w:iCs/>
          <w:szCs w:val="22"/>
          <w:lang w:val="lt-LT" w:eastAsia="lt-LT"/>
        </w:rPr>
        <w:t>1,3</w:t>
      </w:r>
      <w:r w:rsidR="00B32ED6">
        <w:rPr>
          <w:iCs/>
          <w:szCs w:val="22"/>
          <w:lang w:val="lt-LT" w:eastAsia="lt-LT"/>
        </w:rPr>
        <w:t> </w:t>
      </w:r>
      <w:r w:rsidRPr="00696CB1">
        <w:rPr>
          <w:iCs/>
          <w:szCs w:val="22"/>
          <w:lang w:val="lt-LT" w:eastAsia="lt-LT"/>
        </w:rPr>
        <w:t xml:space="preserve">% pacientų pasireiškė </w:t>
      </w:r>
      <w:proofErr w:type="spellStart"/>
      <w:r w:rsidRPr="00696CB1">
        <w:rPr>
          <w:iCs/>
          <w:szCs w:val="22"/>
          <w:lang w:val="lt-LT" w:eastAsia="lt-LT"/>
        </w:rPr>
        <w:t>intersticinė</w:t>
      </w:r>
      <w:proofErr w:type="spellEnd"/>
      <w:r w:rsidRPr="00696CB1">
        <w:rPr>
          <w:iCs/>
          <w:szCs w:val="22"/>
          <w:lang w:val="lt-LT" w:eastAsia="lt-LT"/>
        </w:rPr>
        <w:t xml:space="preserve"> plaučių liga (IPL)</w:t>
      </w:r>
      <w:r w:rsidR="005E5430" w:rsidRPr="00696CB1">
        <w:rPr>
          <w:iCs/>
          <w:szCs w:val="22"/>
          <w:lang w:val="lt-LT" w:eastAsia="lt-LT"/>
        </w:rPr>
        <w:t>, d</w:t>
      </w:r>
      <w:r w:rsidRPr="00696CB1">
        <w:rPr>
          <w:iCs/>
          <w:szCs w:val="22"/>
          <w:lang w:val="lt-LT" w:eastAsia="lt-LT"/>
        </w:rPr>
        <w:t>ažnai ji būdavo sunki (3-4 BTK laipsnio)</w:t>
      </w:r>
      <w:r w:rsidR="005E5430" w:rsidRPr="00696CB1">
        <w:rPr>
          <w:iCs/>
          <w:szCs w:val="22"/>
          <w:lang w:val="lt-LT" w:eastAsia="lt-LT"/>
        </w:rPr>
        <w:t>. G</w:t>
      </w:r>
      <w:r w:rsidRPr="00696CB1">
        <w:rPr>
          <w:iCs/>
          <w:szCs w:val="22"/>
          <w:lang w:val="lt-LT" w:eastAsia="lt-LT"/>
        </w:rPr>
        <w:t>auta pranešimų ir apie mirties atvejus.</w:t>
      </w:r>
    </w:p>
    <w:p w:rsidR="007939BE" w:rsidRPr="00696CB1" w:rsidRDefault="007939BE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iCs/>
          <w:szCs w:val="22"/>
          <w:lang w:val="lt-LT" w:eastAsia="lt-LT"/>
        </w:rPr>
      </w:pPr>
    </w:p>
    <w:p w:rsidR="007939BE" w:rsidRPr="00696CB1" w:rsidRDefault="007939BE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iCs/>
          <w:szCs w:val="22"/>
          <w:u w:val="single"/>
          <w:lang w:val="lt-LT" w:eastAsia="lt-LT"/>
        </w:rPr>
      </w:pPr>
      <w:r w:rsidRPr="00696CB1">
        <w:rPr>
          <w:iCs/>
          <w:szCs w:val="22"/>
          <w:u w:val="single"/>
          <w:lang w:val="lt-LT" w:eastAsia="lt-LT"/>
        </w:rPr>
        <w:t>Nepageidaujamų reakcijų santrauka lentelėje</w:t>
      </w:r>
    </w:p>
    <w:p w:rsidR="007939BE" w:rsidRPr="00696CB1" w:rsidRDefault="00C13CC5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iCs/>
          <w:szCs w:val="22"/>
          <w:lang w:val="lt-LT" w:eastAsia="lt-LT"/>
        </w:rPr>
      </w:pPr>
      <w:r w:rsidRPr="00696CB1">
        <w:rPr>
          <w:iCs/>
          <w:szCs w:val="22"/>
          <w:lang w:val="lt-LT" w:eastAsia="lt-LT"/>
        </w:rPr>
        <w:t>1 </w:t>
      </w:r>
      <w:r w:rsidR="007939BE" w:rsidRPr="00696CB1">
        <w:rPr>
          <w:iCs/>
          <w:szCs w:val="22"/>
          <w:lang w:val="lt-LT" w:eastAsia="lt-LT"/>
        </w:rPr>
        <w:t xml:space="preserve">lentelėje pateikiami saugumo duomenys yra pagrįsti </w:t>
      </w:r>
      <w:proofErr w:type="spellStart"/>
      <w:r w:rsidR="007939BE" w:rsidRPr="00696CB1">
        <w:rPr>
          <w:iCs/>
          <w:szCs w:val="22"/>
          <w:lang w:val="lt-LT" w:eastAsia="lt-LT"/>
        </w:rPr>
        <w:t>gefitinibo</w:t>
      </w:r>
      <w:proofErr w:type="spellEnd"/>
      <w:r w:rsidR="007939BE" w:rsidRPr="00696CB1">
        <w:rPr>
          <w:iCs/>
          <w:szCs w:val="22"/>
          <w:lang w:val="lt-LT" w:eastAsia="lt-LT"/>
        </w:rPr>
        <w:t xml:space="preserve"> klinikinio kūrimo programa ir jį</w:t>
      </w:r>
      <w:r w:rsidRPr="00696CB1">
        <w:rPr>
          <w:iCs/>
          <w:szCs w:val="22"/>
          <w:lang w:val="lt-LT" w:eastAsia="lt-LT"/>
        </w:rPr>
        <w:t xml:space="preserve"> </w:t>
      </w:r>
      <w:r w:rsidR="007939BE" w:rsidRPr="00696CB1">
        <w:rPr>
          <w:iCs/>
          <w:szCs w:val="22"/>
          <w:lang w:val="lt-LT" w:eastAsia="lt-LT"/>
        </w:rPr>
        <w:t>užregistravus sukaupta patirtimi. Nepageidaujamos reakcijos 1</w:t>
      </w:r>
      <w:r w:rsidRPr="00696CB1">
        <w:rPr>
          <w:iCs/>
          <w:szCs w:val="22"/>
          <w:lang w:val="lt-LT" w:eastAsia="lt-LT"/>
        </w:rPr>
        <w:t> </w:t>
      </w:r>
      <w:r w:rsidR="007939BE" w:rsidRPr="00696CB1">
        <w:rPr>
          <w:iCs/>
          <w:szCs w:val="22"/>
          <w:lang w:val="lt-LT" w:eastAsia="lt-LT"/>
        </w:rPr>
        <w:t>lentelėje suskirstytos į dažnio</w:t>
      </w:r>
      <w:r w:rsidRPr="00696CB1">
        <w:rPr>
          <w:iCs/>
          <w:szCs w:val="22"/>
          <w:lang w:val="lt-LT" w:eastAsia="lt-LT"/>
        </w:rPr>
        <w:t xml:space="preserve"> </w:t>
      </w:r>
      <w:r w:rsidR="007939BE" w:rsidRPr="00696CB1">
        <w:rPr>
          <w:iCs/>
          <w:szCs w:val="22"/>
          <w:lang w:val="lt-LT" w:eastAsia="lt-LT"/>
        </w:rPr>
        <w:t>kategorijas kiek įmanoma pagal panašių nepageidaujamų reiškinių pranešimų dažnį bendroje ISEL,</w:t>
      </w:r>
      <w:r w:rsidRPr="00696CB1">
        <w:rPr>
          <w:iCs/>
          <w:szCs w:val="22"/>
          <w:lang w:val="lt-LT" w:eastAsia="lt-LT"/>
        </w:rPr>
        <w:t xml:space="preserve"> </w:t>
      </w:r>
      <w:r w:rsidR="007939BE" w:rsidRPr="00696CB1">
        <w:rPr>
          <w:iCs/>
          <w:szCs w:val="22"/>
          <w:lang w:val="lt-LT" w:eastAsia="lt-LT"/>
        </w:rPr>
        <w:t>INTEREST ir IPASS III fazės klinikinių tyrimų duomenų bazėje (</w:t>
      </w:r>
      <w:proofErr w:type="spellStart"/>
      <w:r w:rsidRPr="00696CB1">
        <w:rPr>
          <w:iCs/>
          <w:szCs w:val="22"/>
          <w:lang w:val="lt-LT" w:eastAsia="lt-LT"/>
        </w:rPr>
        <w:t>gefitinibą</w:t>
      </w:r>
      <w:proofErr w:type="spellEnd"/>
      <w:r w:rsidRPr="00696CB1">
        <w:rPr>
          <w:iCs/>
          <w:szCs w:val="22"/>
          <w:lang w:val="lt-LT" w:eastAsia="lt-LT"/>
        </w:rPr>
        <w:t xml:space="preserve"> </w:t>
      </w:r>
      <w:r w:rsidR="007939BE" w:rsidRPr="00696CB1">
        <w:rPr>
          <w:iCs/>
          <w:szCs w:val="22"/>
          <w:lang w:val="lt-LT" w:eastAsia="lt-LT"/>
        </w:rPr>
        <w:t>vartojo 2462 pacientai).</w:t>
      </w:r>
    </w:p>
    <w:p w:rsidR="003C166C" w:rsidRPr="00696CB1" w:rsidRDefault="003C166C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</w:p>
    <w:p w:rsidR="00C13CC5" w:rsidRPr="00696CB1" w:rsidRDefault="00F34163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696CB1">
        <w:rPr>
          <w:szCs w:val="22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</w:t>
      </w:r>
      <w:r w:rsidR="00C13CC5" w:rsidRPr="00696CB1">
        <w:rPr>
          <w:szCs w:val="22"/>
          <w:lang w:val="lt-LT"/>
        </w:rPr>
        <w:t>iuotas pagal turimus duomenis).</w:t>
      </w:r>
    </w:p>
    <w:p w:rsidR="00C13CC5" w:rsidRPr="00696CB1" w:rsidRDefault="00C13CC5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</w:p>
    <w:p w:rsidR="00C13CC5" w:rsidRPr="00696CB1" w:rsidRDefault="00C13CC5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lt-LT" w:eastAsia="lt-LT"/>
        </w:rPr>
      </w:pPr>
      <w:r w:rsidRPr="00696CB1">
        <w:rPr>
          <w:iCs/>
          <w:szCs w:val="22"/>
          <w:lang w:val="lt-LT" w:eastAsia="lt-LT"/>
        </w:rPr>
        <w:t>Kiekvienoje dažnio grupėje nepageidaujamas poveikis pateikiamas mažėjančio sunkumo tvarka</w:t>
      </w:r>
      <w:r w:rsidR="00C16B39" w:rsidRPr="00696CB1">
        <w:rPr>
          <w:iCs/>
          <w:szCs w:val="22"/>
          <w:lang w:val="lt-LT" w:eastAsia="lt-LT"/>
        </w:rPr>
        <w:t>.</w:t>
      </w:r>
    </w:p>
    <w:p w:rsidR="00C13CC5" w:rsidRPr="00696CB1" w:rsidRDefault="00C13CC5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</w:p>
    <w:p w:rsidR="004E2681" w:rsidRPr="00696CB1" w:rsidRDefault="004E2681" w:rsidP="00696CB1">
      <w:pPr>
        <w:widowControl w:val="0"/>
        <w:tabs>
          <w:tab w:val="clear" w:pos="567"/>
        </w:tabs>
        <w:autoSpaceDE w:val="0"/>
        <w:spacing w:line="240" w:lineRule="auto"/>
        <w:contextualSpacing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lastRenderedPageBreak/>
        <w:t>1 lentelė. Nepageidaujamos reakcijos</w:t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1897"/>
        <w:gridCol w:w="4298"/>
        <w:gridCol w:w="10"/>
      </w:tblGrid>
      <w:tr w:rsidR="007378D6" w:rsidRPr="00696CB1" w:rsidTr="00E94ADD">
        <w:tc>
          <w:tcPr>
            <w:tcW w:w="9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bCs/>
                <w:i/>
                <w:snapToGrid/>
                <w:color w:val="000000"/>
                <w:szCs w:val="22"/>
                <w:lang w:val="lt-LT" w:eastAsia="en-GB"/>
              </w:rPr>
              <w:t>Nepageidaujamos reakcijos pagal organų klases ir dažnį</w:t>
            </w:r>
          </w:p>
        </w:tc>
      </w:tr>
      <w:tr w:rsidR="007378D6" w:rsidRPr="00696CB1" w:rsidTr="00E94ADD"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zCs w:val="22"/>
                <w:lang w:val="lt-LT"/>
              </w:rPr>
              <w:t>Metabolizmo ir mitybos sutrikimai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Labai 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Anoreksija, lengva arba vidutinė (BTK 1 ar 2 laipsnio)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Akių sutrikimai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Konjunktyvitas, blefaritas, akies džiūvimas*, dažniausiai lengvi (BTK 1 laipsnio).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Nedažni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Ragenos erozija (laikina, kartais susijusi su nenormaliu blakstienų augimu)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Keratita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s</w:t>
            </w:r>
            <w:proofErr w:type="spellEnd"/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 xml:space="preserve"> (0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>,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12%)</w:t>
            </w:r>
          </w:p>
        </w:tc>
      </w:tr>
      <w:tr w:rsidR="007378D6" w:rsidRPr="00696CB1" w:rsidTr="00E94ADD"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Kraujagyslių sutrikimai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Kraujavimas, toks kaip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epistaksė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ir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hematurija</w:t>
            </w:r>
            <w:proofErr w:type="spellEnd"/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84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Kvėpavimo sistemos, krūtinės</w:t>
            </w:r>
          </w:p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ląstos ir tarpusienio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sutrikima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Interstic</w:t>
            </w:r>
            <w:r w:rsidR="0056128B" w:rsidRPr="00696CB1">
              <w:rPr>
                <w:snapToGrid/>
                <w:color w:val="000000"/>
                <w:szCs w:val="22"/>
                <w:lang w:val="lt-LT" w:eastAsia="en-GB"/>
              </w:rPr>
              <w:t>i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>nė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plaučių liga (1,3%), dažnai sunki (BTK 3-4 laipsnio)</w:t>
            </w:r>
            <w:r w:rsidR="005E5430" w:rsidRPr="00696CB1">
              <w:rPr>
                <w:snapToGrid/>
                <w:color w:val="000000"/>
                <w:szCs w:val="22"/>
                <w:lang w:val="lt-LT" w:eastAsia="en-GB"/>
              </w:rPr>
              <w:t>. G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>auta pranešimų apie mirties atvejus</w:t>
            </w:r>
          </w:p>
        </w:tc>
      </w:tr>
      <w:tr w:rsidR="007378D6" w:rsidRPr="00696CB1" w:rsidTr="00E94ADD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Virškinimo trakto sutrikimai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Labai 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Viduriavimas, dažniausiai lengvas arba vidutinio sunkumo (BTK 1 ar 2 laipsnio)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56128B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Vėmimas, dažniausiai lengvas arba vidutinio sunkumo (BTK 1 ar 2 laipsnio)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56128B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zCs w:val="22"/>
                <w:lang w:val="lt-LT"/>
              </w:rPr>
              <w:t>Pykinimas, dažniausiai lengvas (BTK 1 laipsnio).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Stomatit</w:t>
            </w:r>
            <w:r w:rsidR="0056128B" w:rsidRPr="00696CB1">
              <w:rPr>
                <w:snapToGrid/>
                <w:color w:val="000000"/>
                <w:szCs w:val="22"/>
                <w:lang w:val="lt-LT" w:eastAsia="en-GB"/>
              </w:rPr>
              <w:t>a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s, </w:t>
            </w:r>
            <w:r w:rsidR="0056128B" w:rsidRPr="00696CB1">
              <w:rPr>
                <w:snapToGrid/>
                <w:color w:val="000000"/>
                <w:szCs w:val="22"/>
                <w:lang w:val="lt-LT" w:eastAsia="en-GB"/>
              </w:rPr>
              <w:t>dažniausiai lengvas (BTK 1 laipsnio).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5D6BD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Dehidracija</w:t>
            </w:r>
            <w:proofErr w:type="spellEnd"/>
            <w:r w:rsidR="0056128B" w:rsidRPr="00696CB1">
              <w:rPr>
                <w:snapToGrid/>
                <w:color w:val="000000"/>
                <w:szCs w:val="22"/>
                <w:lang w:val="lt-LT" w:eastAsia="en-GB"/>
              </w:rPr>
              <w:t xml:space="preserve"> dėl viduriavimo, pykinimo, vėmimo arba anoreksijos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56128B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Burnos džiūvimas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 xml:space="preserve">*, 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dažniausiai lengvas (BTK 1 laipsnio)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Nedažni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8D6" w:rsidRPr="00696CB1" w:rsidRDefault="0056128B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Pankreatitas</w:t>
            </w:r>
            <w:r w:rsidR="00094C95" w:rsidRPr="00696CB1">
              <w:rPr>
                <w:snapToGrid/>
                <w:color w:val="000000"/>
                <w:szCs w:val="22"/>
                <w:lang w:val="lt-LT" w:eastAsia="en-GB"/>
              </w:rPr>
              <w:t>,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 xml:space="preserve"> 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>virškinimo trakto prakiurimas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Kepenų, tulžies pūslės ir latakų sutrikimai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Labai 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E15D7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Alanino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aminotransferazės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aktyvumo padidėjimas, dažniausiai lengvo arba vidutinio laipsnio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E15D7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Aspartato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aminotransferazės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aktyvumo padidėjimas, dažniausiai lengvo arba vidutinio laipsnio.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E15D7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Bendro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bilirubino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koncentracijos padidėjimas, dažniausiai lengvo arba vidutinio laipsnio</w:t>
            </w:r>
            <w:r w:rsidR="007378D6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Nedažni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Hepati</w:t>
            </w:r>
            <w:r w:rsidR="001E15D7" w:rsidRPr="00696CB1">
              <w:rPr>
                <w:snapToGrid/>
                <w:color w:val="000000"/>
                <w:szCs w:val="22"/>
                <w:lang w:val="lt-LT" w:eastAsia="en-GB"/>
              </w:rPr>
              <w:t>ta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>s**</w:t>
            </w:r>
            <w:r w:rsidR="001E15D7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9F444D" w:rsidRPr="00696CB1" w:rsidTr="009F444D">
        <w:trPr>
          <w:gridAfter w:val="1"/>
          <w:wAfter w:w="10" w:type="dxa"/>
        </w:trPr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Odos ir poodinio audinio sutrikimai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Labai dažni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Odos reakcijos, dažniausiai lengvos arba vidutinio sunkumo (BTK 1 ar 2 laipsnio):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pustulinis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išbėrimas, kartais su niežėjimu ir odos sausumu, įskaitant odos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įtrūkimus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, su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eriteminiu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pagrindu</w:t>
            </w:r>
          </w:p>
        </w:tc>
      </w:tr>
      <w:tr w:rsidR="009F444D" w:rsidRPr="00696CB1" w:rsidTr="009F444D">
        <w:tc>
          <w:tcPr>
            <w:tcW w:w="320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Nagų sutrikimai.</w:t>
            </w:r>
          </w:p>
        </w:tc>
      </w:tr>
      <w:tr w:rsidR="009F444D" w:rsidRPr="00696CB1" w:rsidTr="009F444D">
        <w:tc>
          <w:tcPr>
            <w:tcW w:w="320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Alopecija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9F444D" w:rsidRPr="00696CB1" w:rsidTr="009F444D">
        <w:trPr>
          <w:trHeight w:val="552"/>
        </w:trPr>
        <w:tc>
          <w:tcPr>
            <w:tcW w:w="320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Alerginės reakcijos (1,1</w:t>
            </w:r>
            <w:r w:rsidR="00B32ED6">
              <w:rPr>
                <w:snapToGrid/>
                <w:color w:val="000000"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%), įskaitant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angioneurozinę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edema ir dilgėlinę.</w:t>
            </w:r>
          </w:p>
        </w:tc>
      </w:tr>
      <w:tr w:rsidR="00316086" w:rsidRPr="00696CB1" w:rsidTr="008857A1">
        <w:trPr>
          <w:trHeight w:val="364"/>
        </w:trPr>
        <w:tc>
          <w:tcPr>
            <w:tcW w:w="320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16086" w:rsidRPr="00696CB1" w:rsidRDefault="0031608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16086" w:rsidRPr="00696CB1" w:rsidRDefault="0031608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>
              <w:rPr>
                <w:snapToGrid/>
                <w:color w:val="000000"/>
                <w:szCs w:val="22"/>
                <w:lang w:val="lt-LT" w:eastAsia="en-GB"/>
              </w:rPr>
              <w:t>Nedažni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86" w:rsidRPr="00696CB1" w:rsidRDefault="0031608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>
              <w:t>Plaštakų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pėdų</w:t>
            </w:r>
            <w:proofErr w:type="spellEnd"/>
            <w:r>
              <w:t xml:space="preserve"> </w:t>
            </w:r>
            <w:proofErr w:type="spellStart"/>
            <w:r>
              <w:t>eritrodizestezijos</w:t>
            </w:r>
            <w:proofErr w:type="spellEnd"/>
            <w:r>
              <w:t xml:space="preserve"> </w:t>
            </w:r>
            <w:proofErr w:type="spellStart"/>
            <w:r>
              <w:t>sindromas</w:t>
            </w:r>
            <w:proofErr w:type="spellEnd"/>
          </w:p>
        </w:tc>
      </w:tr>
      <w:tr w:rsidR="009F444D" w:rsidRPr="00696CB1" w:rsidTr="009F444D">
        <w:tc>
          <w:tcPr>
            <w:tcW w:w="320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Reti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Pūslinės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būklės, įskaitant toksinę epidermio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nekrolizę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Stivenso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>-Džonsono (</w:t>
            </w:r>
            <w:proofErr w:type="spellStart"/>
            <w:r w:rsidRPr="00696CB1">
              <w:rPr>
                <w:i/>
                <w:snapToGrid/>
                <w:color w:val="000000"/>
                <w:szCs w:val="22"/>
                <w:lang w:val="lt-LT" w:eastAsia="en-GB"/>
              </w:rPr>
              <w:t>Stevens-Johnson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) sindromą ir daugiaformę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eritemą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9F444D" w:rsidRPr="00696CB1" w:rsidTr="009F444D">
        <w:tc>
          <w:tcPr>
            <w:tcW w:w="320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4D" w:rsidRPr="00696CB1" w:rsidRDefault="009F44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Odos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vaskulitas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Inkstų ir šlapimo takų sutrikimai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BC7B8A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Nesimptominis laboratorinis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kreatinino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 koncentracijos kraujyje padidėjimas.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Proteinuri</w:t>
            </w:r>
            <w:r w:rsidR="00BC7B8A" w:rsidRPr="00696CB1">
              <w:rPr>
                <w:snapToGrid/>
                <w:color w:val="000000"/>
                <w:szCs w:val="22"/>
                <w:lang w:val="lt-LT" w:eastAsia="en-GB"/>
              </w:rPr>
              <w:t>j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t>a</w:t>
            </w:r>
            <w:proofErr w:type="spellEnd"/>
            <w:r w:rsidR="00BC7B8A"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BC7B8A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Cistitas.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R</w:t>
            </w:r>
            <w:r w:rsidR="0012284D" w:rsidRPr="00696CB1">
              <w:rPr>
                <w:snapToGrid/>
                <w:color w:val="000000"/>
                <w:szCs w:val="22"/>
                <w:lang w:val="lt-LT" w:eastAsia="en-GB"/>
              </w:rPr>
              <w:t>eti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BC7B8A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Hemoraginis cistitas.</w:t>
            </w:r>
          </w:p>
        </w:tc>
      </w:tr>
      <w:tr w:rsidR="007378D6" w:rsidRPr="00696CB1" w:rsidTr="00E94ADD"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3E5784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 xml:space="preserve">Bendrieji sutrikimai ir vartojimo </w:t>
            </w:r>
            <w:r w:rsidRPr="00696CB1">
              <w:rPr>
                <w:snapToGrid/>
                <w:color w:val="000000"/>
                <w:szCs w:val="22"/>
                <w:lang w:val="lt-LT" w:eastAsia="en-GB"/>
              </w:rPr>
              <w:lastRenderedPageBreak/>
              <w:t>vietos pažeidimai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lastRenderedPageBreak/>
              <w:t>Labai 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BC7B8A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Astenija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>, dažniausiai lengva (BTK 1 laipsnio).</w:t>
            </w:r>
          </w:p>
        </w:tc>
      </w:tr>
      <w:tr w:rsidR="007378D6" w:rsidRPr="00696CB1" w:rsidTr="00E94ADD"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78D6" w:rsidRPr="00696CB1" w:rsidRDefault="007378D6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12284D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napToGrid/>
                <w:color w:val="000000"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eastAsia="en-GB"/>
              </w:rPr>
              <w:t>Dažni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D6" w:rsidRPr="00696CB1" w:rsidRDefault="00BC7B8A" w:rsidP="00696CB1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45"/>
              <w:rPr>
                <w:snapToGrid/>
                <w:color w:val="000000"/>
                <w:szCs w:val="22"/>
                <w:lang w:val="lt-LT" w:eastAsia="en-GB"/>
              </w:rPr>
            </w:pPr>
            <w:proofErr w:type="spellStart"/>
            <w:r w:rsidRPr="00696CB1">
              <w:rPr>
                <w:snapToGrid/>
                <w:color w:val="000000"/>
                <w:szCs w:val="22"/>
                <w:lang w:val="lt-LT" w:eastAsia="en-GB"/>
              </w:rPr>
              <w:t>Pireksija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eastAsia="en-GB"/>
              </w:rPr>
              <w:t>.</w:t>
            </w:r>
          </w:p>
        </w:tc>
      </w:tr>
    </w:tbl>
    <w:p w:rsidR="00BC7B8A" w:rsidRPr="008857A1" w:rsidRDefault="00BC7B8A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0"/>
          <w:lang w:val="lt-LT"/>
        </w:rPr>
      </w:pPr>
      <w:r w:rsidRPr="008857A1">
        <w:rPr>
          <w:sz w:val="20"/>
          <w:lang w:val="lt-LT"/>
        </w:rPr>
        <w:t>Į apskaičiuotą su nenormaliais laboratorinių tyrimų rodmenimis susijusių nepageidaujamų reakcijų į vaistinį preparatą dažnį įtraukti atvejai, kai atitinkami laboratoriniai rodmenys, palyginus su buvusiais iki gydymo, pakito bent 2 BTK laipsniais.</w:t>
      </w:r>
    </w:p>
    <w:p w:rsidR="00BC7B8A" w:rsidRPr="008857A1" w:rsidRDefault="00BC7B8A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0"/>
          <w:lang w:val="lt-LT"/>
        </w:rPr>
      </w:pPr>
      <w:r w:rsidRPr="008857A1">
        <w:rPr>
          <w:sz w:val="20"/>
          <w:lang w:val="lt-LT"/>
        </w:rPr>
        <w:t xml:space="preserve">* Ši nepageidaujama reakcija gali pasireikšti kartu su kitomis sausmės būklėmis (ypač odos reakcijomis), </w:t>
      </w:r>
      <w:r w:rsidR="004E69EB" w:rsidRPr="008857A1">
        <w:rPr>
          <w:sz w:val="20"/>
          <w:lang w:val="lt-LT"/>
        </w:rPr>
        <w:t>pastebėtomis</w:t>
      </w:r>
      <w:r w:rsidRPr="008857A1">
        <w:rPr>
          <w:sz w:val="20"/>
          <w:lang w:val="lt-LT"/>
        </w:rPr>
        <w:t xml:space="preserve"> vartojant </w:t>
      </w:r>
      <w:proofErr w:type="spellStart"/>
      <w:r w:rsidRPr="008857A1">
        <w:rPr>
          <w:sz w:val="20"/>
          <w:lang w:val="lt-LT"/>
        </w:rPr>
        <w:t>gefitinibą</w:t>
      </w:r>
      <w:proofErr w:type="spellEnd"/>
      <w:r w:rsidRPr="008857A1">
        <w:rPr>
          <w:sz w:val="20"/>
          <w:lang w:val="lt-LT"/>
        </w:rPr>
        <w:t>.</w:t>
      </w:r>
    </w:p>
    <w:p w:rsidR="00BC7B8A" w:rsidRPr="008857A1" w:rsidRDefault="00BC7B8A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0"/>
          <w:lang w:val="lt-LT"/>
        </w:rPr>
      </w:pPr>
      <w:r w:rsidRPr="008857A1">
        <w:rPr>
          <w:sz w:val="20"/>
          <w:lang w:val="lt-LT"/>
        </w:rPr>
        <w:t>** Įskaitant pavienius pranešimus apie kepenų nepakankamumą, kuris kai kuriais atvejais buvo mirtinas.</w:t>
      </w:r>
    </w:p>
    <w:p w:rsidR="00BC7B8A" w:rsidRPr="00696CB1" w:rsidRDefault="00BC7B8A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:rsidR="00BC7B8A" w:rsidRPr="00696CB1" w:rsidRDefault="00BC7B8A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lt-LT"/>
        </w:rPr>
      </w:pPr>
      <w:proofErr w:type="spellStart"/>
      <w:r w:rsidRPr="00696CB1">
        <w:rPr>
          <w:i/>
          <w:szCs w:val="22"/>
          <w:lang w:val="lt-LT"/>
        </w:rPr>
        <w:t>Intersticinė</w:t>
      </w:r>
      <w:proofErr w:type="spellEnd"/>
      <w:r w:rsidRPr="00696CB1">
        <w:rPr>
          <w:i/>
          <w:szCs w:val="22"/>
          <w:lang w:val="lt-LT"/>
        </w:rPr>
        <w:t xml:space="preserve"> plaučių liga</w:t>
      </w:r>
      <w:r w:rsidR="004E69EB" w:rsidRPr="00696CB1">
        <w:rPr>
          <w:i/>
          <w:szCs w:val="22"/>
          <w:lang w:val="lt-LT"/>
        </w:rPr>
        <w:t xml:space="preserve"> (IPL)</w:t>
      </w:r>
    </w:p>
    <w:p w:rsidR="00BC7B8A" w:rsidRPr="00696CB1" w:rsidRDefault="004E69EB" w:rsidP="00696CB1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INTEREST tyrimo metu IPL tipo reiškinių patyrė 1,4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 (10)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grupės ir 1,1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 (8) </w:t>
      </w:r>
      <w:proofErr w:type="spellStart"/>
      <w:r w:rsidRPr="00696CB1">
        <w:rPr>
          <w:szCs w:val="22"/>
          <w:lang w:val="lt-LT"/>
        </w:rPr>
        <w:t>docetakselio</w:t>
      </w:r>
      <w:proofErr w:type="spellEnd"/>
      <w:r w:rsidRPr="00696CB1">
        <w:rPr>
          <w:szCs w:val="22"/>
          <w:lang w:val="lt-LT"/>
        </w:rPr>
        <w:t xml:space="preserve"> grupės pacientų. Vienu atveju IPL tipo reiškinys baigėsi mirtimi (mirė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vartojęs pacientas)</w:t>
      </w:r>
    </w:p>
    <w:p w:rsidR="004E69EB" w:rsidRPr="00696CB1" w:rsidRDefault="004E69EB" w:rsidP="00696CB1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BC7B8A" w:rsidRPr="00696CB1" w:rsidRDefault="00BC7B8A" w:rsidP="00696CB1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ISEL tyrimo metu </w:t>
      </w:r>
      <w:r w:rsidR="004E69EB" w:rsidRPr="00696CB1">
        <w:rPr>
          <w:szCs w:val="22"/>
          <w:lang w:val="lt-LT"/>
        </w:rPr>
        <w:t>IPL</w:t>
      </w:r>
      <w:r w:rsidRPr="00696CB1">
        <w:rPr>
          <w:szCs w:val="22"/>
          <w:lang w:val="lt-LT"/>
        </w:rPr>
        <w:t xml:space="preserve"> tipo reiškinių dažnis bendroje populiacijoje buvo</w:t>
      </w:r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maždaug po 1% abejose gydymo grupėse. Dauguma atvejų </w:t>
      </w:r>
      <w:r w:rsidR="004E69EB" w:rsidRPr="00696CB1">
        <w:rPr>
          <w:szCs w:val="22"/>
          <w:lang w:val="lt-LT"/>
        </w:rPr>
        <w:t>IPL</w:t>
      </w:r>
      <w:r w:rsidRPr="00696CB1">
        <w:rPr>
          <w:szCs w:val="22"/>
          <w:lang w:val="lt-LT"/>
        </w:rPr>
        <w:t xml:space="preserve"> tipo reiškinių</w:t>
      </w:r>
      <w:r w:rsidR="004E69EB" w:rsidRPr="00696CB1">
        <w:rPr>
          <w:szCs w:val="22"/>
          <w:lang w:val="lt-LT"/>
        </w:rPr>
        <w:t xml:space="preserve"> nustatyta</w:t>
      </w:r>
      <w:r w:rsidRPr="00696CB1">
        <w:rPr>
          <w:szCs w:val="22"/>
          <w:lang w:val="lt-LT"/>
        </w:rPr>
        <w:t xml:space="preserve"> pacientams</w:t>
      </w:r>
      <w:r w:rsidR="004E69EB" w:rsidRPr="00696CB1">
        <w:rPr>
          <w:szCs w:val="22"/>
          <w:lang w:val="lt-LT"/>
        </w:rPr>
        <w:t xml:space="preserve"> azijiečiams</w:t>
      </w:r>
      <w:r w:rsidRPr="00696CB1">
        <w:rPr>
          <w:szCs w:val="22"/>
          <w:lang w:val="lt-LT"/>
        </w:rPr>
        <w:t xml:space="preserve">, jų dažnis </w:t>
      </w:r>
      <w:r w:rsidR="004E69EB" w:rsidRPr="00696CB1">
        <w:rPr>
          <w:szCs w:val="22"/>
          <w:lang w:val="lt-LT"/>
        </w:rPr>
        <w:t>azijiečiams</w:t>
      </w:r>
      <w:r w:rsidRPr="00696CB1">
        <w:rPr>
          <w:szCs w:val="22"/>
          <w:lang w:val="lt-LT"/>
        </w:rPr>
        <w:t xml:space="preserve"> vartojant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buvo 3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%,</w:t>
      </w:r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vartojant </w:t>
      </w:r>
      <w:proofErr w:type="spellStart"/>
      <w:r w:rsidRPr="00696CB1">
        <w:rPr>
          <w:szCs w:val="22"/>
          <w:lang w:val="lt-LT"/>
        </w:rPr>
        <w:t>placebą</w:t>
      </w:r>
      <w:proofErr w:type="spellEnd"/>
      <w:r w:rsidRPr="00696CB1">
        <w:rPr>
          <w:szCs w:val="22"/>
          <w:lang w:val="lt-LT"/>
        </w:rPr>
        <w:t xml:space="preserve"> – 4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%. Vienu atveju </w:t>
      </w:r>
      <w:r w:rsidR="004E69EB" w:rsidRPr="00696CB1">
        <w:rPr>
          <w:szCs w:val="22"/>
          <w:lang w:val="lt-LT"/>
        </w:rPr>
        <w:t>IPL</w:t>
      </w:r>
      <w:r w:rsidRPr="00696CB1">
        <w:rPr>
          <w:szCs w:val="22"/>
          <w:lang w:val="lt-LT"/>
        </w:rPr>
        <w:t xml:space="preserve"> tipo reiškinys baigėsi mirtimi (mirė</w:t>
      </w:r>
      <w:r w:rsidR="004E69EB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placebą</w:t>
      </w:r>
      <w:proofErr w:type="spellEnd"/>
      <w:r w:rsidRPr="00696CB1">
        <w:rPr>
          <w:szCs w:val="22"/>
          <w:lang w:val="lt-LT"/>
        </w:rPr>
        <w:t xml:space="preserve"> vartojęs pacientas).</w:t>
      </w:r>
    </w:p>
    <w:p w:rsidR="004E69EB" w:rsidRPr="00696CB1" w:rsidRDefault="004E69EB" w:rsidP="00696CB1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BC7B8A" w:rsidRPr="00696CB1" w:rsidRDefault="00BC7B8A" w:rsidP="00696CB1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Japonijoje atlikto </w:t>
      </w:r>
      <w:proofErr w:type="spellStart"/>
      <w:r w:rsidRPr="00696CB1">
        <w:rPr>
          <w:szCs w:val="22"/>
          <w:lang w:val="lt-LT"/>
        </w:rPr>
        <w:t>poregistracinio</w:t>
      </w:r>
      <w:proofErr w:type="spellEnd"/>
      <w:r w:rsidRPr="00696CB1">
        <w:rPr>
          <w:szCs w:val="22"/>
          <w:lang w:val="lt-LT"/>
        </w:rPr>
        <w:t xml:space="preserve"> stebėjimo tyrimo, kuriame dalyvavo 3350 pacient</w:t>
      </w:r>
      <w:r w:rsidR="004E69EB" w:rsidRPr="00696CB1">
        <w:rPr>
          <w:szCs w:val="22"/>
          <w:lang w:val="lt-LT"/>
        </w:rPr>
        <w:t>ų</w:t>
      </w:r>
      <w:r w:rsidRPr="00696CB1">
        <w:rPr>
          <w:szCs w:val="22"/>
          <w:lang w:val="lt-LT"/>
        </w:rPr>
        <w:t>, metu gauta</w:t>
      </w:r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pranešimų apie 5,8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vartojusių pacientų pasireiškusius </w:t>
      </w:r>
      <w:r w:rsidR="004E69EB" w:rsidRPr="00696CB1">
        <w:rPr>
          <w:szCs w:val="22"/>
          <w:lang w:val="lt-LT"/>
        </w:rPr>
        <w:t>IPL</w:t>
      </w:r>
      <w:r w:rsidRPr="00696CB1">
        <w:rPr>
          <w:szCs w:val="22"/>
          <w:lang w:val="lt-LT"/>
        </w:rPr>
        <w:t xml:space="preserve"> tipo</w:t>
      </w:r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reiškinius. 38,6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 </w:t>
      </w:r>
      <w:proofErr w:type="spellStart"/>
      <w:r w:rsidRPr="00696CB1">
        <w:rPr>
          <w:szCs w:val="22"/>
          <w:lang w:val="lt-LT"/>
        </w:rPr>
        <w:t>intersticinės</w:t>
      </w:r>
      <w:proofErr w:type="spellEnd"/>
      <w:r w:rsidRPr="00696CB1">
        <w:rPr>
          <w:szCs w:val="22"/>
          <w:lang w:val="lt-LT"/>
        </w:rPr>
        <w:t xml:space="preserve"> plaučių ligos tipo reiškinių baigėsi mirtimi.</w:t>
      </w:r>
    </w:p>
    <w:p w:rsidR="004E69EB" w:rsidRPr="00696CB1" w:rsidRDefault="004E69EB" w:rsidP="00696CB1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C13CC5" w:rsidRPr="00696CB1" w:rsidRDefault="00BC7B8A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Azijoje atlikto III fazės atviro klinikinio tyrimo (IPASS) metu lyginant </w:t>
      </w:r>
      <w:proofErr w:type="spellStart"/>
      <w:r w:rsidR="004E69EB"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ir chemoterapijos</w:t>
      </w:r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dviem vaistiniais preparatais (</w:t>
      </w:r>
      <w:proofErr w:type="spellStart"/>
      <w:r w:rsidRPr="00696CB1">
        <w:rPr>
          <w:szCs w:val="22"/>
          <w:lang w:val="lt-LT"/>
        </w:rPr>
        <w:t>karboplatinos</w:t>
      </w:r>
      <w:proofErr w:type="spellEnd"/>
      <w:r w:rsidRPr="00696CB1">
        <w:rPr>
          <w:szCs w:val="22"/>
          <w:lang w:val="lt-LT"/>
        </w:rPr>
        <w:t xml:space="preserve"> ir </w:t>
      </w:r>
      <w:proofErr w:type="spellStart"/>
      <w:r w:rsidRPr="00696CB1">
        <w:rPr>
          <w:szCs w:val="22"/>
          <w:lang w:val="lt-LT"/>
        </w:rPr>
        <w:t>paklitakselio</w:t>
      </w:r>
      <w:proofErr w:type="spellEnd"/>
      <w:r w:rsidRPr="00696CB1">
        <w:rPr>
          <w:szCs w:val="22"/>
          <w:lang w:val="lt-LT"/>
        </w:rPr>
        <w:t xml:space="preserve"> deriniu) poveikį atrinktų 1217 pacientų,</w:t>
      </w:r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sergančių progresavusiu </w:t>
      </w:r>
      <w:r w:rsidR="00094C95" w:rsidRPr="00696CB1">
        <w:rPr>
          <w:szCs w:val="22"/>
          <w:lang w:val="lt-LT"/>
        </w:rPr>
        <w:t>NSLPV</w:t>
      </w:r>
      <w:r w:rsidRPr="00696CB1">
        <w:rPr>
          <w:szCs w:val="22"/>
          <w:lang w:val="lt-LT"/>
        </w:rPr>
        <w:t xml:space="preserve">, pirmo pasirinkimo gydymui, </w:t>
      </w:r>
      <w:r w:rsidR="004E69EB" w:rsidRPr="00696CB1">
        <w:rPr>
          <w:szCs w:val="22"/>
          <w:lang w:val="lt-LT"/>
        </w:rPr>
        <w:t>IPL</w:t>
      </w:r>
      <w:r w:rsidRPr="00696CB1">
        <w:rPr>
          <w:szCs w:val="22"/>
          <w:lang w:val="lt-LT"/>
        </w:rPr>
        <w:t xml:space="preserve"> tipo reiškinių dažnis </w:t>
      </w:r>
      <w:proofErr w:type="spellStart"/>
      <w:r w:rsidR="004E69EB" w:rsidRPr="00696CB1">
        <w:rPr>
          <w:szCs w:val="22"/>
          <w:lang w:val="lt-LT"/>
        </w:rPr>
        <w:t>gefitinibo</w:t>
      </w:r>
      <w:proofErr w:type="spellEnd"/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grupėje buvo 2,6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%, o </w:t>
      </w:r>
      <w:proofErr w:type="spellStart"/>
      <w:r w:rsidRPr="00696CB1">
        <w:rPr>
          <w:szCs w:val="22"/>
          <w:lang w:val="lt-LT"/>
        </w:rPr>
        <w:t>karboplatinos</w:t>
      </w:r>
      <w:proofErr w:type="spellEnd"/>
      <w:r w:rsidRPr="00696CB1">
        <w:rPr>
          <w:szCs w:val="22"/>
          <w:lang w:val="lt-LT"/>
        </w:rPr>
        <w:t xml:space="preserve"> ir </w:t>
      </w:r>
      <w:proofErr w:type="spellStart"/>
      <w:r w:rsidRPr="00696CB1">
        <w:rPr>
          <w:szCs w:val="22"/>
          <w:lang w:val="lt-LT"/>
        </w:rPr>
        <w:t>paklitakselio</w:t>
      </w:r>
      <w:proofErr w:type="spellEnd"/>
      <w:r w:rsidRPr="00696CB1">
        <w:rPr>
          <w:szCs w:val="22"/>
          <w:lang w:val="lt-LT"/>
        </w:rPr>
        <w:t xml:space="preserve"> derinio</w:t>
      </w:r>
      <w:r w:rsidR="004E69EB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grupėje – 1,4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%.</w:t>
      </w:r>
    </w:p>
    <w:p w:rsidR="004E69EB" w:rsidRPr="00696CB1" w:rsidRDefault="004E69EB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</w:p>
    <w:p w:rsidR="00F34163" w:rsidRPr="00696CB1" w:rsidRDefault="00F34163" w:rsidP="00696CB1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Pranešimas apie įtariamas nepageidaujamas reakcijas</w:t>
      </w:r>
    </w:p>
    <w:p w:rsidR="00F34163" w:rsidRPr="00696CB1" w:rsidRDefault="00F34163" w:rsidP="00696CB1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Svarbu pranešti apie įtariamas nepageidaujamas reakcijas, pastebėtas po vaistinio preparato </w:t>
      </w:r>
      <w:r w:rsidR="00444711" w:rsidRPr="00696CB1">
        <w:rPr>
          <w:szCs w:val="22"/>
          <w:lang w:val="lt-LT"/>
        </w:rPr>
        <w:t>registracijos</w:t>
      </w:r>
      <w:r w:rsidRPr="00696CB1">
        <w:rPr>
          <w:szCs w:val="22"/>
          <w:lang w:val="lt-LT"/>
        </w:rPr>
        <w:t>, nes tai leidžia nuolat stebėti vaistinio preparato naudos ir rizikos santykį. Sveikatos priežiūros specialistai turi pranešti apie bet kokias įtariamas nepageidaujamas reakcijas, užpildę interneto svetainėje http://</w:t>
      </w:r>
      <w:hyperlink r:id="rId8" w:history="1">
        <w:r w:rsidR="005D6BD4" w:rsidRPr="00696CB1">
          <w:rPr>
            <w:rStyle w:val="Hipersaitas"/>
            <w:rFonts w:eastAsia="SimSun"/>
            <w:szCs w:val="22"/>
            <w:lang w:val="lt-LT"/>
          </w:rPr>
          <w:t>www.vvkt.lt</w:t>
        </w:r>
      </w:hyperlink>
      <w:r w:rsidRPr="00696CB1">
        <w:rPr>
          <w:szCs w:val="22"/>
          <w:lang w:val="lt-LT"/>
        </w:rPr>
        <w:t xml:space="preserve">/ esančią formą, ir </w:t>
      </w:r>
      <w:r w:rsidR="001F10B8" w:rsidRPr="00696CB1">
        <w:rPr>
          <w:szCs w:val="22"/>
          <w:lang w:val="lt-LT"/>
        </w:rPr>
        <w:t xml:space="preserve">pateikti </w:t>
      </w:r>
      <w:r w:rsidRPr="00696CB1">
        <w:rPr>
          <w:szCs w:val="22"/>
          <w:lang w:val="lt-LT"/>
        </w:rPr>
        <w:t>ją Valstybinei vaistų kontrolės tarnybai prie Lietuvos Respublikos sveikatos apsaugos ministerijos</w:t>
      </w:r>
      <w:r w:rsidR="001F10B8" w:rsidRPr="00696CB1">
        <w:rPr>
          <w:szCs w:val="22"/>
          <w:lang w:val="lt-LT"/>
        </w:rPr>
        <w:t xml:space="preserve"> vienu iš šių būdų</w:t>
      </w:r>
      <w:r w:rsidR="005D0870" w:rsidRPr="00696CB1">
        <w:rPr>
          <w:szCs w:val="22"/>
          <w:lang w:val="lt-LT"/>
        </w:rPr>
        <w:t>:</w:t>
      </w:r>
      <w:r w:rsidRPr="00696CB1">
        <w:rPr>
          <w:szCs w:val="22"/>
          <w:lang w:val="lt-LT"/>
        </w:rPr>
        <w:t xml:space="preserve"> </w:t>
      </w:r>
      <w:r w:rsidR="001F10B8" w:rsidRPr="00696CB1">
        <w:rPr>
          <w:szCs w:val="22"/>
          <w:lang w:val="lt-LT"/>
        </w:rPr>
        <w:t xml:space="preserve">raštu (adresu </w:t>
      </w:r>
      <w:r w:rsidRPr="00696CB1">
        <w:rPr>
          <w:szCs w:val="22"/>
          <w:lang w:val="lt-LT"/>
        </w:rPr>
        <w:t>Žirmūnų g. 139A, LT 09120 Vilnius</w:t>
      </w:r>
      <w:r w:rsidR="001F10B8" w:rsidRPr="00696CB1">
        <w:rPr>
          <w:szCs w:val="22"/>
          <w:lang w:val="lt-LT"/>
        </w:rPr>
        <w:t>)</w:t>
      </w:r>
      <w:r w:rsidRPr="00696CB1">
        <w:rPr>
          <w:szCs w:val="22"/>
          <w:lang w:val="lt-LT"/>
        </w:rPr>
        <w:t xml:space="preserve">, faksu </w:t>
      </w:r>
      <w:r w:rsidR="001F10B8" w:rsidRPr="00696CB1">
        <w:rPr>
          <w:szCs w:val="22"/>
          <w:lang w:val="lt-LT"/>
        </w:rPr>
        <w:t>(nemokamu fakso numeriu (8 800) 20 131),</w:t>
      </w:r>
      <w:r w:rsidRPr="00696CB1">
        <w:rPr>
          <w:szCs w:val="22"/>
          <w:lang w:val="lt-LT"/>
        </w:rPr>
        <w:t xml:space="preserve"> el</w:t>
      </w:r>
      <w:r w:rsidR="001F10B8" w:rsidRPr="00696CB1">
        <w:rPr>
          <w:szCs w:val="22"/>
          <w:lang w:val="lt-LT"/>
        </w:rPr>
        <w:t>ektroniniu</w:t>
      </w:r>
      <w:r w:rsidRPr="00696CB1">
        <w:rPr>
          <w:szCs w:val="22"/>
          <w:lang w:val="lt-LT"/>
        </w:rPr>
        <w:t xml:space="preserve"> paštu </w:t>
      </w:r>
      <w:r w:rsidR="001F10B8" w:rsidRPr="00696CB1">
        <w:rPr>
          <w:szCs w:val="22"/>
          <w:lang w:val="lt-LT"/>
        </w:rPr>
        <w:t xml:space="preserve">(adresu </w:t>
      </w:r>
      <w:hyperlink r:id="rId9" w:history="1">
        <w:r w:rsidR="005D6BD4" w:rsidRPr="00696CB1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="001F10B8" w:rsidRPr="00696CB1">
        <w:rPr>
          <w:szCs w:val="22"/>
          <w:lang w:val="lt-LT"/>
        </w:rPr>
        <w:t xml:space="preserve">), per interneto svetainę (adresu </w:t>
      </w:r>
      <w:hyperlink r:id="rId10" w:history="1">
        <w:r w:rsidR="005D6BD4" w:rsidRPr="00696CB1">
          <w:rPr>
            <w:rStyle w:val="Hipersaitas"/>
            <w:szCs w:val="22"/>
            <w:lang w:val="lt-LT"/>
          </w:rPr>
          <w:t>http://www.vvkt.lt</w:t>
        </w:r>
      </w:hyperlink>
      <w:r w:rsidR="00F47AC5" w:rsidRPr="00696CB1">
        <w:rPr>
          <w:szCs w:val="22"/>
          <w:lang w:val="lt-LT"/>
        </w:rPr>
        <w:t>)</w:t>
      </w:r>
      <w:r w:rsidR="001F10B8"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4.9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4E69EB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Specifinio gydymo perdozavus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nėra. Vis dėlto I fazės klinikinių tyrimų metu nedaugelis pacientų vartojo iki 1000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per parą. Kai kurios nepageidaujamos reakcijos (ypač viduriavimas ir odos išbėrimas) jiems </w:t>
      </w:r>
      <w:r w:rsidR="00094C95" w:rsidRPr="00696CB1">
        <w:rPr>
          <w:szCs w:val="22"/>
          <w:lang w:val="lt-LT"/>
        </w:rPr>
        <w:t>pasireiškė dažniau ir buvo</w:t>
      </w:r>
      <w:r w:rsidRPr="00696CB1">
        <w:rPr>
          <w:szCs w:val="22"/>
          <w:lang w:val="lt-LT"/>
        </w:rPr>
        <w:t xml:space="preserve"> sunkesnės. Su perdozavimu susijusias nepageidaujamas reakcijas reikia koreguoti simptomiškai (ypač svarbu tinkamai, atsižvelgiant į klinikinę būtinybę, kontroliuoti sunkų viduriavimą). Vieno tyrimo metu nedaug pacientų kas savaitę vartojo 1500-3500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 xml:space="preserve"> dozę. Šio tyrimo metu didinant dozę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ekspozicija nedidėjo, o dauguma nepageidaujamų reiškinių buvo lengvi ar vidutinio sunkumo ir atitiko žinomą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saugumo pobūdį.</w:t>
      </w:r>
    </w:p>
    <w:p w:rsidR="004E69EB" w:rsidRPr="00696CB1" w:rsidRDefault="004E69EB" w:rsidP="00696CB1">
      <w:pPr>
        <w:widowControl w:val="0"/>
        <w:spacing w:line="240" w:lineRule="auto"/>
        <w:rPr>
          <w:szCs w:val="22"/>
          <w:lang w:val="lt-LT"/>
        </w:rPr>
      </w:pPr>
    </w:p>
    <w:p w:rsidR="004E69EB" w:rsidRPr="00696CB1" w:rsidRDefault="004E69EB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5.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5.1</w:t>
      </w:r>
      <w:r w:rsidRPr="00696CB1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696CB1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305D9B" w:rsidRPr="00696CB1" w:rsidRDefault="00F34163" w:rsidP="00696CB1">
      <w:pPr>
        <w:widowControl w:val="0"/>
        <w:spacing w:line="240" w:lineRule="auto"/>
        <w:rPr>
          <w:snapToGrid/>
          <w:spacing w:val="-1"/>
          <w:szCs w:val="22"/>
          <w:lang w:val="lt-LT" w:eastAsia="en-GB"/>
        </w:rPr>
      </w:pPr>
      <w:proofErr w:type="spellStart"/>
      <w:r w:rsidRPr="00696CB1">
        <w:rPr>
          <w:szCs w:val="22"/>
          <w:lang w:val="lt-LT"/>
        </w:rPr>
        <w:t>Farmakoterapinė</w:t>
      </w:r>
      <w:proofErr w:type="spellEnd"/>
      <w:r w:rsidRPr="00696CB1">
        <w:rPr>
          <w:szCs w:val="22"/>
          <w:lang w:val="lt-LT"/>
        </w:rPr>
        <w:t xml:space="preserve"> grupė – </w:t>
      </w:r>
      <w:proofErr w:type="spellStart"/>
      <w:r w:rsidR="008C24C5" w:rsidRPr="00696CB1">
        <w:rPr>
          <w:szCs w:val="22"/>
          <w:lang w:val="lt-LT"/>
        </w:rPr>
        <w:t>antineoplastiniai</w:t>
      </w:r>
      <w:proofErr w:type="spellEnd"/>
      <w:r w:rsidR="008C24C5" w:rsidRPr="00696CB1">
        <w:rPr>
          <w:szCs w:val="22"/>
          <w:lang w:val="lt-LT"/>
        </w:rPr>
        <w:t xml:space="preserve"> vaistiniai preparatai</w:t>
      </w:r>
      <w:r w:rsidRPr="00696CB1">
        <w:rPr>
          <w:szCs w:val="22"/>
          <w:lang w:val="lt-LT"/>
        </w:rPr>
        <w:t xml:space="preserve">, </w:t>
      </w:r>
      <w:proofErr w:type="spellStart"/>
      <w:r w:rsidR="00094C95" w:rsidRPr="00696CB1">
        <w:rPr>
          <w:szCs w:val="22"/>
          <w:lang w:val="lt-LT"/>
        </w:rPr>
        <w:t>proteinkinazės</w:t>
      </w:r>
      <w:proofErr w:type="spellEnd"/>
      <w:r w:rsidR="00094C95" w:rsidRPr="00696CB1">
        <w:rPr>
          <w:szCs w:val="22"/>
          <w:lang w:val="lt-LT"/>
        </w:rPr>
        <w:t xml:space="preserve"> inhibitoriai, </w:t>
      </w:r>
      <w:r w:rsidRPr="00696CB1">
        <w:rPr>
          <w:szCs w:val="22"/>
          <w:lang w:val="lt-LT"/>
        </w:rPr>
        <w:t>ATC kodas –</w:t>
      </w:r>
      <w:r w:rsidR="008C24C5" w:rsidRPr="00696CB1">
        <w:rPr>
          <w:szCs w:val="22"/>
          <w:lang w:val="lt-LT"/>
        </w:rPr>
        <w:t xml:space="preserve"> </w:t>
      </w:r>
      <w:r w:rsidR="00305D9B" w:rsidRPr="00696CB1">
        <w:rPr>
          <w:snapToGrid/>
          <w:spacing w:val="-1"/>
          <w:szCs w:val="22"/>
          <w:lang w:val="lt-LT" w:eastAsia="en-GB"/>
        </w:rPr>
        <w:t>L01XE02</w:t>
      </w:r>
      <w:r w:rsidR="008C24C5" w:rsidRPr="00696CB1">
        <w:rPr>
          <w:snapToGrid/>
          <w:spacing w:val="-1"/>
          <w:szCs w:val="22"/>
          <w:lang w:val="lt-LT" w:eastAsia="en-GB"/>
        </w:rPr>
        <w:t>.</w:t>
      </w:r>
    </w:p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134"/>
        <w:jc w:val="both"/>
        <w:rPr>
          <w:snapToGrid/>
          <w:spacing w:val="-1"/>
          <w:szCs w:val="22"/>
          <w:lang w:val="lt-LT" w:eastAsia="en-GB"/>
        </w:rPr>
      </w:pPr>
    </w:p>
    <w:p w:rsidR="00305D9B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134"/>
        <w:jc w:val="both"/>
        <w:rPr>
          <w:snapToGrid/>
          <w:szCs w:val="22"/>
          <w:u w:val="single"/>
          <w:lang w:val="lt-LT" w:eastAsia="en-GB"/>
        </w:rPr>
      </w:pPr>
      <w:r w:rsidRPr="00696CB1">
        <w:rPr>
          <w:szCs w:val="22"/>
          <w:u w:val="single"/>
          <w:lang w:val="lt-LT"/>
        </w:rPr>
        <w:t xml:space="preserve">Veikimo mechanizmas ir </w:t>
      </w:r>
      <w:proofErr w:type="spellStart"/>
      <w:r w:rsidRPr="00696CB1">
        <w:rPr>
          <w:szCs w:val="22"/>
          <w:u w:val="single"/>
          <w:lang w:val="lt-LT"/>
        </w:rPr>
        <w:t>farmakodinaminis</w:t>
      </w:r>
      <w:proofErr w:type="spellEnd"/>
      <w:r w:rsidRPr="00696CB1">
        <w:rPr>
          <w:szCs w:val="22"/>
          <w:u w:val="single"/>
          <w:lang w:val="lt-LT"/>
        </w:rPr>
        <w:t xml:space="preserve"> poveikis</w:t>
      </w:r>
    </w:p>
    <w:p w:rsidR="005321EA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  <w:r w:rsidRPr="00696CB1">
        <w:rPr>
          <w:szCs w:val="22"/>
          <w:lang w:val="lt-LT"/>
        </w:rPr>
        <w:t>Nustatyta, kad epidermi</w:t>
      </w:r>
      <w:r w:rsidR="000805AE" w:rsidRPr="00696CB1">
        <w:rPr>
          <w:szCs w:val="22"/>
          <w:lang w:val="lt-LT"/>
        </w:rPr>
        <w:t>o</w:t>
      </w:r>
      <w:r w:rsidRPr="00696CB1">
        <w:rPr>
          <w:szCs w:val="22"/>
          <w:lang w:val="lt-LT"/>
        </w:rPr>
        <w:t xml:space="preserve"> augimo faktorius (EAF) ir jo receptorius (EAFR [HER1; ErbB1]) atlieka esminį vaidmenį vykstant normalių ir vėžinių ląstelių augimui ir </w:t>
      </w:r>
      <w:proofErr w:type="spellStart"/>
      <w:r w:rsidRPr="00696CB1">
        <w:rPr>
          <w:szCs w:val="22"/>
          <w:lang w:val="lt-LT"/>
        </w:rPr>
        <w:t>proliferacijai</w:t>
      </w:r>
      <w:proofErr w:type="spellEnd"/>
      <w:r w:rsidRPr="00696CB1">
        <w:rPr>
          <w:szCs w:val="22"/>
          <w:lang w:val="lt-LT"/>
        </w:rPr>
        <w:t xml:space="preserve">. EAFR aktyvinanti </w:t>
      </w:r>
      <w:r w:rsidRPr="00696CB1">
        <w:rPr>
          <w:szCs w:val="22"/>
          <w:lang w:val="lt-LT"/>
        </w:rPr>
        <w:lastRenderedPageBreak/>
        <w:t xml:space="preserve">mutacija vėžio ląstelėje yra svarbus veiksnys, skatinantis naviko ląstelių augimą, blokuojantis </w:t>
      </w:r>
      <w:proofErr w:type="spellStart"/>
      <w:r w:rsidRPr="00696CB1">
        <w:rPr>
          <w:szCs w:val="22"/>
          <w:lang w:val="lt-LT"/>
        </w:rPr>
        <w:t>apoptozę</w:t>
      </w:r>
      <w:proofErr w:type="spellEnd"/>
      <w:r w:rsidRPr="00696CB1">
        <w:rPr>
          <w:szCs w:val="22"/>
          <w:lang w:val="lt-LT"/>
        </w:rPr>
        <w:t xml:space="preserve">, didinantis </w:t>
      </w:r>
      <w:proofErr w:type="spellStart"/>
      <w:r w:rsidRPr="00696CB1">
        <w:rPr>
          <w:szCs w:val="22"/>
          <w:lang w:val="lt-LT"/>
        </w:rPr>
        <w:t>angiogeninių</w:t>
      </w:r>
      <w:proofErr w:type="spellEnd"/>
      <w:r w:rsidRPr="00696CB1">
        <w:rPr>
          <w:szCs w:val="22"/>
          <w:lang w:val="lt-LT"/>
        </w:rPr>
        <w:t xml:space="preserve"> faktorių gamybą ir skatinantis </w:t>
      </w:r>
      <w:proofErr w:type="spellStart"/>
      <w:r w:rsidRPr="00696CB1">
        <w:rPr>
          <w:szCs w:val="22"/>
          <w:lang w:val="lt-LT"/>
        </w:rPr>
        <w:t>metastazavimo</w:t>
      </w:r>
      <w:proofErr w:type="spellEnd"/>
      <w:r w:rsidRPr="00696CB1">
        <w:rPr>
          <w:szCs w:val="22"/>
          <w:lang w:val="lt-LT"/>
        </w:rPr>
        <w:t xml:space="preserve"> procesą.</w:t>
      </w:r>
    </w:p>
    <w:p w:rsidR="005321EA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</w:p>
    <w:p w:rsidR="000805AE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yra mažos molekulės selektyvus epidermio augimo faktoriaus receptorių </w:t>
      </w:r>
      <w:proofErr w:type="spellStart"/>
      <w:r w:rsidRPr="00696CB1">
        <w:rPr>
          <w:szCs w:val="22"/>
          <w:lang w:val="lt-LT"/>
        </w:rPr>
        <w:t>tirozinkinazės</w:t>
      </w:r>
      <w:proofErr w:type="spellEnd"/>
      <w:r w:rsidRPr="00696CB1">
        <w:rPr>
          <w:szCs w:val="22"/>
          <w:lang w:val="lt-LT"/>
        </w:rPr>
        <w:t xml:space="preserve"> inhibitorius, veiksmingas gydyti pacientams, kurių navikai turi EAFR </w:t>
      </w:r>
      <w:proofErr w:type="spellStart"/>
      <w:r w:rsidRPr="00696CB1">
        <w:rPr>
          <w:szCs w:val="22"/>
          <w:lang w:val="lt-LT"/>
        </w:rPr>
        <w:t>tirozinkinazės</w:t>
      </w:r>
      <w:proofErr w:type="spellEnd"/>
      <w:r w:rsidRPr="00696CB1">
        <w:rPr>
          <w:szCs w:val="22"/>
          <w:lang w:val="lt-LT"/>
        </w:rPr>
        <w:t xml:space="preserve"> domeną aktyvinančių mutacijų, nepriklausomai nuo gydymo </w:t>
      </w:r>
      <w:r w:rsidR="00094C95" w:rsidRPr="00696CB1">
        <w:rPr>
          <w:szCs w:val="22"/>
          <w:lang w:val="lt-LT"/>
        </w:rPr>
        <w:t>pasirinkimo eilės</w:t>
      </w:r>
      <w:r w:rsidRPr="00696CB1">
        <w:rPr>
          <w:szCs w:val="22"/>
          <w:lang w:val="lt-LT"/>
        </w:rPr>
        <w:t>. Klini</w:t>
      </w:r>
      <w:r w:rsidR="000805AE" w:rsidRPr="00696CB1">
        <w:rPr>
          <w:szCs w:val="22"/>
          <w:lang w:val="lt-LT"/>
        </w:rPr>
        <w:t>š</w:t>
      </w:r>
      <w:r w:rsidRPr="00696CB1">
        <w:rPr>
          <w:szCs w:val="22"/>
          <w:lang w:val="lt-LT"/>
        </w:rPr>
        <w:t xml:space="preserve">kai reikšmingo poveikio </w:t>
      </w:r>
      <w:r w:rsidR="00094C95" w:rsidRPr="00696CB1">
        <w:rPr>
          <w:szCs w:val="22"/>
          <w:lang w:val="lt-LT"/>
        </w:rPr>
        <w:t xml:space="preserve">pacientams, kurių navikai </w:t>
      </w:r>
      <w:r w:rsidRPr="00696CB1">
        <w:rPr>
          <w:szCs w:val="22"/>
          <w:lang w:val="lt-LT"/>
        </w:rPr>
        <w:t xml:space="preserve">EAFR mutacijų </w:t>
      </w:r>
      <w:r w:rsidR="00094C95" w:rsidRPr="00696CB1">
        <w:rPr>
          <w:szCs w:val="22"/>
          <w:lang w:val="lt-LT"/>
        </w:rPr>
        <w:t xml:space="preserve">neturi, </w:t>
      </w:r>
      <w:r w:rsidR="000805AE" w:rsidRPr="00696CB1">
        <w:rPr>
          <w:szCs w:val="22"/>
          <w:lang w:val="lt-LT"/>
        </w:rPr>
        <w:t>nenustatyta.</w:t>
      </w:r>
    </w:p>
    <w:p w:rsidR="000805AE" w:rsidRPr="00696CB1" w:rsidRDefault="000805AE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</w:p>
    <w:p w:rsidR="00B33EE1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Turimi tvirti atsako duomenys, pagrindžiantys jautrumą </w:t>
      </w:r>
      <w:proofErr w:type="spellStart"/>
      <w:r w:rsidRPr="00696CB1">
        <w:rPr>
          <w:szCs w:val="22"/>
          <w:lang w:val="lt-LT"/>
        </w:rPr>
        <w:t>gefitinibui</w:t>
      </w:r>
      <w:proofErr w:type="spellEnd"/>
      <w:r w:rsidRPr="00696CB1">
        <w:rPr>
          <w:szCs w:val="22"/>
          <w:lang w:val="lt-LT"/>
        </w:rPr>
        <w:t>, kai yra dažnų EAFR aktyvinančių mutacijų (</w:t>
      </w:r>
      <w:proofErr w:type="spellStart"/>
      <w:r w:rsidRPr="00696CB1">
        <w:rPr>
          <w:szCs w:val="22"/>
          <w:lang w:val="lt-LT"/>
        </w:rPr>
        <w:t>egzono</w:t>
      </w:r>
      <w:proofErr w:type="spellEnd"/>
      <w:r w:rsidRPr="00696CB1">
        <w:rPr>
          <w:szCs w:val="22"/>
          <w:lang w:val="lt-LT"/>
        </w:rPr>
        <w:t xml:space="preserve"> 19 </w:t>
      </w:r>
      <w:proofErr w:type="spellStart"/>
      <w:r w:rsidRPr="00696CB1">
        <w:rPr>
          <w:szCs w:val="22"/>
          <w:lang w:val="lt-LT"/>
        </w:rPr>
        <w:t>delecija</w:t>
      </w:r>
      <w:proofErr w:type="spellEnd"/>
      <w:r w:rsidRPr="00696CB1">
        <w:rPr>
          <w:szCs w:val="22"/>
          <w:lang w:val="lt-LT"/>
        </w:rPr>
        <w:t xml:space="preserve"> arba L858R), pvz., neprogresuojant ligai išgyvento laikotarpio </w:t>
      </w:r>
      <w:r w:rsidR="00BE07CE" w:rsidRPr="00696CB1">
        <w:rPr>
          <w:szCs w:val="22"/>
          <w:lang w:val="lt-LT"/>
        </w:rPr>
        <w:t>rizikos santykis</w:t>
      </w:r>
      <w:r w:rsidRPr="00696CB1">
        <w:rPr>
          <w:szCs w:val="22"/>
          <w:lang w:val="lt-LT"/>
        </w:rPr>
        <w:t xml:space="preserve"> </w:t>
      </w:r>
      <w:r w:rsidR="00964E6F" w:rsidRPr="00696CB1">
        <w:rPr>
          <w:szCs w:val="22"/>
          <w:lang w:val="lt-LT"/>
        </w:rPr>
        <w:t>(</w:t>
      </w:r>
      <w:r w:rsidR="00D06C66" w:rsidRPr="00696CB1">
        <w:rPr>
          <w:szCs w:val="22"/>
          <w:lang w:val="lt-LT"/>
        </w:rPr>
        <w:t>HR</w:t>
      </w:r>
      <w:r w:rsidR="00964E6F" w:rsidRPr="00696CB1">
        <w:rPr>
          <w:szCs w:val="22"/>
          <w:lang w:val="lt-LT"/>
        </w:rPr>
        <w:t xml:space="preserve">) </w:t>
      </w:r>
      <w:r w:rsidRPr="00696CB1">
        <w:rPr>
          <w:szCs w:val="22"/>
          <w:lang w:val="lt-LT"/>
        </w:rPr>
        <w:t>(95</w:t>
      </w:r>
      <w:r w:rsidR="00D353BC">
        <w:rPr>
          <w:szCs w:val="22"/>
          <w:lang w:val="lt-LT"/>
        </w:rPr>
        <w:t> </w:t>
      </w:r>
      <w:r w:rsidR="000779FD" w:rsidRPr="00696CB1">
        <w:rPr>
          <w:szCs w:val="22"/>
          <w:lang w:val="lt-LT"/>
        </w:rPr>
        <w:t>%</w:t>
      </w:r>
      <w:r w:rsidRPr="00696CB1">
        <w:rPr>
          <w:szCs w:val="22"/>
          <w:lang w:val="lt-LT"/>
        </w:rPr>
        <w:t xml:space="preserve"> PI), palyginus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ir dvigubos chemoterapijos grupes</w:t>
      </w:r>
      <w:r w:rsidR="00BE07CE" w:rsidRPr="00696CB1">
        <w:rPr>
          <w:szCs w:val="22"/>
          <w:lang w:val="lt-LT"/>
        </w:rPr>
        <w:t>,</w:t>
      </w:r>
      <w:r w:rsidRPr="00696CB1">
        <w:rPr>
          <w:szCs w:val="22"/>
          <w:lang w:val="lt-LT"/>
        </w:rPr>
        <w:t xml:space="preserve"> yra 0,</w:t>
      </w:r>
      <w:r w:rsidR="00BE07CE" w:rsidRPr="00696CB1">
        <w:rPr>
          <w:szCs w:val="22"/>
          <w:lang w:val="lt-LT"/>
        </w:rPr>
        <w:t xml:space="preserve">489 (0,336, 0,710) [WJTOG3405]. </w:t>
      </w:r>
      <w:r w:rsidRPr="00696CB1">
        <w:rPr>
          <w:szCs w:val="22"/>
          <w:lang w:val="lt-LT"/>
        </w:rPr>
        <w:t xml:space="preserve">Pacientams, kurių navikai turi retesnių mutacijų, atsako į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duomenų yra mažiau. Turimi duomenys rodo, kad G719X, L861Q ir S7681 mutacijos didina jautrumą, o vien T79</w:t>
      </w:r>
      <w:r w:rsidR="00B33EE1" w:rsidRPr="00696CB1">
        <w:rPr>
          <w:szCs w:val="22"/>
          <w:lang w:val="lt-LT"/>
        </w:rPr>
        <w:t xml:space="preserve">0M ar vien </w:t>
      </w:r>
      <w:proofErr w:type="spellStart"/>
      <w:r w:rsidR="00B33EE1" w:rsidRPr="00696CB1">
        <w:rPr>
          <w:szCs w:val="22"/>
          <w:lang w:val="lt-LT"/>
        </w:rPr>
        <w:t>egzono</w:t>
      </w:r>
      <w:proofErr w:type="spellEnd"/>
      <w:r w:rsidR="00B33EE1" w:rsidRPr="00696CB1">
        <w:rPr>
          <w:szCs w:val="22"/>
          <w:lang w:val="lt-LT"/>
        </w:rPr>
        <w:t xml:space="preserve"> 20 intarpai </w:t>
      </w:r>
      <w:r w:rsidR="00703169" w:rsidRPr="00696CB1">
        <w:rPr>
          <w:szCs w:val="22"/>
          <w:lang w:val="lt-LT"/>
        </w:rPr>
        <w:t>yra susiję su atsparumo mechanizmais</w:t>
      </w:r>
      <w:r w:rsidR="00B33EE1" w:rsidRPr="00696CB1">
        <w:rPr>
          <w:szCs w:val="22"/>
          <w:lang w:val="lt-LT"/>
        </w:rPr>
        <w:t>.</w:t>
      </w:r>
    </w:p>
    <w:p w:rsidR="00B33EE1" w:rsidRPr="00696CB1" w:rsidRDefault="00B33EE1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</w:p>
    <w:p w:rsidR="00B33EE1" w:rsidRPr="00696CB1" w:rsidRDefault="00B33EE1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Atsparumas</w:t>
      </w:r>
    </w:p>
    <w:p w:rsidR="00F7110C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Dauguma atvejų </w:t>
      </w:r>
      <w:r w:rsidR="00444983" w:rsidRPr="00696CB1">
        <w:rPr>
          <w:szCs w:val="22"/>
          <w:lang w:val="lt-LT"/>
        </w:rPr>
        <w:t>NSLPV navikas</w:t>
      </w:r>
      <w:r w:rsidRPr="00696CB1">
        <w:rPr>
          <w:szCs w:val="22"/>
          <w:lang w:val="lt-LT"/>
        </w:rPr>
        <w:t xml:space="preserve">, turintis jautrumą didinančių EAFR </w:t>
      </w:r>
      <w:proofErr w:type="spellStart"/>
      <w:r w:rsidRPr="00696CB1">
        <w:rPr>
          <w:szCs w:val="22"/>
          <w:lang w:val="lt-LT"/>
        </w:rPr>
        <w:t>kinazės</w:t>
      </w:r>
      <w:proofErr w:type="spellEnd"/>
      <w:r w:rsidRPr="00696CB1">
        <w:rPr>
          <w:szCs w:val="22"/>
          <w:lang w:val="lt-LT"/>
        </w:rPr>
        <w:t xml:space="preserve"> mutacijų, ilgainiui tampa atsparus </w:t>
      </w:r>
      <w:r w:rsidR="00A426A1" w:rsidRPr="00696CB1">
        <w:rPr>
          <w:szCs w:val="22"/>
          <w:lang w:val="lt-LT"/>
        </w:rPr>
        <w:t xml:space="preserve">gydymui </w:t>
      </w:r>
      <w:proofErr w:type="spellStart"/>
      <w:r w:rsidR="00A426A1" w:rsidRPr="00696CB1">
        <w:rPr>
          <w:szCs w:val="22"/>
          <w:lang w:val="lt-LT"/>
        </w:rPr>
        <w:t>gefitinibu</w:t>
      </w:r>
      <w:proofErr w:type="spellEnd"/>
      <w:r w:rsidRPr="00696CB1">
        <w:rPr>
          <w:szCs w:val="22"/>
          <w:lang w:val="lt-LT"/>
        </w:rPr>
        <w:t>. Laikotarpio iki ligos progresavimo mediana yra 1</w:t>
      </w:r>
      <w:r w:rsidR="00F7110C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metai. M</w:t>
      </w:r>
      <w:r w:rsidR="00F7110C" w:rsidRPr="00696CB1">
        <w:rPr>
          <w:szCs w:val="22"/>
          <w:lang w:val="lt-LT"/>
        </w:rPr>
        <w:t>aždaug 60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% atvejų atsparumas būna susijęs su antrine T790M mutacija, kuri</w:t>
      </w:r>
      <w:r w:rsidR="00F7110C" w:rsidRPr="00696CB1">
        <w:rPr>
          <w:szCs w:val="22"/>
          <w:lang w:val="lt-LT"/>
        </w:rPr>
        <w:t>ą</w:t>
      </w:r>
      <w:r w:rsidRPr="00696CB1">
        <w:rPr>
          <w:szCs w:val="22"/>
          <w:lang w:val="lt-LT"/>
        </w:rPr>
        <w:t xml:space="preserve"> turintiems navikams gydyti kito</w:t>
      </w:r>
      <w:r w:rsidR="00F7110C" w:rsidRPr="00696CB1">
        <w:rPr>
          <w:szCs w:val="22"/>
          <w:lang w:val="lt-LT"/>
        </w:rPr>
        <w:t xml:space="preserve"> pasirinkimo</w:t>
      </w:r>
      <w:r w:rsidRPr="00696CB1">
        <w:rPr>
          <w:szCs w:val="22"/>
          <w:lang w:val="lt-LT"/>
        </w:rPr>
        <w:t xml:space="preserve"> vaistinis preparatas </w:t>
      </w:r>
      <w:r w:rsidR="00F7110C" w:rsidRPr="00696CB1">
        <w:rPr>
          <w:szCs w:val="22"/>
          <w:lang w:val="lt-LT"/>
        </w:rPr>
        <w:t>gali</w:t>
      </w:r>
      <w:r w:rsidRPr="00696CB1">
        <w:rPr>
          <w:szCs w:val="22"/>
          <w:lang w:val="lt-LT"/>
        </w:rPr>
        <w:t xml:space="preserve"> būti į T790M nutaikytas EAFR </w:t>
      </w:r>
      <w:proofErr w:type="spellStart"/>
      <w:r w:rsidRPr="00696CB1">
        <w:rPr>
          <w:szCs w:val="22"/>
          <w:lang w:val="lt-LT"/>
        </w:rPr>
        <w:t>tirozinkinazės</w:t>
      </w:r>
      <w:proofErr w:type="spellEnd"/>
      <w:r w:rsidRPr="00696CB1">
        <w:rPr>
          <w:szCs w:val="22"/>
          <w:lang w:val="lt-LT"/>
        </w:rPr>
        <w:t xml:space="preserve"> inhibitorius. Kiti galimi atsparumo mechanizmai, </w:t>
      </w:r>
      <w:r w:rsidR="00F7110C" w:rsidRPr="00696CB1">
        <w:rPr>
          <w:szCs w:val="22"/>
          <w:lang w:val="lt-LT"/>
        </w:rPr>
        <w:t>nustatyti</w:t>
      </w:r>
      <w:r w:rsidRPr="00696CB1">
        <w:rPr>
          <w:szCs w:val="22"/>
          <w:lang w:val="lt-LT"/>
        </w:rPr>
        <w:t xml:space="preserve"> gydant EAFR signalą blokuojančiais vaistiniais preparatais, yra signalo perdavimas kitais būdais, pvz., per HER2, MET geno </w:t>
      </w:r>
      <w:proofErr w:type="spellStart"/>
      <w:r w:rsidRPr="00696CB1">
        <w:rPr>
          <w:szCs w:val="22"/>
          <w:lang w:val="lt-LT"/>
        </w:rPr>
        <w:t>amplifikacija</w:t>
      </w:r>
      <w:proofErr w:type="spellEnd"/>
      <w:r w:rsidRPr="00696CB1">
        <w:rPr>
          <w:szCs w:val="22"/>
          <w:lang w:val="lt-LT"/>
        </w:rPr>
        <w:t xml:space="preserve"> i</w:t>
      </w:r>
      <w:r w:rsidR="00F7110C" w:rsidRPr="00696CB1">
        <w:rPr>
          <w:szCs w:val="22"/>
          <w:lang w:val="lt-LT"/>
        </w:rPr>
        <w:t>r PIK3CA mutacijos. Be to, 5-10</w:t>
      </w:r>
      <w:r w:rsidRPr="00696CB1">
        <w:rPr>
          <w:szCs w:val="22"/>
          <w:lang w:val="lt-LT"/>
        </w:rPr>
        <w:t>% atvejų plaučių vėžio fenotipas</w:t>
      </w:r>
      <w:r w:rsidR="00F7110C" w:rsidRPr="00696CB1">
        <w:rPr>
          <w:szCs w:val="22"/>
          <w:lang w:val="lt-LT"/>
        </w:rPr>
        <w:t xml:space="preserve"> pasikeičia į </w:t>
      </w:r>
      <w:proofErr w:type="spellStart"/>
      <w:r w:rsidR="00F7110C" w:rsidRPr="00696CB1">
        <w:rPr>
          <w:szCs w:val="22"/>
          <w:lang w:val="lt-LT"/>
        </w:rPr>
        <w:t>smulkialąstelinį</w:t>
      </w:r>
      <w:proofErr w:type="spellEnd"/>
      <w:r w:rsidR="00F7110C" w:rsidRPr="00696CB1">
        <w:rPr>
          <w:szCs w:val="22"/>
          <w:lang w:val="lt-LT"/>
        </w:rPr>
        <w:t>.</w:t>
      </w:r>
    </w:p>
    <w:p w:rsidR="00F7110C" w:rsidRPr="00696CB1" w:rsidRDefault="00F7110C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</w:p>
    <w:p w:rsidR="00F7110C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Cirkuliuojanti navikinė DNR (</w:t>
      </w:r>
      <w:proofErr w:type="spellStart"/>
      <w:r w:rsidRPr="00696CB1">
        <w:rPr>
          <w:i/>
          <w:szCs w:val="22"/>
          <w:lang w:val="lt-LT"/>
        </w:rPr>
        <w:t>cnDNR</w:t>
      </w:r>
      <w:proofErr w:type="spellEnd"/>
      <w:r w:rsidRPr="00696CB1">
        <w:rPr>
          <w:i/>
          <w:szCs w:val="22"/>
          <w:lang w:val="lt-LT"/>
        </w:rPr>
        <w:t>)</w:t>
      </w:r>
    </w:p>
    <w:p w:rsidR="005321EA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IFUM tyrimo metu vertinta navikų ir </w:t>
      </w:r>
      <w:r w:rsidR="000779FD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 xml:space="preserve">plazmos </w:t>
      </w:r>
      <w:proofErr w:type="spellStart"/>
      <w:r w:rsidRPr="00696CB1">
        <w:rPr>
          <w:szCs w:val="22"/>
          <w:lang w:val="lt-LT"/>
        </w:rPr>
        <w:t>cnDNR</w:t>
      </w:r>
      <w:proofErr w:type="spellEnd"/>
      <w:r w:rsidRPr="00696CB1">
        <w:rPr>
          <w:szCs w:val="22"/>
          <w:lang w:val="lt-LT"/>
        </w:rPr>
        <w:t xml:space="preserve"> mėginių mutacijų būklė </w:t>
      </w:r>
      <w:r w:rsidR="000779FD" w:rsidRPr="00696CB1">
        <w:rPr>
          <w:szCs w:val="22"/>
          <w:lang w:val="lt-LT"/>
        </w:rPr>
        <w:t>naudojant rinkinį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Therascreen</w:t>
      </w:r>
      <w:proofErr w:type="spellEnd"/>
      <w:r w:rsidRPr="00696CB1">
        <w:rPr>
          <w:i/>
          <w:szCs w:val="22"/>
          <w:lang w:val="lt-LT"/>
        </w:rPr>
        <w:t xml:space="preserve"> EGFR RGQ PCR </w:t>
      </w:r>
      <w:proofErr w:type="spellStart"/>
      <w:r w:rsidRPr="00696CB1">
        <w:rPr>
          <w:i/>
          <w:szCs w:val="22"/>
          <w:lang w:val="lt-LT"/>
        </w:rPr>
        <w:t>kit</w:t>
      </w:r>
      <w:proofErr w:type="spellEnd"/>
      <w:r w:rsidRPr="00696CB1">
        <w:rPr>
          <w:szCs w:val="22"/>
          <w:lang w:val="lt-LT"/>
        </w:rPr>
        <w:t xml:space="preserve"> (</w:t>
      </w:r>
      <w:proofErr w:type="spellStart"/>
      <w:r w:rsidRPr="00696CB1">
        <w:rPr>
          <w:szCs w:val="22"/>
          <w:lang w:val="lt-LT"/>
        </w:rPr>
        <w:t>Qiagen</w:t>
      </w:r>
      <w:proofErr w:type="spellEnd"/>
      <w:r w:rsidRPr="00696CB1">
        <w:rPr>
          <w:szCs w:val="22"/>
          <w:lang w:val="lt-LT"/>
        </w:rPr>
        <w:t>). 652 iš 1060 ištirtų pacientų pavyko įvertinti abu (</w:t>
      </w:r>
      <w:proofErr w:type="spellStart"/>
      <w:r w:rsidRPr="00696CB1">
        <w:rPr>
          <w:szCs w:val="22"/>
          <w:lang w:val="lt-LT"/>
        </w:rPr>
        <w:t>cnDNR</w:t>
      </w:r>
      <w:proofErr w:type="spellEnd"/>
      <w:r w:rsidRPr="00696CB1">
        <w:rPr>
          <w:szCs w:val="22"/>
          <w:lang w:val="lt-LT"/>
        </w:rPr>
        <w:t xml:space="preserve"> ir naviko) mėginius. Pacientams, kuriems nustatytos abi (naviko ir </w:t>
      </w:r>
      <w:proofErr w:type="spellStart"/>
      <w:r w:rsidRPr="00696CB1">
        <w:rPr>
          <w:szCs w:val="22"/>
          <w:lang w:val="lt-LT"/>
        </w:rPr>
        <w:t>cnDNR</w:t>
      </w:r>
      <w:proofErr w:type="spellEnd"/>
      <w:r w:rsidRPr="00696CB1">
        <w:rPr>
          <w:szCs w:val="22"/>
          <w:lang w:val="lt-LT"/>
        </w:rPr>
        <w:t xml:space="preserve">) mutacijos, objektyvaus atsako dažnis (angl. </w:t>
      </w:r>
      <w:proofErr w:type="spellStart"/>
      <w:r w:rsidRPr="00696CB1">
        <w:rPr>
          <w:i/>
          <w:szCs w:val="22"/>
          <w:lang w:val="lt-LT"/>
        </w:rPr>
        <w:t>objective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response</w:t>
      </w:r>
      <w:proofErr w:type="spellEnd"/>
      <w:r w:rsidRPr="00696CB1">
        <w:rPr>
          <w:i/>
          <w:szCs w:val="22"/>
          <w:lang w:val="lt-LT"/>
        </w:rPr>
        <w:t xml:space="preserve"> rate</w:t>
      </w:r>
      <w:r w:rsidRPr="00696CB1">
        <w:rPr>
          <w:szCs w:val="22"/>
          <w:lang w:val="lt-LT"/>
        </w:rPr>
        <w:t>, ORR) buvo 77</w:t>
      </w:r>
      <w:r w:rsidR="000779FD" w:rsidRPr="00696CB1">
        <w:rPr>
          <w:szCs w:val="22"/>
          <w:lang w:val="lt-LT"/>
        </w:rPr>
        <w:t>%</w:t>
      </w:r>
      <w:r w:rsidRPr="00696CB1">
        <w:rPr>
          <w:szCs w:val="22"/>
          <w:lang w:val="lt-LT"/>
        </w:rPr>
        <w:t xml:space="preserve"> (95</w:t>
      </w:r>
      <w:r w:rsidR="00D353BC">
        <w:rPr>
          <w:szCs w:val="22"/>
          <w:lang w:val="lt-LT"/>
        </w:rPr>
        <w:t> </w:t>
      </w:r>
      <w:r w:rsidR="000779FD" w:rsidRPr="00696CB1">
        <w:rPr>
          <w:szCs w:val="22"/>
          <w:lang w:val="lt-LT"/>
        </w:rPr>
        <w:t>%</w:t>
      </w:r>
      <w:r w:rsidRPr="00696CB1">
        <w:rPr>
          <w:szCs w:val="22"/>
          <w:lang w:val="lt-LT"/>
        </w:rPr>
        <w:t xml:space="preserve"> PI 66-86</w:t>
      </w:r>
      <w:r w:rsidR="00D353BC">
        <w:rPr>
          <w:szCs w:val="22"/>
          <w:lang w:val="lt-LT"/>
        </w:rPr>
        <w:t> </w:t>
      </w:r>
      <w:r w:rsidR="000779FD" w:rsidRPr="00696CB1">
        <w:rPr>
          <w:szCs w:val="22"/>
          <w:lang w:val="lt-LT"/>
        </w:rPr>
        <w:t>%</w:t>
      </w:r>
      <w:r w:rsidRPr="00696CB1">
        <w:rPr>
          <w:szCs w:val="22"/>
          <w:lang w:val="lt-LT"/>
        </w:rPr>
        <w:t>), o kuriems nustatyta tik naviko mutacija – 60</w:t>
      </w:r>
      <w:r w:rsidR="00D353BC">
        <w:rPr>
          <w:szCs w:val="22"/>
          <w:lang w:val="lt-LT"/>
        </w:rPr>
        <w:t> </w:t>
      </w:r>
      <w:r w:rsidR="000779FD" w:rsidRPr="00696CB1">
        <w:rPr>
          <w:szCs w:val="22"/>
          <w:lang w:val="lt-LT"/>
        </w:rPr>
        <w:t>%</w:t>
      </w:r>
      <w:r w:rsidRPr="00696CB1">
        <w:rPr>
          <w:szCs w:val="22"/>
          <w:lang w:val="lt-LT"/>
        </w:rPr>
        <w:t xml:space="preserve"> (95</w:t>
      </w:r>
      <w:r w:rsidR="00D353BC">
        <w:rPr>
          <w:szCs w:val="22"/>
          <w:lang w:val="lt-LT"/>
        </w:rPr>
        <w:t> </w:t>
      </w:r>
      <w:r w:rsidR="000779FD" w:rsidRPr="00696CB1">
        <w:rPr>
          <w:szCs w:val="22"/>
          <w:lang w:val="lt-LT"/>
        </w:rPr>
        <w:t>%</w:t>
      </w:r>
      <w:r w:rsidRPr="00696CB1">
        <w:rPr>
          <w:szCs w:val="22"/>
          <w:lang w:val="lt-LT"/>
        </w:rPr>
        <w:t xml:space="preserve"> PI – 44-74</w:t>
      </w:r>
      <w:r w:rsidR="00D353BC">
        <w:rPr>
          <w:szCs w:val="22"/>
          <w:lang w:val="lt-LT"/>
        </w:rPr>
        <w:t> </w:t>
      </w:r>
      <w:r w:rsidR="000779FD" w:rsidRPr="00696CB1">
        <w:rPr>
          <w:szCs w:val="22"/>
          <w:lang w:val="lt-LT"/>
        </w:rPr>
        <w:t>%</w:t>
      </w:r>
      <w:r w:rsidR="00EB201F" w:rsidRPr="00696CB1">
        <w:rPr>
          <w:szCs w:val="22"/>
          <w:lang w:val="lt-LT"/>
        </w:rPr>
        <w:t>).</w:t>
      </w:r>
    </w:p>
    <w:p w:rsidR="005321EA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rPr>
          <w:szCs w:val="22"/>
          <w:lang w:val="lt-LT"/>
        </w:rPr>
      </w:pPr>
    </w:p>
    <w:p w:rsidR="00305D9B" w:rsidRPr="00696CB1" w:rsidRDefault="005321EA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265"/>
        <w:jc w:val="both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 xml:space="preserve">2 lentelė. Visų </w:t>
      </w:r>
      <w:r w:rsidR="00444983" w:rsidRPr="00696CB1">
        <w:rPr>
          <w:b/>
          <w:szCs w:val="22"/>
          <w:lang w:val="lt-LT"/>
        </w:rPr>
        <w:t>į pirminę atranką įtrauktų</w:t>
      </w:r>
      <w:r w:rsidRPr="00696CB1">
        <w:rPr>
          <w:b/>
          <w:szCs w:val="22"/>
          <w:lang w:val="lt-LT"/>
        </w:rPr>
        <w:t xml:space="preserve"> pacientų, kurių abu mėginius pavyko įvertinti, pradinės navikų ir </w:t>
      </w:r>
      <w:proofErr w:type="spellStart"/>
      <w:r w:rsidRPr="00696CB1">
        <w:rPr>
          <w:b/>
          <w:szCs w:val="22"/>
          <w:lang w:val="lt-LT"/>
        </w:rPr>
        <w:t>cnDNR</w:t>
      </w:r>
      <w:proofErr w:type="spellEnd"/>
      <w:r w:rsidRPr="00696CB1">
        <w:rPr>
          <w:b/>
          <w:szCs w:val="22"/>
          <w:lang w:val="lt-LT"/>
        </w:rPr>
        <w:t xml:space="preserve"> mutacijų būklės duomenų santrauka.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3490"/>
        <w:gridCol w:w="2292"/>
        <w:gridCol w:w="1392"/>
      </w:tblGrid>
      <w:tr w:rsidR="00305D9B" w:rsidRPr="00696CB1" w:rsidTr="00E94ADD">
        <w:trPr>
          <w:trHeight w:hRule="exact" w:val="53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013E39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Rodmuo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013E39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Definicija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013E39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Dažnis IFUM</w:t>
            </w:r>
            <w:r w:rsidR="00444983" w:rsidRPr="00696CB1">
              <w:rPr>
                <w:snapToGrid/>
                <w:spacing w:val="-1"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duomenimis, % (PI)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08" w:right="417" w:hanging="197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IFUM</w:t>
            </w:r>
            <w:r w:rsidRPr="00696CB1">
              <w:rPr>
                <w:snapToGrid/>
                <w:spacing w:val="19"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zCs w:val="22"/>
                <w:lang w:val="lt-LT"/>
              </w:rPr>
              <w:t>N</w:t>
            </w:r>
          </w:p>
        </w:tc>
      </w:tr>
      <w:tr w:rsidR="00305D9B" w:rsidRPr="00696CB1" w:rsidTr="00E94ADD">
        <w:trPr>
          <w:trHeight w:hRule="exact" w:val="528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013E39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 xml:space="preserve">Jautrumas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013E39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1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 xml:space="preserve">Navikų M+ dalis, kai </w:t>
            </w:r>
            <w:proofErr w:type="spellStart"/>
            <w:r w:rsidRPr="00696CB1">
              <w:rPr>
                <w:snapToGrid/>
                <w:spacing w:val="-1"/>
                <w:szCs w:val="22"/>
                <w:lang w:val="lt-LT"/>
              </w:rPr>
              <w:t>cnDNR</w:t>
            </w:r>
            <w:proofErr w:type="spellEnd"/>
            <w:r w:rsidRPr="00696CB1">
              <w:rPr>
                <w:snapToGrid/>
                <w:spacing w:val="-1"/>
                <w:szCs w:val="22"/>
                <w:lang w:val="lt-LT"/>
              </w:rPr>
              <w:t xml:space="preserve"> rodė M+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4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65</w:t>
            </w:r>
            <w:r w:rsidR="00013E39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 (55</w:t>
            </w:r>
            <w:r w:rsidR="00013E39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8, 74</w:t>
            </w:r>
            <w:r w:rsidR="00013E39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105</w:t>
            </w:r>
          </w:p>
        </w:tc>
      </w:tr>
      <w:tr w:rsidR="00305D9B" w:rsidRPr="00696CB1" w:rsidTr="00E94ADD">
        <w:trPr>
          <w:trHeight w:hRule="exact" w:val="53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013E39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Specifiškumas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013E39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4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 xml:space="preserve">Navikų M- dalis, kai </w:t>
            </w:r>
            <w:proofErr w:type="spellStart"/>
            <w:r w:rsidRPr="00696CB1">
              <w:rPr>
                <w:snapToGrid/>
                <w:spacing w:val="-1"/>
                <w:szCs w:val="22"/>
                <w:lang w:val="lt-LT"/>
              </w:rPr>
              <w:t>cnDNR</w:t>
            </w:r>
            <w:proofErr w:type="spellEnd"/>
            <w:r w:rsidRPr="00696CB1">
              <w:rPr>
                <w:snapToGrid/>
                <w:spacing w:val="-1"/>
                <w:szCs w:val="22"/>
                <w:lang w:val="lt-LT"/>
              </w:rPr>
              <w:t xml:space="preserve"> rodė M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49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99</w:t>
            </w:r>
            <w:r w:rsidR="00013E39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 (99</w:t>
            </w:r>
            <w:r w:rsidR="00013E39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0, 100</w:t>
            </w:r>
            <w:r w:rsidR="00013E39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547</w:t>
            </w:r>
          </w:p>
        </w:tc>
      </w:tr>
    </w:tbl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i/>
          <w:iCs/>
          <w:snapToGrid/>
          <w:szCs w:val="22"/>
          <w:lang w:val="lt-LT" w:eastAsia="en-GB"/>
        </w:rPr>
      </w:pPr>
    </w:p>
    <w:p w:rsidR="00013E39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Šie duomenys atitinka gautus IPASS tyrimo metu atlikus iš anksto numatytą japonų pogrupio žvalgomąją analizę (Goto 2012). Jo metu rinkiniu </w:t>
      </w:r>
      <w:r w:rsidRPr="00696CB1">
        <w:rPr>
          <w:i/>
          <w:szCs w:val="22"/>
          <w:lang w:val="lt-LT"/>
        </w:rPr>
        <w:t xml:space="preserve">EGFR </w:t>
      </w:r>
      <w:proofErr w:type="spellStart"/>
      <w:r w:rsidRPr="00696CB1">
        <w:rPr>
          <w:i/>
          <w:szCs w:val="22"/>
          <w:lang w:val="lt-LT"/>
        </w:rPr>
        <w:t>Mutation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Test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Kit</w:t>
      </w:r>
      <w:proofErr w:type="spellEnd"/>
      <w:r w:rsidRPr="00696CB1">
        <w:rPr>
          <w:szCs w:val="22"/>
          <w:lang w:val="lt-LT"/>
        </w:rPr>
        <w:t xml:space="preserve"> (</w:t>
      </w:r>
      <w:proofErr w:type="spellStart"/>
      <w:r w:rsidRPr="00696CB1">
        <w:rPr>
          <w:szCs w:val="22"/>
          <w:lang w:val="lt-LT"/>
        </w:rPr>
        <w:t>DxS</w:t>
      </w:r>
      <w:proofErr w:type="spellEnd"/>
      <w:r w:rsidRPr="00696CB1">
        <w:rPr>
          <w:szCs w:val="22"/>
          <w:lang w:val="lt-LT"/>
        </w:rPr>
        <w:t xml:space="preserve">) ištyrus iš kraujo serumo (ne plazmos) gautos </w:t>
      </w:r>
      <w:proofErr w:type="spellStart"/>
      <w:r w:rsidRPr="00696CB1">
        <w:rPr>
          <w:szCs w:val="22"/>
          <w:lang w:val="lt-LT"/>
        </w:rPr>
        <w:t>cnDNR</w:t>
      </w:r>
      <w:proofErr w:type="spellEnd"/>
      <w:r w:rsidRPr="00696CB1">
        <w:rPr>
          <w:szCs w:val="22"/>
          <w:lang w:val="lt-LT"/>
        </w:rPr>
        <w:t xml:space="preserve"> EAFR mutacijas (N= 6), jautrumas buvo 43,1</w:t>
      </w:r>
      <w:r w:rsidR="00D353BC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%, o specifiškumas – 100</w:t>
      </w:r>
      <w:r w:rsidR="00BA2583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%.</w:t>
      </w:r>
    </w:p>
    <w:p w:rsidR="00013E39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zCs w:val="22"/>
          <w:lang w:val="lt-LT"/>
        </w:rPr>
      </w:pPr>
    </w:p>
    <w:p w:rsidR="00013E39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Klinikinis veiksmingumas ir saugumas</w:t>
      </w:r>
    </w:p>
    <w:p w:rsidR="00013E39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Pirmojo pasirinkimo gydymas</w:t>
      </w:r>
    </w:p>
    <w:p w:rsidR="00876435" w:rsidRPr="00696CB1" w:rsidRDefault="00876435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i/>
          <w:szCs w:val="22"/>
          <w:lang w:val="lt-LT"/>
        </w:rPr>
      </w:pPr>
    </w:p>
    <w:p w:rsidR="00013E39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Atsitiktin</w:t>
      </w:r>
      <w:r w:rsidR="00444983" w:rsidRPr="00696CB1">
        <w:rPr>
          <w:szCs w:val="22"/>
          <w:lang w:val="lt-LT"/>
        </w:rPr>
        <w:t>ių imčių</w:t>
      </w:r>
      <w:r w:rsidRPr="00696CB1">
        <w:rPr>
          <w:szCs w:val="22"/>
          <w:lang w:val="lt-LT"/>
        </w:rPr>
        <w:t xml:space="preserve"> III fazės pirmojo pasirinkimo gydymo IPASS tyrime dalyvavo Azijos</w:t>
      </w:r>
      <w:r w:rsidRPr="00696CB1">
        <w:rPr>
          <w:szCs w:val="22"/>
          <w:vertAlign w:val="superscript"/>
          <w:lang w:val="lt-LT"/>
        </w:rPr>
        <w:t>1</w:t>
      </w:r>
      <w:r w:rsidRPr="00696CB1">
        <w:rPr>
          <w:szCs w:val="22"/>
          <w:lang w:val="lt-LT"/>
        </w:rPr>
        <w:t xml:space="preserve"> pacientai, sirgę progresavusiu (IIIB arba IV stadijos) </w:t>
      </w:r>
      <w:proofErr w:type="spellStart"/>
      <w:r w:rsidRPr="00696CB1">
        <w:rPr>
          <w:szCs w:val="22"/>
          <w:lang w:val="lt-LT"/>
        </w:rPr>
        <w:t>adenokarcinomos</w:t>
      </w:r>
      <w:proofErr w:type="spellEnd"/>
      <w:r w:rsidRPr="00696CB1">
        <w:rPr>
          <w:szCs w:val="22"/>
          <w:lang w:val="lt-LT"/>
        </w:rPr>
        <w:t xml:space="preserve"> histologinės struktūros </w:t>
      </w:r>
      <w:r w:rsidR="00444983" w:rsidRPr="00696CB1">
        <w:rPr>
          <w:szCs w:val="22"/>
          <w:lang w:val="lt-LT"/>
        </w:rPr>
        <w:t>NSLPV</w:t>
      </w:r>
      <w:r w:rsidRPr="00696CB1">
        <w:rPr>
          <w:szCs w:val="22"/>
          <w:lang w:val="lt-LT"/>
        </w:rPr>
        <w:t>. Šie pacientai anksčiau rūkė nedaug (mažiau kaip 10 pakelių per metus, metė rūkyti prieš daugiau kaip 15 metų) arba visai nerūkė (žr. 3 lentelę).</w:t>
      </w:r>
    </w:p>
    <w:p w:rsidR="00013E39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zCs w:val="22"/>
          <w:lang w:val="lt-LT"/>
        </w:rPr>
      </w:pPr>
    </w:p>
    <w:p w:rsidR="00013E39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zCs w:val="22"/>
          <w:lang w:val="lt-LT"/>
        </w:rPr>
      </w:pPr>
      <w:r w:rsidRPr="00696CB1">
        <w:rPr>
          <w:szCs w:val="22"/>
          <w:vertAlign w:val="superscript"/>
          <w:lang w:val="lt-LT"/>
        </w:rPr>
        <w:t>1</w:t>
      </w:r>
      <w:r w:rsidRPr="00696CB1">
        <w:rPr>
          <w:szCs w:val="22"/>
          <w:lang w:val="lt-LT"/>
        </w:rPr>
        <w:t xml:space="preserve"> Kinija, Honkongas, Indonezija, Japonija, Malaizija, Filipinai, Sin</w:t>
      </w:r>
      <w:r w:rsidR="008E2535" w:rsidRPr="00696CB1">
        <w:rPr>
          <w:szCs w:val="22"/>
          <w:lang w:val="lt-LT"/>
        </w:rPr>
        <w:t>gapūras, Taivanas ir Tailandas.</w:t>
      </w:r>
    </w:p>
    <w:p w:rsidR="00013E39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zCs w:val="22"/>
          <w:lang w:val="lt-LT"/>
        </w:rPr>
      </w:pPr>
    </w:p>
    <w:p w:rsidR="00305D9B" w:rsidRPr="00696CB1" w:rsidRDefault="00013E39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b/>
          <w:iCs/>
          <w:snapToGrid/>
          <w:spacing w:val="-1"/>
          <w:szCs w:val="22"/>
          <w:lang w:val="lt-LT" w:eastAsia="en-GB"/>
        </w:rPr>
      </w:pPr>
      <w:r w:rsidRPr="00696CB1">
        <w:rPr>
          <w:b/>
          <w:iCs/>
          <w:snapToGrid/>
          <w:spacing w:val="-1"/>
          <w:szCs w:val="22"/>
          <w:lang w:val="lt-LT" w:eastAsia="en-GB"/>
        </w:rPr>
        <w:lastRenderedPageBreak/>
        <w:t xml:space="preserve">3 lentelė. IPASS tyrimo metu nustatytos </w:t>
      </w:r>
      <w:proofErr w:type="spellStart"/>
      <w:r w:rsidRPr="00696CB1">
        <w:rPr>
          <w:b/>
          <w:iCs/>
          <w:snapToGrid/>
          <w:spacing w:val="-1"/>
          <w:szCs w:val="22"/>
          <w:lang w:val="lt-LT" w:eastAsia="en-GB"/>
        </w:rPr>
        <w:t>gefitinibo</w:t>
      </w:r>
      <w:proofErr w:type="spellEnd"/>
      <w:r w:rsidRPr="00696CB1">
        <w:rPr>
          <w:b/>
          <w:iCs/>
          <w:snapToGrid/>
          <w:spacing w:val="-1"/>
          <w:szCs w:val="22"/>
          <w:lang w:val="lt-LT" w:eastAsia="en-GB"/>
        </w:rPr>
        <w:t xml:space="preserve"> veiksmingumo baigtys, palyginti su </w:t>
      </w:r>
      <w:proofErr w:type="spellStart"/>
      <w:r w:rsidRPr="00696CB1">
        <w:rPr>
          <w:b/>
          <w:iCs/>
          <w:snapToGrid/>
          <w:spacing w:val="-1"/>
          <w:szCs w:val="22"/>
          <w:lang w:val="lt-LT" w:eastAsia="en-GB"/>
        </w:rPr>
        <w:t>karboplatin</w:t>
      </w:r>
      <w:r w:rsidR="001D3166" w:rsidRPr="00696CB1">
        <w:rPr>
          <w:b/>
          <w:iCs/>
          <w:snapToGrid/>
          <w:spacing w:val="-1"/>
          <w:szCs w:val="22"/>
          <w:lang w:val="lt-LT" w:eastAsia="en-GB"/>
        </w:rPr>
        <w:t>a</w:t>
      </w:r>
      <w:proofErr w:type="spellEnd"/>
      <w:r w:rsidR="001D3166" w:rsidRPr="00696CB1">
        <w:rPr>
          <w:b/>
          <w:iCs/>
          <w:snapToGrid/>
          <w:spacing w:val="-1"/>
          <w:szCs w:val="22"/>
          <w:lang w:val="lt-LT" w:eastAsia="en-GB"/>
        </w:rPr>
        <w:t>/</w:t>
      </w:r>
      <w:proofErr w:type="spellStart"/>
      <w:r w:rsidR="001D3166" w:rsidRPr="00696CB1">
        <w:rPr>
          <w:b/>
          <w:iCs/>
          <w:snapToGrid/>
          <w:spacing w:val="-1"/>
          <w:szCs w:val="22"/>
          <w:lang w:val="lt-LT" w:eastAsia="en-GB"/>
        </w:rPr>
        <w:t>paklitakseliu</w:t>
      </w:r>
      <w:proofErr w:type="spellEnd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43"/>
        <w:gridCol w:w="2226"/>
        <w:gridCol w:w="2219"/>
        <w:gridCol w:w="2350"/>
      </w:tblGrid>
      <w:tr w:rsidR="00305D9B" w:rsidRPr="00696CB1" w:rsidTr="00305D9B">
        <w:trPr>
          <w:trHeight w:hRule="exact" w:val="1308"/>
        </w:trPr>
        <w:tc>
          <w:tcPr>
            <w:tcW w:w="21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FC189D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Populiacija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26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N</w:t>
            </w:r>
          </w:p>
        </w:tc>
        <w:tc>
          <w:tcPr>
            <w:tcW w:w="22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64E6F" w:rsidRPr="00696CB1" w:rsidRDefault="00964E6F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Objektyvaus atsako dažnis ir skirtumo tarp</w:t>
            </w:r>
          </w:p>
          <w:p w:rsidR="00305D9B" w:rsidRPr="00696CB1" w:rsidRDefault="00964E6F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gydymo grupių 95</w:t>
            </w:r>
            <w:r w:rsidR="00BA2583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% </w:t>
            </w:r>
            <w:proofErr w:type="spellStart"/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PI</w:t>
            </w:r>
            <w:r w:rsidRPr="00696CB1">
              <w:rPr>
                <w:b/>
                <w:bCs/>
                <w:snapToGrid/>
                <w:color w:val="000000"/>
                <w:szCs w:val="22"/>
                <w:vertAlign w:val="superscript"/>
                <w:lang w:val="lt-LT" w:bidi="en-US"/>
              </w:rPr>
              <w:t>a</w:t>
            </w:r>
            <w:proofErr w:type="spellEnd"/>
          </w:p>
        </w:tc>
        <w:tc>
          <w:tcPr>
            <w:tcW w:w="22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64E6F" w:rsidRPr="00696CB1" w:rsidRDefault="00964E6F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napToGrid/>
                <w:color w:val="000000"/>
                <w:szCs w:val="22"/>
                <w:lang w:val="lt-LT" w:bidi="en-US"/>
              </w:rPr>
            </w:pPr>
            <w:proofErr w:type="spellStart"/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Pagrininė</w:t>
            </w:r>
            <w:proofErr w:type="spellEnd"/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 vertinamoji baigtis</w:t>
            </w:r>
          </w:p>
          <w:p w:rsidR="00305D9B" w:rsidRPr="00696CB1" w:rsidRDefault="00964E6F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Neprogresuojant</w:t>
            </w:r>
            <w:r w:rsidR="00B7489F"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 ligai išgyventas laikotarpis (</w:t>
            </w:r>
            <w:r w:rsidR="00D06C66"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PFS</w:t>
            </w: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)</w:t>
            </w:r>
            <w:proofErr w:type="spellStart"/>
            <w:r w:rsidR="005F6B15" w:rsidRPr="00696CB1">
              <w:rPr>
                <w:b/>
                <w:bCs/>
                <w:snapToGrid/>
                <w:color w:val="000000"/>
                <w:szCs w:val="22"/>
                <w:vertAlign w:val="superscript"/>
                <w:lang w:val="lt-LT" w:bidi="en-US"/>
              </w:rPr>
              <w:t>a</w:t>
            </w:r>
            <w:r w:rsidR="00305D9B" w:rsidRPr="00696CB1">
              <w:rPr>
                <w:b/>
                <w:bCs/>
                <w:snapToGrid/>
                <w:color w:val="000000"/>
                <w:szCs w:val="22"/>
                <w:vertAlign w:val="superscript"/>
                <w:lang w:val="lt-LT" w:bidi="en-US"/>
              </w:rPr>
              <w:t>b</w:t>
            </w:r>
            <w:proofErr w:type="spellEnd"/>
          </w:p>
        </w:tc>
        <w:tc>
          <w:tcPr>
            <w:tcW w:w="23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964E6F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Bendrasis </w:t>
            </w:r>
            <w:proofErr w:type="spellStart"/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išgyvenamumas</w:t>
            </w:r>
            <w:r w:rsidR="00305D9B" w:rsidRPr="00696CB1">
              <w:rPr>
                <w:b/>
                <w:bCs/>
                <w:snapToGrid/>
                <w:color w:val="000000"/>
                <w:szCs w:val="22"/>
                <w:vertAlign w:val="superscript"/>
                <w:lang w:val="lt-LT" w:bidi="en-US"/>
              </w:rPr>
              <w:t>ab</w:t>
            </w:r>
            <w:proofErr w:type="spellEnd"/>
          </w:p>
        </w:tc>
      </w:tr>
      <w:tr w:rsidR="00305D9B" w:rsidRPr="00696CB1" w:rsidTr="00305D9B">
        <w:trPr>
          <w:trHeight w:hRule="exact" w:val="1308"/>
        </w:trPr>
        <w:tc>
          <w:tcPr>
            <w:tcW w:w="210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FC189D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Iš viso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26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1217</w:t>
            </w:r>
          </w:p>
        </w:tc>
        <w:tc>
          <w:tcPr>
            <w:tcW w:w="222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43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 plg. su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 32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2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 [5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3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16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1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21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</w:t>
            </w:r>
            <w:r w:rsidR="00305D9B" w:rsidRPr="00696CB1">
              <w:rPr>
                <w:snapToGrid/>
                <w:color w:val="000000"/>
                <w:szCs w:val="22"/>
                <w:lang w:val="lt-LT" w:bidi="en-US"/>
              </w:rPr>
              <w:t xml:space="preserve"> 0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="00305D9B" w:rsidRPr="00696CB1">
              <w:rPr>
                <w:snapToGrid/>
                <w:color w:val="000000"/>
                <w:szCs w:val="22"/>
                <w:lang w:val="lt-LT" w:bidi="en-US"/>
              </w:rPr>
              <w:t>74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65, 0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85]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5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7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  <w:r w:rsidR="005F6B15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5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8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p&lt;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0001</w:t>
            </w:r>
          </w:p>
        </w:tc>
        <w:tc>
          <w:tcPr>
            <w:tcW w:w="23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HR </w:t>
            </w:r>
            <w:r w:rsidR="00305D9B"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="00305D9B" w:rsidRPr="00696CB1">
              <w:rPr>
                <w:snapToGrid/>
                <w:color w:val="000000"/>
                <w:szCs w:val="22"/>
                <w:lang w:val="lt-LT" w:bidi="en-US"/>
              </w:rPr>
              <w:t>90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79, 1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02]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18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8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  <w:r w:rsidR="005F6B15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17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4</w:t>
            </w:r>
            <w:r w:rsidR="00BA2583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1087</w:t>
            </w:r>
          </w:p>
        </w:tc>
      </w:tr>
      <w:tr w:rsidR="00305D9B" w:rsidRPr="00696CB1" w:rsidTr="00305D9B">
        <w:trPr>
          <w:trHeight w:hRule="exact" w:val="1308"/>
        </w:trPr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</w:t>
            </w:r>
            <w:r w:rsidR="00B66677" w:rsidRPr="00696CB1">
              <w:rPr>
                <w:snapToGrid/>
                <w:spacing w:val="-1"/>
                <w:szCs w:val="22"/>
                <w:lang w:val="lt-LT"/>
              </w:rPr>
              <w:t>A</w:t>
            </w:r>
            <w:r w:rsidRPr="00696CB1">
              <w:rPr>
                <w:snapToGrid/>
                <w:spacing w:val="-1"/>
                <w:szCs w:val="22"/>
                <w:lang w:val="lt-LT"/>
              </w:rPr>
              <w:t>FR</w:t>
            </w:r>
          </w:p>
          <w:p w:rsidR="00305D9B" w:rsidRPr="00696CB1" w:rsidRDefault="00FC189D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4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teigiami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261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71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 xml:space="preserve">%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47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89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[12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%, 34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9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%]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HR </w:t>
            </w:r>
            <w:r w:rsidR="00305D9B" w:rsidRPr="00696CB1">
              <w:rPr>
                <w:snapToGrid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="00305D9B" w:rsidRPr="00696CB1">
              <w:rPr>
                <w:snapToGrid/>
                <w:szCs w:val="22"/>
                <w:lang w:val="lt-LT"/>
              </w:rPr>
              <w:t>48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[0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36, 0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64]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9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5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5F6B15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zCs w:val="22"/>
                <w:lang w:val="lt-LT"/>
              </w:rPr>
              <w:t>6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3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p&lt;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0001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98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HR 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00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02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[0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 xml:space="preserve">76,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33]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64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21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6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5F6B15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pacing w:val="-4"/>
                <w:szCs w:val="22"/>
                <w:lang w:val="lt-LT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21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9</w:t>
            </w:r>
            <w:r w:rsidR="005F6B15" w:rsidRPr="00696CB1">
              <w:rPr>
                <w:snapToGrid/>
                <w:spacing w:val="2"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</w:tc>
      </w:tr>
      <w:tr w:rsidR="00305D9B" w:rsidRPr="00696CB1" w:rsidTr="00305D9B">
        <w:trPr>
          <w:trHeight w:val="1061"/>
        </w:trPr>
        <w:tc>
          <w:tcPr>
            <w:tcW w:w="2101" w:type="dxa"/>
            <w:tcBorders>
              <w:top w:val="single" w:sz="4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</w:t>
            </w:r>
            <w:r w:rsidR="00B66677" w:rsidRPr="00696CB1">
              <w:rPr>
                <w:snapToGrid/>
                <w:spacing w:val="-1"/>
                <w:szCs w:val="22"/>
                <w:lang w:val="lt-LT"/>
              </w:rPr>
              <w:t>A</w:t>
            </w:r>
            <w:r w:rsidRPr="00696CB1">
              <w:rPr>
                <w:snapToGrid/>
                <w:spacing w:val="-1"/>
                <w:szCs w:val="22"/>
                <w:lang w:val="lt-LT"/>
              </w:rPr>
              <w:t>FR</w:t>
            </w:r>
          </w:p>
          <w:p w:rsidR="00305D9B" w:rsidRPr="00696CB1" w:rsidRDefault="00FC189D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70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neigiami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176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17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 xml:space="preserve">%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23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5%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14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[-32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5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%,</w:t>
            </w:r>
            <w:r w:rsidRPr="00696CB1">
              <w:rPr>
                <w:snapToGrid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-13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%]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HR 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85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[2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05, 3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98]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5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5F6B15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5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5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p&lt;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0001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85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HR 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18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71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86, 1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63]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64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11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2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5F6B15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12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</w:t>
            </w:r>
            <w:r w:rsidR="00BA2583">
              <w:rPr>
                <w:snapToGrid/>
                <w:spacing w:val="2"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</w:tc>
      </w:tr>
      <w:tr w:rsidR="00305D9B" w:rsidRPr="00696CB1" w:rsidTr="00305D9B">
        <w:trPr>
          <w:trHeight w:val="770"/>
        </w:trPr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189D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1"/>
              <w:jc w:val="center"/>
              <w:rPr>
                <w:snapToGrid/>
                <w:spacing w:val="-1"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</w:t>
            </w:r>
            <w:r w:rsidR="00B66677" w:rsidRPr="00696CB1">
              <w:rPr>
                <w:snapToGrid/>
                <w:spacing w:val="-1"/>
                <w:szCs w:val="22"/>
                <w:lang w:val="lt-LT"/>
              </w:rPr>
              <w:t>A</w:t>
            </w:r>
            <w:r w:rsidRPr="00696CB1">
              <w:rPr>
                <w:snapToGrid/>
                <w:spacing w:val="-1"/>
                <w:szCs w:val="22"/>
                <w:lang w:val="lt-LT"/>
              </w:rPr>
              <w:t>FR</w:t>
            </w:r>
          </w:p>
          <w:p w:rsidR="00305D9B" w:rsidRPr="00696CB1" w:rsidRDefault="00FC189D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35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mutacijos būklė nežinomas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780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43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  <w:r w:rsidRPr="00696CB1">
              <w:rPr>
                <w:snapToGrid/>
                <w:szCs w:val="22"/>
                <w:lang w:val="lt-LT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pacing w:val="-2"/>
                <w:szCs w:val="22"/>
                <w:lang w:val="lt-LT"/>
              </w:rPr>
              <w:t>29</w:t>
            </w:r>
            <w:r w:rsidR="00964E6F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>2</w:t>
            </w:r>
            <w:r w:rsidR="00BA2583">
              <w:rPr>
                <w:snapToGrid/>
                <w:spacing w:val="-2"/>
                <w:szCs w:val="22"/>
                <w:lang w:val="lt-LT"/>
              </w:rPr>
              <w:t> </w:t>
            </w:r>
            <w:r w:rsidRPr="00696CB1">
              <w:rPr>
                <w:snapToGrid/>
                <w:spacing w:val="-2"/>
                <w:szCs w:val="22"/>
                <w:lang w:val="lt-LT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4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[7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%, 20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BA2583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%]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HR 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68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5F6B15" w:rsidRPr="00696CB1">
              <w:rPr>
                <w:snapToGrid/>
                <w:spacing w:val="-1"/>
                <w:szCs w:val="22"/>
                <w:lang w:val="lt-LT"/>
              </w:rPr>
              <w:t>58</w:t>
            </w:r>
            <w:r w:rsidR="005F6B15" w:rsidRPr="00696CB1">
              <w:rPr>
                <w:snapToGrid/>
                <w:spacing w:val="-1"/>
                <w:szCs w:val="22"/>
                <w:lang w:val="lt-LT"/>
              </w:rPr>
              <w:noBreakHyphen/>
            </w:r>
            <w:r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81]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6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6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5F6B15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 xml:space="preserve">plg.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5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p&lt;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0001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85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HR 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305D9B" w:rsidRPr="00696CB1">
              <w:rPr>
                <w:snapToGrid/>
                <w:spacing w:val="-1"/>
                <w:szCs w:val="22"/>
                <w:lang w:val="lt-LT"/>
              </w:rPr>
              <w:t>82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30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5F6B15" w:rsidRPr="00696CB1">
              <w:rPr>
                <w:snapToGrid/>
                <w:spacing w:val="-1"/>
                <w:szCs w:val="22"/>
                <w:lang w:val="lt-LT"/>
              </w:rPr>
              <w:t>70</w:t>
            </w:r>
            <w:r w:rsidR="005F6B15" w:rsidRPr="00696CB1">
              <w:rPr>
                <w:snapToGrid/>
                <w:spacing w:val="-1"/>
                <w:szCs w:val="22"/>
                <w:lang w:val="lt-LT"/>
              </w:rPr>
              <w:noBreakHyphen/>
            </w:r>
            <w:r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96]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38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18</w:t>
            </w:r>
            <w:r w:rsidR="00964E6F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9</w:t>
            </w:r>
            <w:r w:rsidR="00BA2583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5F6B15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 xml:space="preserve"> </w:t>
            </w:r>
            <w:r w:rsidR="00964E6F" w:rsidRPr="00696CB1">
              <w:rPr>
                <w:snapToGrid/>
                <w:color w:val="000000"/>
                <w:szCs w:val="22"/>
                <w:lang w:val="lt-LT" w:bidi="en-US"/>
              </w:rPr>
              <w:t>plg. su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17</w:t>
            </w:r>
            <w:r w:rsidR="00964E6F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BA2583">
              <w:rPr>
                <w:snapToGrid/>
                <w:spacing w:val="2"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</w:tc>
      </w:tr>
    </w:tbl>
    <w:p w:rsidR="00305D9B" w:rsidRPr="008857A1" w:rsidRDefault="00305D9B" w:rsidP="00696CB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a</w:t>
      </w:r>
      <w:r w:rsidRPr="008857A1">
        <w:rPr>
          <w:snapToGrid/>
          <w:sz w:val="20"/>
          <w:lang w:val="lt-LT" w:eastAsia="en-GB"/>
        </w:rPr>
        <w:tab/>
      </w:r>
      <w:r w:rsidR="008757F6" w:rsidRPr="008857A1">
        <w:rPr>
          <w:snapToGrid/>
          <w:sz w:val="20"/>
          <w:lang w:val="lt-LT" w:eastAsia="en-GB"/>
        </w:rPr>
        <w:t>Pate</w:t>
      </w:r>
      <w:r w:rsidR="00D06C66" w:rsidRPr="008857A1">
        <w:rPr>
          <w:snapToGrid/>
          <w:sz w:val="20"/>
          <w:lang w:val="lt-LT" w:eastAsia="en-GB"/>
        </w:rPr>
        <w:t>i</w:t>
      </w:r>
      <w:r w:rsidR="008757F6" w:rsidRPr="008857A1">
        <w:rPr>
          <w:snapToGrid/>
          <w:sz w:val="20"/>
          <w:lang w:val="lt-LT" w:eastAsia="en-GB"/>
        </w:rPr>
        <w:t xml:space="preserve">kti rodmenys gauti lyginant </w:t>
      </w:r>
      <w:proofErr w:type="spellStart"/>
      <w:r w:rsidRPr="008857A1">
        <w:rPr>
          <w:snapToGrid/>
          <w:sz w:val="20"/>
          <w:lang w:val="lt-LT" w:eastAsia="en-GB"/>
        </w:rPr>
        <w:t>gefitinib</w:t>
      </w:r>
      <w:r w:rsidR="008757F6" w:rsidRPr="008857A1">
        <w:rPr>
          <w:snapToGrid/>
          <w:sz w:val="20"/>
          <w:lang w:val="lt-LT" w:eastAsia="en-GB"/>
        </w:rPr>
        <w:t>ą</w:t>
      </w:r>
      <w:proofErr w:type="spellEnd"/>
      <w:r w:rsidRPr="008857A1">
        <w:rPr>
          <w:snapToGrid/>
          <w:spacing w:val="-8"/>
          <w:sz w:val="20"/>
          <w:lang w:val="lt-LT" w:eastAsia="en-GB"/>
        </w:rPr>
        <w:t xml:space="preserve"> </w:t>
      </w:r>
      <w:r w:rsidR="008757F6" w:rsidRPr="008857A1">
        <w:rPr>
          <w:snapToGrid/>
          <w:sz w:val="20"/>
          <w:lang w:val="lt-LT" w:eastAsia="en-GB"/>
        </w:rPr>
        <w:t>su</w:t>
      </w:r>
      <w:r w:rsidRPr="008857A1">
        <w:rPr>
          <w:snapToGrid/>
          <w:spacing w:val="-8"/>
          <w:sz w:val="20"/>
          <w:lang w:val="lt-LT" w:eastAsia="en-GB"/>
        </w:rPr>
        <w:t xml:space="preserve"> </w:t>
      </w:r>
      <w:proofErr w:type="spellStart"/>
      <w:r w:rsidR="008757F6" w:rsidRPr="008857A1">
        <w:rPr>
          <w:snapToGrid/>
          <w:sz w:val="20"/>
          <w:lang w:val="lt-LT" w:eastAsia="en-GB"/>
        </w:rPr>
        <w:t>k</w:t>
      </w:r>
      <w:r w:rsidRPr="008857A1">
        <w:rPr>
          <w:snapToGrid/>
          <w:sz w:val="20"/>
          <w:lang w:val="lt-LT" w:eastAsia="en-GB"/>
        </w:rPr>
        <w:t>arboplatin</w:t>
      </w:r>
      <w:r w:rsidR="008757F6" w:rsidRPr="008857A1">
        <w:rPr>
          <w:snapToGrid/>
          <w:sz w:val="20"/>
          <w:lang w:val="lt-LT" w:eastAsia="en-GB"/>
        </w:rPr>
        <w:t>a</w:t>
      </w:r>
      <w:proofErr w:type="spellEnd"/>
      <w:r w:rsidRPr="008857A1">
        <w:rPr>
          <w:snapToGrid/>
          <w:sz w:val="20"/>
          <w:lang w:val="lt-LT" w:eastAsia="en-GB"/>
        </w:rPr>
        <w:t>/</w:t>
      </w:r>
      <w:proofErr w:type="spellStart"/>
      <w:r w:rsidRPr="008857A1">
        <w:rPr>
          <w:snapToGrid/>
          <w:sz w:val="20"/>
          <w:lang w:val="lt-LT" w:eastAsia="en-GB"/>
        </w:rPr>
        <w:t>pa</w:t>
      </w:r>
      <w:r w:rsidR="008757F6" w:rsidRPr="008857A1">
        <w:rPr>
          <w:snapToGrid/>
          <w:sz w:val="20"/>
          <w:lang w:val="lt-LT" w:eastAsia="en-GB"/>
        </w:rPr>
        <w:t>k</w:t>
      </w:r>
      <w:r w:rsidRPr="008857A1">
        <w:rPr>
          <w:snapToGrid/>
          <w:sz w:val="20"/>
          <w:lang w:val="lt-LT" w:eastAsia="en-GB"/>
        </w:rPr>
        <w:t>lita</w:t>
      </w:r>
      <w:r w:rsidR="008757F6" w:rsidRPr="008857A1">
        <w:rPr>
          <w:snapToGrid/>
          <w:sz w:val="20"/>
          <w:lang w:val="lt-LT" w:eastAsia="en-GB"/>
        </w:rPr>
        <w:t>ks</w:t>
      </w:r>
      <w:r w:rsidRPr="008857A1">
        <w:rPr>
          <w:snapToGrid/>
          <w:sz w:val="20"/>
          <w:lang w:val="lt-LT" w:eastAsia="en-GB"/>
        </w:rPr>
        <w:t>el</w:t>
      </w:r>
      <w:r w:rsidR="008757F6" w:rsidRPr="008857A1">
        <w:rPr>
          <w:snapToGrid/>
          <w:sz w:val="20"/>
          <w:lang w:val="lt-LT" w:eastAsia="en-GB"/>
        </w:rPr>
        <w:t>iu</w:t>
      </w:r>
      <w:proofErr w:type="spellEnd"/>
      <w:r w:rsidRPr="008857A1">
        <w:rPr>
          <w:snapToGrid/>
          <w:sz w:val="20"/>
          <w:lang w:val="lt-LT" w:eastAsia="en-GB"/>
        </w:rPr>
        <w:t>.</w:t>
      </w:r>
    </w:p>
    <w:p w:rsidR="00305D9B" w:rsidRPr="008857A1" w:rsidRDefault="00305D9B" w:rsidP="00696CB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48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b</w:t>
      </w:r>
      <w:r w:rsidRPr="008857A1">
        <w:rPr>
          <w:snapToGrid/>
          <w:sz w:val="20"/>
          <w:lang w:val="lt-LT" w:eastAsia="en-GB"/>
        </w:rPr>
        <w:tab/>
      </w:r>
      <w:r w:rsidR="005F6B15" w:rsidRPr="008857A1">
        <w:rPr>
          <w:snapToGrid/>
          <w:sz w:val="20"/>
          <w:lang w:val="lt-LT" w:eastAsia="en-GB"/>
        </w:rPr>
        <w:t>„</w:t>
      </w:r>
      <w:r w:rsidRPr="008857A1">
        <w:rPr>
          <w:snapToGrid/>
          <w:sz w:val="20"/>
          <w:lang w:val="lt-LT" w:eastAsia="en-GB"/>
        </w:rPr>
        <w:t>m</w:t>
      </w:r>
      <w:r w:rsidR="005F6B15" w:rsidRPr="008857A1">
        <w:rPr>
          <w:snapToGrid/>
          <w:sz w:val="20"/>
          <w:lang w:val="lt-LT" w:eastAsia="en-GB"/>
        </w:rPr>
        <w:t>“</w:t>
      </w:r>
      <w:r w:rsidRPr="008857A1">
        <w:rPr>
          <w:snapToGrid/>
          <w:spacing w:val="-5"/>
          <w:sz w:val="20"/>
          <w:lang w:val="lt-LT" w:eastAsia="en-GB"/>
        </w:rPr>
        <w:t xml:space="preserve"> </w:t>
      </w:r>
      <w:r w:rsidR="005F6B15" w:rsidRPr="008857A1">
        <w:rPr>
          <w:snapToGrid/>
          <w:sz w:val="20"/>
          <w:lang w:val="lt-LT" w:eastAsia="en-GB"/>
        </w:rPr>
        <w:t>yra mediana mėnesiais</w:t>
      </w:r>
      <w:r w:rsidRPr="008857A1">
        <w:rPr>
          <w:snapToGrid/>
          <w:sz w:val="20"/>
          <w:lang w:val="lt-LT" w:eastAsia="en-GB"/>
        </w:rPr>
        <w:t>.</w:t>
      </w:r>
      <w:r w:rsidRPr="008857A1">
        <w:rPr>
          <w:snapToGrid/>
          <w:spacing w:val="-4"/>
          <w:sz w:val="20"/>
          <w:lang w:val="lt-LT" w:eastAsia="en-GB"/>
        </w:rPr>
        <w:t xml:space="preserve"> </w:t>
      </w:r>
      <w:r w:rsidR="005F6B15" w:rsidRPr="008857A1">
        <w:rPr>
          <w:snapToGrid/>
          <w:sz w:val="20"/>
          <w:lang w:val="lt-LT" w:eastAsia="en-GB"/>
        </w:rPr>
        <w:t xml:space="preserve">Skaičiai laužtiniuose skliaustuose yra </w:t>
      </w:r>
      <w:r w:rsidR="00444983" w:rsidRPr="008857A1">
        <w:rPr>
          <w:snapToGrid/>
          <w:sz w:val="20"/>
          <w:lang w:val="lt-LT" w:eastAsia="en-GB"/>
        </w:rPr>
        <w:t>HR</w:t>
      </w:r>
      <w:r w:rsidR="005F6B15" w:rsidRPr="008857A1">
        <w:rPr>
          <w:snapToGrid/>
          <w:sz w:val="20"/>
          <w:lang w:val="lt-LT" w:eastAsia="en-GB"/>
        </w:rPr>
        <w:t xml:space="preserve"> 95</w:t>
      </w:r>
      <w:r w:rsidR="00BA2583" w:rsidRPr="008857A1">
        <w:rPr>
          <w:snapToGrid/>
          <w:sz w:val="20"/>
          <w:lang w:val="lt-LT" w:eastAsia="en-GB"/>
        </w:rPr>
        <w:t> </w:t>
      </w:r>
      <w:r w:rsidR="005F6B15" w:rsidRPr="008857A1">
        <w:rPr>
          <w:snapToGrid/>
          <w:sz w:val="20"/>
          <w:lang w:val="lt-LT" w:eastAsia="en-GB"/>
        </w:rPr>
        <w:t xml:space="preserve">% </w:t>
      </w:r>
      <w:proofErr w:type="spellStart"/>
      <w:r w:rsidR="005F6B15" w:rsidRPr="008857A1">
        <w:rPr>
          <w:snapToGrid/>
          <w:sz w:val="20"/>
          <w:lang w:val="lt-LT" w:eastAsia="en-GB"/>
        </w:rPr>
        <w:t>pasikliautinieji</w:t>
      </w:r>
      <w:proofErr w:type="spellEnd"/>
      <w:r w:rsidR="005F6B15" w:rsidRPr="008857A1">
        <w:rPr>
          <w:snapToGrid/>
          <w:sz w:val="20"/>
          <w:lang w:val="lt-LT" w:eastAsia="en-GB"/>
        </w:rPr>
        <w:t xml:space="preserve"> intervalai</w:t>
      </w:r>
    </w:p>
    <w:p w:rsidR="00305D9B" w:rsidRPr="008857A1" w:rsidRDefault="00305D9B" w:rsidP="00696CB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1400"/>
        <w:rPr>
          <w:snapToGrid/>
          <w:sz w:val="20"/>
          <w:lang w:val="lt-LT" w:eastAsia="en-GB"/>
        </w:rPr>
      </w:pPr>
      <w:r w:rsidRPr="008857A1">
        <w:rPr>
          <w:snapToGrid/>
          <w:w w:val="95"/>
          <w:sz w:val="20"/>
          <w:lang w:val="lt-LT" w:eastAsia="en-GB"/>
        </w:rPr>
        <w:t>N</w:t>
      </w:r>
      <w:r w:rsidRPr="008857A1">
        <w:rPr>
          <w:snapToGrid/>
          <w:w w:val="95"/>
          <w:sz w:val="20"/>
          <w:lang w:val="lt-LT" w:eastAsia="en-GB"/>
        </w:rPr>
        <w:tab/>
      </w:r>
      <w:r w:rsidR="00E6710D" w:rsidRPr="008857A1">
        <w:rPr>
          <w:snapToGrid/>
          <w:sz w:val="20"/>
          <w:lang w:val="lt-LT" w:eastAsia="en-GB"/>
        </w:rPr>
        <w:t>Atsitiktinėms imtims priskirtų pacientų skaičius</w:t>
      </w:r>
    </w:p>
    <w:p w:rsidR="00305D9B" w:rsidRPr="008857A1" w:rsidRDefault="00D06C66" w:rsidP="00696CB1">
      <w:pPr>
        <w:widowControl w:val="0"/>
        <w:kinsoku w:val="0"/>
        <w:overflowPunct w:val="0"/>
        <w:spacing w:line="240" w:lineRule="auto"/>
        <w:jc w:val="both"/>
        <w:rPr>
          <w:snapToGrid/>
          <w:sz w:val="20"/>
          <w:lang w:val="lt-LT" w:eastAsia="en-GB"/>
        </w:rPr>
      </w:pPr>
      <w:r w:rsidRPr="008857A1">
        <w:rPr>
          <w:snapToGrid/>
          <w:w w:val="95"/>
          <w:sz w:val="20"/>
          <w:lang w:val="lt-LT" w:eastAsia="en-GB"/>
        </w:rPr>
        <w:t>HR</w:t>
      </w:r>
      <w:r w:rsidR="00305D9B" w:rsidRPr="008857A1">
        <w:rPr>
          <w:snapToGrid/>
          <w:w w:val="95"/>
          <w:sz w:val="20"/>
          <w:lang w:val="lt-LT" w:eastAsia="en-GB"/>
        </w:rPr>
        <w:tab/>
      </w:r>
      <w:r w:rsidR="00D80F67" w:rsidRPr="008857A1">
        <w:rPr>
          <w:snapToGrid/>
          <w:sz w:val="20"/>
          <w:lang w:val="lt-LT" w:eastAsia="en-GB"/>
        </w:rPr>
        <w:t>R</w:t>
      </w:r>
      <w:r w:rsidR="00964E6F" w:rsidRPr="008857A1">
        <w:rPr>
          <w:snapToGrid/>
          <w:sz w:val="20"/>
          <w:lang w:val="lt-LT" w:eastAsia="en-GB"/>
        </w:rPr>
        <w:t>izikos santykis</w:t>
      </w:r>
      <w:r w:rsidR="00305D9B" w:rsidRPr="008857A1">
        <w:rPr>
          <w:snapToGrid/>
          <w:spacing w:val="-6"/>
          <w:sz w:val="20"/>
          <w:lang w:val="lt-LT" w:eastAsia="en-GB"/>
        </w:rPr>
        <w:t xml:space="preserve"> </w:t>
      </w:r>
      <w:r w:rsidR="00305D9B" w:rsidRPr="008857A1">
        <w:rPr>
          <w:snapToGrid/>
          <w:sz w:val="20"/>
          <w:lang w:val="lt-LT" w:eastAsia="en-GB"/>
        </w:rPr>
        <w:t>(</w:t>
      </w:r>
      <w:r w:rsidR="00964E6F" w:rsidRPr="008857A1">
        <w:rPr>
          <w:snapToGrid/>
          <w:sz w:val="20"/>
          <w:lang w:val="lt-LT" w:eastAsia="en-GB"/>
        </w:rPr>
        <w:t>rizikos santykis</w:t>
      </w:r>
      <w:r w:rsidR="00305D9B" w:rsidRPr="008857A1">
        <w:rPr>
          <w:snapToGrid/>
          <w:spacing w:val="-6"/>
          <w:sz w:val="20"/>
          <w:lang w:val="lt-LT" w:eastAsia="en-GB"/>
        </w:rPr>
        <w:t xml:space="preserve"> </w:t>
      </w:r>
      <w:r w:rsidR="00305D9B" w:rsidRPr="008857A1">
        <w:rPr>
          <w:snapToGrid/>
          <w:sz w:val="20"/>
          <w:lang w:val="lt-LT" w:eastAsia="en-GB"/>
        </w:rPr>
        <w:t>&lt;1</w:t>
      </w:r>
      <w:r w:rsidR="00305D9B" w:rsidRPr="008857A1">
        <w:rPr>
          <w:snapToGrid/>
          <w:spacing w:val="-6"/>
          <w:sz w:val="20"/>
          <w:lang w:val="lt-LT" w:eastAsia="en-GB"/>
        </w:rPr>
        <w:t xml:space="preserve"> </w:t>
      </w:r>
      <w:r w:rsidR="00964E6F" w:rsidRPr="008857A1">
        <w:rPr>
          <w:snapToGrid/>
          <w:sz w:val="20"/>
          <w:lang w:val="lt-LT" w:eastAsia="en-GB"/>
        </w:rPr>
        <w:t>palankus</w:t>
      </w:r>
      <w:r w:rsidR="00305D9B" w:rsidRPr="008857A1">
        <w:rPr>
          <w:snapToGrid/>
          <w:spacing w:val="-6"/>
          <w:sz w:val="20"/>
          <w:lang w:val="lt-LT" w:eastAsia="en-GB"/>
        </w:rPr>
        <w:t xml:space="preserve"> </w:t>
      </w:r>
      <w:proofErr w:type="spellStart"/>
      <w:r w:rsidR="00305D9B" w:rsidRPr="008857A1">
        <w:rPr>
          <w:snapToGrid/>
          <w:sz w:val="20"/>
          <w:lang w:val="lt-LT" w:eastAsia="en-GB"/>
        </w:rPr>
        <w:t>ge</w:t>
      </w:r>
      <w:r w:rsidR="007E7231" w:rsidRPr="008857A1">
        <w:rPr>
          <w:snapToGrid/>
          <w:sz w:val="20"/>
          <w:lang w:val="lt-LT" w:eastAsia="en-GB"/>
        </w:rPr>
        <w:t>f</w:t>
      </w:r>
      <w:r w:rsidR="00305D9B" w:rsidRPr="008857A1">
        <w:rPr>
          <w:snapToGrid/>
          <w:sz w:val="20"/>
          <w:lang w:val="lt-LT" w:eastAsia="en-GB"/>
        </w:rPr>
        <w:t>itinib</w:t>
      </w:r>
      <w:r w:rsidR="00964E6F" w:rsidRPr="008857A1">
        <w:rPr>
          <w:snapToGrid/>
          <w:sz w:val="20"/>
          <w:lang w:val="lt-LT" w:eastAsia="en-GB"/>
        </w:rPr>
        <w:t>ui</w:t>
      </w:r>
      <w:proofErr w:type="spellEnd"/>
      <w:r w:rsidR="00305D9B" w:rsidRPr="008857A1">
        <w:rPr>
          <w:snapToGrid/>
          <w:sz w:val="20"/>
          <w:lang w:val="lt-LT" w:eastAsia="en-GB"/>
        </w:rPr>
        <w:t>)</w:t>
      </w:r>
    </w:p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napToGrid/>
          <w:szCs w:val="22"/>
          <w:lang w:val="lt-LT" w:eastAsia="en-GB"/>
        </w:rPr>
      </w:pPr>
    </w:p>
    <w:p w:rsidR="00305D9B" w:rsidRPr="00696CB1" w:rsidRDefault="00D06C66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184"/>
        <w:rPr>
          <w:snapToGrid/>
          <w:szCs w:val="22"/>
          <w:lang w:val="lt-LT" w:eastAsia="en-GB"/>
        </w:rPr>
      </w:pPr>
      <w:r w:rsidRPr="00696CB1">
        <w:rPr>
          <w:snapToGrid/>
          <w:spacing w:val="-1"/>
          <w:szCs w:val="22"/>
          <w:lang w:val="lt-LT" w:eastAsia="en-GB"/>
        </w:rPr>
        <w:t xml:space="preserve">Gyvenimo kokybės </w:t>
      </w:r>
      <w:r w:rsidR="00444983" w:rsidRPr="00696CB1">
        <w:rPr>
          <w:snapToGrid/>
          <w:spacing w:val="-1"/>
          <w:szCs w:val="22"/>
          <w:lang w:val="lt-LT" w:eastAsia="en-GB"/>
        </w:rPr>
        <w:t>baigtys</w:t>
      </w:r>
      <w:r w:rsidRPr="00696CB1">
        <w:rPr>
          <w:snapToGrid/>
          <w:spacing w:val="-1"/>
          <w:szCs w:val="22"/>
          <w:lang w:val="lt-LT" w:eastAsia="en-GB"/>
        </w:rPr>
        <w:t xml:space="preserve"> priklausė nuo EAFR mutacijų būklės. Gyvenimo kokybė ir plaučių vėžio simptomai pagerėjo reikšmingai daugiau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gefitinibo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nei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karboplati</w:t>
      </w:r>
      <w:r w:rsidR="00444983" w:rsidRPr="00696CB1">
        <w:rPr>
          <w:snapToGrid/>
          <w:spacing w:val="-1"/>
          <w:szCs w:val="22"/>
          <w:lang w:val="lt-LT" w:eastAsia="en-GB"/>
        </w:rPr>
        <w:t>ną</w:t>
      </w:r>
      <w:proofErr w:type="spellEnd"/>
      <w:r w:rsidR="00444983" w:rsidRPr="00696CB1">
        <w:rPr>
          <w:snapToGrid/>
          <w:spacing w:val="-1"/>
          <w:szCs w:val="22"/>
          <w:lang w:val="lt-LT" w:eastAsia="en-GB"/>
        </w:rPr>
        <w:t>/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paklitakse</w:t>
      </w:r>
      <w:r w:rsidR="00444983" w:rsidRPr="00696CB1">
        <w:rPr>
          <w:snapToGrid/>
          <w:spacing w:val="-1"/>
          <w:szCs w:val="22"/>
          <w:lang w:val="lt-LT" w:eastAsia="en-GB"/>
        </w:rPr>
        <w:t>l</w:t>
      </w:r>
      <w:r w:rsidRPr="00696CB1">
        <w:rPr>
          <w:snapToGrid/>
          <w:spacing w:val="-1"/>
          <w:szCs w:val="22"/>
          <w:lang w:val="lt-LT" w:eastAsia="en-GB"/>
        </w:rPr>
        <w:t>į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vartojusių pacientų, kurių EAFR mutacijų tyrimo duomenys buvo teigiami (žr. 4 lentelę).</w:t>
      </w:r>
    </w:p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184"/>
        <w:rPr>
          <w:snapToGrid/>
          <w:szCs w:val="22"/>
          <w:lang w:val="lt-LT" w:eastAsia="en-GB"/>
        </w:rPr>
      </w:pPr>
    </w:p>
    <w:p w:rsidR="001D3166" w:rsidRPr="00696CB1" w:rsidRDefault="00D06C66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b/>
          <w:iCs/>
          <w:snapToGrid/>
          <w:spacing w:val="-1"/>
          <w:szCs w:val="22"/>
          <w:lang w:val="lt-LT" w:eastAsia="en-GB"/>
        </w:rPr>
      </w:pPr>
      <w:r w:rsidRPr="00696CB1">
        <w:rPr>
          <w:b/>
          <w:snapToGrid/>
          <w:szCs w:val="22"/>
          <w:lang w:val="lt-LT" w:eastAsia="en-GB"/>
        </w:rPr>
        <w:t>4 lentelė. IPASS tyrimo metu nustatyt</w:t>
      </w:r>
      <w:r w:rsidR="001D3166" w:rsidRPr="00696CB1">
        <w:rPr>
          <w:b/>
          <w:snapToGrid/>
          <w:szCs w:val="22"/>
          <w:lang w:val="lt-LT" w:eastAsia="en-GB"/>
        </w:rPr>
        <w:t>os</w:t>
      </w:r>
      <w:r w:rsidRPr="00696CB1">
        <w:rPr>
          <w:b/>
          <w:snapToGrid/>
          <w:szCs w:val="22"/>
          <w:lang w:val="lt-LT" w:eastAsia="en-GB"/>
        </w:rPr>
        <w:t xml:space="preserve"> </w:t>
      </w:r>
      <w:proofErr w:type="spellStart"/>
      <w:r w:rsidRPr="00696CB1">
        <w:rPr>
          <w:b/>
          <w:snapToGrid/>
          <w:szCs w:val="22"/>
          <w:lang w:val="lt-LT" w:eastAsia="en-GB"/>
        </w:rPr>
        <w:t>gefitinibo</w:t>
      </w:r>
      <w:proofErr w:type="spellEnd"/>
      <w:r w:rsidRPr="00696CB1">
        <w:rPr>
          <w:b/>
          <w:snapToGrid/>
          <w:szCs w:val="22"/>
          <w:lang w:val="lt-LT" w:eastAsia="en-GB"/>
        </w:rPr>
        <w:t xml:space="preserve"> poveikio gyvenimo kokybei </w:t>
      </w:r>
      <w:r w:rsidR="00444983" w:rsidRPr="00696CB1">
        <w:rPr>
          <w:b/>
          <w:snapToGrid/>
          <w:szCs w:val="22"/>
          <w:lang w:val="lt-LT" w:eastAsia="en-GB"/>
        </w:rPr>
        <w:t>baigtys</w:t>
      </w:r>
      <w:r w:rsidR="001D3166" w:rsidRPr="00696CB1">
        <w:rPr>
          <w:b/>
          <w:snapToGrid/>
          <w:szCs w:val="22"/>
          <w:lang w:val="lt-LT" w:eastAsia="en-GB"/>
        </w:rPr>
        <w:t xml:space="preserve">, </w:t>
      </w:r>
      <w:r w:rsidR="001D3166" w:rsidRPr="00696CB1">
        <w:rPr>
          <w:b/>
          <w:iCs/>
          <w:snapToGrid/>
          <w:spacing w:val="-1"/>
          <w:szCs w:val="22"/>
          <w:lang w:val="lt-LT" w:eastAsia="en-GB"/>
        </w:rPr>
        <w:t xml:space="preserve">palyginti su </w:t>
      </w:r>
      <w:proofErr w:type="spellStart"/>
      <w:r w:rsidR="001D3166" w:rsidRPr="00696CB1">
        <w:rPr>
          <w:b/>
          <w:iCs/>
          <w:snapToGrid/>
          <w:spacing w:val="-1"/>
          <w:szCs w:val="22"/>
          <w:lang w:val="lt-LT" w:eastAsia="en-GB"/>
        </w:rPr>
        <w:t>karboplatina</w:t>
      </w:r>
      <w:proofErr w:type="spellEnd"/>
      <w:r w:rsidR="001D3166" w:rsidRPr="00696CB1">
        <w:rPr>
          <w:b/>
          <w:iCs/>
          <w:snapToGrid/>
          <w:spacing w:val="-1"/>
          <w:szCs w:val="22"/>
          <w:lang w:val="lt-LT" w:eastAsia="en-GB"/>
        </w:rPr>
        <w:t>/</w:t>
      </w:r>
      <w:proofErr w:type="spellStart"/>
      <w:r w:rsidR="001D3166" w:rsidRPr="00696CB1">
        <w:rPr>
          <w:b/>
          <w:iCs/>
          <w:snapToGrid/>
          <w:spacing w:val="-1"/>
          <w:szCs w:val="22"/>
          <w:lang w:val="lt-LT" w:eastAsia="en-GB"/>
        </w:rPr>
        <w:t>paklitakseliu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076"/>
        <w:gridCol w:w="2203"/>
        <w:gridCol w:w="2585"/>
      </w:tblGrid>
      <w:tr w:rsidR="00305D9B" w:rsidRPr="00696CB1" w:rsidTr="00E94ADD">
        <w:trPr>
          <w:trHeight w:val="841"/>
        </w:trPr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napToGrid/>
                <w:szCs w:val="22"/>
                <w:lang w:val="lt-LT" w:eastAsia="en-GB"/>
              </w:rPr>
            </w:pPr>
            <w:r w:rsidRPr="00696CB1">
              <w:rPr>
                <w:b/>
                <w:snapToGrid/>
                <w:szCs w:val="22"/>
                <w:lang w:val="lt-LT" w:eastAsia="en-GB"/>
              </w:rPr>
              <w:t>Populiacija</w:t>
            </w:r>
          </w:p>
        </w:tc>
        <w:tc>
          <w:tcPr>
            <w:tcW w:w="23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napToGrid/>
                <w:szCs w:val="22"/>
                <w:lang w:val="lt-LT" w:eastAsia="en-GB"/>
              </w:rPr>
            </w:pPr>
            <w:r w:rsidRPr="00696CB1">
              <w:rPr>
                <w:b/>
                <w:snapToGrid/>
                <w:szCs w:val="22"/>
                <w:lang w:val="lt-LT" w:eastAsia="en-GB"/>
              </w:rPr>
              <w:t>N</w:t>
            </w:r>
          </w:p>
        </w:tc>
        <w:tc>
          <w:tcPr>
            <w:tcW w:w="2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napToGrid/>
                <w:szCs w:val="22"/>
                <w:lang w:val="lt-LT" w:eastAsia="en-GB"/>
              </w:rPr>
            </w:pPr>
            <w:r w:rsidRPr="00696CB1">
              <w:rPr>
                <w:b/>
                <w:snapToGrid/>
                <w:szCs w:val="22"/>
                <w:lang w:val="lt-LT" w:eastAsia="en-GB"/>
              </w:rPr>
              <w:t xml:space="preserve">FACT-L </w:t>
            </w:r>
            <w:proofErr w:type="spellStart"/>
            <w:r w:rsidRPr="00696CB1">
              <w:rPr>
                <w:b/>
                <w:snapToGrid/>
                <w:szCs w:val="22"/>
                <w:lang w:val="lt-LT" w:eastAsia="en-GB"/>
              </w:rPr>
              <w:t>QoL</w:t>
            </w:r>
            <w:proofErr w:type="spellEnd"/>
            <w:r w:rsidR="00305D9B" w:rsidRPr="00696CB1">
              <w:rPr>
                <w:b/>
                <w:snapToGrid/>
                <w:szCs w:val="22"/>
                <w:lang w:val="lt-LT" w:eastAsia="en-GB"/>
              </w:rPr>
              <w:t xml:space="preserve"> </w:t>
            </w:r>
            <w:r w:rsidRPr="00696CB1">
              <w:rPr>
                <w:b/>
                <w:snapToGrid/>
                <w:szCs w:val="22"/>
                <w:lang w:val="lt-LT" w:eastAsia="en-GB"/>
              </w:rPr>
              <w:t xml:space="preserve">pagerėjimo </w:t>
            </w:r>
            <w:proofErr w:type="spellStart"/>
            <w:r w:rsidRPr="00696CB1">
              <w:rPr>
                <w:b/>
                <w:snapToGrid/>
                <w:szCs w:val="22"/>
                <w:lang w:val="lt-LT" w:eastAsia="en-GB"/>
              </w:rPr>
              <w:t>dažnis</w:t>
            </w:r>
            <w:r w:rsidR="00305D9B" w:rsidRPr="00696CB1">
              <w:rPr>
                <w:b/>
                <w:snapToGrid/>
                <w:szCs w:val="22"/>
                <w:vertAlign w:val="superscript"/>
                <w:lang w:val="lt-LT" w:eastAsia="en-GB"/>
              </w:rPr>
              <w:t>a</w:t>
            </w:r>
            <w:proofErr w:type="spellEnd"/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napToGrid/>
                <w:szCs w:val="22"/>
                <w:lang w:val="lt-LT" w:eastAsia="en-GB"/>
              </w:rPr>
            </w:pPr>
            <w:r w:rsidRPr="00696CB1">
              <w:rPr>
                <w:b/>
                <w:snapToGrid/>
                <w:szCs w:val="22"/>
                <w:lang w:val="lt-LT" w:eastAsia="en-GB"/>
              </w:rPr>
              <w:t>%</w:t>
            </w:r>
          </w:p>
        </w:tc>
        <w:tc>
          <w:tcPr>
            <w:tcW w:w="2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napToGrid/>
                <w:szCs w:val="22"/>
                <w:lang w:val="lt-LT" w:eastAsia="en-GB"/>
              </w:rPr>
            </w:pPr>
            <w:r w:rsidRPr="00696CB1">
              <w:rPr>
                <w:b/>
                <w:snapToGrid/>
                <w:szCs w:val="22"/>
                <w:lang w:val="lt-LT" w:eastAsia="en-GB"/>
              </w:rPr>
              <w:t xml:space="preserve">LCS </w:t>
            </w:r>
            <w:r w:rsidR="00D06C66" w:rsidRPr="00696CB1">
              <w:rPr>
                <w:b/>
                <w:snapToGrid/>
                <w:szCs w:val="22"/>
                <w:lang w:val="lt-LT" w:eastAsia="en-GB"/>
              </w:rPr>
              <w:t xml:space="preserve">simptomų palengvėjimo </w:t>
            </w:r>
            <w:proofErr w:type="spellStart"/>
            <w:r w:rsidR="00D06C66" w:rsidRPr="00696CB1">
              <w:rPr>
                <w:b/>
                <w:snapToGrid/>
                <w:szCs w:val="22"/>
                <w:lang w:val="lt-LT" w:eastAsia="en-GB"/>
              </w:rPr>
              <w:t>dažnis</w:t>
            </w:r>
            <w:r w:rsidRPr="00696CB1">
              <w:rPr>
                <w:b/>
                <w:snapToGrid/>
                <w:szCs w:val="22"/>
                <w:vertAlign w:val="superscript"/>
                <w:lang w:val="lt-LT" w:eastAsia="en-GB"/>
              </w:rPr>
              <w:t>a</w:t>
            </w:r>
            <w:proofErr w:type="spellEnd"/>
            <w:r w:rsidR="000779FD" w:rsidRPr="00696CB1">
              <w:rPr>
                <w:b/>
                <w:snapToGrid/>
                <w:szCs w:val="22"/>
                <w:lang w:val="lt-LT" w:eastAsia="en-GB"/>
              </w:rPr>
              <w:t>%</w:t>
            </w:r>
          </w:p>
        </w:tc>
      </w:tr>
      <w:tr w:rsidR="00305D9B" w:rsidRPr="00696CB1" w:rsidTr="00E94ADD">
        <w:tc>
          <w:tcPr>
            <w:tcW w:w="2227" w:type="dxa"/>
            <w:tcBorders>
              <w:top w:val="single" w:sz="18" w:space="0" w:color="auto"/>
            </w:tcBorders>
            <w:shd w:val="clear" w:color="auto" w:fill="auto"/>
          </w:tcPr>
          <w:p w:rsidR="00305D9B" w:rsidRPr="00696CB1" w:rsidRDefault="00D80F67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Iš viso</w:t>
            </w:r>
          </w:p>
        </w:tc>
        <w:tc>
          <w:tcPr>
            <w:tcW w:w="2301" w:type="dxa"/>
            <w:tcBorders>
              <w:top w:val="single" w:sz="18" w:space="0" w:color="auto"/>
            </w:tcBorders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1151</w:t>
            </w:r>
          </w:p>
        </w:tc>
        <w:tc>
          <w:tcPr>
            <w:tcW w:w="2350" w:type="dxa"/>
            <w:tcBorders>
              <w:top w:val="single" w:sz="18" w:space="0" w:color="auto"/>
            </w:tcBorders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(48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0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</w:t>
            </w:r>
            <w:r w:rsidR="00D06C66" w:rsidRPr="00696CB1">
              <w:rPr>
                <w:snapToGrid/>
                <w:szCs w:val="22"/>
                <w:lang w:val="lt-LT" w:eastAsia="en-GB"/>
              </w:rPr>
              <w:t xml:space="preserve">, plg. su </w:t>
            </w:r>
            <w:r w:rsidRPr="00696CB1">
              <w:rPr>
                <w:snapToGrid/>
                <w:szCs w:val="22"/>
                <w:lang w:val="lt-LT" w:eastAsia="en-GB"/>
              </w:rPr>
              <w:t>40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8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%)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p=0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0148</w:t>
            </w:r>
          </w:p>
        </w:tc>
        <w:tc>
          <w:tcPr>
            <w:tcW w:w="2761" w:type="dxa"/>
            <w:tcBorders>
              <w:top w:val="single" w:sz="18" w:space="0" w:color="auto"/>
            </w:tcBorders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(51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5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</w:t>
            </w:r>
            <w:r w:rsidR="00D06C66" w:rsidRPr="00696CB1">
              <w:rPr>
                <w:snapToGrid/>
                <w:szCs w:val="22"/>
                <w:lang w:val="lt-LT" w:eastAsia="en-GB"/>
              </w:rPr>
              <w:t xml:space="preserve">, plg. su </w:t>
            </w:r>
            <w:r w:rsidRPr="00696CB1">
              <w:rPr>
                <w:snapToGrid/>
                <w:szCs w:val="22"/>
                <w:lang w:val="lt-LT" w:eastAsia="en-GB"/>
              </w:rPr>
              <w:t>48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5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%)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p=0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3037</w:t>
            </w:r>
          </w:p>
        </w:tc>
      </w:tr>
      <w:tr w:rsidR="00305D9B" w:rsidRPr="00696CB1" w:rsidTr="00E94ADD">
        <w:tc>
          <w:tcPr>
            <w:tcW w:w="2227" w:type="dxa"/>
            <w:shd w:val="clear" w:color="auto" w:fill="auto"/>
          </w:tcPr>
          <w:p w:rsidR="00D06C66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EAFR</w:t>
            </w:r>
          </w:p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teigiami</w:t>
            </w:r>
          </w:p>
        </w:tc>
        <w:tc>
          <w:tcPr>
            <w:tcW w:w="2301" w:type="dxa"/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259</w:t>
            </w:r>
          </w:p>
        </w:tc>
        <w:tc>
          <w:tcPr>
            <w:tcW w:w="2350" w:type="dxa"/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(70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2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</w:t>
            </w:r>
            <w:r w:rsidR="00D06C66" w:rsidRPr="00696CB1">
              <w:rPr>
                <w:snapToGrid/>
                <w:szCs w:val="22"/>
                <w:lang w:val="lt-LT" w:eastAsia="en-GB"/>
              </w:rPr>
              <w:t xml:space="preserve">, plg. su </w:t>
            </w:r>
            <w:r w:rsidRPr="00696CB1">
              <w:rPr>
                <w:snapToGrid/>
                <w:szCs w:val="22"/>
                <w:lang w:val="lt-LT" w:eastAsia="en-GB"/>
              </w:rPr>
              <w:t>44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5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%)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p&lt;0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0001</w:t>
            </w:r>
          </w:p>
        </w:tc>
        <w:tc>
          <w:tcPr>
            <w:tcW w:w="2761" w:type="dxa"/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(75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6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</w:t>
            </w:r>
            <w:r w:rsidR="00D06C66" w:rsidRPr="00696CB1">
              <w:rPr>
                <w:snapToGrid/>
                <w:szCs w:val="22"/>
                <w:lang w:val="lt-LT" w:eastAsia="en-GB"/>
              </w:rPr>
              <w:t xml:space="preserve">, plg. su </w:t>
            </w:r>
            <w:r w:rsidRPr="00696CB1">
              <w:rPr>
                <w:snapToGrid/>
                <w:szCs w:val="22"/>
                <w:lang w:val="lt-LT" w:eastAsia="en-GB"/>
              </w:rPr>
              <w:t>53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9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%)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p=0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0003</w:t>
            </w:r>
          </w:p>
        </w:tc>
      </w:tr>
      <w:tr w:rsidR="00305D9B" w:rsidRPr="00696CB1" w:rsidTr="00E94ADD">
        <w:tc>
          <w:tcPr>
            <w:tcW w:w="2227" w:type="dxa"/>
            <w:shd w:val="clear" w:color="auto" w:fill="auto"/>
          </w:tcPr>
          <w:p w:rsidR="00D06C66" w:rsidRPr="00696CB1" w:rsidRDefault="00D06C66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2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EAFR</w:t>
            </w:r>
          </w:p>
          <w:p w:rsidR="00305D9B" w:rsidRPr="00696CB1" w:rsidRDefault="00D06C66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neigiami</w:t>
            </w:r>
          </w:p>
        </w:tc>
        <w:tc>
          <w:tcPr>
            <w:tcW w:w="2301" w:type="dxa"/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169</w:t>
            </w:r>
          </w:p>
        </w:tc>
        <w:tc>
          <w:tcPr>
            <w:tcW w:w="2350" w:type="dxa"/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(14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6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</w:t>
            </w:r>
            <w:r w:rsidR="00D06C66" w:rsidRPr="00696CB1">
              <w:rPr>
                <w:snapToGrid/>
                <w:szCs w:val="22"/>
                <w:lang w:val="lt-LT" w:eastAsia="en-GB"/>
              </w:rPr>
              <w:t xml:space="preserve">, plg. su </w:t>
            </w:r>
            <w:r w:rsidRPr="00696CB1">
              <w:rPr>
                <w:snapToGrid/>
                <w:szCs w:val="22"/>
                <w:lang w:val="lt-LT" w:eastAsia="en-GB"/>
              </w:rPr>
              <w:t>36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3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%)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p=0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0021</w:t>
            </w:r>
          </w:p>
        </w:tc>
        <w:tc>
          <w:tcPr>
            <w:tcW w:w="2761" w:type="dxa"/>
            <w:shd w:val="clear" w:color="auto" w:fill="auto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(20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2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</w:t>
            </w:r>
            <w:r w:rsidR="00D06C66" w:rsidRPr="00696CB1">
              <w:rPr>
                <w:snapToGrid/>
                <w:szCs w:val="22"/>
                <w:lang w:val="lt-LT" w:eastAsia="en-GB"/>
              </w:rPr>
              <w:t xml:space="preserve">, plg. su </w:t>
            </w:r>
            <w:r w:rsidRPr="00696CB1">
              <w:rPr>
                <w:snapToGrid/>
                <w:szCs w:val="22"/>
                <w:lang w:val="lt-LT" w:eastAsia="en-GB"/>
              </w:rPr>
              <w:t>47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5</w:t>
            </w:r>
            <w:r w:rsidR="00BA2583">
              <w:rPr>
                <w:snapToGrid/>
                <w:szCs w:val="22"/>
                <w:lang w:val="lt-LT" w:eastAsia="en-GB"/>
              </w:rPr>
              <w:t> </w:t>
            </w:r>
            <w:r w:rsidRPr="00696CB1">
              <w:rPr>
                <w:snapToGrid/>
                <w:szCs w:val="22"/>
                <w:lang w:val="lt-LT" w:eastAsia="en-GB"/>
              </w:rPr>
              <w:t>%)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szCs w:val="22"/>
                <w:lang w:val="lt-LT" w:eastAsia="en-GB"/>
              </w:rPr>
              <w:t>p=0</w:t>
            </w:r>
            <w:r w:rsidR="00D06C66" w:rsidRPr="00696CB1">
              <w:rPr>
                <w:snapToGrid/>
                <w:szCs w:val="22"/>
                <w:lang w:val="lt-LT" w:eastAsia="en-GB"/>
              </w:rPr>
              <w:t>,</w:t>
            </w:r>
            <w:r w:rsidRPr="00696CB1">
              <w:rPr>
                <w:snapToGrid/>
                <w:szCs w:val="22"/>
                <w:lang w:val="lt-LT" w:eastAsia="en-GB"/>
              </w:rPr>
              <w:t>0002</w:t>
            </w:r>
          </w:p>
        </w:tc>
      </w:tr>
    </w:tbl>
    <w:p w:rsidR="00305D9B" w:rsidRPr="008857A1" w:rsidRDefault="00D06C66" w:rsidP="00696CB1">
      <w:pPr>
        <w:widowControl w:val="0"/>
        <w:tabs>
          <w:tab w:val="clear" w:pos="567"/>
          <w:tab w:val="left" w:pos="807"/>
        </w:tabs>
        <w:kinsoku w:val="0"/>
        <w:overflowPunct w:val="0"/>
        <w:spacing w:line="240" w:lineRule="auto"/>
        <w:ind w:right="-94"/>
        <w:jc w:val="both"/>
        <w:rPr>
          <w:snapToGrid/>
          <w:w w:val="99"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Tyrimo baigčių indekso duomenys atitiko</w:t>
      </w:r>
      <w:r w:rsidR="00305D9B" w:rsidRPr="008857A1">
        <w:rPr>
          <w:snapToGrid/>
          <w:spacing w:val="-6"/>
          <w:sz w:val="20"/>
          <w:lang w:val="lt-LT" w:eastAsia="en-GB"/>
        </w:rPr>
        <w:t xml:space="preserve"> </w:t>
      </w:r>
      <w:r w:rsidR="00305D9B" w:rsidRPr="008857A1">
        <w:rPr>
          <w:snapToGrid/>
          <w:sz w:val="20"/>
          <w:lang w:val="lt-LT" w:eastAsia="en-GB"/>
        </w:rPr>
        <w:t>FACT-L</w:t>
      </w:r>
      <w:r w:rsidR="00305D9B" w:rsidRPr="008857A1">
        <w:rPr>
          <w:snapToGrid/>
          <w:spacing w:val="-5"/>
          <w:sz w:val="20"/>
          <w:lang w:val="lt-LT" w:eastAsia="en-GB"/>
        </w:rPr>
        <w:t xml:space="preserve"> </w:t>
      </w:r>
      <w:r w:rsidRPr="008857A1">
        <w:rPr>
          <w:snapToGrid/>
          <w:sz w:val="20"/>
          <w:lang w:val="lt-LT" w:eastAsia="en-GB"/>
        </w:rPr>
        <w:t>ir</w:t>
      </w:r>
      <w:r w:rsidR="00305D9B" w:rsidRPr="008857A1">
        <w:rPr>
          <w:snapToGrid/>
          <w:spacing w:val="-5"/>
          <w:sz w:val="20"/>
          <w:lang w:val="lt-LT" w:eastAsia="en-GB"/>
        </w:rPr>
        <w:t xml:space="preserve"> </w:t>
      </w:r>
      <w:r w:rsidR="00305D9B" w:rsidRPr="008857A1">
        <w:rPr>
          <w:snapToGrid/>
          <w:sz w:val="20"/>
          <w:lang w:val="lt-LT" w:eastAsia="en-GB"/>
        </w:rPr>
        <w:t>LCS</w:t>
      </w:r>
      <w:r w:rsidR="00305D9B" w:rsidRPr="008857A1">
        <w:rPr>
          <w:snapToGrid/>
          <w:spacing w:val="-6"/>
          <w:sz w:val="20"/>
          <w:lang w:val="lt-LT" w:eastAsia="en-GB"/>
        </w:rPr>
        <w:t xml:space="preserve"> </w:t>
      </w:r>
      <w:r w:rsidRPr="008857A1">
        <w:rPr>
          <w:snapToGrid/>
          <w:sz w:val="20"/>
          <w:lang w:val="lt-LT" w:eastAsia="en-GB"/>
        </w:rPr>
        <w:t>rezultatus</w:t>
      </w:r>
    </w:p>
    <w:p w:rsidR="00305D9B" w:rsidRPr="008857A1" w:rsidRDefault="00305D9B" w:rsidP="00696CB1">
      <w:pPr>
        <w:widowControl w:val="0"/>
        <w:kinsoku w:val="0"/>
        <w:overflowPunct w:val="0"/>
        <w:spacing w:line="240" w:lineRule="auto"/>
        <w:ind w:right="-94"/>
        <w:jc w:val="both"/>
        <w:rPr>
          <w:snapToGrid/>
          <w:sz w:val="20"/>
          <w:lang w:val="lt-LT" w:eastAsia="en-GB"/>
        </w:rPr>
      </w:pPr>
      <w:r w:rsidRPr="008857A1">
        <w:rPr>
          <w:snapToGrid/>
          <w:w w:val="95"/>
          <w:sz w:val="20"/>
          <w:lang w:val="lt-LT" w:eastAsia="en-GB"/>
        </w:rPr>
        <w:t>a</w:t>
      </w:r>
      <w:r w:rsidRPr="008857A1">
        <w:rPr>
          <w:snapToGrid/>
          <w:w w:val="95"/>
          <w:sz w:val="20"/>
          <w:lang w:val="lt-LT" w:eastAsia="en-GB"/>
        </w:rPr>
        <w:tab/>
      </w:r>
      <w:r w:rsidR="00D06C66" w:rsidRPr="008857A1">
        <w:rPr>
          <w:snapToGrid/>
          <w:sz w:val="20"/>
          <w:lang w:val="lt-LT" w:eastAsia="en-GB"/>
        </w:rPr>
        <w:t xml:space="preserve">Pateikti rodmenys gauti lyginant </w:t>
      </w:r>
      <w:proofErr w:type="spellStart"/>
      <w:r w:rsidR="00D06C66" w:rsidRPr="008857A1">
        <w:rPr>
          <w:snapToGrid/>
          <w:sz w:val="20"/>
          <w:lang w:val="lt-LT" w:eastAsia="en-GB"/>
        </w:rPr>
        <w:t>gefitinibą</w:t>
      </w:r>
      <w:proofErr w:type="spellEnd"/>
      <w:r w:rsidR="00D06C66" w:rsidRPr="008857A1">
        <w:rPr>
          <w:snapToGrid/>
          <w:sz w:val="20"/>
          <w:lang w:val="lt-LT" w:eastAsia="en-GB"/>
        </w:rPr>
        <w:t xml:space="preserve"> su </w:t>
      </w:r>
      <w:proofErr w:type="spellStart"/>
      <w:r w:rsidR="00D06C66" w:rsidRPr="008857A1">
        <w:rPr>
          <w:snapToGrid/>
          <w:sz w:val="20"/>
          <w:lang w:val="lt-LT" w:eastAsia="en-GB"/>
        </w:rPr>
        <w:t>karboplatina</w:t>
      </w:r>
      <w:proofErr w:type="spellEnd"/>
      <w:r w:rsidR="00D06C66" w:rsidRPr="008857A1">
        <w:rPr>
          <w:snapToGrid/>
          <w:sz w:val="20"/>
          <w:lang w:val="lt-LT" w:eastAsia="en-GB"/>
        </w:rPr>
        <w:t>/</w:t>
      </w:r>
      <w:proofErr w:type="spellStart"/>
      <w:r w:rsidR="00D06C66" w:rsidRPr="008857A1">
        <w:rPr>
          <w:snapToGrid/>
          <w:sz w:val="20"/>
          <w:lang w:val="lt-LT" w:eastAsia="en-GB"/>
        </w:rPr>
        <w:t>paklitakseliu</w:t>
      </w:r>
      <w:proofErr w:type="spellEnd"/>
    </w:p>
    <w:p w:rsidR="00305D9B" w:rsidRPr="008857A1" w:rsidRDefault="00305D9B" w:rsidP="00696CB1">
      <w:pPr>
        <w:widowControl w:val="0"/>
        <w:kinsoku w:val="0"/>
        <w:overflowPunct w:val="0"/>
        <w:spacing w:line="240" w:lineRule="auto"/>
        <w:ind w:right="-94"/>
        <w:jc w:val="both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N</w:t>
      </w:r>
      <w:r w:rsidR="00D80F67" w:rsidRPr="008857A1">
        <w:rPr>
          <w:snapToGrid/>
          <w:sz w:val="20"/>
          <w:lang w:val="lt-LT" w:eastAsia="en-GB"/>
        </w:rPr>
        <w:tab/>
        <w:t>S</w:t>
      </w:r>
      <w:r w:rsidR="00D06C66" w:rsidRPr="008857A1">
        <w:rPr>
          <w:snapToGrid/>
          <w:sz w:val="20"/>
          <w:lang w:val="lt-LT" w:eastAsia="en-GB"/>
        </w:rPr>
        <w:t>kaičius pacientų, kurių gyvenimo kokybės analizę buvo galima atlikti</w:t>
      </w:r>
    </w:p>
    <w:p w:rsidR="00305D9B" w:rsidRPr="008857A1" w:rsidRDefault="00305D9B" w:rsidP="00696CB1">
      <w:pPr>
        <w:widowControl w:val="0"/>
        <w:kinsoku w:val="0"/>
        <w:overflowPunct w:val="0"/>
        <w:spacing w:line="240" w:lineRule="auto"/>
        <w:ind w:right="-94"/>
        <w:jc w:val="both"/>
        <w:rPr>
          <w:snapToGrid/>
          <w:sz w:val="20"/>
          <w:lang w:val="lt-LT" w:eastAsia="en-GB"/>
        </w:rPr>
      </w:pPr>
      <w:proofErr w:type="spellStart"/>
      <w:r w:rsidRPr="008857A1">
        <w:rPr>
          <w:snapToGrid/>
          <w:sz w:val="20"/>
          <w:lang w:val="lt-LT" w:eastAsia="en-GB"/>
        </w:rPr>
        <w:t>QoL</w:t>
      </w:r>
      <w:proofErr w:type="spellEnd"/>
      <w:r w:rsidR="00D06C66" w:rsidRPr="008857A1">
        <w:rPr>
          <w:snapToGrid/>
          <w:sz w:val="20"/>
          <w:lang w:val="lt-LT" w:eastAsia="en-GB"/>
        </w:rPr>
        <w:t>:</w:t>
      </w:r>
      <w:r w:rsidR="00D80F67" w:rsidRPr="008857A1">
        <w:rPr>
          <w:snapToGrid/>
          <w:sz w:val="20"/>
          <w:lang w:val="lt-LT" w:eastAsia="en-GB"/>
        </w:rPr>
        <w:tab/>
        <w:t>G</w:t>
      </w:r>
      <w:r w:rsidR="00D06C66" w:rsidRPr="008857A1">
        <w:rPr>
          <w:snapToGrid/>
          <w:sz w:val="20"/>
          <w:lang w:val="lt-LT" w:eastAsia="en-GB"/>
        </w:rPr>
        <w:t>yvenimo kokybė</w:t>
      </w:r>
    </w:p>
    <w:p w:rsidR="00305D9B" w:rsidRPr="008857A1" w:rsidRDefault="00305D9B" w:rsidP="00696CB1">
      <w:pPr>
        <w:widowControl w:val="0"/>
        <w:kinsoku w:val="0"/>
        <w:overflowPunct w:val="0"/>
        <w:spacing w:line="240" w:lineRule="auto"/>
        <w:ind w:right="-94"/>
        <w:jc w:val="both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FACT-L</w:t>
      </w:r>
      <w:r w:rsidR="00D80F67" w:rsidRPr="008857A1">
        <w:rPr>
          <w:snapToGrid/>
          <w:sz w:val="20"/>
          <w:lang w:val="lt-LT" w:eastAsia="en-GB"/>
        </w:rPr>
        <w:t xml:space="preserve">: </w:t>
      </w:r>
      <w:proofErr w:type="spellStart"/>
      <w:r w:rsidR="00D80F67" w:rsidRPr="008857A1">
        <w:rPr>
          <w:snapToGrid/>
          <w:sz w:val="20"/>
          <w:lang w:val="lt-LT" w:eastAsia="en-GB"/>
        </w:rPr>
        <w:t>Fs</w:t>
      </w:r>
      <w:r w:rsidR="00D06C66" w:rsidRPr="008857A1">
        <w:rPr>
          <w:snapToGrid/>
          <w:sz w:val="20"/>
          <w:lang w:val="lt-LT" w:eastAsia="en-GB"/>
        </w:rPr>
        <w:t>unkcinis</w:t>
      </w:r>
      <w:proofErr w:type="spellEnd"/>
      <w:r w:rsidR="00D06C66" w:rsidRPr="008857A1">
        <w:rPr>
          <w:snapToGrid/>
          <w:sz w:val="20"/>
          <w:lang w:val="lt-LT" w:eastAsia="en-GB"/>
        </w:rPr>
        <w:t xml:space="preserve"> vėžio gydymo įvertinimas − plaučiai</w:t>
      </w:r>
    </w:p>
    <w:p w:rsidR="00305D9B" w:rsidRPr="008857A1" w:rsidRDefault="00305D9B" w:rsidP="00696CB1">
      <w:pPr>
        <w:widowControl w:val="0"/>
        <w:kinsoku w:val="0"/>
        <w:overflowPunct w:val="0"/>
        <w:spacing w:line="240" w:lineRule="auto"/>
        <w:ind w:right="-94"/>
        <w:jc w:val="both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LCS</w:t>
      </w:r>
      <w:r w:rsidR="00D06C66" w:rsidRPr="008857A1">
        <w:rPr>
          <w:snapToGrid/>
          <w:sz w:val="20"/>
          <w:lang w:val="lt-LT" w:eastAsia="en-GB"/>
        </w:rPr>
        <w:t>:</w:t>
      </w:r>
      <w:r w:rsidR="00D80F67" w:rsidRPr="008857A1">
        <w:rPr>
          <w:snapToGrid/>
          <w:sz w:val="20"/>
          <w:lang w:val="lt-LT" w:eastAsia="en-GB"/>
        </w:rPr>
        <w:tab/>
        <w:t>P</w:t>
      </w:r>
      <w:r w:rsidR="00D06C66" w:rsidRPr="008857A1">
        <w:rPr>
          <w:snapToGrid/>
          <w:sz w:val="20"/>
          <w:lang w:val="lt-LT" w:eastAsia="en-GB"/>
        </w:rPr>
        <w:t xml:space="preserve">laučių vėžio </w:t>
      </w:r>
      <w:proofErr w:type="spellStart"/>
      <w:r w:rsidR="00D06C66" w:rsidRPr="008857A1">
        <w:rPr>
          <w:snapToGrid/>
          <w:sz w:val="20"/>
          <w:lang w:val="lt-LT" w:eastAsia="en-GB"/>
        </w:rPr>
        <w:t>subskalė</w:t>
      </w:r>
      <w:proofErr w:type="spellEnd"/>
    </w:p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jc w:val="both"/>
        <w:rPr>
          <w:snapToGrid/>
          <w:szCs w:val="22"/>
          <w:lang w:val="lt-LT" w:eastAsia="en-GB"/>
        </w:rPr>
      </w:pPr>
    </w:p>
    <w:p w:rsidR="00305D9B" w:rsidRPr="00696CB1" w:rsidRDefault="000C01FC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snapToGrid/>
          <w:szCs w:val="22"/>
          <w:lang w:val="lt-LT" w:eastAsia="en-GB"/>
        </w:rPr>
      </w:pPr>
      <w:r w:rsidRPr="00696CB1">
        <w:rPr>
          <w:snapToGrid/>
          <w:spacing w:val="-1"/>
          <w:szCs w:val="22"/>
          <w:lang w:val="lt-LT" w:eastAsia="en-GB"/>
        </w:rPr>
        <w:t xml:space="preserve">IPASS tyrimas parodė palankesnį </w:t>
      </w:r>
      <w:proofErr w:type="spellStart"/>
      <w:r w:rsidR="00762698" w:rsidRPr="00696CB1">
        <w:rPr>
          <w:snapToGrid/>
          <w:spacing w:val="-1"/>
          <w:szCs w:val="22"/>
          <w:lang w:val="lt-LT" w:eastAsia="en-GB"/>
        </w:rPr>
        <w:t>gefitinibo</w:t>
      </w:r>
      <w:proofErr w:type="spellEnd"/>
      <w:r w:rsidR="00D80F67" w:rsidRPr="00696CB1">
        <w:rPr>
          <w:snapToGrid/>
          <w:spacing w:val="-1"/>
          <w:szCs w:val="22"/>
          <w:lang w:val="lt-LT" w:eastAsia="en-GB"/>
        </w:rPr>
        <w:t xml:space="preserve"> (palyginti su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karboplatin</w:t>
      </w:r>
      <w:r w:rsidR="00D80F67" w:rsidRPr="00696CB1">
        <w:rPr>
          <w:snapToGrid/>
          <w:spacing w:val="-1"/>
          <w:szCs w:val="22"/>
          <w:lang w:val="lt-LT" w:eastAsia="en-GB"/>
        </w:rPr>
        <w:t>a</w:t>
      </w:r>
      <w:proofErr w:type="spellEnd"/>
      <w:r w:rsidR="00D80F67" w:rsidRPr="00696CB1">
        <w:rPr>
          <w:snapToGrid/>
          <w:spacing w:val="-1"/>
          <w:szCs w:val="22"/>
          <w:lang w:val="lt-LT" w:eastAsia="en-GB"/>
        </w:rPr>
        <w:t>/</w:t>
      </w:r>
      <w:proofErr w:type="spellStart"/>
      <w:r w:rsidR="00D80F67" w:rsidRPr="00696CB1">
        <w:rPr>
          <w:snapToGrid/>
          <w:spacing w:val="-1"/>
          <w:szCs w:val="22"/>
          <w:lang w:val="lt-LT" w:eastAsia="en-GB"/>
        </w:rPr>
        <w:t>p</w:t>
      </w:r>
      <w:r w:rsidRPr="00696CB1">
        <w:rPr>
          <w:snapToGrid/>
          <w:spacing w:val="-1"/>
          <w:szCs w:val="22"/>
          <w:lang w:val="lt-LT" w:eastAsia="en-GB"/>
        </w:rPr>
        <w:t>aklitakseli</w:t>
      </w:r>
      <w:r w:rsidR="00D80F67" w:rsidRPr="00696CB1">
        <w:rPr>
          <w:snapToGrid/>
          <w:spacing w:val="-1"/>
          <w:szCs w:val="22"/>
          <w:lang w:val="lt-LT" w:eastAsia="en-GB"/>
        </w:rPr>
        <w:t>u</w:t>
      </w:r>
      <w:proofErr w:type="spellEnd"/>
      <w:r w:rsidR="00D80F67" w:rsidRPr="00696CB1">
        <w:rPr>
          <w:snapToGrid/>
          <w:spacing w:val="-1"/>
          <w:szCs w:val="22"/>
          <w:lang w:val="lt-LT" w:eastAsia="en-GB"/>
        </w:rPr>
        <w:t xml:space="preserve">) </w:t>
      </w:r>
      <w:r w:rsidRPr="00696CB1">
        <w:rPr>
          <w:snapToGrid/>
          <w:spacing w:val="-1"/>
          <w:szCs w:val="22"/>
          <w:lang w:val="lt-LT" w:eastAsia="en-GB"/>
        </w:rPr>
        <w:t xml:space="preserve">poveikį anksčiau </w:t>
      </w:r>
      <w:r w:rsidRPr="00696CB1">
        <w:rPr>
          <w:snapToGrid/>
          <w:spacing w:val="-1"/>
          <w:szCs w:val="22"/>
          <w:lang w:val="lt-LT" w:eastAsia="en-GB"/>
        </w:rPr>
        <w:lastRenderedPageBreak/>
        <w:t xml:space="preserve">negydytų pacientų, sergančių lokaliai progresavusiu ar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metastazavusiu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</w:t>
      </w:r>
      <w:r w:rsidR="00D80F67" w:rsidRPr="00696CB1">
        <w:rPr>
          <w:snapToGrid/>
          <w:spacing w:val="-1"/>
          <w:szCs w:val="22"/>
          <w:lang w:val="lt-LT" w:eastAsia="en-GB"/>
        </w:rPr>
        <w:t>NSLPV</w:t>
      </w:r>
      <w:r w:rsidRPr="00696CB1">
        <w:rPr>
          <w:snapToGrid/>
          <w:spacing w:val="-1"/>
          <w:szCs w:val="22"/>
          <w:lang w:val="lt-LT" w:eastAsia="en-GB"/>
        </w:rPr>
        <w:t xml:space="preserve">, kurių navikas turi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epitelinio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augimo faktoriaus receptorių (EGFR)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tirozino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kinazę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aktyvinančių mutacijų, neprogresuojant ligai išgyventam laikotarpiui (PFS), bendram atsako dažniui (ORR), gyvenimo kokybei (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QoL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) ir simptomų palengvėjimui, o </w:t>
      </w:r>
      <w:r w:rsidR="00FE4B3E" w:rsidRPr="00696CB1">
        <w:rPr>
          <w:snapToGrid/>
          <w:spacing w:val="-1"/>
          <w:szCs w:val="22"/>
          <w:lang w:val="lt-LT" w:eastAsia="en-GB"/>
        </w:rPr>
        <w:t>bendrasis</w:t>
      </w:r>
      <w:r w:rsidR="00D80F67" w:rsidRPr="00696CB1">
        <w:rPr>
          <w:snapToGrid/>
          <w:spacing w:val="-1"/>
          <w:szCs w:val="22"/>
          <w:lang w:val="lt-LT" w:eastAsia="en-GB"/>
        </w:rPr>
        <w:t xml:space="preserve"> </w:t>
      </w:r>
      <w:proofErr w:type="spellStart"/>
      <w:r w:rsidR="00D80F67" w:rsidRPr="00696CB1">
        <w:rPr>
          <w:snapToGrid/>
          <w:spacing w:val="-1"/>
          <w:szCs w:val="22"/>
          <w:lang w:val="lt-LT" w:eastAsia="en-GB"/>
        </w:rPr>
        <w:t>išgyvenamumas</w:t>
      </w:r>
      <w:proofErr w:type="spellEnd"/>
      <w:r w:rsidR="00D80F67" w:rsidRPr="00696CB1">
        <w:rPr>
          <w:snapToGrid/>
          <w:spacing w:val="-1"/>
          <w:szCs w:val="22"/>
          <w:lang w:val="lt-LT" w:eastAsia="en-GB"/>
        </w:rPr>
        <w:t xml:space="preserve"> reikšmingai nesiskyrė</w:t>
      </w:r>
      <w:r w:rsidRPr="00696CB1">
        <w:rPr>
          <w:snapToGrid/>
          <w:spacing w:val="-1"/>
          <w:szCs w:val="22"/>
          <w:lang w:val="lt-LT" w:eastAsia="en-GB"/>
        </w:rPr>
        <w:t>.</w:t>
      </w:r>
    </w:p>
    <w:p w:rsidR="000C01FC" w:rsidRPr="00696CB1" w:rsidRDefault="000C01FC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jc w:val="both"/>
        <w:rPr>
          <w:i/>
          <w:iCs/>
          <w:snapToGrid/>
          <w:spacing w:val="-1"/>
          <w:szCs w:val="22"/>
          <w:lang w:val="lt-LT" w:eastAsia="en-GB"/>
        </w:rPr>
      </w:pPr>
    </w:p>
    <w:p w:rsidR="00762698" w:rsidRPr="00696CB1" w:rsidRDefault="00762698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494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Anksčiau jau gydyti pacientai</w:t>
      </w:r>
    </w:p>
    <w:p w:rsidR="00305D9B" w:rsidRPr="00696CB1" w:rsidRDefault="000C01FC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494"/>
        <w:rPr>
          <w:snapToGrid/>
          <w:spacing w:val="-1"/>
          <w:szCs w:val="22"/>
          <w:lang w:val="lt-LT" w:eastAsia="en-GB"/>
        </w:rPr>
      </w:pPr>
      <w:r w:rsidRPr="00696CB1">
        <w:rPr>
          <w:szCs w:val="22"/>
          <w:lang w:val="lt-LT"/>
        </w:rPr>
        <w:t>Atsitiktin</w:t>
      </w:r>
      <w:r w:rsidR="006D62B7" w:rsidRPr="00696CB1">
        <w:rPr>
          <w:szCs w:val="22"/>
          <w:lang w:val="lt-LT"/>
        </w:rPr>
        <w:t>ių imčių</w:t>
      </w:r>
      <w:r w:rsidRPr="00696CB1">
        <w:rPr>
          <w:szCs w:val="22"/>
          <w:lang w:val="lt-LT"/>
        </w:rPr>
        <w:t xml:space="preserve"> III fazės INTEREST tyrime dalyvavo lokaliai progresavusiu arba </w:t>
      </w:r>
      <w:proofErr w:type="spellStart"/>
      <w:r w:rsidRPr="00696CB1">
        <w:rPr>
          <w:szCs w:val="22"/>
          <w:lang w:val="lt-LT"/>
        </w:rPr>
        <w:t>metastazavusiu</w:t>
      </w:r>
      <w:proofErr w:type="spellEnd"/>
      <w:r w:rsidRPr="00696CB1">
        <w:rPr>
          <w:szCs w:val="22"/>
          <w:lang w:val="lt-LT"/>
        </w:rPr>
        <w:t xml:space="preserve"> </w:t>
      </w:r>
      <w:r w:rsidR="00FE4B3E" w:rsidRPr="00696CB1">
        <w:rPr>
          <w:snapToGrid/>
          <w:spacing w:val="-1"/>
          <w:szCs w:val="22"/>
          <w:lang w:val="lt-LT" w:eastAsia="en-GB"/>
        </w:rPr>
        <w:t>NSLPV</w:t>
      </w:r>
      <w:r w:rsidR="00FE4B3E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sirgę pacientai po chemoterapijos, kurios pagrindinis vaistinis preparatas buvo platinos preparatas. Bendroje populiacijoje statistikai reikšmingo </w:t>
      </w:r>
      <w:proofErr w:type="spellStart"/>
      <w:r w:rsidRPr="00696CB1">
        <w:rPr>
          <w:szCs w:val="22"/>
          <w:lang w:val="lt-LT"/>
        </w:rPr>
        <w:t>gefi</w:t>
      </w:r>
      <w:r w:rsidR="006D62B7" w:rsidRPr="00696CB1">
        <w:rPr>
          <w:szCs w:val="22"/>
          <w:lang w:val="lt-LT"/>
        </w:rPr>
        <w:t>tinibo</w:t>
      </w:r>
      <w:proofErr w:type="spellEnd"/>
      <w:r w:rsidR="006D62B7" w:rsidRPr="00696CB1">
        <w:rPr>
          <w:szCs w:val="22"/>
          <w:lang w:val="lt-LT"/>
        </w:rPr>
        <w:t xml:space="preserve"> ir </w:t>
      </w:r>
      <w:proofErr w:type="spellStart"/>
      <w:r w:rsidR="006D62B7" w:rsidRPr="00696CB1">
        <w:rPr>
          <w:szCs w:val="22"/>
          <w:lang w:val="lt-LT"/>
        </w:rPr>
        <w:t>docetakselio</w:t>
      </w:r>
      <w:proofErr w:type="spellEnd"/>
      <w:r w:rsidR="006D62B7" w:rsidRPr="00696CB1">
        <w:rPr>
          <w:szCs w:val="22"/>
          <w:lang w:val="lt-LT"/>
        </w:rPr>
        <w:t xml:space="preserve"> (75</w:t>
      </w:r>
      <w:r w:rsidR="00404FF5" w:rsidRPr="00696CB1">
        <w:rPr>
          <w:szCs w:val="22"/>
          <w:lang w:val="lt-LT"/>
        </w:rPr>
        <w:t> mg</w:t>
      </w:r>
      <w:r w:rsidR="006D62B7" w:rsidRPr="00696CB1">
        <w:rPr>
          <w:szCs w:val="22"/>
          <w:lang w:val="lt-LT"/>
        </w:rPr>
        <w:t>/m</w:t>
      </w:r>
      <w:r w:rsidRPr="00696CB1">
        <w:rPr>
          <w:szCs w:val="22"/>
          <w:vertAlign w:val="superscript"/>
          <w:lang w:val="lt-LT"/>
        </w:rPr>
        <w:t>2</w:t>
      </w:r>
      <w:r w:rsidR="006D62B7" w:rsidRPr="00696CB1">
        <w:rPr>
          <w:szCs w:val="22"/>
          <w:lang w:val="lt-LT"/>
        </w:rPr>
        <w:t xml:space="preserve">) poveikio bendrajam </w:t>
      </w:r>
      <w:proofErr w:type="spellStart"/>
      <w:r w:rsidR="006D62B7" w:rsidRPr="00696CB1">
        <w:rPr>
          <w:szCs w:val="22"/>
          <w:lang w:val="lt-LT"/>
        </w:rPr>
        <w:t>išgyvenamumui</w:t>
      </w:r>
      <w:proofErr w:type="spellEnd"/>
      <w:r w:rsidRPr="00696CB1">
        <w:rPr>
          <w:szCs w:val="22"/>
          <w:lang w:val="lt-LT"/>
        </w:rPr>
        <w:t>, neprogresuojant ligai išgyvent</w:t>
      </w:r>
      <w:r w:rsidR="006D62B7" w:rsidRPr="00696CB1">
        <w:rPr>
          <w:szCs w:val="22"/>
          <w:lang w:val="lt-LT"/>
        </w:rPr>
        <w:t>am</w:t>
      </w:r>
      <w:r w:rsidRPr="00696CB1">
        <w:rPr>
          <w:szCs w:val="22"/>
          <w:lang w:val="lt-LT"/>
        </w:rPr>
        <w:t xml:space="preserve"> laikotarpi</w:t>
      </w:r>
      <w:r w:rsidR="006D62B7" w:rsidRPr="00696CB1">
        <w:rPr>
          <w:szCs w:val="22"/>
          <w:lang w:val="lt-LT"/>
        </w:rPr>
        <w:t>ui</w:t>
      </w:r>
      <w:r w:rsidRPr="00696CB1">
        <w:rPr>
          <w:szCs w:val="22"/>
          <w:lang w:val="lt-LT"/>
        </w:rPr>
        <w:t xml:space="preserve"> ir objektyvaus atsako dažni</w:t>
      </w:r>
      <w:r w:rsidR="006D62B7" w:rsidRPr="00696CB1">
        <w:rPr>
          <w:szCs w:val="22"/>
          <w:lang w:val="lt-LT"/>
        </w:rPr>
        <w:t>ui</w:t>
      </w:r>
      <w:r w:rsidRPr="00696CB1">
        <w:rPr>
          <w:szCs w:val="22"/>
          <w:lang w:val="lt-LT"/>
        </w:rPr>
        <w:t xml:space="preserve"> skirtumo nenustatyta (žr. 5</w:t>
      </w:r>
      <w:r w:rsidR="006D62B7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lentelę)</w:t>
      </w:r>
      <w:r w:rsidR="00305D9B" w:rsidRPr="00696CB1">
        <w:rPr>
          <w:snapToGrid/>
          <w:spacing w:val="-1"/>
          <w:szCs w:val="22"/>
          <w:lang w:val="lt-LT" w:eastAsia="en-GB"/>
        </w:rPr>
        <w:t>.</w:t>
      </w:r>
    </w:p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left="221" w:right="494"/>
        <w:jc w:val="both"/>
        <w:rPr>
          <w:snapToGrid/>
          <w:spacing w:val="-1"/>
          <w:szCs w:val="22"/>
          <w:lang w:val="lt-LT" w:eastAsia="en-GB"/>
        </w:rPr>
      </w:pPr>
    </w:p>
    <w:p w:rsidR="00305D9B" w:rsidRPr="00696CB1" w:rsidRDefault="000C01FC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rPr>
          <w:b/>
          <w:snapToGrid/>
          <w:szCs w:val="22"/>
          <w:lang w:val="lt-LT" w:eastAsia="en-GB"/>
        </w:rPr>
      </w:pPr>
      <w:r w:rsidRPr="00696CB1">
        <w:rPr>
          <w:b/>
          <w:iCs/>
          <w:snapToGrid/>
          <w:spacing w:val="-1"/>
          <w:szCs w:val="22"/>
          <w:u w:val="thick"/>
          <w:lang w:val="lt-LT" w:eastAsia="en-GB"/>
        </w:rPr>
        <w:t xml:space="preserve">5 lentelė. INTEREST tyrimo metu nustatytos </w:t>
      </w:r>
      <w:proofErr w:type="spellStart"/>
      <w:r w:rsidRPr="00696CB1">
        <w:rPr>
          <w:b/>
          <w:iCs/>
          <w:snapToGrid/>
          <w:spacing w:val="-1"/>
          <w:szCs w:val="22"/>
          <w:u w:val="thick"/>
          <w:lang w:val="lt-LT" w:eastAsia="en-GB"/>
        </w:rPr>
        <w:t>gefitinibo</w:t>
      </w:r>
      <w:proofErr w:type="spellEnd"/>
      <w:r w:rsidRPr="00696CB1">
        <w:rPr>
          <w:b/>
          <w:iCs/>
          <w:snapToGrid/>
          <w:spacing w:val="-1"/>
          <w:szCs w:val="22"/>
          <w:u w:val="thick"/>
          <w:lang w:val="lt-LT" w:eastAsia="en-GB"/>
        </w:rPr>
        <w:t xml:space="preserve"> veiksmingumo baigtys, palyginti su </w:t>
      </w:r>
      <w:proofErr w:type="spellStart"/>
      <w:r w:rsidRPr="00696CB1">
        <w:rPr>
          <w:b/>
          <w:iCs/>
          <w:snapToGrid/>
          <w:spacing w:val="-1"/>
          <w:szCs w:val="22"/>
          <w:u w:val="thick"/>
          <w:lang w:val="lt-LT" w:eastAsia="en-GB"/>
        </w:rPr>
        <w:t>docetakseliu</w:t>
      </w:r>
      <w:proofErr w:type="spellEnd"/>
    </w:p>
    <w:tbl>
      <w:tblPr>
        <w:tblW w:w="9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773"/>
        <w:gridCol w:w="1852"/>
        <w:gridCol w:w="2859"/>
        <w:gridCol w:w="1875"/>
      </w:tblGrid>
      <w:tr w:rsidR="00305D9B" w:rsidRPr="00696CB1" w:rsidTr="00305D9B">
        <w:trPr>
          <w:trHeight w:val="1679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8"/>
              <w:rPr>
                <w:b/>
                <w:snapToGrid/>
                <w:szCs w:val="22"/>
                <w:lang w:val="lt-LT"/>
              </w:rPr>
            </w:pPr>
            <w:r w:rsidRPr="00696CB1">
              <w:rPr>
                <w:b/>
                <w:bCs/>
                <w:snapToGrid/>
                <w:spacing w:val="-1"/>
                <w:szCs w:val="22"/>
                <w:lang w:val="lt-LT"/>
              </w:rPr>
              <w:t>Populiacija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5"/>
              <w:jc w:val="center"/>
              <w:rPr>
                <w:b/>
                <w:snapToGrid/>
                <w:szCs w:val="22"/>
                <w:lang w:val="lt-LT"/>
              </w:rPr>
            </w:pPr>
            <w:r w:rsidRPr="00696CB1">
              <w:rPr>
                <w:b/>
                <w:bCs/>
                <w:snapToGrid/>
                <w:szCs w:val="22"/>
                <w:lang w:val="lt-LT"/>
              </w:rPr>
              <w:t>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49" w:right="260" w:firstLine="216"/>
              <w:jc w:val="center"/>
              <w:rPr>
                <w:b/>
                <w:snapToGrid/>
                <w:szCs w:val="22"/>
                <w:lang w:val="lt-LT"/>
              </w:rPr>
            </w:pPr>
            <w:r w:rsidRPr="00696CB1">
              <w:rPr>
                <w:b/>
                <w:bCs/>
                <w:snapToGrid/>
                <w:szCs w:val="22"/>
                <w:lang w:val="lt-LT"/>
              </w:rPr>
              <w:t>Objektyvaus atsako dažnis ir skirtumo tarp gydymo grupių 95% PI</w:t>
            </w:r>
            <w:r w:rsidR="00305D9B" w:rsidRPr="00696CB1">
              <w:rPr>
                <w:b/>
                <w:bCs/>
                <w:snapToGrid/>
                <w:spacing w:val="-1"/>
                <w:position w:val="10"/>
                <w:szCs w:val="22"/>
                <w:lang w:val="lt-LT"/>
              </w:rPr>
              <w:t>a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88"/>
              <w:rPr>
                <w:b/>
                <w:snapToGrid/>
                <w:szCs w:val="22"/>
                <w:lang w:val="lt-LT"/>
              </w:rPr>
            </w:pPr>
            <w:r w:rsidRPr="00696CB1">
              <w:rPr>
                <w:b/>
                <w:bCs/>
                <w:snapToGrid/>
                <w:spacing w:val="-1"/>
                <w:szCs w:val="22"/>
                <w:lang w:val="lt-LT"/>
              </w:rPr>
              <w:t xml:space="preserve">Neprogresuojant ligai </w:t>
            </w:r>
            <w:r w:rsidR="00FE4B3E" w:rsidRPr="00696CB1">
              <w:rPr>
                <w:b/>
                <w:bCs/>
                <w:snapToGrid/>
                <w:spacing w:val="-1"/>
                <w:szCs w:val="22"/>
                <w:lang w:val="lt-LT"/>
              </w:rPr>
              <w:t>išgyventas</w:t>
            </w:r>
            <w:r w:rsidRPr="00696CB1">
              <w:rPr>
                <w:b/>
                <w:bCs/>
                <w:snapToGrid/>
                <w:spacing w:val="-1"/>
                <w:szCs w:val="22"/>
                <w:lang w:val="lt-LT"/>
              </w:rPr>
              <w:t xml:space="preserve"> </w:t>
            </w:r>
            <w:proofErr w:type="spellStart"/>
            <w:r w:rsidRPr="00696CB1">
              <w:rPr>
                <w:b/>
                <w:bCs/>
                <w:snapToGrid/>
                <w:spacing w:val="-1"/>
                <w:szCs w:val="22"/>
                <w:lang w:val="lt-LT"/>
              </w:rPr>
              <w:t>laikotarpis</w:t>
            </w:r>
            <w:r w:rsidRPr="00696CB1">
              <w:rPr>
                <w:b/>
                <w:bCs/>
                <w:snapToGrid/>
                <w:spacing w:val="-1"/>
                <w:szCs w:val="22"/>
                <w:vertAlign w:val="superscript"/>
                <w:lang w:val="lt-LT"/>
              </w:rPr>
              <w:t>ab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</w:tcPr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92"/>
              <w:rPr>
                <w:b/>
                <w:snapToGrid/>
                <w:szCs w:val="22"/>
                <w:lang w:val="lt-LT"/>
              </w:rPr>
            </w:pPr>
            <w:r w:rsidRPr="00696CB1">
              <w:rPr>
                <w:b/>
                <w:bCs/>
                <w:snapToGrid/>
                <w:szCs w:val="22"/>
                <w:lang w:val="lt-LT"/>
              </w:rPr>
              <w:t xml:space="preserve">Pagrindinė vertinamoji baigtis bendrasis </w:t>
            </w:r>
            <w:proofErr w:type="spellStart"/>
            <w:r w:rsidRPr="00696CB1">
              <w:rPr>
                <w:b/>
                <w:bCs/>
                <w:snapToGrid/>
                <w:szCs w:val="22"/>
                <w:lang w:val="lt-LT"/>
              </w:rPr>
              <w:t>išgyvenamumas</w:t>
            </w:r>
            <w:r w:rsidRPr="00696CB1">
              <w:rPr>
                <w:b/>
                <w:bCs/>
                <w:snapToGrid/>
                <w:spacing w:val="-1"/>
                <w:position w:val="10"/>
                <w:szCs w:val="22"/>
                <w:vertAlign w:val="superscript"/>
                <w:lang w:val="lt-LT"/>
              </w:rPr>
              <w:t>ab</w:t>
            </w:r>
            <w:proofErr w:type="spellEnd"/>
          </w:p>
        </w:tc>
      </w:tr>
      <w:tr w:rsidR="00305D9B" w:rsidRPr="00696CB1" w:rsidTr="00305D9B">
        <w:trPr>
          <w:trHeight w:val="1056"/>
        </w:trPr>
        <w:tc>
          <w:tcPr>
            <w:tcW w:w="2069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40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Iš viso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5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1466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07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9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1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7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95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2"/>
                <w:szCs w:val="22"/>
                <w:lang w:val="lt-LT"/>
              </w:rPr>
              <w:t>[-1</w:t>
            </w:r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>5</w:t>
            </w:r>
            <w:r w:rsidR="003409A9">
              <w:rPr>
                <w:snapToGrid/>
                <w:spacing w:val="-2"/>
                <w:szCs w:val="22"/>
                <w:lang w:val="lt-LT"/>
              </w:rPr>
              <w:t> </w:t>
            </w:r>
            <w:r w:rsidRPr="00696CB1">
              <w:rPr>
                <w:snapToGrid/>
                <w:spacing w:val="-2"/>
                <w:szCs w:val="22"/>
                <w:lang w:val="lt-LT"/>
              </w:rPr>
              <w:t>%,</w:t>
            </w:r>
            <w:r w:rsidRPr="00696CB1">
              <w:rPr>
                <w:snapToGrid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4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5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%]</w:t>
            </w:r>
          </w:p>
        </w:tc>
        <w:tc>
          <w:tcPr>
            <w:tcW w:w="2859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04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 xml:space="preserve">93,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18]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78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2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4658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020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905,</w:t>
            </w:r>
            <w:r w:rsidRPr="00696CB1">
              <w:rPr>
                <w:snapToGrid/>
                <w:spacing w:val="-2"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150]</w:t>
            </w:r>
            <w:r w:rsidRPr="00696CB1">
              <w:rPr>
                <w:snapToGrid/>
                <w:spacing w:val="-19"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position w:val="10"/>
                <w:szCs w:val="22"/>
                <w:lang w:val="lt-LT"/>
              </w:rPr>
              <w:t>c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9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7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6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8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2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7332</w:t>
            </w:r>
          </w:p>
        </w:tc>
      </w:tr>
      <w:tr w:rsidR="00305D9B" w:rsidRPr="00696CB1" w:rsidTr="00305D9B">
        <w:trPr>
          <w:trHeight w:val="1053"/>
        </w:trPr>
        <w:tc>
          <w:tcPr>
            <w:tcW w:w="2069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9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A</w:t>
            </w:r>
            <w:r w:rsidRPr="00696CB1">
              <w:rPr>
                <w:snapToGrid/>
                <w:spacing w:val="-1"/>
                <w:szCs w:val="22"/>
                <w:lang w:val="lt-LT"/>
              </w:rPr>
              <w:t>FR</w:t>
            </w:r>
          </w:p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94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teigiami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8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44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9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42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1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39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[-8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%,</w:t>
            </w:r>
            <w:r w:rsidRPr="00696CB1">
              <w:rPr>
                <w:snapToGrid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46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%]</w:t>
            </w:r>
          </w:p>
        </w:tc>
        <w:tc>
          <w:tcPr>
            <w:tcW w:w="2859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16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2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05, 0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49]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78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7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0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4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0012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7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83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3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41, 1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67]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14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2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16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2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6043</w:t>
            </w:r>
          </w:p>
        </w:tc>
      </w:tr>
      <w:tr w:rsidR="00305D9B" w:rsidRPr="00696CB1" w:rsidTr="00305D9B">
        <w:trPr>
          <w:trHeight w:val="1055"/>
        </w:trPr>
        <w:tc>
          <w:tcPr>
            <w:tcW w:w="2069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9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A</w:t>
            </w:r>
            <w:r w:rsidRPr="00696CB1">
              <w:rPr>
                <w:snapToGrid/>
                <w:spacing w:val="-1"/>
                <w:szCs w:val="22"/>
                <w:lang w:val="lt-LT"/>
              </w:rPr>
              <w:t>FR</w:t>
            </w:r>
          </w:p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3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neigiami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1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253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07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1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9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39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2"/>
                <w:szCs w:val="22"/>
                <w:lang w:val="lt-LT"/>
              </w:rPr>
              <w:t>[-10</w:t>
            </w:r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Pr="00696CB1">
              <w:rPr>
                <w:snapToGrid/>
                <w:spacing w:val="-2"/>
                <w:szCs w:val="22"/>
                <w:lang w:val="lt-LT"/>
              </w:rPr>
              <w:t>5</w:t>
            </w:r>
            <w:r w:rsidR="003409A9">
              <w:rPr>
                <w:snapToGrid/>
                <w:spacing w:val="-2"/>
                <w:szCs w:val="22"/>
                <w:lang w:val="lt-LT"/>
              </w:rPr>
              <w:t> </w:t>
            </w:r>
            <w:r w:rsidRPr="00696CB1">
              <w:rPr>
                <w:snapToGrid/>
                <w:spacing w:val="-2"/>
                <w:szCs w:val="22"/>
                <w:lang w:val="lt-LT"/>
              </w:rPr>
              <w:t>%,</w:t>
            </w:r>
            <w:r w:rsidRPr="00696CB1">
              <w:rPr>
                <w:snapToGrid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4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4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%]</w:t>
            </w:r>
          </w:p>
        </w:tc>
        <w:tc>
          <w:tcPr>
            <w:tcW w:w="2859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24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2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 xml:space="preserve">94,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64]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78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7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1353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7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02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3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78, 1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33]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9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6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4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2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9131</w:t>
            </w:r>
          </w:p>
        </w:tc>
      </w:tr>
      <w:tr w:rsidR="00305D9B" w:rsidRPr="00696CB1" w:rsidTr="00305D9B">
        <w:trPr>
          <w:trHeight w:val="1053"/>
        </w:trPr>
        <w:tc>
          <w:tcPr>
            <w:tcW w:w="2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40"/>
              <w:rPr>
                <w:snapToGrid/>
                <w:szCs w:val="22"/>
                <w:lang w:val="lt-LT"/>
              </w:rPr>
            </w:pPr>
            <w:proofErr w:type="spellStart"/>
            <w:r w:rsidRPr="00696CB1">
              <w:rPr>
                <w:snapToGrid/>
                <w:spacing w:val="-1"/>
                <w:szCs w:val="22"/>
                <w:lang w:val="lt-LT"/>
              </w:rPr>
              <w:t>Azijiečiai</w:t>
            </w:r>
            <w:r w:rsidR="00FE4B3E" w:rsidRPr="00696CB1">
              <w:rPr>
                <w:snapToGrid/>
                <w:spacing w:val="-1"/>
                <w:szCs w:val="22"/>
                <w:vertAlign w:val="superscript"/>
                <w:lang w:val="lt-LT"/>
              </w:rPr>
              <w:t>c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1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323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5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19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1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8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23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[3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1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="000779FD" w:rsidRPr="00696CB1">
              <w:rPr>
                <w:snapToGrid/>
                <w:spacing w:val="-3"/>
                <w:szCs w:val="22"/>
                <w:lang w:val="lt-LT"/>
              </w:rPr>
              <w:t>%</w:t>
            </w:r>
            <w:r w:rsidRPr="00696CB1">
              <w:rPr>
                <w:snapToGrid/>
                <w:szCs w:val="22"/>
                <w:lang w:val="lt-LT"/>
              </w:rPr>
              <w:t>, 19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2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="000779FD" w:rsidRPr="00696CB1">
              <w:rPr>
                <w:snapToGrid/>
                <w:spacing w:val="-3"/>
                <w:szCs w:val="22"/>
                <w:lang w:val="lt-LT"/>
              </w:rPr>
              <w:t>%</w:t>
            </w:r>
            <w:r w:rsidRPr="00696CB1">
              <w:rPr>
                <w:snapToGrid/>
                <w:spacing w:val="-2"/>
                <w:szCs w:val="22"/>
                <w:lang w:val="lt-LT"/>
              </w:rPr>
              <w:t>]</w:t>
            </w:r>
          </w:p>
        </w:tc>
        <w:tc>
          <w:tcPr>
            <w:tcW w:w="28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83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2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 xml:space="preserve">64,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08]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78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9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1746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7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04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3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80, 1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35]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4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12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3409A9">
              <w:rPr>
                <w:snapToGrid/>
                <w:spacing w:val="2"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2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7711</w:t>
            </w:r>
          </w:p>
        </w:tc>
      </w:tr>
      <w:tr w:rsidR="00305D9B" w:rsidRPr="00696CB1" w:rsidTr="00305D9B">
        <w:trPr>
          <w:trHeight w:val="1070"/>
        </w:trPr>
        <w:tc>
          <w:tcPr>
            <w:tcW w:w="206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6D62B7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Ne azijiečiai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5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1143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07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1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1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7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95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[-4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3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%,</w:t>
            </w:r>
            <w:r w:rsidRPr="00696CB1">
              <w:rPr>
                <w:snapToGrid/>
                <w:szCs w:val="22"/>
                <w:lang w:val="lt-LT"/>
              </w:rPr>
              <w:t xml:space="preserve">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</w:t>
            </w:r>
            <w:r w:rsidR="003409A9">
              <w:rPr>
                <w:snapToGrid/>
                <w:spacing w:val="-1"/>
                <w:szCs w:val="22"/>
                <w:lang w:val="lt-LT"/>
              </w:rPr>
              <w:t> </w:t>
            </w:r>
            <w:r w:rsidRPr="00696CB1">
              <w:rPr>
                <w:snapToGrid/>
                <w:spacing w:val="-1"/>
                <w:szCs w:val="22"/>
                <w:lang w:val="lt-LT"/>
              </w:rPr>
              <w:t>%]</w:t>
            </w:r>
          </w:p>
        </w:tc>
        <w:tc>
          <w:tcPr>
            <w:tcW w:w="285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12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2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98, 1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28]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78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0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2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7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1041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7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HR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01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32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[0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89, 1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14]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91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6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9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, </w:t>
            </w:r>
            <w:proofErr w:type="spellStart"/>
            <w:r w:rsidR="00D06C66" w:rsidRPr="00696CB1">
              <w:rPr>
                <w:snapToGrid/>
                <w:spacing w:val="-2"/>
                <w:szCs w:val="22"/>
                <w:lang w:val="lt-LT"/>
              </w:rPr>
              <w:t>plg</w:t>
            </w:r>
            <w:proofErr w:type="spellEnd"/>
            <w:r w:rsidR="006D62B7" w:rsidRPr="00696CB1">
              <w:rPr>
                <w:snapToGrid/>
                <w:spacing w:val="-2"/>
                <w:szCs w:val="22"/>
                <w:lang w:val="lt-LT"/>
              </w:rPr>
              <w:t>,</w:t>
            </w:r>
            <w:r w:rsidR="00D06C66" w:rsidRPr="00696CB1">
              <w:rPr>
                <w:snapToGrid/>
                <w:spacing w:val="-2"/>
                <w:szCs w:val="22"/>
                <w:lang w:val="lt-LT"/>
              </w:rPr>
              <w:t xml:space="preserve"> su </w:t>
            </w:r>
            <w:r w:rsidRPr="00696CB1">
              <w:rPr>
                <w:snapToGrid/>
                <w:spacing w:val="-1"/>
                <w:szCs w:val="22"/>
                <w:lang w:val="lt-LT"/>
              </w:rPr>
              <w:t>6</w:t>
            </w:r>
            <w:r w:rsidR="006D62B7" w:rsidRPr="00696CB1">
              <w:rPr>
                <w:snapToGrid/>
                <w:spacing w:val="-1"/>
                <w:szCs w:val="22"/>
                <w:lang w:val="lt-LT"/>
              </w:rPr>
              <w:t>,</w:t>
            </w:r>
            <w:r w:rsidRPr="00696CB1">
              <w:rPr>
                <w:snapToGrid/>
                <w:spacing w:val="-1"/>
                <w:szCs w:val="22"/>
                <w:lang w:val="lt-LT"/>
              </w:rPr>
              <w:t>9</w:t>
            </w:r>
            <w:r w:rsidR="003409A9">
              <w:rPr>
                <w:snapToGrid/>
                <w:szCs w:val="22"/>
                <w:lang w:val="lt-LT"/>
              </w:rPr>
              <w:t> </w:t>
            </w:r>
            <w:r w:rsidRPr="00696CB1">
              <w:rPr>
                <w:snapToGrid/>
                <w:szCs w:val="22"/>
                <w:lang w:val="lt-LT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526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zCs w:val="22"/>
                <w:lang w:val="lt-LT"/>
              </w:rPr>
              <w:t>p=0</w:t>
            </w:r>
            <w:r w:rsidR="006D62B7" w:rsidRPr="00696CB1">
              <w:rPr>
                <w:snapToGrid/>
                <w:szCs w:val="22"/>
                <w:lang w:val="lt-LT"/>
              </w:rPr>
              <w:t>,</w:t>
            </w:r>
            <w:r w:rsidRPr="00696CB1">
              <w:rPr>
                <w:snapToGrid/>
                <w:szCs w:val="22"/>
                <w:lang w:val="lt-LT"/>
              </w:rPr>
              <w:t>9259</w:t>
            </w:r>
          </w:p>
        </w:tc>
      </w:tr>
    </w:tbl>
    <w:p w:rsidR="00305D9B" w:rsidRPr="008857A1" w:rsidRDefault="00305D9B" w:rsidP="00696CB1">
      <w:pPr>
        <w:widowControl w:val="0"/>
        <w:kinsoku w:val="0"/>
        <w:overflowPunct w:val="0"/>
        <w:spacing w:line="240" w:lineRule="auto"/>
        <w:jc w:val="both"/>
        <w:rPr>
          <w:snapToGrid/>
          <w:sz w:val="20"/>
          <w:lang w:val="lt-LT" w:eastAsia="en-GB"/>
        </w:rPr>
      </w:pPr>
      <w:r w:rsidRPr="008857A1">
        <w:rPr>
          <w:snapToGrid/>
          <w:w w:val="95"/>
          <w:sz w:val="20"/>
          <w:lang w:val="lt-LT" w:eastAsia="en-GB"/>
        </w:rPr>
        <w:t>a</w:t>
      </w:r>
      <w:r w:rsidRPr="008857A1">
        <w:rPr>
          <w:snapToGrid/>
          <w:w w:val="95"/>
          <w:sz w:val="20"/>
          <w:lang w:val="lt-LT" w:eastAsia="en-GB"/>
        </w:rPr>
        <w:tab/>
      </w:r>
      <w:r w:rsidR="006D62B7" w:rsidRPr="008857A1">
        <w:rPr>
          <w:snapToGrid/>
          <w:sz w:val="20"/>
          <w:lang w:val="lt-LT" w:eastAsia="en-GB"/>
        </w:rPr>
        <w:t xml:space="preserve">Pateikti rodmenys gauti lyginant </w:t>
      </w:r>
      <w:proofErr w:type="spellStart"/>
      <w:r w:rsidR="006D62B7" w:rsidRPr="008857A1">
        <w:rPr>
          <w:snapToGrid/>
          <w:sz w:val="20"/>
          <w:lang w:val="lt-LT" w:eastAsia="en-GB"/>
        </w:rPr>
        <w:t>gefitinibą</w:t>
      </w:r>
      <w:proofErr w:type="spellEnd"/>
      <w:r w:rsidR="006D62B7" w:rsidRPr="008857A1">
        <w:rPr>
          <w:snapToGrid/>
          <w:sz w:val="20"/>
          <w:lang w:val="lt-LT" w:eastAsia="en-GB"/>
        </w:rPr>
        <w:t xml:space="preserve"> su </w:t>
      </w:r>
      <w:proofErr w:type="spellStart"/>
      <w:r w:rsidR="006D62B7" w:rsidRPr="008857A1">
        <w:rPr>
          <w:snapToGrid/>
          <w:sz w:val="20"/>
          <w:lang w:val="lt-LT" w:eastAsia="en-GB"/>
        </w:rPr>
        <w:t>docetakseliu</w:t>
      </w:r>
      <w:proofErr w:type="spellEnd"/>
    </w:p>
    <w:p w:rsidR="00305D9B" w:rsidRPr="008857A1" w:rsidRDefault="00305D9B" w:rsidP="00696CB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116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b</w:t>
      </w:r>
      <w:r w:rsidRPr="008857A1">
        <w:rPr>
          <w:snapToGrid/>
          <w:sz w:val="20"/>
          <w:lang w:val="lt-LT" w:eastAsia="en-GB"/>
        </w:rPr>
        <w:tab/>
      </w:r>
      <w:r w:rsidR="006D62B7" w:rsidRPr="008857A1">
        <w:rPr>
          <w:snapToGrid/>
          <w:sz w:val="20"/>
          <w:lang w:val="lt-LT" w:eastAsia="en-GB"/>
        </w:rPr>
        <w:t xml:space="preserve">„m“ yra mediana mėnesiais. Skaičiai laužtiniuose skliaustuose yra bendrojo </w:t>
      </w:r>
      <w:proofErr w:type="spellStart"/>
      <w:r w:rsidR="006D62B7" w:rsidRPr="008857A1">
        <w:rPr>
          <w:snapToGrid/>
          <w:sz w:val="20"/>
          <w:lang w:val="lt-LT" w:eastAsia="en-GB"/>
        </w:rPr>
        <w:t>išgyvenamumo</w:t>
      </w:r>
      <w:proofErr w:type="spellEnd"/>
      <w:r w:rsidR="006D62B7" w:rsidRPr="008857A1">
        <w:rPr>
          <w:snapToGrid/>
          <w:sz w:val="20"/>
          <w:lang w:val="lt-LT" w:eastAsia="en-GB"/>
        </w:rPr>
        <w:t xml:space="preserve"> HR 95</w:t>
      </w:r>
      <w:r w:rsidR="003409A9" w:rsidRPr="008857A1">
        <w:rPr>
          <w:snapToGrid/>
          <w:sz w:val="20"/>
          <w:lang w:val="lt-LT" w:eastAsia="en-GB"/>
        </w:rPr>
        <w:t> </w:t>
      </w:r>
      <w:r w:rsidR="006D62B7" w:rsidRPr="008857A1">
        <w:rPr>
          <w:snapToGrid/>
          <w:sz w:val="20"/>
          <w:lang w:val="lt-LT" w:eastAsia="en-GB"/>
        </w:rPr>
        <w:t xml:space="preserve">% </w:t>
      </w:r>
      <w:proofErr w:type="spellStart"/>
      <w:r w:rsidR="006D62B7" w:rsidRPr="008857A1">
        <w:rPr>
          <w:snapToGrid/>
          <w:sz w:val="20"/>
          <w:lang w:val="lt-LT" w:eastAsia="en-GB"/>
        </w:rPr>
        <w:t>pasikliautinieji</w:t>
      </w:r>
      <w:proofErr w:type="spellEnd"/>
      <w:r w:rsidR="006D62B7" w:rsidRPr="008857A1">
        <w:rPr>
          <w:snapToGrid/>
          <w:sz w:val="20"/>
          <w:lang w:val="lt-LT" w:eastAsia="en-GB"/>
        </w:rPr>
        <w:t xml:space="preserve"> intervalai bendrojoje populiacijoje ir HR 95</w:t>
      </w:r>
      <w:r w:rsidR="003409A9" w:rsidRPr="008857A1">
        <w:rPr>
          <w:snapToGrid/>
          <w:sz w:val="20"/>
          <w:lang w:val="lt-LT" w:eastAsia="en-GB"/>
        </w:rPr>
        <w:t> </w:t>
      </w:r>
      <w:r w:rsidR="006D62B7" w:rsidRPr="008857A1">
        <w:rPr>
          <w:snapToGrid/>
          <w:sz w:val="20"/>
          <w:lang w:val="lt-LT" w:eastAsia="en-GB"/>
        </w:rPr>
        <w:t xml:space="preserve">% </w:t>
      </w:r>
      <w:proofErr w:type="spellStart"/>
      <w:r w:rsidR="006D62B7" w:rsidRPr="008857A1">
        <w:rPr>
          <w:snapToGrid/>
          <w:sz w:val="20"/>
          <w:lang w:val="lt-LT" w:eastAsia="en-GB"/>
        </w:rPr>
        <w:t>pasikliautinieji</w:t>
      </w:r>
      <w:proofErr w:type="spellEnd"/>
      <w:r w:rsidR="006D62B7" w:rsidRPr="008857A1">
        <w:rPr>
          <w:snapToGrid/>
          <w:sz w:val="20"/>
          <w:lang w:val="lt-LT" w:eastAsia="en-GB"/>
        </w:rPr>
        <w:t xml:space="preserve"> intervalai kitais atvejais</w:t>
      </w:r>
    </w:p>
    <w:p w:rsidR="00305D9B" w:rsidRPr="008857A1" w:rsidRDefault="00305D9B" w:rsidP="00696CB1">
      <w:pPr>
        <w:widowControl w:val="0"/>
        <w:tabs>
          <w:tab w:val="left" w:pos="668"/>
        </w:tabs>
        <w:kinsoku w:val="0"/>
        <w:overflowPunct w:val="0"/>
        <w:autoSpaceDE w:val="0"/>
        <w:autoSpaceDN w:val="0"/>
        <w:adjustRightInd w:val="0"/>
        <w:spacing w:line="240" w:lineRule="auto"/>
        <w:ind w:left="14" w:right="2408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c</w:t>
      </w:r>
      <w:r w:rsidRPr="008857A1">
        <w:rPr>
          <w:snapToGrid/>
          <w:sz w:val="20"/>
          <w:lang w:val="lt-LT" w:eastAsia="en-GB"/>
        </w:rPr>
        <w:tab/>
      </w:r>
      <w:r w:rsidR="00E60DE5" w:rsidRPr="008857A1">
        <w:rPr>
          <w:snapToGrid/>
          <w:sz w:val="20"/>
          <w:lang w:val="lt-LT" w:eastAsia="en-GB"/>
        </w:rPr>
        <w:t xml:space="preserve">Visas </w:t>
      </w:r>
      <w:proofErr w:type="spellStart"/>
      <w:r w:rsidR="00E60DE5" w:rsidRPr="008857A1">
        <w:rPr>
          <w:snapToGrid/>
          <w:sz w:val="20"/>
          <w:lang w:val="lt-LT" w:eastAsia="en-GB"/>
        </w:rPr>
        <w:t>p</w:t>
      </w:r>
      <w:r w:rsidR="002B58B6" w:rsidRPr="008857A1">
        <w:rPr>
          <w:snapToGrid/>
          <w:sz w:val="20"/>
          <w:lang w:val="lt-LT" w:eastAsia="en-GB"/>
        </w:rPr>
        <w:t>asikliautin</w:t>
      </w:r>
      <w:r w:rsidR="00E60DE5" w:rsidRPr="008857A1">
        <w:rPr>
          <w:snapToGrid/>
          <w:sz w:val="20"/>
          <w:lang w:val="lt-LT" w:eastAsia="en-GB"/>
        </w:rPr>
        <w:t>asis</w:t>
      </w:r>
      <w:proofErr w:type="spellEnd"/>
      <w:r w:rsidR="002B58B6" w:rsidRPr="008857A1">
        <w:rPr>
          <w:snapToGrid/>
          <w:sz w:val="20"/>
          <w:lang w:val="lt-LT" w:eastAsia="en-GB"/>
        </w:rPr>
        <w:t xml:space="preserve"> interval</w:t>
      </w:r>
      <w:r w:rsidR="00E60DE5" w:rsidRPr="008857A1">
        <w:rPr>
          <w:snapToGrid/>
          <w:sz w:val="20"/>
          <w:lang w:val="lt-LT" w:eastAsia="en-GB"/>
        </w:rPr>
        <w:t>as</w:t>
      </w:r>
      <w:r w:rsidR="002B58B6" w:rsidRPr="008857A1">
        <w:rPr>
          <w:snapToGrid/>
          <w:sz w:val="20"/>
          <w:lang w:val="lt-LT" w:eastAsia="en-GB"/>
        </w:rPr>
        <w:t xml:space="preserve"> mažesni</w:t>
      </w:r>
      <w:r w:rsidR="00E60DE5" w:rsidRPr="008857A1">
        <w:rPr>
          <w:snapToGrid/>
          <w:sz w:val="20"/>
          <w:lang w:val="lt-LT" w:eastAsia="en-GB"/>
        </w:rPr>
        <w:t>s</w:t>
      </w:r>
      <w:r w:rsidR="002B58B6" w:rsidRPr="008857A1">
        <w:rPr>
          <w:snapToGrid/>
          <w:sz w:val="20"/>
          <w:lang w:val="lt-LT" w:eastAsia="en-GB"/>
        </w:rPr>
        <w:t xml:space="preserve"> nei </w:t>
      </w:r>
      <w:proofErr w:type="spellStart"/>
      <w:r w:rsidR="002B58B6" w:rsidRPr="008857A1">
        <w:rPr>
          <w:snapToGrid/>
          <w:sz w:val="20"/>
          <w:lang w:val="lt-LT" w:eastAsia="en-GB"/>
        </w:rPr>
        <w:t>nenusileidimo</w:t>
      </w:r>
      <w:proofErr w:type="spellEnd"/>
      <w:r w:rsidR="002B58B6" w:rsidRPr="008857A1">
        <w:rPr>
          <w:snapToGrid/>
          <w:sz w:val="20"/>
          <w:lang w:val="lt-LT" w:eastAsia="en-GB"/>
        </w:rPr>
        <w:t xml:space="preserve"> riba </w:t>
      </w:r>
      <w:r w:rsidRPr="008857A1">
        <w:rPr>
          <w:snapToGrid/>
          <w:sz w:val="20"/>
          <w:lang w:val="lt-LT" w:eastAsia="en-GB"/>
        </w:rPr>
        <w:t>1</w:t>
      </w:r>
      <w:r w:rsidR="002B58B6" w:rsidRPr="008857A1">
        <w:rPr>
          <w:snapToGrid/>
          <w:sz w:val="20"/>
          <w:lang w:val="lt-LT" w:eastAsia="en-GB"/>
        </w:rPr>
        <w:t>,</w:t>
      </w:r>
      <w:r w:rsidRPr="008857A1">
        <w:rPr>
          <w:snapToGrid/>
          <w:sz w:val="20"/>
          <w:lang w:val="lt-LT" w:eastAsia="en-GB"/>
        </w:rPr>
        <w:t>154</w:t>
      </w:r>
    </w:p>
    <w:p w:rsidR="002B58B6" w:rsidRPr="008857A1" w:rsidRDefault="002B58B6" w:rsidP="00696CB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1400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N</w:t>
      </w:r>
      <w:r w:rsidRPr="008857A1">
        <w:rPr>
          <w:snapToGrid/>
          <w:sz w:val="20"/>
          <w:lang w:val="lt-LT" w:eastAsia="en-GB"/>
        </w:rPr>
        <w:tab/>
      </w:r>
      <w:r w:rsidR="00E6710D" w:rsidRPr="008857A1">
        <w:rPr>
          <w:snapToGrid/>
          <w:sz w:val="20"/>
          <w:lang w:val="lt-LT" w:eastAsia="en-GB"/>
        </w:rPr>
        <w:t>Atsitiktinėms imtims priskirtų pacientų skaičius</w:t>
      </w:r>
    </w:p>
    <w:p w:rsidR="002B58B6" w:rsidRPr="008857A1" w:rsidRDefault="00FB2CEF" w:rsidP="00696CB1">
      <w:pPr>
        <w:widowControl w:val="0"/>
        <w:kinsoku w:val="0"/>
        <w:overflowPunct w:val="0"/>
        <w:spacing w:line="240" w:lineRule="auto"/>
        <w:jc w:val="both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HR</w:t>
      </w:r>
      <w:r w:rsidRPr="008857A1">
        <w:rPr>
          <w:snapToGrid/>
          <w:sz w:val="20"/>
          <w:lang w:val="lt-LT" w:eastAsia="en-GB"/>
        </w:rPr>
        <w:tab/>
        <w:t>R</w:t>
      </w:r>
      <w:r w:rsidR="002B58B6" w:rsidRPr="008857A1">
        <w:rPr>
          <w:snapToGrid/>
          <w:sz w:val="20"/>
          <w:lang w:val="lt-LT" w:eastAsia="en-GB"/>
        </w:rPr>
        <w:t xml:space="preserve">izikos santykis (rizikos santykis &lt;1 palankus </w:t>
      </w:r>
      <w:proofErr w:type="spellStart"/>
      <w:r w:rsidR="002B58B6" w:rsidRPr="008857A1">
        <w:rPr>
          <w:snapToGrid/>
          <w:sz w:val="20"/>
          <w:lang w:val="lt-LT" w:eastAsia="en-GB"/>
        </w:rPr>
        <w:t>gebitinibui</w:t>
      </w:r>
      <w:proofErr w:type="spellEnd"/>
      <w:r w:rsidR="002B58B6" w:rsidRPr="008857A1">
        <w:rPr>
          <w:snapToGrid/>
          <w:sz w:val="20"/>
          <w:lang w:val="lt-LT" w:eastAsia="en-GB"/>
        </w:rPr>
        <w:t>)</w:t>
      </w:r>
    </w:p>
    <w:p w:rsidR="00305D9B" w:rsidRPr="00696CB1" w:rsidRDefault="00305D9B" w:rsidP="00696CB1">
      <w:pPr>
        <w:widowControl w:val="0"/>
        <w:tabs>
          <w:tab w:val="clear" w:pos="567"/>
          <w:tab w:val="left" w:pos="667"/>
        </w:tabs>
        <w:kinsoku w:val="0"/>
        <w:overflowPunct w:val="0"/>
        <w:spacing w:line="240" w:lineRule="auto"/>
        <w:jc w:val="both"/>
        <w:rPr>
          <w:snapToGrid/>
          <w:szCs w:val="22"/>
          <w:lang w:val="lt-LT" w:eastAsia="en-GB"/>
        </w:rPr>
      </w:pPr>
    </w:p>
    <w:p w:rsidR="00305D9B" w:rsidRPr="00696CB1" w:rsidRDefault="00373B55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9"/>
        <w:jc w:val="both"/>
        <w:rPr>
          <w:b/>
          <w:snapToGrid/>
          <w:szCs w:val="22"/>
          <w:lang w:val="lt-LT" w:eastAsia="en-GB"/>
        </w:rPr>
      </w:pPr>
      <w:r w:rsidRPr="00696CB1">
        <w:rPr>
          <w:b/>
          <w:szCs w:val="22"/>
          <w:lang w:val="lt-LT"/>
        </w:rPr>
        <w:t>1 ir 2 paveikslai. Veiksmingumo baigtys ne azijiečių pogrupiuose INTEREST tyrimo metu (N=atsitiktinėms imtims priskirtų pacientų skaičius)</w:t>
      </w:r>
    </w:p>
    <w:p w:rsidR="005D6BD4" w:rsidRPr="00696CB1" w:rsidRDefault="00C06782" w:rsidP="00696CB1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6CB1">
        <w:rPr>
          <w:noProof/>
          <w:snapToGrid/>
          <w:szCs w:val="22"/>
          <w:lang w:val="lt-LT" w:eastAsia="lt-LT"/>
        </w:rPr>
        <w:lastRenderedPageBreak/>
        <w:drawing>
          <wp:inline distT="0" distB="0" distL="0" distR="0">
            <wp:extent cx="6124575" cy="773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9B" w:rsidRPr="00696CB1" w:rsidRDefault="00305D9B" w:rsidP="00696CB1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824354" w:rsidRPr="00696CB1" w:rsidRDefault="00541DB5" w:rsidP="00696CB1">
      <w:pPr>
        <w:widowControl w:val="0"/>
        <w:tabs>
          <w:tab w:val="clear" w:pos="567"/>
          <w:tab w:val="left" w:pos="4253"/>
        </w:tabs>
        <w:spacing w:line="240" w:lineRule="auto"/>
        <w:rPr>
          <w:snapToGrid/>
          <w:spacing w:val="-1"/>
          <w:szCs w:val="22"/>
          <w:lang w:val="lt-LT" w:eastAsia="en-GB"/>
        </w:rPr>
      </w:pPr>
      <w:r w:rsidRPr="00696CB1">
        <w:rPr>
          <w:snapToGrid/>
          <w:spacing w:val="-1"/>
          <w:szCs w:val="22"/>
          <w:lang w:val="lt-LT" w:eastAsia="en-GB"/>
        </w:rPr>
        <w:t>Atsitiktinių imčių</w:t>
      </w:r>
      <w:r w:rsidR="00824354" w:rsidRPr="00696CB1">
        <w:rPr>
          <w:snapToGrid/>
          <w:spacing w:val="-1"/>
          <w:szCs w:val="22"/>
          <w:lang w:val="lt-LT" w:eastAsia="en-GB"/>
        </w:rPr>
        <w:t xml:space="preserve"> III fazės ISEL tyrime dalyvavo progresavusiu </w:t>
      </w:r>
      <w:r w:rsidR="00562DA0" w:rsidRPr="00696CB1">
        <w:rPr>
          <w:snapToGrid/>
          <w:spacing w:val="-1"/>
          <w:szCs w:val="22"/>
          <w:lang w:val="lt-LT" w:eastAsia="en-GB"/>
        </w:rPr>
        <w:t xml:space="preserve">NSLPV </w:t>
      </w:r>
      <w:r w:rsidR="00824354" w:rsidRPr="00696CB1">
        <w:rPr>
          <w:snapToGrid/>
          <w:spacing w:val="-1"/>
          <w:szCs w:val="22"/>
          <w:lang w:val="lt-LT" w:eastAsia="en-GB"/>
        </w:rPr>
        <w:t>sergantys pacientai, kuriems iki tol taikyta chemotera</w:t>
      </w:r>
      <w:r w:rsidRPr="00696CB1">
        <w:rPr>
          <w:snapToGrid/>
          <w:spacing w:val="-1"/>
          <w:szCs w:val="22"/>
          <w:lang w:val="lt-LT" w:eastAsia="en-GB"/>
        </w:rPr>
        <w:t>pija viena arba dviem schemomis</w:t>
      </w:r>
      <w:r w:rsidR="00824354" w:rsidRPr="00696CB1">
        <w:rPr>
          <w:snapToGrid/>
          <w:spacing w:val="-1"/>
          <w:szCs w:val="22"/>
          <w:lang w:val="lt-LT" w:eastAsia="en-GB"/>
        </w:rPr>
        <w:t xml:space="preserve"> iš kurių</w:t>
      </w:r>
      <w:r w:rsidRPr="00696CB1">
        <w:rPr>
          <w:snapToGrid/>
          <w:spacing w:val="-1"/>
          <w:szCs w:val="22"/>
          <w:lang w:val="lt-LT" w:eastAsia="en-GB"/>
        </w:rPr>
        <w:t xml:space="preserve"> kurie į paskutinę schemą nereagavo</w:t>
      </w:r>
      <w:r w:rsidR="00824354" w:rsidRPr="00696CB1">
        <w:rPr>
          <w:snapToGrid/>
          <w:spacing w:val="-1"/>
          <w:szCs w:val="22"/>
          <w:lang w:val="lt-LT" w:eastAsia="en-GB"/>
        </w:rPr>
        <w:t xml:space="preserve"> arba jos netoleravo. </w:t>
      </w:r>
      <w:proofErr w:type="spellStart"/>
      <w:r w:rsidR="00824354" w:rsidRPr="00696CB1">
        <w:rPr>
          <w:snapToGrid/>
          <w:spacing w:val="-1"/>
          <w:szCs w:val="22"/>
          <w:lang w:val="lt-LT" w:eastAsia="en-GB"/>
        </w:rPr>
        <w:t>Gefitinibo</w:t>
      </w:r>
      <w:proofErr w:type="spellEnd"/>
      <w:r w:rsidR="00824354" w:rsidRPr="00696CB1">
        <w:rPr>
          <w:snapToGrid/>
          <w:spacing w:val="-1"/>
          <w:szCs w:val="22"/>
          <w:lang w:val="lt-LT" w:eastAsia="en-GB"/>
        </w:rPr>
        <w:t xml:space="preserve"> ir geriausio palaikomojo gydymo poveikis</w:t>
      </w:r>
      <w:r w:rsidRPr="00696CB1">
        <w:rPr>
          <w:snapToGrid/>
          <w:spacing w:val="-1"/>
          <w:szCs w:val="22"/>
          <w:lang w:val="lt-LT" w:eastAsia="en-GB"/>
        </w:rPr>
        <w:t xml:space="preserve"> </w:t>
      </w:r>
      <w:r w:rsidR="00824354" w:rsidRPr="00696CB1">
        <w:rPr>
          <w:snapToGrid/>
          <w:spacing w:val="-1"/>
          <w:szCs w:val="22"/>
          <w:lang w:val="lt-LT" w:eastAsia="en-GB"/>
        </w:rPr>
        <w:t xml:space="preserve">buvo lyginamas su </w:t>
      </w:r>
      <w:proofErr w:type="spellStart"/>
      <w:r w:rsidR="00824354" w:rsidRPr="00696CB1">
        <w:rPr>
          <w:snapToGrid/>
          <w:spacing w:val="-1"/>
          <w:szCs w:val="22"/>
          <w:lang w:val="lt-LT" w:eastAsia="en-GB"/>
        </w:rPr>
        <w:t>placebo</w:t>
      </w:r>
      <w:proofErr w:type="spellEnd"/>
      <w:r w:rsidR="00824354" w:rsidRPr="00696CB1">
        <w:rPr>
          <w:snapToGrid/>
          <w:spacing w:val="-1"/>
          <w:szCs w:val="22"/>
          <w:lang w:val="lt-LT" w:eastAsia="en-GB"/>
        </w:rPr>
        <w:t xml:space="preserve"> ir geriausio palaikomojo gydymo poveikiu. Bendros populiacijos</w:t>
      </w:r>
      <w:r w:rsidRPr="00696CB1">
        <w:rPr>
          <w:snapToGrid/>
          <w:spacing w:val="-1"/>
          <w:szCs w:val="22"/>
          <w:lang w:val="lt-LT" w:eastAsia="en-GB"/>
        </w:rPr>
        <w:t xml:space="preserve"> </w:t>
      </w:r>
      <w:proofErr w:type="spellStart"/>
      <w:r w:rsidR="00824354" w:rsidRPr="00696CB1">
        <w:rPr>
          <w:snapToGrid/>
          <w:spacing w:val="-1"/>
          <w:szCs w:val="22"/>
          <w:lang w:val="lt-LT" w:eastAsia="en-GB"/>
        </w:rPr>
        <w:t>išgyven</w:t>
      </w:r>
      <w:r w:rsidRPr="00696CB1">
        <w:rPr>
          <w:snapToGrid/>
          <w:spacing w:val="-1"/>
          <w:szCs w:val="22"/>
          <w:lang w:val="lt-LT" w:eastAsia="en-GB"/>
        </w:rPr>
        <w:t>amu</w:t>
      </w:r>
      <w:r w:rsidR="00824354" w:rsidRPr="00696CB1">
        <w:rPr>
          <w:snapToGrid/>
          <w:spacing w:val="-1"/>
          <w:szCs w:val="22"/>
          <w:lang w:val="lt-LT" w:eastAsia="en-GB"/>
        </w:rPr>
        <w:t>mo</w:t>
      </w:r>
      <w:proofErr w:type="spellEnd"/>
      <w:r w:rsidR="00824354" w:rsidRPr="00696CB1">
        <w:rPr>
          <w:snapToGrid/>
          <w:spacing w:val="-1"/>
          <w:szCs w:val="22"/>
          <w:lang w:val="lt-LT" w:eastAsia="en-GB"/>
        </w:rPr>
        <w:t xml:space="preserve"> pailgėjimo </w:t>
      </w:r>
      <w:proofErr w:type="spellStart"/>
      <w:r w:rsidR="00824354" w:rsidRPr="00696CB1">
        <w:rPr>
          <w:snapToGrid/>
          <w:spacing w:val="-1"/>
          <w:szCs w:val="22"/>
          <w:lang w:val="lt-LT" w:eastAsia="en-GB"/>
        </w:rPr>
        <w:t>gefitinibas</w:t>
      </w:r>
      <w:proofErr w:type="spellEnd"/>
      <w:r w:rsidR="00824354" w:rsidRPr="00696CB1">
        <w:rPr>
          <w:snapToGrid/>
          <w:spacing w:val="-1"/>
          <w:szCs w:val="22"/>
          <w:lang w:val="lt-LT" w:eastAsia="en-GB"/>
        </w:rPr>
        <w:t xml:space="preserve"> nesukėlė.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Išgyvenamumo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baigtys</w:t>
      </w:r>
      <w:r w:rsidR="00824354" w:rsidRPr="00696CB1">
        <w:rPr>
          <w:snapToGrid/>
          <w:spacing w:val="-1"/>
          <w:szCs w:val="22"/>
          <w:lang w:val="lt-LT" w:eastAsia="en-GB"/>
        </w:rPr>
        <w:t xml:space="preserve"> skyrėsi priklausomai nuo </w:t>
      </w:r>
      <w:r w:rsidRPr="00696CB1">
        <w:rPr>
          <w:snapToGrid/>
          <w:spacing w:val="-1"/>
          <w:szCs w:val="22"/>
          <w:lang w:val="lt-LT" w:eastAsia="en-GB"/>
        </w:rPr>
        <w:t>rūkymo būklės ir rasės (žr. 6 </w:t>
      </w:r>
      <w:r w:rsidR="00824354" w:rsidRPr="00696CB1">
        <w:rPr>
          <w:snapToGrid/>
          <w:spacing w:val="-1"/>
          <w:szCs w:val="22"/>
          <w:lang w:val="lt-LT" w:eastAsia="en-GB"/>
        </w:rPr>
        <w:t>lentelę)</w:t>
      </w:r>
      <w:r w:rsidRPr="00696CB1">
        <w:rPr>
          <w:snapToGrid/>
          <w:spacing w:val="-1"/>
          <w:szCs w:val="22"/>
          <w:lang w:val="lt-LT" w:eastAsia="en-GB"/>
        </w:rPr>
        <w:t>.</w:t>
      </w:r>
    </w:p>
    <w:p w:rsidR="00541DB5" w:rsidRPr="00696CB1" w:rsidRDefault="00541DB5" w:rsidP="00696CB1">
      <w:pPr>
        <w:widowControl w:val="0"/>
        <w:tabs>
          <w:tab w:val="clear" w:pos="567"/>
          <w:tab w:val="left" w:pos="4253"/>
        </w:tabs>
        <w:spacing w:line="240" w:lineRule="auto"/>
        <w:rPr>
          <w:snapToGrid/>
          <w:spacing w:val="-1"/>
          <w:szCs w:val="22"/>
          <w:lang w:val="lt-LT" w:eastAsia="en-GB"/>
        </w:rPr>
      </w:pPr>
    </w:p>
    <w:p w:rsidR="00305D9B" w:rsidRPr="00696CB1" w:rsidRDefault="00824354" w:rsidP="00696CB1">
      <w:pPr>
        <w:widowControl w:val="0"/>
        <w:tabs>
          <w:tab w:val="clear" w:pos="567"/>
          <w:tab w:val="left" w:pos="4253"/>
        </w:tabs>
        <w:spacing w:line="240" w:lineRule="auto"/>
        <w:rPr>
          <w:b/>
          <w:snapToGrid/>
          <w:szCs w:val="22"/>
          <w:lang w:val="lt-LT" w:eastAsia="en-GB"/>
        </w:rPr>
      </w:pPr>
      <w:r w:rsidRPr="00696CB1">
        <w:rPr>
          <w:b/>
          <w:snapToGrid/>
          <w:spacing w:val="-1"/>
          <w:szCs w:val="22"/>
          <w:lang w:val="lt-LT" w:eastAsia="en-GB"/>
        </w:rPr>
        <w:t>6 lentelė. ISEL tyrimo metu nustatyt</w:t>
      </w:r>
      <w:r w:rsidR="00A45BE4" w:rsidRPr="00696CB1">
        <w:rPr>
          <w:b/>
          <w:snapToGrid/>
          <w:spacing w:val="-1"/>
          <w:szCs w:val="22"/>
          <w:lang w:val="lt-LT" w:eastAsia="en-GB"/>
        </w:rPr>
        <w:t>os</w:t>
      </w:r>
      <w:r w:rsidRPr="00696CB1">
        <w:rPr>
          <w:b/>
          <w:snapToGrid/>
          <w:spacing w:val="-1"/>
          <w:szCs w:val="22"/>
          <w:lang w:val="lt-LT" w:eastAsia="en-GB"/>
        </w:rPr>
        <w:t xml:space="preserve"> </w:t>
      </w:r>
      <w:proofErr w:type="spellStart"/>
      <w:r w:rsidRPr="00696CB1">
        <w:rPr>
          <w:b/>
          <w:snapToGrid/>
          <w:spacing w:val="-1"/>
          <w:szCs w:val="22"/>
          <w:lang w:val="lt-LT" w:eastAsia="en-GB"/>
        </w:rPr>
        <w:t>gefitinibo</w:t>
      </w:r>
      <w:proofErr w:type="spellEnd"/>
      <w:r w:rsidRPr="00696CB1">
        <w:rPr>
          <w:b/>
          <w:snapToGrid/>
          <w:spacing w:val="-1"/>
          <w:szCs w:val="22"/>
          <w:lang w:val="lt-LT" w:eastAsia="en-GB"/>
        </w:rPr>
        <w:t xml:space="preserve"> veiksmingumo </w:t>
      </w:r>
      <w:r w:rsidR="00A45BE4" w:rsidRPr="00696CB1">
        <w:rPr>
          <w:b/>
          <w:snapToGrid/>
          <w:spacing w:val="-1"/>
          <w:szCs w:val="22"/>
          <w:lang w:val="lt-LT" w:eastAsia="en-GB"/>
        </w:rPr>
        <w:t xml:space="preserve">baigtys, palyginti </w:t>
      </w:r>
      <w:r w:rsidRPr="00696CB1">
        <w:rPr>
          <w:b/>
          <w:snapToGrid/>
          <w:spacing w:val="-1"/>
          <w:szCs w:val="22"/>
          <w:lang w:val="lt-LT" w:eastAsia="en-GB"/>
        </w:rPr>
        <w:t xml:space="preserve">su </w:t>
      </w:r>
      <w:proofErr w:type="spellStart"/>
      <w:r w:rsidRPr="00696CB1">
        <w:rPr>
          <w:b/>
          <w:snapToGrid/>
          <w:spacing w:val="-1"/>
          <w:szCs w:val="22"/>
          <w:lang w:val="lt-LT" w:eastAsia="en-GB"/>
        </w:rPr>
        <w:t>placebu</w:t>
      </w:r>
      <w:proofErr w:type="spell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725"/>
        <w:gridCol w:w="1819"/>
        <w:gridCol w:w="2923"/>
        <w:gridCol w:w="1954"/>
      </w:tblGrid>
      <w:tr w:rsidR="00305D9B" w:rsidRPr="00696CB1" w:rsidTr="00E94ADD">
        <w:trPr>
          <w:trHeight w:hRule="exact" w:val="1594"/>
        </w:trPr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180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lastRenderedPageBreak/>
              <w:t>Popul</w:t>
            </w:r>
            <w:r w:rsidR="00E6710D"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iacija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N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05D9B" w:rsidRPr="00696CB1" w:rsidRDefault="00E6710D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Objektyvaus atsako dažnis ir skirtumo tarp gydymo grupių 95</w:t>
            </w:r>
            <w:r w:rsidR="003409A9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% </w:t>
            </w:r>
            <w:proofErr w:type="spellStart"/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PI</w:t>
            </w:r>
            <w:r w:rsidR="00305D9B" w:rsidRPr="00696CB1">
              <w:rPr>
                <w:b/>
                <w:bCs/>
                <w:snapToGrid/>
                <w:color w:val="000000"/>
                <w:szCs w:val="22"/>
                <w:vertAlign w:val="superscript"/>
                <w:lang w:val="lt-LT" w:bidi="en-US"/>
              </w:rPr>
              <w:t>a</w:t>
            </w:r>
            <w:proofErr w:type="spellEnd"/>
          </w:p>
        </w:tc>
        <w:tc>
          <w:tcPr>
            <w:tcW w:w="2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E6710D" w:rsidRPr="00696CB1" w:rsidRDefault="00E6710D" w:rsidP="00696CB1">
            <w:pPr>
              <w:widowControl w:val="0"/>
              <w:tabs>
                <w:tab w:val="clear" w:pos="567"/>
              </w:tabs>
              <w:spacing w:line="240" w:lineRule="auto"/>
              <w:ind w:left="220"/>
              <w:jc w:val="center"/>
              <w:rPr>
                <w:b/>
                <w:bCs/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Laikotarpis, per kurį gydymas pasidarė</w:t>
            </w:r>
          </w:p>
          <w:p w:rsidR="00305D9B" w:rsidRPr="00696CB1" w:rsidRDefault="00E6710D" w:rsidP="00696CB1">
            <w:pPr>
              <w:widowControl w:val="0"/>
              <w:tabs>
                <w:tab w:val="clear" w:pos="567"/>
              </w:tabs>
              <w:spacing w:line="240" w:lineRule="auto"/>
              <w:ind w:left="220"/>
              <w:jc w:val="center"/>
              <w:rPr>
                <w:snapToGrid/>
                <w:szCs w:val="22"/>
                <w:lang w:val="lt-LT" w:eastAsia="en-GB"/>
              </w:rPr>
            </w:pPr>
            <w:proofErr w:type="spellStart"/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neveiksmingas</w:t>
            </w:r>
            <w:r w:rsidR="00305D9B" w:rsidRPr="00696CB1">
              <w:rPr>
                <w:b/>
                <w:bCs/>
                <w:snapToGrid/>
                <w:color w:val="000000"/>
                <w:szCs w:val="22"/>
                <w:vertAlign w:val="superscript"/>
                <w:lang w:val="lt-LT" w:bidi="en-US"/>
              </w:rPr>
              <w:t>ab</w:t>
            </w:r>
            <w:proofErr w:type="spellEnd"/>
          </w:p>
        </w:tc>
        <w:tc>
          <w:tcPr>
            <w:tcW w:w="1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305D9B" w:rsidRPr="00696CB1" w:rsidRDefault="00E6710D" w:rsidP="00696CB1">
            <w:pPr>
              <w:widowControl w:val="0"/>
              <w:tabs>
                <w:tab w:val="clear" w:pos="567"/>
              </w:tabs>
              <w:spacing w:line="240" w:lineRule="auto"/>
              <w:ind w:left="180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Pagrindinė vertinamoji baigtis bendrasis </w:t>
            </w:r>
            <w:proofErr w:type="spellStart"/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išgyvenamumas</w:t>
            </w:r>
            <w:r w:rsidR="00305D9B" w:rsidRPr="00696CB1">
              <w:rPr>
                <w:b/>
                <w:bCs/>
                <w:snapToGrid/>
                <w:color w:val="000000"/>
                <w:szCs w:val="22"/>
                <w:vertAlign w:val="superscript"/>
                <w:lang w:val="lt-LT" w:bidi="en-US"/>
              </w:rPr>
              <w:t>abc</w:t>
            </w:r>
            <w:proofErr w:type="spellEnd"/>
          </w:p>
        </w:tc>
      </w:tr>
      <w:tr w:rsidR="00305D9B" w:rsidRPr="00696CB1" w:rsidTr="00E94ADD">
        <w:trPr>
          <w:trHeight w:hRule="exact" w:val="1066"/>
        </w:trPr>
        <w:tc>
          <w:tcPr>
            <w:tcW w:w="1973" w:type="dxa"/>
            <w:tcBorders>
              <w:top w:val="single" w:sz="12" w:space="0" w:color="auto"/>
            </w:tcBorders>
            <w:shd w:val="clear" w:color="auto" w:fill="FFFFFF"/>
          </w:tcPr>
          <w:p w:rsidR="00305D9B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Iš viso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1692</w:t>
            </w:r>
          </w:p>
        </w:tc>
        <w:tc>
          <w:tcPr>
            <w:tcW w:w="1819" w:type="dxa"/>
            <w:tcBorders>
              <w:top w:val="single" w:sz="12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8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 xml:space="preserve">, </w:t>
            </w:r>
            <w:proofErr w:type="spellStart"/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 xml:space="preserve"> su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1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3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[4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7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8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8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923" w:type="dxa"/>
            <w:tcBorders>
              <w:top w:val="single" w:sz="12" w:space="0" w:color="auto"/>
            </w:tcBorders>
            <w:shd w:val="clear" w:color="auto" w:fill="FFFFFF"/>
            <w:vAlign w:val="bottom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82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73, 0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92]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3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 xml:space="preserve">, </w:t>
            </w:r>
            <w:proofErr w:type="spellStart"/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 xml:space="preserve"> su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2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0006</w:t>
            </w:r>
          </w:p>
        </w:tc>
        <w:tc>
          <w:tcPr>
            <w:tcW w:w="1954" w:type="dxa"/>
            <w:tcBorders>
              <w:top w:val="single" w:sz="12" w:space="0" w:color="auto"/>
            </w:tcBorders>
            <w:shd w:val="clear" w:color="auto" w:fill="FFFFFF"/>
            <w:vAlign w:val="bottom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89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77,1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02]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5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 xml:space="preserve">, </w:t>
            </w:r>
            <w:proofErr w:type="spellStart"/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="00D06C66" w:rsidRPr="00696CB1">
              <w:rPr>
                <w:snapToGrid/>
                <w:color w:val="000000"/>
                <w:szCs w:val="22"/>
                <w:lang w:val="lt-LT" w:bidi="en-US"/>
              </w:rPr>
              <w:t xml:space="preserve"> su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5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1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0871</w:t>
            </w:r>
          </w:p>
        </w:tc>
      </w:tr>
      <w:tr w:rsidR="00562DA0" w:rsidRPr="00696CB1" w:rsidTr="00E94ADD">
        <w:trPr>
          <w:trHeight w:hRule="exact" w:val="1056"/>
        </w:trPr>
        <w:tc>
          <w:tcPr>
            <w:tcW w:w="1973" w:type="dxa"/>
            <w:tcBorders>
              <w:top w:val="single" w:sz="6" w:space="0" w:color="000000"/>
              <w:left w:val="nil"/>
              <w:right w:val="nil"/>
            </w:tcBorders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9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EAFR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94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teigiami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26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37,5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[-15,1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61,4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0,79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[0,20, 3,12]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10,8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3,8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p=0,7382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NC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NR,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4,3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</w:tc>
      </w:tr>
      <w:tr w:rsidR="00562DA0" w:rsidRPr="00696CB1" w:rsidTr="00E94ADD">
        <w:trPr>
          <w:trHeight w:hRule="exact" w:val="1061"/>
        </w:trPr>
        <w:tc>
          <w:tcPr>
            <w:tcW w:w="1973" w:type="dxa"/>
            <w:tcBorders>
              <w:top w:val="single" w:sz="6" w:space="0" w:color="000000"/>
              <w:left w:val="nil"/>
              <w:right w:val="nil"/>
            </w:tcBorders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9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EAFR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3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mutacijoms neigiami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189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2,6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[-5,6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7,3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1,10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[0,78, 1,56]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2,0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2,6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p=0,5771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1,16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[0,79, 1,72]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3,7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5,9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p=0,4449</w:t>
            </w:r>
          </w:p>
        </w:tc>
      </w:tr>
      <w:tr w:rsidR="00562DA0" w:rsidRPr="00696CB1" w:rsidTr="00E94ADD">
        <w:trPr>
          <w:trHeight w:hRule="exact" w:val="1061"/>
        </w:trPr>
        <w:tc>
          <w:tcPr>
            <w:tcW w:w="19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40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Niekada nerūkę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375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18,1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[12,3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24,0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0,55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[0,42, 0,72]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5,6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2,8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p&lt;0,0001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0,67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[0,49, 0,92]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8,9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6,1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p=0,0124</w:t>
            </w:r>
          </w:p>
        </w:tc>
      </w:tr>
      <w:tr w:rsidR="00562DA0" w:rsidRPr="00696CB1" w:rsidTr="00E94ADD">
        <w:trPr>
          <w:trHeight w:hRule="exact" w:val="1056"/>
        </w:trPr>
        <w:tc>
          <w:tcPr>
            <w:tcW w:w="197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Anksčiau rūkę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1317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5,3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1,6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[1,4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5,7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0,89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[0,78, 1,01]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2,7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2,6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p=0,0707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0,92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[0,79, 1,06]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5,0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4,9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p=0,2420</w:t>
            </w:r>
          </w:p>
        </w:tc>
      </w:tr>
      <w:tr w:rsidR="00562DA0" w:rsidRPr="00696CB1" w:rsidTr="00E94ADD">
        <w:trPr>
          <w:trHeight w:hRule="exact" w:val="1066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40"/>
              <w:jc w:val="center"/>
              <w:rPr>
                <w:snapToGrid/>
                <w:szCs w:val="22"/>
                <w:lang w:val="lt-LT"/>
              </w:rPr>
            </w:pPr>
            <w:proofErr w:type="spellStart"/>
            <w:r w:rsidRPr="00696CB1">
              <w:rPr>
                <w:snapToGrid/>
                <w:spacing w:val="-1"/>
                <w:szCs w:val="22"/>
                <w:lang w:val="lt-LT"/>
              </w:rPr>
              <w:t>Azijiečiai</w:t>
            </w:r>
            <w:r w:rsidRPr="00696CB1">
              <w:rPr>
                <w:snapToGrid/>
                <w:spacing w:val="-1"/>
                <w:szCs w:val="22"/>
                <w:vertAlign w:val="superscript"/>
                <w:lang w:val="lt-LT"/>
              </w:rPr>
              <w:t>d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342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12,4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2,1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[4,0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15,8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0,69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[0,52, 0,91]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4,4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2,2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p=0,0084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0,66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[0,48, 0,91]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9,5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5,5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p=0,0100</w:t>
            </w:r>
          </w:p>
        </w:tc>
      </w:tr>
      <w:tr w:rsidR="00562DA0" w:rsidRPr="00696CB1" w:rsidTr="00E94ADD">
        <w:trPr>
          <w:trHeight w:hRule="exact" w:val="1080"/>
        </w:trPr>
        <w:tc>
          <w:tcPr>
            <w:tcW w:w="19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6"/>
              <w:jc w:val="center"/>
              <w:rPr>
                <w:snapToGrid/>
                <w:szCs w:val="22"/>
                <w:lang w:val="lt-LT"/>
              </w:rPr>
            </w:pPr>
            <w:r w:rsidRPr="00696CB1">
              <w:rPr>
                <w:snapToGrid/>
                <w:spacing w:val="-1"/>
                <w:szCs w:val="22"/>
                <w:lang w:val="lt-LT"/>
              </w:rPr>
              <w:t>Ne azijiečiai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1350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6,8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1,0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ind w:left="-4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[3,5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%, 7,9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%]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0,86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[0,76, 0,98]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2,9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2,7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p=0,0197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HR 0,92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[0,80, 1,07]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5,2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m, </w:t>
            </w:r>
            <w:proofErr w:type="spellStart"/>
            <w:r w:rsidRPr="00696CB1">
              <w:rPr>
                <w:snapToGrid/>
                <w:color w:val="000000"/>
                <w:szCs w:val="22"/>
                <w:lang w:val="lt-LT" w:bidi="en-US"/>
              </w:rPr>
              <w:t>plg</w:t>
            </w:r>
            <w:proofErr w:type="spellEnd"/>
            <w:r w:rsidRPr="00696CB1">
              <w:rPr>
                <w:snapToGrid/>
                <w:color w:val="000000"/>
                <w:szCs w:val="22"/>
                <w:lang w:val="lt-LT" w:bidi="en-US"/>
              </w:rPr>
              <w:t>, su 5,1</w:t>
            </w:r>
            <w:r w:rsidR="003409A9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</w:t>
            </w:r>
          </w:p>
          <w:p w:rsidR="00562DA0" w:rsidRPr="00696CB1" w:rsidRDefault="00562DA0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p=0,2942</w:t>
            </w:r>
          </w:p>
        </w:tc>
      </w:tr>
    </w:tbl>
    <w:p w:rsidR="00E6710D" w:rsidRPr="008857A1" w:rsidRDefault="00E6710D" w:rsidP="00696CB1">
      <w:pPr>
        <w:widowControl w:val="0"/>
        <w:kinsoku w:val="0"/>
        <w:overflowPunct w:val="0"/>
        <w:spacing w:line="240" w:lineRule="auto"/>
        <w:ind w:left="567" w:hanging="567"/>
        <w:jc w:val="both"/>
        <w:rPr>
          <w:snapToGrid/>
          <w:sz w:val="20"/>
          <w:lang w:val="lt-LT" w:eastAsia="en-GB"/>
        </w:rPr>
      </w:pPr>
      <w:r w:rsidRPr="008857A1">
        <w:rPr>
          <w:snapToGrid/>
          <w:w w:val="95"/>
          <w:sz w:val="20"/>
          <w:lang w:val="lt-LT" w:eastAsia="en-GB"/>
        </w:rPr>
        <w:t>a</w:t>
      </w:r>
      <w:r w:rsidRPr="008857A1">
        <w:rPr>
          <w:snapToGrid/>
          <w:w w:val="95"/>
          <w:sz w:val="20"/>
          <w:lang w:val="lt-LT" w:eastAsia="en-GB"/>
        </w:rPr>
        <w:tab/>
      </w:r>
      <w:r w:rsidRPr="008857A1">
        <w:rPr>
          <w:snapToGrid/>
          <w:sz w:val="20"/>
          <w:lang w:val="lt-LT" w:eastAsia="en-GB"/>
        </w:rPr>
        <w:t xml:space="preserve">Pateikti rodmenys gauti lyginant </w:t>
      </w:r>
      <w:proofErr w:type="spellStart"/>
      <w:r w:rsidRPr="008857A1">
        <w:rPr>
          <w:snapToGrid/>
          <w:sz w:val="20"/>
          <w:lang w:val="lt-LT" w:eastAsia="en-GB"/>
        </w:rPr>
        <w:t>gefitinibą</w:t>
      </w:r>
      <w:proofErr w:type="spellEnd"/>
      <w:r w:rsidRPr="008857A1">
        <w:rPr>
          <w:snapToGrid/>
          <w:sz w:val="20"/>
          <w:lang w:val="lt-LT" w:eastAsia="en-GB"/>
        </w:rPr>
        <w:t xml:space="preserve"> su </w:t>
      </w:r>
      <w:proofErr w:type="spellStart"/>
      <w:r w:rsidRPr="008857A1">
        <w:rPr>
          <w:snapToGrid/>
          <w:sz w:val="20"/>
          <w:lang w:val="lt-LT" w:eastAsia="en-GB"/>
        </w:rPr>
        <w:t>docetaksel</w:t>
      </w:r>
      <w:r w:rsidR="005D142A" w:rsidRPr="008857A1">
        <w:rPr>
          <w:snapToGrid/>
          <w:sz w:val="20"/>
          <w:lang w:val="lt-LT" w:eastAsia="en-GB"/>
        </w:rPr>
        <w:t>iu</w:t>
      </w:r>
      <w:proofErr w:type="spellEnd"/>
    </w:p>
    <w:p w:rsidR="00E6710D" w:rsidRPr="008857A1" w:rsidRDefault="00E6710D" w:rsidP="00696CB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567" w:right="116" w:hanging="567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b</w:t>
      </w:r>
      <w:r w:rsidRPr="008857A1">
        <w:rPr>
          <w:snapToGrid/>
          <w:sz w:val="20"/>
          <w:lang w:val="lt-LT" w:eastAsia="en-GB"/>
        </w:rPr>
        <w:tab/>
        <w:t>„m“ yra mediana mėnesiais. Skaičiai laužtiniuose skliaustuose yra HR 95</w:t>
      </w:r>
      <w:r w:rsidR="003409A9" w:rsidRPr="008857A1">
        <w:rPr>
          <w:snapToGrid/>
          <w:sz w:val="20"/>
          <w:lang w:val="lt-LT" w:eastAsia="en-GB"/>
        </w:rPr>
        <w:t> </w:t>
      </w:r>
      <w:r w:rsidRPr="008857A1">
        <w:rPr>
          <w:snapToGrid/>
          <w:sz w:val="20"/>
          <w:lang w:val="lt-LT" w:eastAsia="en-GB"/>
        </w:rPr>
        <w:t xml:space="preserve">% </w:t>
      </w:r>
      <w:proofErr w:type="spellStart"/>
      <w:r w:rsidRPr="008857A1">
        <w:rPr>
          <w:snapToGrid/>
          <w:sz w:val="20"/>
          <w:lang w:val="lt-LT" w:eastAsia="en-GB"/>
        </w:rPr>
        <w:t>pasikliautinieji</w:t>
      </w:r>
      <w:proofErr w:type="spellEnd"/>
      <w:r w:rsidRPr="008857A1">
        <w:rPr>
          <w:snapToGrid/>
          <w:sz w:val="20"/>
          <w:lang w:val="lt-LT" w:eastAsia="en-GB"/>
        </w:rPr>
        <w:t xml:space="preserve"> intervalai</w:t>
      </w:r>
    </w:p>
    <w:p w:rsidR="00305D9B" w:rsidRPr="008857A1" w:rsidRDefault="00305D9B" w:rsidP="00696CB1">
      <w:pPr>
        <w:widowControl w:val="0"/>
        <w:tabs>
          <w:tab w:val="clear" w:pos="567"/>
          <w:tab w:val="left" w:pos="499"/>
        </w:tabs>
        <w:spacing w:line="240" w:lineRule="auto"/>
        <w:ind w:left="567" w:hanging="567"/>
        <w:jc w:val="both"/>
        <w:rPr>
          <w:bCs/>
          <w:snapToGrid/>
          <w:sz w:val="20"/>
          <w:lang w:val="lt-LT"/>
        </w:rPr>
      </w:pPr>
      <w:r w:rsidRPr="008857A1">
        <w:rPr>
          <w:bCs/>
          <w:snapToGrid/>
          <w:color w:val="000000"/>
          <w:sz w:val="20"/>
          <w:lang w:val="lt-LT" w:bidi="en-US"/>
        </w:rPr>
        <w:t>c</w:t>
      </w:r>
      <w:r w:rsidRPr="008857A1">
        <w:rPr>
          <w:bCs/>
          <w:snapToGrid/>
          <w:color w:val="000000"/>
          <w:sz w:val="20"/>
          <w:lang w:val="lt-LT" w:bidi="en-US"/>
        </w:rPr>
        <w:tab/>
      </w:r>
      <w:proofErr w:type="spellStart"/>
      <w:r w:rsidR="00EA0DE7" w:rsidRPr="008857A1">
        <w:rPr>
          <w:bCs/>
          <w:snapToGrid/>
          <w:color w:val="000000"/>
          <w:sz w:val="20"/>
          <w:lang w:val="lt-LT" w:bidi="en-US"/>
        </w:rPr>
        <w:t>Stratifikuotas</w:t>
      </w:r>
      <w:proofErr w:type="spellEnd"/>
      <w:r w:rsidR="00EA0DE7" w:rsidRPr="008857A1">
        <w:rPr>
          <w:bCs/>
          <w:snapToGrid/>
          <w:color w:val="000000"/>
          <w:sz w:val="20"/>
          <w:lang w:val="lt-LT" w:bidi="en-US"/>
        </w:rPr>
        <w:t xml:space="preserve"> </w:t>
      </w:r>
      <w:proofErr w:type="spellStart"/>
      <w:r w:rsidR="00EA0DE7" w:rsidRPr="008857A1">
        <w:rPr>
          <w:bCs/>
          <w:snapToGrid/>
          <w:color w:val="000000"/>
          <w:sz w:val="20"/>
          <w:lang w:val="lt-LT" w:bidi="en-US"/>
        </w:rPr>
        <w:t>log-rank</w:t>
      </w:r>
      <w:proofErr w:type="spellEnd"/>
      <w:r w:rsidR="00EA0DE7" w:rsidRPr="008857A1">
        <w:rPr>
          <w:bCs/>
          <w:snapToGrid/>
          <w:color w:val="000000"/>
          <w:sz w:val="20"/>
          <w:lang w:val="lt-LT" w:bidi="en-US"/>
        </w:rPr>
        <w:t xml:space="preserve"> testas bendram išgyvenimui, kitais atvejais – </w:t>
      </w:r>
      <w:proofErr w:type="spellStart"/>
      <w:r w:rsidR="00EA0DE7" w:rsidRPr="008857A1">
        <w:rPr>
          <w:bCs/>
          <w:snapToGrid/>
          <w:color w:val="000000"/>
          <w:sz w:val="20"/>
          <w:lang w:val="lt-LT" w:bidi="en-US"/>
        </w:rPr>
        <w:t>cox</w:t>
      </w:r>
      <w:proofErr w:type="spellEnd"/>
      <w:r w:rsidR="00EA0DE7" w:rsidRPr="008857A1">
        <w:rPr>
          <w:bCs/>
          <w:snapToGrid/>
          <w:color w:val="000000"/>
          <w:sz w:val="20"/>
          <w:lang w:val="lt-LT" w:bidi="en-US"/>
        </w:rPr>
        <w:t xml:space="preserve"> proporcinės rizikos modelis</w:t>
      </w:r>
    </w:p>
    <w:p w:rsidR="00305D9B" w:rsidRPr="008857A1" w:rsidRDefault="00305D9B" w:rsidP="00696CB1">
      <w:pPr>
        <w:widowControl w:val="0"/>
        <w:tabs>
          <w:tab w:val="clear" w:pos="567"/>
          <w:tab w:val="left" w:pos="504"/>
        </w:tabs>
        <w:spacing w:line="240" w:lineRule="auto"/>
        <w:ind w:left="567" w:hanging="567"/>
        <w:rPr>
          <w:bCs/>
          <w:snapToGrid/>
          <w:color w:val="000000"/>
          <w:sz w:val="20"/>
          <w:lang w:val="lt-LT" w:bidi="en-US"/>
        </w:rPr>
      </w:pPr>
      <w:r w:rsidRPr="008857A1">
        <w:rPr>
          <w:bCs/>
          <w:snapToGrid/>
          <w:color w:val="000000"/>
          <w:sz w:val="20"/>
          <w:lang w:val="lt-LT" w:bidi="en-US"/>
        </w:rPr>
        <w:t xml:space="preserve">d </w:t>
      </w:r>
      <w:r w:rsidRPr="008857A1">
        <w:rPr>
          <w:bCs/>
          <w:snapToGrid/>
          <w:color w:val="000000"/>
          <w:sz w:val="20"/>
          <w:lang w:val="lt-LT" w:bidi="en-US"/>
        </w:rPr>
        <w:tab/>
      </w:r>
      <w:r w:rsidR="00EA0DE7" w:rsidRPr="008857A1">
        <w:rPr>
          <w:bCs/>
          <w:snapToGrid/>
          <w:color w:val="000000"/>
          <w:sz w:val="20"/>
          <w:lang w:val="lt-LT" w:bidi="en-US"/>
        </w:rPr>
        <w:t>Į azijiečių grupę neįtraukti pacientai iš Indijos; buvo įtraukiama pagal pacientų rasę nepriklausomai nuo gimimo vietos</w:t>
      </w:r>
    </w:p>
    <w:p w:rsidR="00E6710D" w:rsidRPr="008857A1" w:rsidRDefault="00E6710D" w:rsidP="00696CB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567" w:right="1400" w:hanging="567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N</w:t>
      </w:r>
      <w:r w:rsidRPr="008857A1">
        <w:rPr>
          <w:snapToGrid/>
          <w:sz w:val="20"/>
          <w:lang w:val="lt-LT" w:eastAsia="en-GB"/>
        </w:rPr>
        <w:tab/>
        <w:t>Atsitiktinėms imtims priskirtų pacientų skaičius</w:t>
      </w:r>
    </w:p>
    <w:p w:rsidR="00562DA0" w:rsidRPr="008857A1" w:rsidRDefault="00562DA0" w:rsidP="00696CB1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color w:val="000000"/>
          <w:sz w:val="20"/>
          <w:lang w:val="lt-LT" w:bidi="en-US"/>
        </w:rPr>
      </w:pPr>
      <w:r w:rsidRPr="008857A1">
        <w:rPr>
          <w:bCs/>
          <w:snapToGrid/>
          <w:color w:val="000000"/>
          <w:sz w:val="20"/>
          <w:lang w:val="lt-LT" w:bidi="en-US"/>
        </w:rPr>
        <w:t>NC</w:t>
      </w:r>
      <w:r w:rsidRPr="008857A1">
        <w:rPr>
          <w:bCs/>
          <w:snapToGrid/>
          <w:color w:val="000000"/>
          <w:sz w:val="20"/>
          <w:lang w:val="lt-LT" w:bidi="en-US"/>
        </w:rPr>
        <w:tab/>
        <w:t xml:space="preserve">Neapskaičiuota (bendrojo </w:t>
      </w:r>
      <w:proofErr w:type="spellStart"/>
      <w:r w:rsidRPr="008857A1">
        <w:rPr>
          <w:bCs/>
          <w:snapToGrid/>
          <w:color w:val="000000"/>
          <w:sz w:val="20"/>
          <w:lang w:val="lt-LT" w:bidi="en-US"/>
        </w:rPr>
        <w:t>išgyvenamumo</w:t>
      </w:r>
      <w:proofErr w:type="spellEnd"/>
      <w:r w:rsidRPr="008857A1">
        <w:rPr>
          <w:bCs/>
          <w:snapToGrid/>
          <w:color w:val="000000"/>
          <w:sz w:val="20"/>
          <w:lang w:val="lt-LT" w:bidi="en-US"/>
        </w:rPr>
        <w:t xml:space="preserve"> HR skaičiavimui reiškinių skaičius buvo per mažas)</w:t>
      </w:r>
    </w:p>
    <w:p w:rsidR="00305D9B" w:rsidRPr="008857A1" w:rsidRDefault="00305D9B" w:rsidP="00696CB1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 w:val="20"/>
          <w:lang w:val="lt-LT"/>
        </w:rPr>
      </w:pPr>
      <w:r w:rsidRPr="008857A1">
        <w:rPr>
          <w:bCs/>
          <w:snapToGrid/>
          <w:color w:val="000000"/>
          <w:sz w:val="20"/>
          <w:lang w:val="lt-LT" w:bidi="en-US"/>
        </w:rPr>
        <w:t>NR</w:t>
      </w:r>
      <w:r w:rsidRPr="008857A1">
        <w:rPr>
          <w:bCs/>
          <w:snapToGrid/>
          <w:color w:val="000000"/>
          <w:sz w:val="20"/>
          <w:lang w:val="lt-LT" w:bidi="en-US"/>
        </w:rPr>
        <w:tab/>
      </w:r>
      <w:r w:rsidR="00E6710D" w:rsidRPr="008857A1">
        <w:rPr>
          <w:bCs/>
          <w:snapToGrid/>
          <w:color w:val="000000"/>
          <w:sz w:val="20"/>
          <w:lang w:val="lt-LT" w:bidi="en-US"/>
        </w:rPr>
        <w:t>Nepasiekta</w:t>
      </w:r>
    </w:p>
    <w:p w:rsidR="00E6710D" w:rsidRPr="008857A1" w:rsidRDefault="00E6710D" w:rsidP="00696CB1">
      <w:pPr>
        <w:widowControl w:val="0"/>
        <w:kinsoku w:val="0"/>
        <w:overflowPunct w:val="0"/>
        <w:spacing w:line="240" w:lineRule="auto"/>
        <w:ind w:left="567" w:hanging="567"/>
        <w:jc w:val="both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HR</w:t>
      </w:r>
      <w:r w:rsidRPr="008857A1">
        <w:rPr>
          <w:snapToGrid/>
          <w:sz w:val="20"/>
          <w:lang w:val="lt-LT" w:eastAsia="en-GB"/>
        </w:rPr>
        <w:tab/>
        <w:t xml:space="preserve">Rizikos santykis (rizikos santykis &lt;1 palankus </w:t>
      </w:r>
      <w:proofErr w:type="spellStart"/>
      <w:r w:rsidRPr="008857A1">
        <w:rPr>
          <w:snapToGrid/>
          <w:sz w:val="20"/>
          <w:lang w:val="lt-LT" w:eastAsia="en-GB"/>
        </w:rPr>
        <w:t>gebitinibui</w:t>
      </w:r>
      <w:proofErr w:type="spellEnd"/>
      <w:r w:rsidRPr="008857A1">
        <w:rPr>
          <w:snapToGrid/>
          <w:sz w:val="20"/>
          <w:lang w:val="lt-LT" w:eastAsia="en-GB"/>
        </w:rPr>
        <w:t>)</w:t>
      </w:r>
    </w:p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jc w:val="both"/>
        <w:rPr>
          <w:snapToGrid/>
          <w:szCs w:val="22"/>
          <w:lang w:val="lt-LT" w:eastAsia="en-GB"/>
        </w:rPr>
      </w:pPr>
    </w:p>
    <w:p w:rsidR="00305D9B" w:rsidRPr="00696CB1" w:rsidRDefault="007F5E91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ind w:right="330"/>
        <w:rPr>
          <w:snapToGrid/>
          <w:szCs w:val="22"/>
          <w:lang w:val="lt-LT" w:eastAsia="en-GB"/>
        </w:rPr>
      </w:pPr>
      <w:r w:rsidRPr="00696CB1">
        <w:rPr>
          <w:snapToGrid/>
          <w:spacing w:val="-1"/>
          <w:szCs w:val="22"/>
          <w:lang w:val="lt-LT" w:eastAsia="en-GB"/>
        </w:rPr>
        <w:t xml:space="preserve">Buvo </w:t>
      </w:r>
      <w:r w:rsidR="00CA7F48" w:rsidRPr="00696CB1">
        <w:rPr>
          <w:snapToGrid/>
          <w:spacing w:val="-1"/>
          <w:szCs w:val="22"/>
          <w:lang w:val="lt-LT" w:eastAsia="en-GB"/>
        </w:rPr>
        <w:t>atliktas</w:t>
      </w:r>
      <w:r w:rsidRPr="00696CB1">
        <w:rPr>
          <w:snapToGrid/>
          <w:spacing w:val="-1"/>
          <w:szCs w:val="22"/>
          <w:lang w:val="lt-LT" w:eastAsia="en-GB"/>
        </w:rPr>
        <w:t xml:space="preserve">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daugiacentris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vienos grupės IFUM tyrimas siekiant patvirtinti panašų </w:t>
      </w:r>
      <w:proofErr w:type="spellStart"/>
      <w:r w:rsidRPr="00696CB1">
        <w:rPr>
          <w:snapToGrid/>
          <w:spacing w:val="-1"/>
          <w:szCs w:val="22"/>
          <w:lang w:val="lt-LT" w:eastAsia="en-GB"/>
        </w:rPr>
        <w:t>gefitinibo</w:t>
      </w:r>
      <w:proofErr w:type="spellEnd"/>
      <w:r w:rsidRPr="00696CB1">
        <w:rPr>
          <w:snapToGrid/>
          <w:spacing w:val="-1"/>
          <w:szCs w:val="22"/>
          <w:lang w:val="lt-LT" w:eastAsia="en-GB"/>
        </w:rPr>
        <w:t xml:space="preserve"> poveikį baltaodžiams ir azijiečiams. Tyrėjo vertinimu, bendrasis atsako dažnis (ORR) buvo 70</w:t>
      </w:r>
      <w:r w:rsidR="00580272">
        <w:rPr>
          <w:snapToGrid/>
          <w:spacing w:val="-1"/>
          <w:szCs w:val="22"/>
          <w:lang w:val="lt-LT" w:eastAsia="en-GB"/>
        </w:rPr>
        <w:t> </w:t>
      </w:r>
      <w:r w:rsidRPr="00696CB1">
        <w:rPr>
          <w:snapToGrid/>
          <w:spacing w:val="-1"/>
          <w:szCs w:val="22"/>
          <w:lang w:val="lt-LT" w:eastAsia="en-GB"/>
        </w:rPr>
        <w:t>%, o neprogresuojant ligai išgyvento laikotarpio (PFS) mediana - 9,7mėn. Šie duomenys yra panašūs į gautus IPASS tyrimo metu.</w:t>
      </w:r>
    </w:p>
    <w:p w:rsidR="00305D9B" w:rsidRPr="00696CB1" w:rsidRDefault="00305D9B" w:rsidP="00696CB1">
      <w:pPr>
        <w:widowControl w:val="0"/>
        <w:tabs>
          <w:tab w:val="clear" w:pos="567"/>
        </w:tabs>
        <w:kinsoku w:val="0"/>
        <w:overflowPunct w:val="0"/>
        <w:spacing w:line="240" w:lineRule="auto"/>
        <w:jc w:val="both"/>
        <w:rPr>
          <w:snapToGrid/>
          <w:szCs w:val="22"/>
          <w:lang w:val="lt-LT" w:eastAsia="en-GB"/>
        </w:rPr>
      </w:pPr>
    </w:p>
    <w:p w:rsidR="00B651E2" w:rsidRPr="00696CB1" w:rsidRDefault="00B651E2" w:rsidP="00696CB1">
      <w:pPr>
        <w:widowControl w:val="0"/>
        <w:tabs>
          <w:tab w:val="clear" w:pos="567"/>
        </w:tabs>
        <w:spacing w:line="240" w:lineRule="auto"/>
        <w:jc w:val="both"/>
        <w:rPr>
          <w:i/>
          <w:iCs/>
          <w:snapToGrid/>
          <w:spacing w:val="-1"/>
          <w:szCs w:val="22"/>
          <w:lang w:val="lt-LT" w:eastAsia="en-GB"/>
        </w:rPr>
      </w:pPr>
      <w:r w:rsidRPr="00696CB1">
        <w:rPr>
          <w:i/>
          <w:iCs/>
          <w:snapToGrid/>
          <w:spacing w:val="-1"/>
          <w:szCs w:val="22"/>
          <w:lang w:val="lt-LT" w:eastAsia="en-GB"/>
        </w:rPr>
        <w:t>EAFR mutacijų būklė ir klinikinės ypatybės</w:t>
      </w:r>
    </w:p>
    <w:p w:rsidR="00B651E2" w:rsidRPr="00696CB1" w:rsidRDefault="00B651E2" w:rsidP="00696CB1">
      <w:pPr>
        <w:widowControl w:val="0"/>
        <w:tabs>
          <w:tab w:val="clear" w:pos="567"/>
        </w:tabs>
        <w:spacing w:line="240" w:lineRule="auto"/>
        <w:rPr>
          <w:iCs/>
          <w:snapToGrid/>
          <w:spacing w:val="-1"/>
          <w:szCs w:val="22"/>
          <w:lang w:val="lt-LT" w:eastAsia="en-GB"/>
        </w:rPr>
      </w:pPr>
      <w:proofErr w:type="spellStart"/>
      <w:r w:rsidRPr="00696CB1">
        <w:rPr>
          <w:iCs/>
          <w:snapToGrid/>
          <w:spacing w:val="-1"/>
          <w:szCs w:val="22"/>
          <w:lang w:val="lt-LT" w:eastAsia="en-GB"/>
        </w:rPr>
        <w:t>Gefitinibo</w:t>
      </w:r>
      <w:proofErr w:type="spellEnd"/>
      <w:r w:rsidRPr="00696CB1">
        <w:rPr>
          <w:iCs/>
          <w:snapToGrid/>
          <w:spacing w:val="-1"/>
          <w:szCs w:val="22"/>
          <w:lang w:val="lt-LT" w:eastAsia="en-GB"/>
        </w:rPr>
        <w:t xml:space="preserve"> tyrimuose dalyvavusių 786 europiečių pacientų duomenų </w:t>
      </w:r>
      <w:proofErr w:type="spellStart"/>
      <w:r w:rsidRPr="00696CB1">
        <w:rPr>
          <w:iCs/>
          <w:snapToGrid/>
          <w:spacing w:val="-1"/>
          <w:szCs w:val="22"/>
          <w:lang w:val="lt-LT" w:eastAsia="en-GB"/>
        </w:rPr>
        <w:t>multivariacinė</w:t>
      </w:r>
      <w:proofErr w:type="spellEnd"/>
      <w:r w:rsidRPr="00696CB1">
        <w:rPr>
          <w:iCs/>
          <w:snapToGrid/>
          <w:spacing w:val="-1"/>
          <w:szCs w:val="22"/>
          <w:lang w:val="lt-LT" w:eastAsia="en-GB"/>
        </w:rPr>
        <w:t xml:space="preserve"> analizė parodė, kad tam tikros klinikinės ypatybės (nerūkymas, </w:t>
      </w:r>
      <w:proofErr w:type="spellStart"/>
      <w:r w:rsidRPr="00696CB1">
        <w:rPr>
          <w:iCs/>
          <w:snapToGrid/>
          <w:spacing w:val="-1"/>
          <w:szCs w:val="22"/>
          <w:lang w:val="lt-LT" w:eastAsia="en-GB"/>
        </w:rPr>
        <w:t>adenokarcinomos</w:t>
      </w:r>
      <w:proofErr w:type="spellEnd"/>
      <w:r w:rsidRPr="00696CB1">
        <w:rPr>
          <w:iCs/>
          <w:snapToGrid/>
          <w:spacing w:val="-1"/>
          <w:szCs w:val="22"/>
          <w:lang w:val="lt-LT" w:eastAsia="en-GB"/>
        </w:rPr>
        <w:t xml:space="preserve"> histologinė struktūra ir moteriška lytis) yra nepriklausomi veiksniai, leidžiantys prognozuoti teigiamą EAFR mutacijų būklę</w:t>
      </w:r>
      <w:r w:rsidR="00CA7F48" w:rsidRPr="00696CB1">
        <w:rPr>
          <w:iCs/>
          <w:snapToGrid/>
          <w:spacing w:val="-1"/>
          <w:szCs w:val="22"/>
          <w:lang w:val="lt-LT" w:eastAsia="en-GB"/>
        </w:rPr>
        <w:t xml:space="preserve"> </w:t>
      </w:r>
      <w:r w:rsidRPr="00696CB1">
        <w:rPr>
          <w:iCs/>
          <w:snapToGrid/>
          <w:spacing w:val="-1"/>
          <w:szCs w:val="22"/>
          <w:lang w:val="lt-LT" w:eastAsia="en-GB"/>
        </w:rPr>
        <w:t>(žr. 7 lentelę). Azijiečiams navikų mutacijų būklė taip pat dažniau buvo EAFR teigiama.</w:t>
      </w:r>
    </w:p>
    <w:p w:rsidR="00B651E2" w:rsidRPr="00696CB1" w:rsidRDefault="00B651E2" w:rsidP="00696CB1">
      <w:pPr>
        <w:widowControl w:val="0"/>
        <w:tabs>
          <w:tab w:val="clear" w:pos="567"/>
        </w:tabs>
        <w:spacing w:line="240" w:lineRule="auto"/>
        <w:jc w:val="both"/>
        <w:rPr>
          <w:iCs/>
          <w:snapToGrid/>
          <w:spacing w:val="-1"/>
          <w:szCs w:val="22"/>
          <w:lang w:val="lt-LT" w:eastAsia="en-GB"/>
        </w:rPr>
      </w:pPr>
    </w:p>
    <w:p w:rsidR="00305D9B" w:rsidRPr="00696CB1" w:rsidRDefault="00B651E2" w:rsidP="00696CB1">
      <w:pPr>
        <w:widowControl w:val="0"/>
        <w:tabs>
          <w:tab w:val="clear" w:pos="567"/>
        </w:tabs>
        <w:spacing w:line="240" w:lineRule="auto"/>
        <w:rPr>
          <w:b/>
          <w:snapToGrid/>
          <w:color w:val="000000"/>
          <w:szCs w:val="22"/>
          <w:lang w:val="lt-LT" w:bidi="en-US"/>
        </w:rPr>
      </w:pPr>
      <w:r w:rsidRPr="00696CB1">
        <w:rPr>
          <w:b/>
          <w:snapToGrid/>
          <w:color w:val="000000"/>
          <w:szCs w:val="22"/>
          <w:lang w:val="lt-LT" w:bidi="en-US"/>
        </w:rPr>
        <w:t xml:space="preserve">7 lentelė. </w:t>
      </w:r>
      <w:proofErr w:type="spellStart"/>
      <w:r w:rsidRPr="00696CB1">
        <w:rPr>
          <w:b/>
          <w:snapToGrid/>
          <w:color w:val="000000"/>
          <w:szCs w:val="22"/>
          <w:lang w:val="lt-LT" w:bidi="en-US"/>
        </w:rPr>
        <w:t>Multivariacinė</w:t>
      </w:r>
      <w:proofErr w:type="spellEnd"/>
      <w:r w:rsidRPr="00696CB1">
        <w:rPr>
          <w:b/>
          <w:snapToGrid/>
          <w:color w:val="000000"/>
          <w:szCs w:val="22"/>
          <w:lang w:val="lt-LT" w:bidi="en-US"/>
        </w:rPr>
        <w:t xml:space="preserve"> logistinės regresijos analizės santrauka veiksniams, kurie leistų </w:t>
      </w:r>
      <w:r w:rsidRPr="00696CB1">
        <w:rPr>
          <w:b/>
          <w:snapToGrid/>
          <w:color w:val="000000"/>
          <w:szCs w:val="22"/>
          <w:lang w:val="lt-LT" w:bidi="en-US"/>
        </w:rPr>
        <w:lastRenderedPageBreak/>
        <w:t>nepriklausomai prognozuoti EAFR mutacijų buvimą 786 europidų rasės pacientams, identifikuoti</w:t>
      </w:r>
      <w:r w:rsidR="00305D9B" w:rsidRPr="00696CB1">
        <w:rPr>
          <w:b/>
          <w:snapToGrid/>
          <w:color w:val="000000"/>
          <w:szCs w:val="22"/>
          <w:lang w:val="lt-LT" w:bidi="en-US"/>
        </w:rPr>
        <w:t>*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1032"/>
        <w:gridCol w:w="2491"/>
        <w:gridCol w:w="4037"/>
      </w:tblGrid>
      <w:tr w:rsidR="00305D9B" w:rsidRPr="00696CB1" w:rsidTr="00E94ADD">
        <w:trPr>
          <w:trHeight w:hRule="exact" w:val="1080"/>
        </w:trPr>
        <w:tc>
          <w:tcPr>
            <w:tcW w:w="18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305D9B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 EAFR mutacijos buvimo numatymo veiksnys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305D9B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ind w:left="180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P rodmuo</w:t>
            </w:r>
          </w:p>
        </w:tc>
        <w:tc>
          <w:tcPr>
            <w:tcW w:w="24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 xml:space="preserve">EGFR </w:t>
            </w:r>
            <w:r w:rsidR="00B71D61"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mutacijos šansas</w:t>
            </w:r>
          </w:p>
        </w:tc>
        <w:tc>
          <w:tcPr>
            <w:tcW w:w="40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B71D61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Teigiama prognozinė reikšmė</w:t>
            </w:r>
          </w:p>
          <w:p w:rsidR="00B71D61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(9,5 % bendros populiacijos yra EAFR</w:t>
            </w:r>
          </w:p>
          <w:p w:rsidR="00305D9B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b/>
                <w:bCs/>
                <w:snapToGrid/>
                <w:color w:val="000000"/>
                <w:szCs w:val="22"/>
                <w:lang w:val="lt-LT" w:bidi="en-US"/>
              </w:rPr>
              <w:t>mutacijoms teigiami, M+)</w:t>
            </w:r>
          </w:p>
        </w:tc>
      </w:tr>
      <w:tr w:rsidR="00305D9B" w:rsidRPr="00696CB1" w:rsidTr="00E94ADD">
        <w:trPr>
          <w:trHeight w:hRule="exact" w:val="797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305D9B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ind w:left="260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Rūkymo būklė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180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&lt;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0001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6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5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karto dažniau nerūkiusiems negu rūkiusiems </w:t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28/70 (40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%)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nerūkusiųjų yra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M+ 47/716 (7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%)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rūkusiųjų yra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M+</w:t>
            </w:r>
          </w:p>
        </w:tc>
      </w:tr>
      <w:tr w:rsidR="00305D9B" w:rsidRPr="00696CB1" w:rsidTr="00E94ADD">
        <w:trPr>
          <w:trHeight w:hRule="exact" w:val="1537"/>
        </w:trPr>
        <w:tc>
          <w:tcPr>
            <w:tcW w:w="1834" w:type="dxa"/>
            <w:shd w:val="clear" w:color="auto" w:fill="FFFFFF"/>
          </w:tcPr>
          <w:p w:rsidR="00305D9B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Histologija</w:t>
            </w:r>
          </w:p>
        </w:tc>
        <w:tc>
          <w:tcPr>
            <w:tcW w:w="1032" w:type="dxa"/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180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&lt;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0001</w:t>
            </w:r>
          </w:p>
        </w:tc>
        <w:tc>
          <w:tcPr>
            <w:tcW w:w="2491" w:type="dxa"/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4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4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karto dažniau esant </w:t>
            </w:r>
            <w:proofErr w:type="spellStart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>adenokarcinomai</w:t>
            </w:r>
            <w:proofErr w:type="spellEnd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 negu ne </w:t>
            </w:r>
            <w:proofErr w:type="spellStart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>adenokarcinomai</w:t>
            </w:r>
            <w:proofErr w:type="spellEnd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 </w:t>
            </w:r>
          </w:p>
        </w:tc>
        <w:tc>
          <w:tcPr>
            <w:tcW w:w="4037" w:type="dxa"/>
            <w:shd w:val="clear" w:color="auto" w:fill="FFFFFF"/>
          </w:tcPr>
          <w:p w:rsidR="00F47AC5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63/396 (16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%)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pacientų, kuriems nustatyta </w:t>
            </w:r>
            <w:proofErr w:type="spellStart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>adenokarcinomos</w:t>
            </w:r>
            <w:proofErr w:type="spellEnd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 histologinė struktūra, yra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M+ 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12/390 (3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%)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pacientų, kuriems nustatyta ne </w:t>
            </w:r>
            <w:proofErr w:type="spellStart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>adenokarcinomos</w:t>
            </w:r>
            <w:proofErr w:type="spellEnd"/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 xml:space="preserve"> histologinė struktūra, yra 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M+</w:t>
            </w:r>
          </w:p>
        </w:tc>
      </w:tr>
      <w:tr w:rsidR="00305D9B" w:rsidRPr="00696CB1" w:rsidTr="00E94ADD">
        <w:trPr>
          <w:trHeight w:hRule="exact" w:val="533"/>
        </w:trPr>
        <w:tc>
          <w:tcPr>
            <w:tcW w:w="1834" w:type="dxa"/>
            <w:tcBorders>
              <w:bottom w:val="single" w:sz="12" w:space="0" w:color="auto"/>
            </w:tcBorders>
            <w:shd w:val="clear" w:color="auto" w:fill="FFFFFF"/>
          </w:tcPr>
          <w:p w:rsidR="00305D9B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Lytis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shd w:val="clear" w:color="auto" w:fill="FFFFFF"/>
          </w:tcPr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ind w:left="180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0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>0397</w:t>
            </w:r>
          </w:p>
        </w:tc>
        <w:tc>
          <w:tcPr>
            <w:tcW w:w="2491" w:type="dxa"/>
            <w:tcBorders>
              <w:bottom w:val="single" w:sz="12" w:space="0" w:color="auto"/>
            </w:tcBorders>
            <w:shd w:val="clear" w:color="auto" w:fill="FFFFFF"/>
          </w:tcPr>
          <w:p w:rsidR="00B71D61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1</w:t>
            </w:r>
            <w:r w:rsidR="00E6710D" w:rsidRPr="00696CB1">
              <w:rPr>
                <w:snapToGrid/>
                <w:color w:val="000000"/>
                <w:szCs w:val="22"/>
                <w:lang w:val="lt-LT" w:bidi="en-US"/>
              </w:rPr>
              <w:t>,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7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>karto dažniau moterims</w:t>
            </w:r>
          </w:p>
          <w:p w:rsidR="00305D9B" w:rsidRPr="00696CB1" w:rsidRDefault="00B71D61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negu vyrams</w:t>
            </w:r>
          </w:p>
        </w:tc>
        <w:tc>
          <w:tcPr>
            <w:tcW w:w="4037" w:type="dxa"/>
            <w:tcBorders>
              <w:bottom w:val="single" w:sz="12" w:space="0" w:color="auto"/>
            </w:tcBorders>
            <w:shd w:val="clear" w:color="auto" w:fill="FFFFFF"/>
          </w:tcPr>
          <w:p w:rsidR="00B71D61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color w:val="000000"/>
                <w:szCs w:val="22"/>
                <w:lang w:val="lt-LT" w:bidi="en-US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40/235 (17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%)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>moterų yra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 M+ 35/551</w:t>
            </w:r>
          </w:p>
          <w:p w:rsidR="00305D9B" w:rsidRPr="00696CB1" w:rsidRDefault="00305D9B" w:rsidP="00696CB1"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n-GB"/>
              </w:rPr>
            </w:pPr>
            <w:r w:rsidRPr="00696CB1">
              <w:rPr>
                <w:snapToGrid/>
                <w:color w:val="000000"/>
                <w:szCs w:val="22"/>
                <w:lang w:val="lt-LT" w:bidi="en-US"/>
              </w:rPr>
              <w:t>(6</w:t>
            </w:r>
            <w:r w:rsidR="00580272">
              <w:rPr>
                <w:snapToGrid/>
                <w:color w:val="000000"/>
                <w:szCs w:val="22"/>
                <w:lang w:val="lt-LT" w:bidi="en-US"/>
              </w:rPr>
              <w:t> 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%) </w:t>
            </w:r>
            <w:r w:rsidR="00B71D61" w:rsidRPr="00696CB1">
              <w:rPr>
                <w:snapToGrid/>
                <w:color w:val="000000"/>
                <w:szCs w:val="22"/>
                <w:lang w:val="lt-LT" w:bidi="en-US"/>
              </w:rPr>
              <w:t>vyrų yra</w:t>
            </w:r>
            <w:r w:rsidRPr="00696CB1">
              <w:rPr>
                <w:snapToGrid/>
                <w:color w:val="000000"/>
                <w:szCs w:val="22"/>
                <w:lang w:val="lt-LT" w:bidi="en-US"/>
              </w:rPr>
              <w:t xml:space="preserve"> M+</w:t>
            </w:r>
          </w:p>
        </w:tc>
      </w:tr>
    </w:tbl>
    <w:p w:rsidR="00305D9B" w:rsidRPr="008857A1" w:rsidRDefault="00305D9B" w:rsidP="00696CB1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808" w:right="494" w:hanging="567"/>
        <w:jc w:val="both"/>
        <w:rPr>
          <w:snapToGrid/>
          <w:sz w:val="20"/>
          <w:lang w:val="lt-LT" w:eastAsia="en-GB"/>
        </w:rPr>
      </w:pPr>
      <w:r w:rsidRPr="008857A1">
        <w:rPr>
          <w:snapToGrid/>
          <w:sz w:val="20"/>
          <w:lang w:val="lt-LT" w:eastAsia="en-GB"/>
        </w:rPr>
        <w:t>* INTEREST, ISEL, INTACT 1</w:t>
      </w:r>
      <w:r w:rsidR="00B651E2" w:rsidRPr="008857A1">
        <w:rPr>
          <w:snapToGrid/>
          <w:sz w:val="20"/>
          <w:lang w:val="lt-LT" w:eastAsia="en-GB"/>
        </w:rPr>
        <w:t xml:space="preserve"> ir </w:t>
      </w:r>
      <w:r w:rsidRPr="008857A1">
        <w:rPr>
          <w:snapToGrid/>
          <w:sz w:val="20"/>
          <w:lang w:val="lt-LT" w:eastAsia="en-GB"/>
        </w:rPr>
        <w:t>2, IDEAL 1</w:t>
      </w:r>
      <w:r w:rsidR="00B651E2" w:rsidRPr="008857A1">
        <w:rPr>
          <w:snapToGrid/>
          <w:sz w:val="20"/>
          <w:lang w:val="lt-LT" w:eastAsia="en-GB"/>
        </w:rPr>
        <w:t xml:space="preserve"> ir</w:t>
      </w:r>
      <w:r w:rsidRPr="008857A1">
        <w:rPr>
          <w:snapToGrid/>
          <w:sz w:val="20"/>
          <w:lang w:val="lt-LT" w:eastAsia="en-GB"/>
        </w:rPr>
        <w:t>2, INVITE</w:t>
      </w:r>
      <w:r w:rsidR="00B651E2" w:rsidRPr="008857A1">
        <w:rPr>
          <w:snapToGrid/>
          <w:sz w:val="20"/>
          <w:lang w:val="lt-LT" w:eastAsia="en-GB"/>
        </w:rPr>
        <w:t xml:space="preserve"> tyrimų duomenimis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5.2</w:t>
      </w:r>
      <w:r w:rsidRPr="00696CB1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Absorbcija</w:t>
      </w: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Išgertas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</w:t>
      </w:r>
      <w:r w:rsidR="005C73D6" w:rsidRPr="00696CB1">
        <w:rPr>
          <w:szCs w:val="22"/>
          <w:lang w:val="lt-LT"/>
        </w:rPr>
        <w:t>absorbuojamas</w:t>
      </w:r>
      <w:r w:rsidRPr="00696CB1">
        <w:rPr>
          <w:szCs w:val="22"/>
          <w:lang w:val="lt-LT"/>
        </w:rPr>
        <w:t xml:space="preserve"> vidutiniškai lėtai, didžiausia jo koncentracija </w:t>
      </w:r>
      <w:r w:rsidR="005C73D6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>plazmoje paprastai</w:t>
      </w:r>
      <w:r w:rsidR="005C73D6" w:rsidRPr="00696CB1">
        <w:rPr>
          <w:szCs w:val="22"/>
          <w:lang w:val="lt-LT"/>
        </w:rPr>
        <w:t xml:space="preserve"> atsiranda</w:t>
      </w:r>
      <w:r w:rsidRPr="00696CB1">
        <w:rPr>
          <w:szCs w:val="22"/>
          <w:lang w:val="lt-LT"/>
        </w:rPr>
        <w:t xml:space="preserve"> po 3</w:t>
      </w:r>
      <w:r w:rsidR="005C73D6" w:rsidRPr="00696CB1">
        <w:rPr>
          <w:szCs w:val="22"/>
          <w:lang w:val="lt-LT"/>
        </w:rPr>
        <w:noBreakHyphen/>
        <w:t>7</w:t>
      </w:r>
      <w:r w:rsidR="00404FF5" w:rsidRPr="00696CB1">
        <w:rPr>
          <w:szCs w:val="22"/>
          <w:lang w:val="lt-LT"/>
        </w:rPr>
        <w:t> val.</w:t>
      </w:r>
      <w:r w:rsidRPr="00696CB1">
        <w:rPr>
          <w:szCs w:val="22"/>
          <w:lang w:val="lt-LT"/>
        </w:rPr>
        <w:t xml:space="preserve"> Vidutinis absoliutus biologinis prieinamumas vėžiu sergantiems pacientams yra</w:t>
      </w:r>
      <w:r w:rsidR="005C73D6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59</w:t>
      </w:r>
      <w:r w:rsidR="00580272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%. Maistas neturi reikšmingos įtakos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ekspozicijai. Tyrimo su sveikais savanoriais metu</w:t>
      </w:r>
      <w:r w:rsidR="005C73D6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palaikant skrandžio pH didesn</w:t>
      </w:r>
      <w:r w:rsidR="005C73D6" w:rsidRPr="00696CB1">
        <w:rPr>
          <w:szCs w:val="22"/>
          <w:lang w:val="lt-LT"/>
        </w:rPr>
        <w:t>į</w:t>
      </w:r>
      <w:r w:rsidRPr="00696CB1">
        <w:rPr>
          <w:szCs w:val="22"/>
          <w:lang w:val="lt-LT"/>
        </w:rPr>
        <w:t xml:space="preserve"> kaip 5,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ekspozicija sumažėjo 47%, </w:t>
      </w:r>
      <w:r w:rsidR="005C73D6" w:rsidRPr="00696CB1">
        <w:rPr>
          <w:szCs w:val="22"/>
          <w:lang w:val="lt-LT"/>
        </w:rPr>
        <w:t>tikėtina</w:t>
      </w:r>
      <w:r w:rsidRPr="00696CB1">
        <w:rPr>
          <w:szCs w:val="22"/>
          <w:lang w:val="lt-LT"/>
        </w:rPr>
        <w:t xml:space="preserve"> dėl</w:t>
      </w:r>
      <w:r w:rsidR="005C73D6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pablogėjusio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tirpumo skrandyje (žr. 4.4 ir 4.5</w:t>
      </w:r>
      <w:r w:rsidR="00404FF5" w:rsidRPr="00696CB1">
        <w:rPr>
          <w:szCs w:val="22"/>
          <w:lang w:val="lt-LT"/>
        </w:rPr>
        <w:t> skyri</w:t>
      </w:r>
      <w:r w:rsidRPr="00696CB1">
        <w:rPr>
          <w:szCs w:val="22"/>
          <w:lang w:val="lt-LT"/>
        </w:rPr>
        <w:t>us).</w:t>
      </w:r>
    </w:p>
    <w:p w:rsidR="005C73D6" w:rsidRPr="00696CB1" w:rsidRDefault="005C73D6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Pasiskirstymas</w:t>
      </w: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Vidutinis </w:t>
      </w:r>
      <w:proofErr w:type="spellStart"/>
      <w:r w:rsidRPr="00696CB1">
        <w:rPr>
          <w:szCs w:val="22"/>
          <w:lang w:val="lt-LT"/>
        </w:rPr>
        <w:t>pusiausvyrinis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pasiskirstymo tūris yra 1400</w:t>
      </w:r>
      <w:r w:rsidR="003F4447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litrų (tai rodo didelio vaistinio</w:t>
      </w:r>
      <w:r w:rsidR="003F444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preparato kiekio pasiskirstymą audiniuose). Maždaug 90</w:t>
      </w:r>
      <w:r w:rsidR="00580272">
        <w:rPr>
          <w:szCs w:val="22"/>
          <w:lang w:val="lt-LT"/>
        </w:rPr>
        <w:t> </w:t>
      </w:r>
      <w:r w:rsidRPr="00696CB1">
        <w:rPr>
          <w:szCs w:val="22"/>
          <w:lang w:val="lt-LT"/>
        </w:rPr>
        <w:t xml:space="preserve">%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būna prisijungusio prie </w:t>
      </w:r>
      <w:r w:rsidR="003F4447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>plazmos</w:t>
      </w:r>
      <w:r w:rsidR="003F444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baltymų.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jungiasi prie serumo </w:t>
      </w:r>
      <w:proofErr w:type="spellStart"/>
      <w:r w:rsidRPr="00696CB1">
        <w:rPr>
          <w:szCs w:val="22"/>
          <w:lang w:val="lt-LT"/>
        </w:rPr>
        <w:t>albumino</w:t>
      </w:r>
      <w:proofErr w:type="spellEnd"/>
      <w:r w:rsidRPr="00696CB1">
        <w:rPr>
          <w:szCs w:val="22"/>
          <w:lang w:val="lt-LT"/>
        </w:rPr>
        <w:t xml:space="preserve"> ir </w:t>
      </w:r>
      <w:r w:rsidR="003F4447" w:rsidRPr="00696CB1">
        <w:rPr>
          <w:szCs w:val="22"/>
          <w:lang w:val="lt-LT"/>
        </w:rPr>
        <w:t xml:space="preserve">alfa </w:t>
      </w:r>
      <w:r w:rsidRPr="00696CB1">
        <w:rPr>
          <w:szCs w:val="22"/>
          <w:lang w:val="lt-LT"/>
        </w:rPr>
        <w:t xml:space="preserve">1 rūgščiojo </w:t>
      </w:r>
      <w:proofErr w:type="spellStart"/>
      <w:r w:rsidRPr="00696CB1">
        <w:rPr>
          <w:szCs w:val="22"/>
          <w:lang w:val="lt-LT"/>
        </w:rPr>
        <w:t>glikoproteino</w:t>
      </w:r>
      <w:proofErr w:type="spellEnd"/>
      <w:r w:rsidRPr="00696CB1">
        <w:rPr>
          <w:szCs w:val="22"/>
          <w:lang w:val="lt-LT"/>
        </w:rPr>
        <w:t>.</w:t>
      </w:r>
    </w:p>
    <w:p w:rsidR="003F4447" w:rsidRPr="00696CB1" w:rsidRDefault="003F4447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Tyrimų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duomenimis,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yra membraninės pernašos baltymo </w:t>
      </w:r>
      <w:proofErr w:type="spellStart"/>
      <w:r w:rsidRPr="00696CB1">
        <w:rPr>
          <w:szCs w:val="22"/>
          <w:lang w:val="lt-LT"/>
        </w:rPr>
        <w:t>Pg</w:t>
      </w:r>
      <w:proofErr w:type="spellEnd"/>
      <w:r w:rsidRPr="00696CB1">
        <w:rPr>
          <w:szCs w:val="22"/>
          <w:lang w:val="lt-LT"/>
        </w:rPr>
        <w:t>-p substratas.</w:t>
      </w:r>
    </w:p>
    <w:p w:rsidR="003F4447" w:rsidRPr="00696CB1" w:rsidRDefault="003F4447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u w:val="single"/>
          <w:lang w:val="lt-LT"/>
        </w:rPr>
      </w:pPr>
      <w:proofErr w:type="spellStart"/>
      <w:r w:rsidRPr="00696CB1">
        <w:rPr>
          <w:szCs w:val="22"/>
          <w:u w:val="single"/>
          <w:lang w:val="lt-LT"/>
        </w:rPr>
        <w:t>Biotransformacija</w:t>
      </w:r>
      <w:proofErr w:type="spellEnd"/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Tyrimų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duomenimis, pagrindiniai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oksidacini</w:t>
      </w:r>
      <w:r w:rsidR="00547ACC" w:rsidRPr="00696CB1">
        <w:rPr>
          <w:szCs w:val="22"/>
          <w:lang w:val="lt-LT"/>
        </w:rPr>
        <w:t>ame</w:t>
      </w:r>
      <w:r w:rsidRPr="00696CB1">
        <w:rPr>
          <w:szCs w:val="22"/>
          <w:lang w:val="lt-LT"/>
        </w:rPr>
        <w:t xml:space="preserve"> metabolizm</w:t>
      </w:r>
      <w:r w:rsidR="00547ACC" w:rsidRPr="00696CB1">
        <w:rPr>
          <w:szCs w:val="22"/>
          <w:lang w:val="lt-LT"/>
        </w:rPr>
        <w:t>e dalyvaujantys</w:t>
      </w:r>
      <w:r w:rsidRPr="00696CB1">
        <w:rPr>
          <w:szCs w:val="22"/>
          <w:lang w:val="lt-LT"/>
        </w:rPr>
        <w:t xml:space="preserve"> P450 </w:t>
      </w:r>
      <w:proofErr w:type="spellStart"/>
      <w:r w:rsidRPr="00696CB1">
        <w:rPr>
          <w:szCs w:val="22"/>
          <w:lang w:val="lt-LT"/>
        </w:rPr>
        <w:t>izofermentai</w:t>
      </w:r>
      <w:proofErr w:type="spellEnd"/>
      <w:r w:rsidRPr="00696CB1">
        <w:rPr>
          <w:szCs w:val="22"/>
          <w:lang w:val="lt-LT"/>
        </w:rPr>
        <w:t xml:space="preserve"> yra</w:t>
      </w:r>
      <w:r w:rsidR="00547ACC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CYP3A4 ir CYP2D6.</w:t>
      </w:r>
    </w:p>
    <w:p w:rsidR="00547ACC" w:rsidRPr="00696CB1" w:rsidRDefault="00547ACC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Tyrimais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nustatyta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savybė šiek tiek slopinti CYP2D6. Tyrimai su gyvūnais</w:t>
      </w:r>
      <w:r w:rsidR="005837A2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sukeliamo fermentų aktyvumo padidėjimo </w:t>
      </w:r>
      <w:r w:rsidR="005837A2" w:rsidRPr="00696CB1">
        <w:rPr>
          <w:szCs w:val="22"/>
          <w:lang w:val="lt-LT"/>
        </w:rPr>
        <w:t>ar r</w:t>
      </w:r>
      <w:r w:rsidRPr="00696CB1">
        <w:rPr>
          <w:szCs w:val="22"/>
          <w:lang w:val="lt-LT"/>
        </w:rPr>
        <w:t xml:space="preserve">eikšmingo kitų </w:t>
      </w:r>
      <w:proofErr w:type="spellStart"/>
      <w:r w:rsidRPr="00696CB1">
        <w:rPr>
          <w:szCs w:val="22"/>
          <w:lang w:val="lt-LT"/>
        </w:rPr>
        <w:t>citochromo</w:t>
      </w:r>
      <w:proofErr w:type="spellEnd"/>
      <w:r w:rsidRPr="00696CB1">
        <w:rPr>
          <w:szCs w:val="22"/>
          <w:lang w:val="lt-LT"/>
        </w:rPr>
        <w:t xml:space="preserve"> P450 fermentų slopinimo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="005837A2" w:rsidRPr="00696CB1">
        <w:rPr>
          <w:szCs w:val="22"/>
          <w:lang w:val="lt-LT"/>
        </w:rPr>
        <w:t xml:space="preserve"> neparodė.</w:t>
      </w:r>
    </w:p>
    <w:p w:rsidR="005837A2" w:rsidRPr="00696CB1" w:rsidRDefault="005837A2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ekstensyviai </w:t>
      </w:r>
      <w:proofErr w:type="spellStart"/>
      <w:r w:rsidRPr="00696CB1">
        <w:rPr>
          <w:szCs w:val="22"/>
          <w:lang w:val="lt-LT"/>
        </w:rPr>
        <w:t>metabolizuojamas</w:t>
      </w:r>
      <w:proofErr w:type="spellEnd"/>
      <w:r w:rsidRPr="00696CB1">
        <w:rPr>
          <w:szCs w:val="22"/>
          <w:lang w:val="lt-LT"/>
        </w:rPr>
        <w:t xml:space="preserve"> žmogaus organizme. Išskyrose </w:t>
      </w:r>
      <w:r w:rsidR="00D24502" w:rsidRPr="00696CB1">
        <w:rPr>
          <w:szCs w:val="22"/>
          <w:lang w:val="lt-LT"/>
        </w:rPr>
        <w:t>tiksliai</w:t>
      </w:r>
      <w:r w:rsidRPr="00696CB1">
        <w:rPr>
          <w:szCs w:val="22"/>
          <w:lang w:val="lt-LT"/>
        </w:rPr>
        <w:t xml:space="preserve"> identifikuoti</w:t>
      </w:r>
      <w:r w:rsidR="00D2450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5</w:t>
      </w:r>
      <w:r w:rsidR="00D24502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metabolitai, plazmoje – 8. Pagrindinis identifikuotas metabolitas yra O-</w:t>
      </w:r>
      <w:proofErr w:type="spellStart"/>
      <w:r w:rsidRPr="00696CB1">
        <w:rPr>
          <w:szCs w:val="22"/>
          <w:lang w:val="lt-LT"/>
        </w:rPr>
        <w:t>desmetilgefitinibas</w:t>
      </w:r>
      <w:proofErr w:type="spellEnd"/>
      <w:r w:rsidRPr="00696CB1">
        <w:rPr>
          <w:szCs w:val="22"/>
          <w:lang w:val="lt-LT"/>
        </w:rPr>
        <w:t>, kuris</w:t>
      </w:r>
      <w:r w:rsidR="00D2450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14 kartų silpniau už </w:t>
      </w:r>
      <w:proofErr w:type="spellStart"/>
      <w:r w:rsidRPr="00696CB1">
        <w:rPr>
          <w:szCs w:val="22"/>
          <w:lang w:val="lt-LT"/>
        </w:rPr>
        <w:t>gefitinibą</w:t>
      </w:r>
      <w:proofErr w:type="spellEnd"/>
      <w:r w:rsidRPr="00696CB1">
        <w:rPr>
          <w:szCs w:val="22"/>
          <w:lang w:val="lt-LT"/>
        </w:rPr>
        <w:t xml:space="preserve"> slopina EAFR stimuliuojamą ląstelių augimą</w:t>
      </w:r>
      <w:r w:rsidR="00D24502" w:rsidRPr="00696CB1">
        <w:rPr>
          <w:szCs w:val="22"/>
          <w:lang w:val="lt-LT"/>
        </w:rPr>
        <w:t xml:space="preserve"> ir nesukelia</w:t>
      </w:r>
      <w:r w:rsidRPr="00696CB1">
        <w:rPr>
          <w:szCs w:val="22"/>
          <w:lang w:val="lt-LT"/>
        </w:rPr>
        <w:t xml:space="preserve"> navikinių ląstelių</w:t>
      </w:r>
      <w:r w:rsidR="00D2450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augimo </w:t>
      </w:r>
      <w:r w:rsidR="00D24502" w:rsidRPr="00696CB1">
        <w:rPr>
          <w:szCs w:val="22"/>
          <w:lang w:val="lt-LT"/>
        </w:rPr>
        <w:t>slopinimo pelėms</w:t>
      </w:r>
      <w:r w:rsidRPr="00696CB1">
        <w:rPr>
          <w:szCs w:val="22"/>
          <w:lang w:val="lt-LT"/>
        </w:rPr>
        <w:t>. Dėl to manoma, kad šio metabolito įtak</w:t>
      </w:r>
      <w:r w:rsidR="00D24502" w:rsidRPr="00696CB1">
        <w:rPr>
          <w:szCs w:val="22"/>
          <w:lang w:val="lt-LT"/>
        </w:rPr>
        <w:t xml:space="preserve">a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klinikiniam</w:t>
      </w:r>
      <w:r w:rsidR="00D2450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aktyvumui </w:t>
      </w:r>
      <w:r w:rsidR="00D24502" w:rsidRPr="00696CB1">
        <w:rPr>
          <w:szCs w:val="22"/>
          <w:lang w:val="lt-LT"/>
        </w:rPr>
        <w:t>nėra tikėtina</w:t>
      </w:r>
      <w:r w:rsidRPr="00696CB1">
        <w:rPr>
          <w:szCs w:val="22"/>
          <w:lang w:val="lt-LT"/>
        </w:rPr>
        <w:t>.</w:t>
      </w:r>
    </w:p>
    <w:p w:rsidR="00D24502" w:rsidRPr="00696CB1" w:rsidRDefault="00D24502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Nustatyta, kad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O-</w:t>
      </w:r>
      <w:proofErr w:type="spellStart"/>
      <w:r w:rsidRPr="00696CB1">
        <w:rPr>
          <w:szCs w:val="22"/>
          <w:lang w:val="lt-LT"/>
        </w:rPr>
        <w:t>desmetilgefitinibo</w:t>
      </w:r>
      <w:proofErr w:type="spellEnd"/>
      <w:r w:rsidRPr="00696CB1">
        <w:rPr>
          <w:szCs w:val="22"/>
          <w:lang w:val="lt-LT"/>
        </w:rPr>
        <w:t xml:space="preserve"> susidarymą </w:t>
      </w:r>
      <w:proofErr w:type="spellStart"/>
      <w:r w:rsidRPr="00696CB1">
        <w:rPr>
          <w:szCs w:val="22"/>
          <w:lang w:val="lt-LT"/>
        </w:rPr>
        <w:t>katalizuoja</w:t>
      </w:r>
      <w:proofErr w:type="spellEnd"/>
      <w:r w:rsidRPr="00696CB1">
        <w:rPr>
          <w:szCs w:val="22"/>
          <w:lang w:val="lt-LT"/>
        </w:rPr>
        <w:t xml:space="preserve"> CYP2D6. CYP2D6 įtaka</w:t>
      </w:r>
      <w:r w:rsidR="00BD14ED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metaboliniam</w:t>
      </w:r>
      <w:proofErr w:type="spellEnd"/>
      <w:r w:rsidRPr="00696CB1">
        <w:rPr>
          <w:szCs w:val="22"/>
          <w:lang w:val="lt-LT"/>
        </w:rPr>
        <w:t xml:space="preserve"> klirensui buvo tirta atliekant klinikinį tyrimą su sveikais savanoriais, prieš tai</w:t>
      </w:r>
      <w:r w:rsidR="00BD14E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ištyrus </w:t>
      </w:r>
      <w:r w:rsidR="00BD14ED" w:rsidRPr="00696CB1">
        <w:rPr>
          <w:szCs w:val="22"/>
          <w:lang w:val="lt-LT"/>
        </w:rPr>
        <w:t>jų CYP2D6 genotipo būklę. Lėtų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metabolizuotojų</w:t>
      </w:r>
      <w:proofErr w:type="spellEnd"/>
      <w:r w:rsidRPr="00696CB1">
        <w:rPr>
          <w:szCs w:val="22"/>
          <w:lang w:val="lt-LT"/>
        </w:rPr>
        <w:t xml:space="preserve"> organizme išmatuojama O</w:t>
      </w:r>
      <w:r w:rsidR="00BD14ED" w:rsidRPr="00696CB1">
        <w:rPr>
          <w:szCs w:val="22"/>
          <w:lang w:val="lt-LT"/>
        </w:rPr>
        <w:t>-</w:t>
      </w:r>
      <w:proofErr w:type="spellStart"/>
      <w:r w:rsidRPr="00696CB1">
        <w:rPr>
          <w:szCs w:val="22"/>
          <w:lang w:val="lt-LT"/>
        </w:rPr>
        <w:t>desmetilgefitinibo</w:t>
      </w:r>
      <w:proofErr w:type="spellEnd"/>
      <w:r w:rsidR="00BD14E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koncentracija nesu</w:t>
      </w:r>
      <w:r w:rsidR="00BD14ED" w:rsidRPr="00696CB1">
        <w:rPr>
          <w:szCs w:val="22"/>
          <w:lang w:val="lt-LT"/>
        </w:rPr>
        <w:t xml:space="preserve">sidarė. </w:t>
      </w:r>
      <w:proofErr w:type="spellStart"/>
      <w:r w:rsidR="00BD14ED" w:rsidRPr="00696CB1">
        <w:rPr>
          <w:szCs w:val="22"/>
          <w:lang w:val="lt-LT"/>
        </w:rPr>
        <w:t>Gefitinibo</w:t>
      </w:r>
      <w:proofErr w:type="spellEnd"/>
      <w:r w:rsidR="00BD14ED" w:rsidRPr="00696CB1">
        <w:rPr>
          <w:szCs w:val="22"/>
          <w:lang w:val="lt-LT"/>
        </w:rPr>
        <w:t xml:space="preserve"> ekspozicija </w:t>
      </w:r>
      <w:r w:rsidRPr="00696CB1">
        <w:rPr>
          <w:szCs w:val="22"/>
          <w:lang w:val="lt-LT"/>
        </w:rPr>
        <w:t>lėtų ir ekstensyvių</w:t>
      </w:r>
      <w:r w:rsidR="00BD14ED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metabolizuotojų</w:t>
      </w:r>
      <w:proofErr w:type="spellEnd"/>
      <w:r w:rsidRPr="00696CB1">
        <w:rPr>
          <w:szCs w:val="22"/>
          <w:lang w:val="lt-LT"/>
        </w:rPr>
        <w:t xml:space="preserve"> grupėse </w:t>
      </w:r>
      <w:r w:rsidR="00CA7F48" w:rsidRPr="00696CB1">
        <w:rPr>
          <w:szCs w:val="22"/>
          <w:lang w:val="lt-LT"/>
        </w:rPr>
        <w:t>svyravo</w:t>
      </w:r>
      <w:r w:rsidRPr="00696CB1">
        <w:rPr>
          <w:szCs w:val="22"/>
          <w:lang w:val="lt-LT"/>
        </w:rPr>
        <w:t xml:space="preserve"> plačiose ribose, kurios vi</w:t>
      </w:r>
      <w:r w:rsidR="00BD14ED" w:rsidRPr="00696CB1">
        <w:rPr>
          <w:szCs w:val="22"/>
          <w:lang w:val="lt-LT"/>
        </w:rPr>
        <w:t xml:space="preserve">ena persidengė su kita, tačiau lėtų </w:t>
      </w:r>
      <w:proofErr w:type="spellStart"/>
      <w:r w:rsidRPr="00696CB1">
        <w:rPr>
          <w:szCs w:val="22"/>
          <w:lang w:val="lt-LT"/>
        </w:rPr>
        <w:t>metabolizuotojų</w:t>
      </w:r>
      <w:proofErr w:type="spellEnd"/>
      <w:r w:rsidRPr="00696CB1">
        <w:rPr>
          <w:szCs w:val="22"/>
          <w:lang w:val="lt-LT"/>
        </w:rPr>
        <w:t xml:space="preserve"> grupės asmenims vidutinė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ekspozicija buvo 2 kartus didesnė. Didesnė</w:t>
      </w:r>
      <w:r w:rsidR="00BD14E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vidutinė ekspozicija, galinti susidaryti aktyvaus CYP2D6 neturintiems asmenims, gali būti kliniškai</w:t>
      </w:r>
      <w:r w:rsidR="00BD14E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reikšminga, kadangi šio vaistinio preparato </w:t>
      </w:r>
      <w:r w:rsidRPr="00696CB1">
        <w:rPr>
          <w:szCs w:val="22"/>
          <w:lang w:val="lt-LT"/>
        </w:rPr>
        <w:lastRenderedPageBreak/>
        <w:t>nepageidaujam</w:t>
      </w:r>
      <w:r w:rsidR="00BD14ED" w:rsidRPr="00696CB1">
        <w:rPr>
          <w:szCs w:val="22"/>
          <w:lang w:val="lt-LT"/>
        </w:rPr>
        <w:t>as</w:t>
      </w:r>
      <w:r w:rsidRPr="00696CB1">
        <w:rPr>
          <w:szCs w:val="22"/>
          <w:lang w:val="lt-LT"/>
        </w:rPr>
        <w:t xml:space="preserve"> poveiki</w:t>
      </w:r>
      <w:r w:rsidR="00BD14ED" w:rsidRPr="00696CB1">
        <w:rPr>
          <w:szCs w:val="22"/>
          <w:lang w:val="lt-LT"/>
        </w:rPr>
        <w:t>s</w:t>
      </w:r>
      <w:r w:rsidRPr="00696CB1">
        <w:rPr>
          <w:szCs w:val="22"/>
          <w:lang w:val="lt-LT"/>
        </w:rPr>
        <w:t xml:space="preserve"> yra susiję</w:t>
      </w:r>
      <w:r w:rsidR="00BD14ED" w:rsidRPr="00696CB1">
        <w:rPr>
          <w:szCs w:val="22"/>
          <w:lang w:val="lt-LT"/>
        </w:rPr>
        <w:t>s</w:t>
      </w:r>
      <w:r w:rsidRPr="00696CB1">
        <w:rPr>
          <w:szCs w:val="22"/>
          <w:lang w:val="lt-LT"/>
        </w:rPr>
        <w:t xml:space="preserve"> su jo doze ir</w:t>
      </w:r>
      <w:r w:rsidR="00BD14E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ekspozicija.</w:t>
      </w:r>
    </w:p>
    <w:p w:rsidR="00BD14ED" w:rsidRPr="00696CB1" w:rsidRDefault="00BD14ED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Eliminacija</w:t>
      </w: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Daugiausia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pašalinama su išmatomis metabolitų </w:t>
      </w:r>
      <w:r w:rsidR="00CA7F48" w:rsidRPr="00696CB1">
        <w:rPr>
          <w:szCs w:val="22"/>
          <w:lang w:val="lt-LT"/>
        </w:rPr>
        <w:t>forma</w:t>
      </w:r>
      <w:r w:rsidRPr="00696CB1">
        <w:rPr>
          <w:szCs w:val="22"/>
          <w:lang w:val="lt-LT"/>
        </w:rPr>
        <w:t>. Per inkstus pašalinamas vaistinis</w:t>
      </w:r>
      <w:r w:rsidR="005D262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preparatas ir jo metabolitų kiekis atitinka mažiau kaip 4</w:t>
      </w:r>
      <w:r w:rsidR="00580272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% pavartotos dozės.</w:t>
      </w: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</w:t>
      </w:r>
      <w:r w:rsidR="005D262D" w:rsidRPr="00696CB1">
        <w:rPr>
          <w:szCs w:val="22"/>
          <w:lang w:val="lt-LT"/>
        </w:rPr>
        <w:t>bendrasis</w:t>
      </w:r>
      <w:r w:rsidRPr="00696CB1">
        <w:rPr>
          <w:szCs w:val="22"/>
          <w:lang w:val="lt-LT"/>
        </w:rPr>
        <w:t xml:space="preserve"> plazm</w:t>
      </w:r>
      <w:r w:rsidR="005D262D" w:rsidRPr="00696CB1">
        <w:rPr>
          <w:szCs w:val="22"/>
          <w:lang w:val="lt-LT"/>
        </w:rPr>
        <w:t>os klirensas yra apie 500 </w:t>
      </w:r>
      <w:r w:rsidRPr="00696CB1">
        <w:rPr>
          <w:szCs w:val="22"/>
          <w:lang w:val="lt-LT"/>
        </w:rPr>
        <w:t xml:space="preserve">ml/min., jo vidutinis </w:t>
      </w:r>
      <w:r w:rsidR="005D262D" w:rsidRPr="00696CB1">
        <w:rPr>
          <w:szCs w:val="22"/>
          <w:lang w:val="lt-LT"/>
        </w:rPr>
        <w:t>pusinės eliminacijos</w:t>
      </w:r>
      <w:r w:rsidRPr="00696CB1">
        <w:rPr>
          <w:szCs w:val="22"/>
          <w:lang w:val="lt-LT"/>
        </w:rPr>
        <w:t xml:space="preserve"> laikas</w:t>
      </w:r>
      <w:r w:rsidR="005D262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vėžiu sergančių pacientų organizme –</w:t>
      </w:r>
      <w:r w:rsidR="005D262D" w:rsidRPr="00696CB1">
        <w:rPr>
          <w:szCs w:val="22"/>
          <w:lang w:val="lt-LT"/>
        </w:rPr>
        <w:t xml:space="preserve"> 41</w:t>
      </w:r>
      <w:r w:rsidR="00404FF5" w:rsidRPr="00696CB1">
        <w:rPr>
          <w:szCs w:val="22"/>
          <w:lang w:val="lt-LT"/>
        </w:rPr>
        <w:t> val.</w:t>
      </w:r>
      <w:r w:rsidR="005D262D" w:rsidRPr="00696CB1">
        <w:rPr>
          <w:szCs w:val="22"/>
          <w:lang w:val="lt-LT"/>
        </w:rPr>
        <w:t xml:space="preserve"> Vartojant </w:t>
      </w:r>
      <w:proofErr w:type="spellStart"/>
      <w:r w:rsidR="005D262D" w:rsidRPr="00696CB1">
        <w:rPr>
          <w:szCs w:val="22"/>
          <w:lang w:val="lt-LT"/>
        </w:rPr>
        <w:t>gefitinibą</w:t>
      </w:r>
      <w:proofErr w:type="spellEnd"/>
      <w:r w:rsidR="005D262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kartą per parą, jo </w:t>
      </w:r>
      <w:r w:rsidR="005D262D" w:rsidRPr="00696CB1">
        <w:rPr>
          <w:szCs w:val="22"/>
          <w:lang w:val="lt-LT"/>
        </w:rPr>
        <w:t>kaupimosi koeficientas būna 2</w:t>
      </w:r>
      <w:r w:rsidR="005D262D" w:rsidRPr="00696CB1">
        <w:rPr>
          <w:szCs w:val="22"/>
          <w:lang w:val="lt-LT"/>
        </w:rPr>
        <w:noBreakHyphen/>
      </w:r>
      <w:r w:rsidRPr="00696CB1">
        <w:rPr>
          <w:szCs w:val="22"/>
          <w:lang w:val="lt-LT"/>
        </w:rPr>
        <w:t xml:space="preserve">8, o </w:t>
      </w:r>
      <w:proofErr w:type="spellStart"/>
      <w:r w:rsidRPr="00696CB1">
        <w:rPr>
          <w:szCs w:val="22"/>
          <w:lang w:val="lt-LT"/>
        </w:rPr>
        <w:t>pusiausv</w:t>
      </w:r>
      <w:r w:rsidR="005D262D" w:rsidRPr="00696CB1">
        <w:rPr>
          <w:szCs w:val="22"/>
          <w:lang w:val="lt-LT"/>
        </w:rPr>
        <w:t>yrinė</w:t>
      </w:r>
      <w:proofErr w:type="spellEnd"/>
      <w:r w:rsidR="005D262D" w:rsidRPr="00696CB1">
        <w:rPr>
          <w:szCs w:val="22"/>
          <w:lang w:val="lt-LT"/>
        </w:rPr>
        <w:t xml:space="preserve"> ekspozicija susidaro po 7</w:t>
      </w:r>
      <w:r w:rsidR="00CA7F48" w:rsidRPr="00696CB1">
        <w:rPr>
          <w:szCs w:val="22"/>
          <w:lang w:val="lt-LT"/>
        </w:rPr>
        <w:noBreakHyphen/>
      </w:r>
      <w:r w:rsidR="005D262D" w:rsidRPr="00696CB1">
        <w:rPr>
          <w:szCs w:val="22"/>
          <w:lang w:val="lt-LT"/>
        </w:rPr>
        <w:t>10 </w:t>
      </w:r>
      <w:r w:rsidRPr="00696CB1">
        <w:rPr>
          <w:szCs w:val="22"/>
          <w:lang w:val="lt-LT"/>
        </w:rPr>
        <w:t xml:space="preserve">dozių. Esant </w:t>
      </w:r>
      <w:proofErr w:type="spellStart"/>
      <w:r w:rsidRPr="00696CB1">
        <w:rPr>
          <w:szCs w:val="22"/>
          <w:lang w:val="lt-LT"/>
        </w:rPr>
        <w:t>pusiausvyrinei</w:t>
      </w:r>
      <w:proofErr w:type="spellEnd"/>
      <w:r w:rsidRPr="00696CB1">
        <w:rPr>
          <w:szCs w:val="22"/>
          <w:lang w:val="lt-LT"/>
        </w:rPr>
        <w:t xml:space="preserve"> būklei,</w:t>
      </w:r>
      <w:r w:rsidR="005D262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vaistinio preparato koncentracija </w:t>
      </w:r>
      <w:r w:rsidR="005D262D" w:rsidRPr="00696CB1">
        <w:rPr>
          <w:szCs w:val="22"/>
          <w:lang w:val="lt-LT"/>
        </w:rPr>
        <w:t xml:space="preserve">kraujo </w:t>
      </w:r>
      <w:r w:rsidRPr="00696CB1">
        <w:rPr>
          <w:szCs w:val="22"/>
          <w:lang w:val="lt-LT"/>
        </w:rPr>
        <w:t>plazmoje per 24</w:t>
      </w:r>
      <w:r w:rsidR="00404FF5" w:rsidRPr="00696CB1">
        <w:rPr>
          <w:szCs w:val="22"/>
          <w:lang w:val="lt-LT"/>
        </w:rPr>
        <w:t> val.</w:t>
      </w:r>
      <w:r w:rsidRPr="00696CB1">
        <w:rPr>
          <w:szCs w:val="22"/>
          <w:lang w:val="lt-LT"/>
        </w:rPr>
        <w:t xml:space="preserve"> vartojimo intervalą paprastai svyruoja 2-3</w:t>
      </w:r>
      <w:r w:rsidR="00CA7F48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kartų</w:t>
      </w:r>
      <w:r w:rsidR="005D262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ribose.</w:t>
      </w:r>
    </w:p>
    <w:p w:rsidR="005D262D" w:rsidRPr="00696CB1" w:rsidRDefault="005D262D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spacing w:line="240" w:lineRule="auto"/>
        <w:ind w:right="-142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Ypatingos populiacijos</w:t>
      </w: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>Vėžiu sergančių paci</w:t>
      </w:r>
      <w:r w:rsidR="00F841A0" w:rsidRPr="00696CB1">
        <w:rPr>
          <w:szCs w:val="22"/>
          <w:lang w:val="lt-LT"/>
        </w:rPr>
        <w:t xml:space="preserve">entų </w:t>
      </w:r>
      <w:proofErr w:type="spellStart"/>
      <w:r w:rsidR="00F841A0" w:rsidRPr="00696CB1">
        <w:rPr>
          <w:szCs w:val="22"/>
          <w:lang w:val="lt-LT"/>
        </w:rPr>
        <w:t>populiacinės</w:t>
      </w:r>
      <w:proofErr w:type="spellEnd"/>
      <w:r w:rsidR="00F841A0" w:rsidRPr="00696CB1">
        <w:rPr>
          <w:szCs w:val="22"/>
          <w:lang w:val="lt-LT"/>
        </w:rPr>
        <w:t xml:space="preserve"> </w:t>
      </w:r>
      <w:proofErr w:type="spellStart"/>
      <w:r w:rsidR="00F841A0" w:rsidRPr="00696CB1">
        <w:rPr>
          <w:szCs w:val="22"/>
          <w:lang w:val="lt-LT"/>
        </w:rPr>
        <w:t>farmakokinetiko</w:t>
      </w:r>
      <w:r w:rsidRPr="00696CB1">
        <w:rPr>
          <w:szCs w:val="22"/>
          <w:lang w:val="lt-LT"/>
        </w:rPr>
        <w:t>s</w:t>
      </w:r>
      <w:proofErr w:type="spellEnd"/>
      <w:r w:rsidRPr="00696CB1">
        <w:rPr>
          <w:szCs w:val="22"/>
          <w:lang w:val="lt-LT"/>
        </w:rPr>
        <w:t xml:space="preserve"> analizės duomenimis, prognozuojamos</w:t>
      </w:r>
      <w:r w:rsidR="00F841A0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minimalios </w:t>
      </w:r>
      <w:proofErr w:type="spellStart"/>
      <w:r w:rsidRPr="00696CB1">
        <w:rPr>
          <w:szCs w:val="22"/>
          <w:lang w:val="lt-LT"/>
        </w:rPr>
        <w:t>pusiausvyrinės</w:t>
      </w:r>
      <w:proofErr w:type="spellEnd"/>
      <w:r w:rsidRPr="00696CB1">
        <w:rPr>
          <w:szCs w:val="22"/>
          <w:lang w:val="lt-LT"/>
        </w:rPr>
        <w:t xml:space="preserve"> koncentracijos ryšio su paciento amžiumi, kūno svoriu, lytimi, rase ar</w:t>
      </w:r>
      <w:r w:rsidR="00F841A0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kreatinino</w:t>
      </w:r>
      <w:proofErr w:type="spellEnd"/>
      <w:r w:rsidRPr="00696CB1">
        <w:rPr>
          <w:szCs w:val="22"/>
          <w:lang w:val="lt-LT"/>
        </w:rPr>
        <w:t xml:space="preserve"> kli</w:t>
      </w:r>
      <w:r w:rsidR="00F841A0" w:rsidRPr="00696CB1">
        <w:rPr>
          <w:szCs w:val="22"/>
          <w:lang w:val="lt-LT"/>
        </w:rPr>
        <w:t>rensu (kai jis didesnis kaip 20 </w:t>
      </w:r>
      <w:r w:rsidRPr="00696CB1">
        <w:rPr>
          <w:szCs w:val="22"/>
          <w:lang w:val="lt-LT"/>
        </w:rPr>
        <w:t>ml/min</w:t>
      </w:r>
      <w:r w:rsidR="00F841A0" w:rsidRPr="00696CB1">
        <w:rPr>
          <w:szCs w:val="22"/>
          <w:lang w:val="lt-LT"/>
        </w:rPr>
        <w:t>.</w:t>
      </w:r>
      <w:r w:rsidRPr="00696CB1">
        <w:rPr>
          <w:szCs w:val="22"/>
          <w:lang w:val="lt-LT"/>
        </w:rPr>
        <w:t>) nenustatyta.</w:t>
      </w:r>
    </w:p>
    <w:p w:rsidR="005D262D" w:rsidRPr="00696CB1" w:rsidRDefault="005D262D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5D262D" w:rsidRPr="00696CB1" w:rsidRDefault="005D262D" w:rsidP="00696CB1">
      <w:pPr>
        <w:widowControl w:val="0"/>
        <w:spacing w:line="240" w:lineRule="auto"/>
        <w:ind w:right="-142"/>
        <w:rPr>
          <w:i/>
          <w:szCs w:val="22"/>
          <w:lang w:val="lt-LT"/>
        </w:rPr>
      </w:pPr>
      <w:r w:rsidRPr="00696CB1">
        <w:rPr>
          <w:i/>
          <w:szCs w:val="22"/>
          <w:lang w:val="lt-LT"/>
        </w:rPr>
        <w:t>Sutrikusi kepenų funkcija</w:t>
      </w:r>
    </w:p>
    <w:p w:rsidR="00712167" w:rsidRPr="00696CB1" w:rsidRDefault="00712167" w:rsidP="00696CB1">
      <w:pPr>
        <w:widowControl w:val="0"/>
        <w:spacing w:line="240" w:lineRule="auto"/>
        <w:ind w:right="-14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I fazės atviro tyrimo metu pacientai, sergantys </w:t>
      </w:r>
      <w:r w:rsidR="006C0AF6" w:rsidRPr="00696CB1">
        <w:rPr>
          <w:szCs w:val="22"/>
          <w:lang w:val="lt-LT"/>
        </w:rPr>
        <w:t xml:space="preserve">cirozės sukeltu </w:t>
      </w:r>
      <w:r w:rsidRPr="00696CB1">
        <w:rPr>
          <w:szCs w:val="22"/>
          <w:lang w:val="lt-LT"/>
        </w:rPr>
        <w:t>lengv</w:t>
      </w:r>
      <w:r w:rsidR="005E0F93" w:rsidRPr="00696CB1">
        <w:rPr>
          <w:szCs w:val="22"/>
          <w:lang w:val="lt-LT"/>
        </w:rPr>
        <w:t>u</w:t>
      </w:r>
      <w:r w:rsidRPr="00696CB1">
        <w:rPr>
          <w:szCs w:val="22"/>
          <w:lang w:val="lt-LT"/>
        </w:rPr>
        <w:t>, vidutinio</w:t>
      </w:r>
      <w:r w:rsidR="005E0F93" w:rsidRPr="00696CB1">
        <w:rPr>
          <w:szCs w:val="22"/>
          <w:lang w:val="lt-LT"/>
        </w:rPr>
        <w:t xml:space="preserve"> sunkumo</w:t>
      </w:r>
      <w:r w:rsidRPr="00696CB1">
        <w:rPr>
          <w:szCs w:val="22"/>
          <w:lang w:val="lt-LT"/>
        </w:rPr>
        <w:t xml:space="preserve"> ar sunk</w:t>
      </w:r>
      <w:r w:rsidR="005E0F93" w:rsidRPr="00696CB1">
        <w:rPr>
          <w:szCs w:val="22"/>
          <w:lang w:val="lt-LT"/>
        </w:rPr>
        <w:t>iu</w:t>
      </w:r>
      <w:r w:rsidRPr="00696CB1">
        <w:rPr>
          <w:szCs w:val="22"/>
          <w:lang w:val="lt-LT"/>
        </w:rPr>
        <w:t xml:space="preserve"> kepenų</w:t>
      </w:r>
      <w:r w:rsidR="005E0F93" w:rsidRPr="00696CB1">
        <w:rPr>
          <w:szCs w:val="22"/>
          <w:lang w:val="lt-LT"/>
        </w:rPr>
        <w:t xml:space="preserve"> </w:t>
      </w:r>
      <w:r w:rsidR="00707A49" w:rsidRPr="00696CB1">
        <w:rPr>
          <w:szCs w:val="22"/>
          <w:lang w:val="lt-LT"/>
        </w:rPr>
        <w:t>funkcijos sutrikimu</w:t>
      </w:r>
      <w:r w:rsidRPr="00696CB1">
        <w:rPr>
          <w:szCs w:val="22"/>
          <w:lang w:val="lt-LT"/>
        </w:rPr>
        <w:t xml:space="preserve"> (pagal </w:t>
      </w:r>
      <w:proofErr w:type="spellStart"/>
      <w:r w:rsidRPr="00696CB1">
        <w:rPr>
          <w:szCs w:val="22"/>
          <w:lang w:val="lt-LT"/>
        </w:rPr>
        <w:t>Child-Pugh</w:t>
      </w:r>
      <w:proofErr w:type="spellEnd"/>
      <w:r w:rsidRPr="00696CB1">
        <w:rPr>
          <w:szCs w:val="22"/>
          <w:lang w:val="lt-LT"/>
        </w:rPr>
        <w:t xml:space="preserve"> klasifikaciją), vartojo </w:t>
      </w:r>
      <w:r w:rsidR="00707A49" w:rsidRPr="00696CB1">
        <w:rPr>
          <w:szCs w:val="22"/>
          <w:lang w:val="lt-LT"/>
        </w:rPr>
        <w:t>vienkartinę</w:t>
      </w:r>
      <w:r w:rsidRPr="00696CB1">
        <w:rPr>
          <w:szCs w:val="22"/>
          <w:lang w:val="lt-LT"/>
        </w:rPr>
        <w:t xml:space="preserve"> 250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="00707A49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dozę. Visų grupių pacientams vaistinio preparato ekspozicija buvo didesnė negu sveikiems kontrolinės</w:t>
      </w:r>
      <w:r w:rsidR="00707A49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grupės asmenims (sergantiems </w:t>
      </w:r>
      <w:r w:rsidR="00707A49" w:rsidRPr="00696CB1">
        <w:rPr>
          <w:szCs w:val="22"/>
          <w:lang w:val="lt-LT"/>
        </w:rPr>
        <w:t xml:space="preserve">vidutinio sunkumo ar sunkiu kepenų funkcijos sutrikimu </w:t>
      </w:r>
      <w:r w:rsidRPr="00696CB1">
        <w:rPr>
          <w:szCs w:val="22"/>
          <w:lang w:val="lt-LT"/>
        </w:rPr>
        <w:t>– vidutiniškai</w:t>
      </w:r>
      <w:r w:rsidR="00707A49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3,1</w:t>
      </w:r>
      <w:r w:rsidR="00707A49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karto). Nė vienas iš šių pacientų nesirgo vėžiu, tačiau visi jie sirgo ciroze ir kai kurie – hepatitu.</w:t>
      </w:r>
      <w:r w:rsidR="00283D66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Toks ekspozicijos padidėjimas gali būti kliniškai reikšmingas, kadangi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</w:t>
      </w:r>
      <w:r w:rsidR="00283D66" w:rsidRPr="00696CB1">
        <w:rPr>
          <w:szCs w:val="22"/>
          <w:lang w:val="lt-LT"/>
        </w:rPr>
        <w:t>nepageidaujamas poveikis yra susijęs su jo doze ir ekspozicija</w:t>
      </w:r>
      <w:r w:rsidRPr="00696CB1">
        <w:rPr>
          <w:szCs w:val="22"/>
          <w:lang w:val="lt-LT"/>
        </w:rPr>
        <w:t>.</w:t>
      </w:r>
    </w:p>
    <w:p w:rsidR="00283D66" w:rsidRPr="00696CB1" w:rsidRDefault="00283D66" w:rsidP="00696CB1">
      <w:pPr>
        <w:widowControl w:val="0"/>
        <w:spacing w:line="240" w:lineRule="auto"/>
        <w:ind w:right="-142"/>
        <w:rPr>
          <w:szCs w:val="22"/>
          <w:lang w:val="lt-LT"/>
        </w:rPr>
      </w:pPr>
    </w:p>
    <w:p w:rsidR="00712167" w:rsidRPr="00696CB1" w:rsidRDefault="00074828" w:rsidP="00696CB1">
      <w:pPr>
        <w:widowControl w:val="0"/>
        <w:spacing w:line="240" w:lineRule="auto"/>
        <w:ind w:right="-142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</w:t>
      </w:r>
      <w:r w:rsidR="00712167" w:rsidRPr="00696CB1">
        <w:rPr>
          <w:szCs w:val="22"/>
          <w:lang w:val="lt-LT"/>
        </w:rPr>
        <w:t>efitinibo</w:t>
      </w:r>
      <w:proofErr w:type="spellEnd"/>
      <w:r w:rsidR="00712167" w:rsidRPr="00696CB1">
        <w:rPr>
          <w:szCs w:val="22"/>
          <w:lang w:val="lt-LT"/>
        </w:rPr>
        <w:t xml:space="preserve"> klinikiniame tyrime dalyvavo 41 </w:t>
      </w:r>
      <w:proofErr w:type="spellStart"/>
      <w:r w:rsidR="00712167" w:rsidRPr="00696CB1">
        <w:rPr>
          <w:szCs w:val="22"/>
          <w:lang w:val="lt-LT"/>
        </w:rPr>
        <w:t>solidiniais</w:t>
      </w:r>
      <w:proofErr w:type="spellEnd"/>
      <w:r w:rsidR="00712167" w:rsidRPr="00696CB1">
        <w:rPr>
          <w:szCs w:val="22"/>
          <w:lang w:val="lt-LT"/>
        </w:rPr>
        <w:t xml:space="preserve"> navikais sirgęs pacientas, kurio kepenų</w:t>
      </w:r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funkcija buvo normali</w:t>
      </w:r>
      <w:r w:rsidRPr="00696CB1">
        <w:rPr>
          <w:szCs w:val="22"/>
          <w:lang w:val="lt-LT"/>
        </w:rPr>
        <w:t xml:space="preserve"> arba buvo vidutinio sunkumo ar sunkus sutrikimas</w:t>
      </w:r>
      <w:r w:rsidR="00712167" w:rsidRPr="00696CB1">
        <w:rPr>
          <w:szCs w:val="22"/>
          <w:lang w:val="lt-LT"/>
        </w:rPr>
        <w:t xml:space="preserve"> (klasifikuota pagal iki gydymo</w:t>
      </w:r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 xml:space="preserve">nustatytus Bendrųjų </w:t>
      </w:r>
      <w:proofErr w:type="spellStart"/>
      <w:r w:rsidR="00712167" w:rsidRPr="00696CB1">
        <w:rPr>
          <w:szCs w:val="22"/>
          <w:lang w:val="lt-LT"/>
        </w:rPr>
        <w:t>toksiškumo</w:t>
      </w:r>
      <w:proofErr w:type="spellEnd"/>
      <w:r w:rsidR="00712167" w:rsidRPr="00696CB1">
        <w:rPr>
          <w:szCs w:val="22"/>
          <w:lang w:val="lt-LT"/>
        </w:rPr>
        <w:t xml:space="preserve"> kriterijų laipsnius atsižvelgiant į AST</w:t>
      </w:r>
      <w:r w:rsidRPr="00696CB1">
        <w:rPr>
          <w:szCs w:val="22"/>
          <w:lang w:val="lt-LT"/>
        </w:rPr>
        <w:t xml:space="preserve"> ir</w:t>
      </w:r>
      <w:r w:rsidR="00712167" w:rsidRPr="00696CB1">
        <w:rPr>
          <w:szCs w:val="22"/>
          <w:lang w:val="lt-LT"/>
        </w:rPr>
        <w:t xml:space="preserve"> šarminės </w:t>
      </w:r>
      <w:proofErr w:type="spellStart"/>
      <w:r w:rsidR="00712167" w:rsidRPr="00696CB1">
        <w:rPr>
          <w:szCs w:val="22"/>
          <w:lang w:val="lt-LT"/>
        </w:rPr>
        <w:t>fosfatazės</w:t>
      </w:r>
      <w:proofErr w:type="spellEnd"/>
      <w:r w:rsidR="0071216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aktyvumą bei </w:t>
      </w:r>
      <w:proofErr w:type="spellStart"/>
      <w:r w:rsidR="00712167" w:rsidRPr="00696CB1">
        <w:rPr>
          <w:szCs w:val="22"/>
          <w:lang w:val="lt-LT"/>
        </w:rPr>
        <w:t>bilirubino</w:t>
      </w:r>
      <w:proofErr w:type="spellEnd"/>
      <w:r w:rsidR="00712167" w:rsidRPr="00696CB1">
        <w:rPr>
          <w:szCs w:val="22"/>
          <w:lang w:val="lt-LT"/>
        </w:rPr>
        <w:t xml:space="preserve"> koncentraciją) dėl vėžio metastazių kepenyse. Nustatyta, kad </w:t>
      </w:r>
      <w:r w:rsidRPr="00696CB1">
        <w:rPr>
          <w:szCs w:val="22"/>
          <w:lang w:val="lt-LT"/>
        </w:rPr>
        <w:t>vartojant</w:t>
      </w:r>
      <w:r w:rsidR="00712167" w:rsidRPr="00696CB1">
        <w:rPr>
          <w:szCs w:val="22"/>
          <w:lang w:val="lt-LT"/>
        </w:rPr>
        <w:t xml:space="preserve"> 250</w:t>
      </w:r>
      <w:r w:rsidR="00404FF5" w:rsidRPr="00696CB1">
        <w:rPr>
          <w:szCs w:val="22"/>
          <w:lang w:val="lt-LT"/>
        </w:rPr>
        <w:t> mg</w:t>
      </w:r>
      <w:r w:rsidR="00712167" w:rsidRPr="00696CB1">
        <w:rPr>
          <w:szCs w:val="22"/>
          <w:lang w:val="lt-LT"/>
        </w:rPr>
        <w:t xml:space="preserve"> </w:t>
      </w:r>
      <w:proofErr w:type="spellStart"/>
      <w:r w:rsidR="00712167" w:rsidRPr="00696CB1">
        <w:rPr>
          <w:szCs w:val="22"/>
          <w:lang w:val="lt-LT"/>
        </w:rPr>
        <w:t>gefitinibo</w:t>
      </w:r>
      <w:proofErr w:type="spellEnd"/>
      <w:r w:rsidR="0071216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paros dozę</w:t>
      </w:r>
      <w:r w:rsidR="00712167" w:rsidRPr="00696CB1">
        <w:rPr>
          <w:szCs w:val="22"/>
          <w:lang w:val="lt-LT"/>
        </w:rPr>
        <w:t xml:space="preserve">, </w:t>
      </w:r>
      <w:proofErr w:type="spellStart"/>
      <w:r w:rsidR="00712167" w:rsidRPr="00696CB1">
        <w:rPr>
          <w:szCs w:val="22"/>
          <w:lang w:val="lt-LT"/>
        </w:rPr>
        <w:t>pusiausvyrinės</w:t>
      </w:r>
      <w:proofErr w:type="spellEnd"/>
      <w:r w:rsidR="0071216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apykaitos</w:t>
      </w:r>
      <w:r w:rsidR="00712167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atsiradimo</w:t>
      </w:r>
      <w:r w:rsidR="00712167" w:rsidRPr="00696CB1">
        <w:rPr>
          <w:szCs w:val="22"/>
          <w:lang w:val="lt-LT"/>
        </w:rPr>
        <w:t xml:space="preserve"> laikas, </w:t>
      </w:r>
      <w:r w:rsidRPr="00696CB1">
        <w:rPr>
          <w:szCs w:val="22"/>
          <w:lang w:val="lt-LT"/>
        </w:rPr>
        <w:t>bendras plazmos</w:t>
      </w:r>
      <w:r w:rsidR="00712167" w:rsidRPr="00696CB1">
        <w:rPr>
          <w:szCs w:val="22"/>
          <w:lang w:val="lt-LT"/>
        </w:rPr>
        <w:t xml:space="preserve"> klirensas </w:t>
      </w:r>
      <w:r w:rsidRPr="00696CB1">
        <w:rPr>
          <w:szCs w:val="22"/>
          <w:lang w:val="lt-LT"/>
        </w:rPr>
        <w:t>(</w:t>
      </w:r>
      <w:proofErr w:type="spellStart"/>
      <w:r w:rsidRPr="00696CB1">
        <w:rPr>
          <w:szCs w:val="22"/>
          <w:lang w:val="lt-LT"/>
        </w:rPr>
        <w:t>C</w:t>
      </w:r>
      <w:r w:rsidRPr="00696CB1">
        <w:rPr>
          <w:szCs w:val="22"/>
          <w:vertAlign w:val="subscript"/>
          <w:lang w:val="lt-LT"/>
        </w:rPr>
        <w:t>maxSS</w:t>
      </w:r>
      <w:proofErr w:type="spellEnd"/>
      <w:r w:rsidRPr="00696CB1">
        <w:rPr>
          <w:szCs w:val="22"/>
          <w:lang w:val="lt-LT"/>
        </w:rPr>
        <w:t xml:space="preserve">) </w:t>
      </w:r>
      <w:r w:rsidR="00712167" w:rsidRPr="00696CB1">
        <w:rPr>
          <w:szCs w:val="22"/>
          <w:lang w:val="lt-LT"/>
        </w:rPr>
        <w:t xml:space="preserve">ir </w:t>
      </w:r>
      <w:proofErr w:type="spellStart"/>
      <w:r w:rsidR="00712167" w:rsidRPr="00696CB1">
        <w:rPr>
          <w:szCs w:val="22"/>
          <w:lang w:val="lt-LT"/>
        </w:rPr>
        <w:t>pusiausvyrinė</w:t>
      </w:r>
      <w:proofErr w:type="spellEnd"/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ekspozicija (</w:t>
      </w:r>
      <w:r w:rsidRPr="00696CB1">
        <w:rPr>
          <w:szCs w:val="22"/>
          <w:lang w:val="lt-LT"/>
        </w:rPr>
        <w:t>AUC</w:t>
      </w:r>
      <w:r w:rsidRPr="00696CB1">
        <w:rPr>
          <w:szCs w:val="22"/>
          <w:vertAlign w:val="subscript"/>
          <w:lang w:val="lt-LT"/>
        </w:rPr>
        <w:t>24SS</w:t>
      </w:r>
      <w:r w:rsidR="00712167" w:rsidRPr="00696CB1">
        <w:rPr>
          <w:szCs w:val="22"/>
          <w:lang w:val="lt-LT"/>
        </w:rPr>
        <w:t>) pacientų, kurių</w:t>
      </w:r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kepenų funkcija normali ir vidutiniškai sutrikusi</w:t>
      </w:r>
      <w:r w:rsidRPr="00696CB1">
        <w:rPr>
          <w:szCs w:val="22"/>
          <w:lang w:val="lt-LT"/>
        </w:rPr>
        <w:t>, grupėse</w:t>
      </w:r>
      <w:r w:rsidR="009415F6" w:rsidRPr="00696CB1">
        <w:rPr>
          <w:szCs w:val="22"/>
          <w:lang w:val="lt-LT"/>
        </w:rPr>
        <w:t xml:space="preserve"> buvo panašūs</w:t>
      </w:r>
      <w:r w:rsidR="00712167" w:rsidRPr="00696CB1">
        <w:rPr>
          <w:szCs w:val="22"/>
          <w:lang w:val="lt-LT"/>
        </w:rPr>
        <w:t xml:space="preserve">. Keturių pacientų, </w:t>
      </w:r>
      <w:r w:rsidRPr="00696CB1">
        <w:rPr>
          <w:szCs w:val="22"/>
          <w:lang w:val="lt-LT"/>
        </w:rPr>
        <w:t>kuriems buvo</w:t>
      </w:r>
      <w:r w:rsidR="00712167" w:rsidRPr="00696CB1">
        <w:rPr>
          <w:szCs w:val="22"/>
          <w:lang w:val="lt-LT"/>
        </w:rPr>
        <w:t xml:space="preserve"> vėžio metastazių kepenyse</w:t>
      </w:r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sukelt</w:t>
      </w:r>
      <w:r w:rsidRPr="00696CB1">
        <w:rPr>
          <w:szCs w:val="22"/>
          <w:lang w:val="lt-LT"/>
        </w:rPr>
        <w:t>as</w:t>
      </w:r>
      <w:r w:rsidR="00712167" w:rsidRPr="00696CB1">
        <w:rPr>
          <w:szCs w:val="22"/>
          <w:lang w:val="lt-LT"/>
        </w:rPr>
        <w:t xml:space="preserve"> sunk</w:t>
      </w:r>
      <w:r w:rsidRPr="00696CB1">
        <w:rPr>
          <w:szCs w:val="22"/>
          <w:lang w:val="lt-LT"/>
        </w:rPr>
        <w:t>us</w:t>
      </w:r>
      <w:r w:rsidR="00712167" w:rsidRPr="00696CB1">
        <w:rPr>
          <w:szCs w:val="22"/>
          <w:lang w:val="lt-LT"/>
        </w:rPr>
        <w:t xml:space="preserve"> kepenų </w:t>
      </w:r>
      <w:r w:rsidRPr="00696CB1">
        <w:rPr>
          <w:szCs w:val="22"/>
          <w:lang w:val="lt-LT"/>
        </w:rPr>
        <w:t>funkcijos sutrikimas</w:t>
      </w:r>
      <w:r w:rsidR="00712167" w:rsidRPr="00696CB1">
        <w:rPr>
          <w:szCs w:val="22"/>
          <w:lang w:val="lt-LT"/>
        </w:rPr>
        <w:t xml:space="preserve">, duomenys </w:t>
      </w:r>
      <w:r w:rsidRPr="00696CB1">
        <w:rPr>
          <w:szCs w:val="22"/>
          <w:lang w:val="lt-LT"/>
        </w:rPr>
        <w:t>rodo</w:t>
      </w:r>
      <w:r w:rsidR="00712167" w:rsidRPr="00696CB1">
        <w:rPr>
          <w:szCs w:val="22"/>
          <w:lang w:val="lt-LT"/>
        </w:rPr>
        <w:t xml:space="preserve">, kad </w:t>
      </w:r>
      <w:proofErr w:type="spellStart"/>
      <w:r w:rsidR="00712167" w:rsidRPr="00696CB1">
        <w:rPr>
          <w:szCs w:val="22"/>
          <w:lang w:val="lt-LT"/>
        </w:rPr>
        <w:t>pusiausvyrinė</w:t>
      </w:r>
      <w:proofErr w:type="spellEnd"/>
      <w:r w:rsidRPr="00696CB1">
        <w:rPr>
          <w:szCs w:val="22"/>
          <w:lang w:val="lt-LT"/>
        </w:rPr>
        <w:t xml:space="preserve"> </w:t>
      </w:r>
      <w:r w:rsidR="00DB6594" w:rsidRPr="00696CB1">
        <w:rPr>
          <w:szCs w:val="22"/>
          <w:lang w:val="lt-LT"/>
        </w:rPr>
        <w:t>ekspozicija jiems yra panaši</w:t>
      </w:r>
      <w:r w:rsidRPr="00696CB1">
        <w:rPr>
          <w:szCs w:val="22"/>
          <w:lang w:val="lt-LT"/>
        </w:rPr>
        <w:t xml:space="preserve"> rodmenis pacientų, kurių </w:t>
      </w:r>
      <w:r w:rsidR="009415F6" w:rsidRPr="00696CB1">
        <w:rPr>
          <w:szCs w:val="22"/>
          <w:lang w:val="lt-LT"/>
        </w:rPr>
        <w:t>kepenų</w:t>
      </w:r>
      <w:r w:rsidRPr="00696CB1">
        <w:rPr>
          <w:szCs w:val="22"/>
          <w:lang w:val="lt-LT"/>
        </w:rPr>
        <w:t xml:space="preserve"> funkcija normali, organizme</w:t>
      </w:r>
      <w:r w:rsidR="00712167"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5.3</w:t>
      </w:r>
      <w:r w:rsidRPr="00696CB1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Klinikinių tyrimų metu nepastebėtos nepageidaujamos reakcijos, kurios </w:t>
      </w:r>
      <w:r w:rsidR="001C1D8A" w:rsidRPr="00696CB1">
        <w:rPr>
          <w:szCs w:val="22"/>
          <w:lang w:val="lt-LT"/>
        </w:rPr>
        <w:t xml:space="preserve">gyvūnams </w:t>
      </w:r>
      <w:r w:rsidRPr="00696CB1">
        <w:rPr>
          <w:szCs w:val="22"/>
          <w:lang w:val="lt-LT"/>
        </w:rPr>
        <w:t>pasireiškė esant</w:t>
      </w:r>
      <w:r w:rsidR="00A21E60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panašiai į klinikinę ekspozicijai ir gali turėti klinikinės reikšmės, yra:</w:t>
      </w:r>
    </w:p>
    <w:p w:rsidR="008D4DDE" w:rsidRPr="00696CB1" w:rsidRDefault="008D4DDE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ragenos epitelio atrofija ir ragenos </w:t>
      </w:r>
      <w:r w:rsidR="005152A5" w:rsidRPr="00696CB1">
        <w:rPr>
          <w:szCs w:val="22"/>
          <w:lang w:val="lt-LT"/>
        </w:rPr>
        <w:t xml:space="preserve">dalinis </w:t>
      </w:r>
      <w:proofErr w:type="spellStart"/>
      <w:r w:rsidR="005152A5" w:rsidRPr="00696CB1">
        <w:rPr>
          <w:szCs w:val="22"/>
          <w:lang w:val="lt-LT"/>
        </w:rPr>
        <w:t>drumstumas</w:t>
      </w:r>
      <w:proofErr w:type="spellEnd"/>
      <w:r w:rsidRPr="00696CB1">
        <w:rPr>
          <w:szCs w:val="22"/>
          <w:lang w:val="lt-LT"/>
        </w:rPr>
        <w:t>;</w:t>
      </w:r>
    </w:p>
    <w:p w:rsidR="00712167" w:rsidRPr="00696CB1" w:rsidRDefault="00712167" w:rsidP="00696CB1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696CB1">
        <w:rPr>
          <w:szCs w:val="22"/>
          <w:lang w:val="lt-LT"/>
        </w:rPr>
        <w:t>inkstų spenelių nekrozė;</w:t>
      </w:r>
    </w:p>
    <w:p w:rsidR="00712167" w:rsidRPr="00696CB1" w:rsidRDefault="00712167" w:rsidP="00696CB1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kepenų ląstelių nekrozė ir </w:t>
      </w:r>
      <w:proofErr w:type="spellStart"/>
      <w:r w:rsidR="005152A5" w:rsidRPr="00696CB1">
        <w:rPr>
          <w:szCs w:val="22"/>
          <w:lang w:val="lt-LT"/>
        </w:rPr>
        <w:t>eozinofilinė</w:t>
      </w:r>
      <w:proofErr w:type="spellEnd"/>
      <w:r w:rsidR="005152A5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sinusoidų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infiltracija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makrofagais</w:t>
      </w:r>
      <w:proofErr w:type="spellEnd"/>
      <w:r w:rsidRPr="00696CB1">
        <w:rPr>
          <w:szCs w:val="22"/>
          <w:lang w:val="lt-LT"/>
        </w:rPr>
        <w:t>.</w:t>
      </w:r>
    </w:p>
    <w:p w:rsidR="00A21E60" w:rsidRPr="00696CB1" w:rsidRDefault="00A21E6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Ikiklinikinių</w:t>
      </w:r>
      <w:proofErr w:type="spellEnd"/>
      <w:r w:rsidRPr="00696CB1">
        <w:rPr>
          <w:szCs w:val="22"/>
          <w:lang w:val="lt-LT"/>
        </w:rPr>
        <w:t xml:space="preserve"> (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) tyrimų duomenimis,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 xml:space="preserve"> gali slopinti širdies veikimo potencialo</w:t>
      </w:r>
      <w:r w:rsidR="005152A5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repoliarizacijos</w:t>
      </w:r>
      <w:proofErr w:type="spellEnd"/>
      <w:r w:rsidRPr="00696CB1">
        <w:rPr>
          <w:szCs w:val="22"/>
          <w:lang w:val="lt-LT"/>
        </w:rPr>
        <w:t xml:space="preserve"> fazę (pvz., paveikti QT intervalą). Vis dėlto klinikinė patirtis nerodo priežastinio ryšio</w:t>
      </w:r>
      <w:r w:rsidR="005152A5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tarp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vartojimo ir QT pailgėjimo.</w:t>
      </w:r>
    </w:p>
    <w:p w:rsidR="005152A5" w:rsidRPr="00696CB1" w:rsidRDefault="005152A5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20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>/kg paros dozė</w:t>
      </w:r>
      <w:r w:rsidR="003E5C01" w:rsidRPr="00696CB1">
        <w:rPr>
          <w:szCs w:val="22"/>
          <w:lang w:val="lt-LT"/>
        </w:rPr>
        <w:t xml:space="preserve"> sumažino </w:t>
      </w:r>
      <w:r w:rsidRPr="00696CB1">
        <w:rPr>
          <w:szCs w:val="22"/>
          <w:lang w:val="lt-LT"/>
        </w:rPr>
        <w:t xml:space="preserve">žiurkių patelių </w:t>
      </w:r>
      <w:r w:rsidR="003E5C01" w:rsidRPr="00696CB1">
        <w:rPr>
          <w:szCs w:val="22"/>
          <w:lang w:val="lt-LT"/>
        </w:rPr>
        <w:t>vislumą</w:t>
      </w:r>
      <w:r w:rsidRPr="00696CB1">
        <w:rPr>
          <w:szCs w:val="22"/>
          <w:lang w:val="lt-LT"/>
        </w:rPr>
        <w:t>.</w:t>
      </w:r>
    </w:p>
    <w:p w:rsidR="003E5C01" w:rsidRPr="00696CB1" w:rsidRDefault="003E5C01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397A41" w:rsidP="00696CB1">
      <w:pPr>
        <w:widowControl w:val="0"/>
        <w:tabs>
          <w:tab w:val="clear" w:pos="567"/>
          <w:tab w:val="left" w:pos="426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Paskelbtų</w:t>
      </w:r>
      <w:r w:rsidR="00712167" w:rsidRPr="00696CB1">
        <w:rPr>
          <w:szCs w:val="22"/>
          <w:lang w:val="lt-LT"/>
        </w:rPr>
        <w:t xml:space="preserve"> tyrimų duomenimis, genetiškai modifikuotoms pelėms, neturinčioms išreikšt</w:t>
      </w:r>
      <w:r w:rsidRPr="00696CB1">
        <w:rPr>
          <w:szCs w:val="22"/>
          <w:lang w:val="lt-LT"/>
        </w:rPr>
        <w:t>ų</w:t>
      </w:r>
      <w:r w:rsidR="00712167" w:rsidRPr="00696CB1">
        <w:rPr>
          <w:szCs w:val="22"/>
          <w:lang w:val="lt-LT"/>
        </w:rPr>
        <w:t xml:space="preserve"> EAFR,</w:t>
      </w:r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pasireiškia vystymosi defektų, susijusių su įvairių organų</w:t>
      </w:r>
      <w:r w:rsidRPr="00696CB1">
        <w:rPr>
          <w:szCs w:val="22"/>
          <w:lang w:val="lt-LT"/>
        </w:rPr>
        <w:t xml:space="preserve">, įskaitant odą, </w:t>
      </w:r>
      <w:r w:rsidR="00712167" w:rsidRPr="00696CB1">
        <w:rPr>
          <w:szCs w:val="22"/>
          <w:lang w:val="lt-LT"/>
        </w:rPr>
        <w:t>virškinimo trakt</w:t>
      </w:r>
      <w:r w:rsidRPr="00696CB1">
        <w:rPr>
          <w:szCs w:val="22"/>
          <w:lang w:val="lt-LT"/>
        </w:rPr>
        <w:t>ą</w:t>
      </w:r>
      <w:r w:rsidR="00712167" w:rsidRPr="00696CB1">
        <w:rPr>
          <w:szCs w:val="22"/>
          <w:lang w:val="lt-LT"/>
        </w:rPr>
        <w:t xml:space="preserve"> ir plauči</w:t>
      </w:r>
      <w:r w:rsidRPr="00696CB1">
        <w:rPr>
          <w:szCs w:val="22"/>
          <w:lang w:val="lt-LT"/>
        </w:rPr>
        <w:t>us,</w:t>
      </w:r>
      <w:r w:rsidR="00712167" w:rsidRPr="00696CB1">
        <w:rPr>
          <w:szCs w:val="22"/>
          <w:lang w:val="lt-LT"/>
        </w:rPr>
        <w:t xml:space="preserve"> epitelio</w:t>
      </w:r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 xml:space="preserve">nesubrendimu. </w:t>
      </w:r>
      <w:proofErr w:type="spellStart"/>
      <w:r w:rsidR="00820C1F" w:rsidRPr="00696CB1">
        <w:rPr>
          <w:szCs w:val="22"/>
          <w:lang w:val="lt-LT"/>
        </w:rPr>
        <w:t>G</w:t>
      </w:r>
      <w:r w:rsidR="00712167" w:rsidRPr="00696CB1">
        <w:rPr>
          <w:szCs w:val="22"/>
          <w:lang w:val="lt-LT"/>
        </w:rPr>
        <w:t>efitinibo</w:t>
      </w:r>
      <w:proofErr w:type="spellEnd"/>
      <w:r w:rsidR="00712167" w:rsidRPr="00696CB1">
        <w:rPr>
          <w:szCs w:val="22"/>
          <w:lang w:val="lt-LT"/>
        </w:rPr>
        <w:t xml:space="preserve"> </w:t>
      </w:r>
      <w:r w:rsidR="00820C1F" w:rsidRPr="00696CB1">
        <w:rPr>
          <w:szCs w:val="22"/>
          <w:lang w:val="lt-LT"/>
        </w:rPr>
        <w:t xml:space="preserve">vartojant </w:t>
      </w:r>
      <w:proofErr w:type="spellStart"/>
      <w:r w:rsidR="00712167" w:rsidRPr="00696CB1">
        <w:rPr>
          <w:szCs w:val="22"/>
          <w:lang w:val="lt-LT"/>
        </w:rPr>
        <w:t>organogenezės</w:t>
      </w:r>
      <w:proofErr w:type="spellEnd"/>
      <w:r w:rsidR="00712167" w:rsidRPr="00696CB1">
        <w:rPr>
          <w:szCs w:val="22"/>
          <w:lang w:val="lt-LT"/>
        </w:rPr>
        <w:t xml:space="preserve"> laikotarpiu, didžiausios (30</w:t>
      </w:r>
      <w:r w:rsidR="00404FF5" w:rsidRPr="00696CB1">
        <w:rPr>
          <w:szCs w:val="22"/>
          <w:lang w:val="lt-LT"/>
        </w:rPr>
        <w:t> mg</w:t>
      </w:r>
      <w:r w:rsidR="00712167" w:rsidRPr="00696CB1">
        <w:rPr>
          <w:szCs w:val="22"/>
          <w:lang w:val="lt-LT"/>
        </w:rPr>
        <w:t>/kg per parą) dozės</w:t>
      </w:r>
      <w:r w:rsidR="00820C1F"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poveikio žiurkių embriono ar vaisiaus vystymuisi nenustatyta. Vis dėlto 20</w:t>
      </w:r>
      <w:r w:rsidR="00404FF5" w:rsidRPr="00696CB1">
        <w:rPr>
          <w:szCs w:val="22"/>
          <w:lang w:val="lt-LT"/>
        </w:rPr>
        <w:t> mg</w:t>
      </w:r>
      <w:r w:rsidR="00712167" w:rsidRPr="00696CB1">
        <w:rPr>
          <w:szCs w:val="22"/>
          <w:lang w:val="lt-LT"/>
        </w:rPr>
        <w:t>/kg ir didesnės</w:t>
      </w:r>
      <w:r w:rsidR="00820C1F" w:rsidRPr="00696CB1">
        <w:rPr>
          <w:szCs w:val="22"/>
          <w:lang w:val="lt-LT"/>
        </w:rPr>
        <w:t xml:space="preserve"> paros dozės sumažino triušių jauniklių svorį</w:t>
      </w:r>
      <w:r w:rsidR="00712167" w:rsidRPr="00696CB1">
        <w:rPr>
          <w:szCs w:val="22"/>
          <w:lang w:val="lt-LT"/>
        </w:rPr>
        <w:t xml:space="preserve">. </w:t>
      </w:r>
      <w:proofErr w:type="spellStart"/>
      <w:r w:rsidR="00712167" w:rsidRPr="00696CB1">
        <w:rPr>
          <w:szCs w:val="22"/>
          <w:lang w:val="lt-LT"/>
        </w:rPr>
        <w:t>Gefitinibo</w:t>
      </w:r>
      <w:proofErr w:type="spellEnd"/>
      <w:r w:rsidR="00712167" w:rsidRPr="00696CB1">
        <w:rPr>
          <w:szCs w:val="22"/>
          <w:lang w:val="lt-LT"/>
        </w:rPr>
        <w:t xml:space="preserve"> sukeltų sklaidos defektų šių abiejų rūšių</w:t>
      </w:r>
      <w:r w:rsidR="00820C1F"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 xml:space="preserve">gyvūnams nenustatyta. </w:t>
      </w:r>
      <w:r w:rsidR="00820C1F" w:rsidRPr="00696CB1">
        <w:rPr>
          <w:szCs w:val="22"/>
          <w:lang w:val="lt-LT"/>
        </w:rPr>
        <w:t>Ž</w:t>
      </w:r>
      <w:r w:rsidR="00712167" w:rsidRPr="00696CB1">
        <w:rPr>
          <w:szCs w:val="22"/>
          <w:lang w:val="lt-LT"/>
        </w:rPr>
        <w:t>iurkėms</w:t>
      </w:r>
      <w:r w:rsidR="00820C1F"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vaikingumo laikotarpiu ir atsivedimo metu</w:t>
      </w:r>
      <w:r w:rsidR="00820C1F" w:rsidRPr="00696CB1">
        <w:rPr>
          <w:szCs w:val="22"/>
          <w:lang w:val="lt-LT"/>
        </w:rPr>
        <w:t xml:space="preserve"> vartojant </w:t>
      </w:r>
      <w:proofErr w:type="spellStart"/>
      <w:r w:rsidR="00820C1F" w:rsidRPr="00696CB1">
        <w:rPr>
          <w:szCs w:val="22"/>
          <w:lang w:val="lt-LT"/>
        </w:rPr>
        <w:t>gefitinibo</w:t>
      </w:r>
      <w:proofErr w:type="spellEnd"/>
      <w:r w:rsidR="00820C1F" w:rsidRPr="00696CB1">
        <w:rPr>
          <w:szCs w:val="22"/>
          <w:lang w:val="lt-LT"/>
        </w:rPr>
        <w:t xml:space="preserve"> </w:t>
      </w:r>
      <w:r w:rsidR="00820C1F" w:rsidRPr="00696CB1">
        <w:rPr>
          <w:szCs w:val="22"/>
          <w:lang w:val="lt-LT"/>
        </w:rPr>
        <w:lastRenderedPageBreak/>
        <w:t>2</w:t>
      </w:r>
      <w:r w:rsidR="00712167" w:rsidRPr="00696CB1">
        <w:rPr>
          <w:szCs w:val="22"/>
          <w:lang w:val="lt-LT"/>
        </w:rPr>
        <w:t>0</w:t>
      </w:r>
      <w:r w:rsidR="00404FF5" w:rsidRPr="00696CB1">
        <w:rPr>
          <w:szCs w:val="22"/>
          <w:lang w:val="lt-LT"/>
        </w:rPr>
        <w:t> mg</w:t>
      </w:r>
      <w:r w:rsidR="00712167" w:rsidRPr="00696CB1">
        <w:rPr>
          <w:szCs w:val="22"/>
          <w:lang w:val="lt-LT"/>
        </w:rPr>
        <w:t>/kg paros doz</w:t>
      </w:r>
      <w:r w:rsidR="00820C1F" w:rsidRPr="00696CB1">
        <w:rPr>
          <w:szCs w:val="22"/>
          <w:lang w:val="lt-LT"/>
        </w:rPr>
        <w:t xml:space="preserve">ę, sumažėjo jauniklių </w:t>
      </w:r>
      <w:proofErr w:type="spellStart"/>
      <w:r w:rsidR="00820C1F" w:rsidRPr="00696CB1">
        <w:rPr>
          <w:szCs w:val="22"/>
          <w:lang w:val="lt-LT"/>
        </w:rPr>
        <w:t>išgyvenamumas</w:t>
      </w:r>
      <w:proofErr w:type="spellEnd"/>
      <w:r w:rsidR="00820C1F" w:rsidRPr="00696CB1">
        <w:rPr>
          <w:szCs w:val="22"/>
          <w:lang w:val="lt-LT"/>
        </w:rPr>
        <w:t>.</w:t>
      </w:r>
    </w:p>
    <w:p w:rsidR="00820C1F" w:rsidRPr="00696CB1" w:rsidRDefault="00820C1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F04B4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Žiurkėms laktacijos laikotarpiu </w:t>
      </w:r>
      <w:r w:rsidR="001C1D8A" w:rsidRPr="00696CB1">
        <w:rPr>
          <w:szCs w:val="22"/>
          <w:lang w:val="lt-LT"/>
        </w:rPr>
        <w:t>girdant</w:t>
      </w:r>
      <w:r w:rsidR="00712167" w:rsidRPr="00696CB1">
        <w:rPr>
          <w:szCs w:val="22"/>
          <w:lang w:val="lt-LT"/>
        </w:rPr>
        <w:t xml:space="preserve"> </w:t>
      </w:r>
      <w:r w:rsidR="005405BF" w:rsidRPr="00696CB1">
        <w:rPr>
          <w:szCs w:val="22"/>
          <w:lang w:val="lt-LT"/>
        </w:rPr>
        <w:t>C</w:t>
      </w:r>
      <w:r w:rsidR="005405BF" w:rsidRPr="00696CB1">
        <w:rPr>
          <w:szCs w:val="22"/>
          <w:vertAlign w:val="superscript"/>
          <w:lang w:val="lt-LT"/>
        </w:rPr>
        <w:t>14</w:t>
      </w:r>
      <w:r w:rsidR="00712167" w:rsidRPr="00696CB1">
        <w:rPr>
          <w:szCs w:val="22"/>
          <w:lang w:val="lt-LT"/>
        </w:rPr>
        <w:t xml:space="preserve"> žymėt</w:t>
      </w:r>
      <w:r w:rsidR="001C1D8A" w:rsidRPr="00696CB1">
        <w:rPr>
          <w:szCs w:val="22"/>
          <w:lang w:val="lt-LT"/>
        </w:rPr>
        <w:t>ą</w:t>
      </w:r>
      <w:r w:rsidR="00712167" w:rsidRPr="00696CB1">
        <w:rPr>
          <w:szCs w:val="22"/>
          <w:lang w:val="lt-LT"/>
        </w:rPr>
        <w:t xml:space="preserve"> </w:t>
      </w:r>
      <w:proofErr w:type="spellStart"/>
      <w:r w:rsidR="00712167" w:rsidRPr="00696CB1">
        <w:rPr>
          <w:szCs w:val="22"/>
          <w:lang w:val="lt-LT"/>
        </w:rPr>
        <w:t>gefitinib</w:t>
      </w:r>
      <w:r w:rsidRPr="00696CB1">
        <w:rPr>
          <w:szCs w:val="22"/>
          <w:lang w:val="lt-LT"/>
        </w:rPr>
        <w:t>ą</w:t>
      </w:r>
      <w:proofErr w:type="spellEnd"/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14 dienų po palikuonių</w:t>
      </w:r>
      <w:r w:rsidRPr="00696CB1">
        <w:rPr>
          <w:szCs w:val="22"/>
          <w:lang w:val="lt-LT"/>
        </w:rPr>
        <w:t xml:space="preserve"> </w:t>
      </w:r>
      <w:r w:rsidR="00712167" w:rsidRPr="00696CB1">
        <w:rPr>
          <w:szCs w:val="22"/>
          <w:lang w:val="lt-LT"/>
        </w:rPr>
        <w:t>atsivedimo, radioaktyvumo koncentracija jų piene buvo 11</w:t>
      </w:r>
      <w:r w:rsidRPr="00696CB1">
        <w:rPr>
          <w:szCs w:val="22"/>
          <w:lang w:val="lt-LT"/>
        </w:rPr>
        <w:noBreakHyphen/>
      </w:r>
      <w:r w:rsidR="001C1D8A" w:rsidRPr="00696CB1">
        <w:rPr>
          <w:szCs w:val="22"/>
          <w:lang w:val="lt-LT"/>
        </w:rPr>
        <w:t>19 </w:t>
      </w:r>
      <w:r w:rsidR="00712167" w:rsidRPr="00696CB1">
        <w:rPr>
          <w:szCs w:val="22"/>
          <w:lang w:val="lt-LT"/>
        </w:rPr>
        <w:t>kartų didesnė negu kraujyje.</w:t>
      </w:r>
    </w:p>
    <w:p w:rsidR="002541FD" w:rsidRPr="00696CB1" w:rsidRDefault="002541FD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 xml:space="preserve"> galimo </w:t>
      </w:r>
      <w:proofErr w:type="spellStart"/>
      <w:r w:rsidRPr="00696CB1">
        <w:rPr>
          <w:szCs w:val="22"/>
          <w:lang w:val="lt-LT"/>
        </w:rPr>
        <w:t>genotoksinio</w:t>
      </w:r>
      <w:proofErr w:type="spellEnd"/>
      <w:r w:rsidRPr="00696CB1">
        <w:rPr>
          <w:szCs w:val="22"/>
          <w:lang w:val="lt-LT"/>
        </w:rPr>
        <w:t xml:space="preserve"> poveikio nenustatyta.</w:t>
      </w:r>
    </w:p>
    <w:p w:rsidR="00E103FB" w:rsidRPr="00696CB1" w:rsidRDefault="00E103FB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2</w:t>
      </w:r>
      <w:r w:rsidR="001C1D8A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metų trukmės kancerogeninio poveikio tyrimas parodė nedidelį, bet statisti</w:t>
      </w:r>
      <w:r w:rsidR="001C1D8A" w:rsidRPr="00696CB1">
        <w:rPr>
          <w:szCs w:val="22"/>
          <w:lang w:val="lt-LT"/>
        </w:rPr>
        <w:t>š</w:t>
      </w:r>
      <w:r w:rsidRPr="00696CB1">
        <w:rPr>
          <w:szCs w:val="22"/>
          <w:lang w:val="lt-LT"/>
        </w:rPr>
        <w:t>kai reikšmingą kepenų</w:t>
      </w:r>
      <w:r w:rsidR="00441AF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ląstelių adenomų padažnėjimą žiurkių patinams ir p</w:t>
      </w:r>
      <w:r w:rsidR="00441AFD" w:rsidRPr="00696CB1">
        <w:rPr>
          <w:szCs w:val="22"/>
          <w:lang w:val="lt-LT"/>
        </w:rPr>
        <w:t xml:space="preserve">atelėms. Be to, </w:t>
      </w:r>
      <w:r w:rsidR="001C1D8A" w:rsidRPr="00696CB1">
        <w:rPr>
          <w:szCs w:val="22"/>
          <w:lang w:val="lt-LT"/>
        </w:rPr>
        <w:t xml:space="preserve">tik </w:t>
      </w:r>
      <w:r w:rsidR="00441AFD" w:rsidRPr="00696CB1">
        <w:rPr>
          <w:szCs w:val="22"/>
          <w:lang w:val="lt-LT"/>
        </w:rPr>
        <w:t>didžiausios (10</w:t>
      </w:r>
      <w:r w:rsidR="00404FF5" w:rsidRPr="00696CB1">
        <w:rPr>
          <w:szCs w:val="22"/>
          <w:lang w:val="lt-LT"/>
        </w:rPr>
        <w:t> mg</w:t>
      </w:r>
      <w:r w:rsidRPr="00696CB1">
        <w:rPr>
          <w:szCs w:val="22"/>
          <w:lang w:val="lt-LT"/>
        </w:rPr>
        <w:t>/kg per parą)</w:t>
      </w:r>
      <w:r w:rsidR="00441AF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dozės grupės žiurkių patelėms dažniau nustatyta </w:t>
      </w:r>
      <w:proofErr w:type="spellStart"/>
      <w:r w:rsidRPr="00696CB1">
        <w:rPr>
          <w:szCs w:val="22"/>
          <w:lang w:val="lt-LT"/>
        </w:rPr>
        <w:t>mezenterinių</w:t>
      </w:r>
      <w:proofErr w:type="spellEnd"/>
      <w:r w:rsidRPr="00696CB1">
        <w:rPr>
          <w:szCs w:val="22"/>
          <w:lang w:val="lt-LT"/>
        </w:rPr>
        <w:t xml:space="preserve"> limfmazgių </w:t>
      </w:r>
      <w:proofErr w:type="spellStart"/>
      <w:r w:rsidRPr="00696CB1">
        <w:rPr>
          <w:szCs w:val="22"/>
          <w:lang w:val="lt-LT"/>
        </w:rPr>
        <w:t>hemangiosarkomų</w:t>
      </w:r>
      <w:proofErr w:type="spellEnd"/>
      <w:r w:rsidRPr="00696CB1">
        <w:rPr>
          <w:szCs w:val="22"/>
          <w:lang w:val="lt-LT"/>
        </w:rPr>
        <w:t>. Kepenų</w:t>
      </w:r>
      <w:r w:rsidR="00441AF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ląstelių adenomų taip pat </w:t>
      </w:r>
      <w:r w:rsidR="005D6BD4" w:rsidRPr="00696CB1">
        <w:rPr>
          <w:szCs w:val="22"/>
          <w:lang w:val="lt-LT"/>
        </w:rPr>
        <w:t>nustatyta atlikus</w:t>
      </w:r>
      <w:r w:rsidRPr="00696CB1">
        <w:rPr>
          <w:szCs w:val="22"/>
          <w:lang w:val="lt-LT"/>
        </w:rPr>
        <w:t xml:space="preserve"> </w:t>
      </w:r>
      <w:r w:rsidR="001C1D8A" w:rsidRPr="00696CB1">
        <w:rPr>
          <w:szCs w:val="22"/>
          <w:lang w:val="lt-LT"/>
        </w:rPr>
        <w:t>2 </w:t>
      </w:r>
      <w:r w:rsidRPr="00696CB1">
        <w:rPr>
          <w:szCs w:val="22"/>
          <w:lang w:val="lt-LT"/>
        </w:rPr>
        <w:t>metų trukmės kancerogeninio poveikio pelėms tyrimą, kurio</w:t>
      </w:r>
      <w:r w:rsidR="00441AF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metu šis navikas nežymiai </w:t>
      </w:r>
      <w:r w:rsidR="00441AFD" w:rsidRPr="00696CB1">
        <w:rPr>
          <w:szCs w:val="22"/>
          <w:lang w:val="lt-LT"/>
        </w:rPr>
        <w:t>dažniau atsirado</w:t>
      </w:r>
      <w:r w:rsidRPr="00696CB1">
        <w:rPr>
          <w:szCs w:val="22"/>
          <w:lang w:val="lt-LT"/>
        </w:rPr>
        <w:t xml:space="preserve"> vidutinės dozės grupės pelių patinams bei didelės dozės grupės</w:t>
      </w:r>
      <w:r w:rsidR="00441AF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patelėms ir patinams. Šis poveikis buvo statisti</w:t>
      </w:r>
      <w:r w:rsidR="00441AFD" w:rsidRPr="00696CB1">
        <w:rPr>
          <w:szCs w:val="22"/>
          <w:lang w:val="lt-LT"/>
        </w:rPr>
        <w:t>š</w:t>
      </w:r>
      <w:r w:rsidRPr="00696CB1">
        <w:rPr>
          <w:szCs w:val="22"/>
          <w:lang w:val="lt-LT"/>
        </w:rPr>
        <w:t xml:space="preserve">kai reikšmingas tik pelių patelėms (patinams ne). </w:t>
      </w:r>
      <w:r w:rsidR="00256C1D" w:rsidRPr="00696CB1">
        <w:rPr>
          <w:szCs w:val="22"/>
          <w:lang w:val="lt-LT"/>
        </w:rPr>
        <w:t>P</w:t>
      </w:r>
      <w:r w:rsidRPr="00696CB1">
        <w:rPr>
          <w:szCs w:val="22"/>
          <w:lang w:val="lt-LT"/>
        </w:rPr>
        <w:t>oveikio nesukeliančio</w:t>
      </w:r>
      <w:r w:rsidR="00256C1D" w:rsidRPr="00696CB1">
        <w:rPr>
          <w:szCs w:val="22"/>
          <w:lang w:val="lt-LT"/>
        </w:rPr>
        <w:t xml:space="preserve"> klinikinės ekspozicijos lygio rib</w:t>
      </w:r>
      <w:r w:rsidR="001C1D8A" w:rsidRPr="00696CB1">
        <w:rPr>
          <w:szCs w:val="22"/>
          <w:lang w:val="lt-LT"/>
        </w:rPr>
        <w:t>ų</w:t>
      </w:r>
      <w:r w:rsidRPr="00696CB1">
        <w:rPr>
          <w:szCs w:val="22"/>
          <w:lang w:val="lt-LT"/>
        </w:rPr>
        <w:t xml:space="preserve"> pelėms ir žiurkėms nebuvo.</w:t>
      </w:r>
      <w:r w:rsidR="00441AFD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Šių duomenų klinikinė reikšmė nežinoma.</w:t>
      </w:r>
    </w:p>
    <w:p w:rsidR="00441AFD" w:rsidRPr="00696CB1" w:rsidRDefault="00441AFD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712167" w:rsidRPr="00696CB1" w:rsidRDefault="0071216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Fototoksinio</w:t>
      </w:r>
      <w:proofErr w:type="spellEnd"/>
      <w:r w:rsidRPr="00696CB1">
        <w:rPr>
          <w:szCs w:val="22"/>
          <w:lang w:val="lt-LT"/>
        </w:rPr>
        <w:t xml:space="preserve"> poveikio tyrimo </w:t>
      </w:r>
      <w:proofErr w:type="spellStart"/>
      <w:r w:rsidRPr="00696CB1">
        <w:rPr>
          <w:i/>
          <w:szCs w:val="22"/>
          <w:lang w:val="lt-LT"/>
        </w:rPr>
        <w:t>in</w:t>
      </w:r>
      <w:proofErr w:type="spellEnd"/>
      <w:r w:rsidRPr="00696CB1">
        <w:rPr>
          <w:i/>
          <w:szCs w:val="22"/>
          <w:lang w:val="lt-LT"/>
        </w:rPr>
        <w:t xml:space="preserve"> </w:t>
      </w:r>
      <w:proofErr w:type="spellStart"/>
      <w:r w:rsidRPr="00696CB1">
        <w:rPr>
          <w:i/>
          <w:szCs w:val="22"/>
          <w:lang w:val="lt-LT"/>
        </w:rPr>
        <w:t>vitro</w:t>
      </w:r>
      <w:proofErr w:type="spellEnd"/>
      <w:r w:rsidRPr="00696CB1">
        <w:rPr>
          <w:szCs w:val="22"/>
          <w:lang w:val="lt-LT"/>
        </w:rPr>
        <w:t xml:space="preserve"> duomenimis, </w:t>
      </w:r>
      <w:proofErr w:type="spellStart"/>
      <w:r w:rsidRPr="00696CB1">
        <w:rPr>
          <w:szCs w:val="22"/>
          <w:lang w:val="lt-LT"/>
        </w:rPr>
        <w:t>gefitinib</w:t>
      </w:r>
      <w:r w:rsidR="001C1D8A" w:rsidRPr="00696CB1">
        <w:rPr>
          <w:szCs w:val="22"/>
          <w:lang w:val="lt-LT"/>
        </w:rPr>
        <w:t>as</w:t>
      </w:r>
      <w:proofErr w:type="spellEnd"/>
      <w:r w:rsidR="00441AFD" w:rsidRPr="00696CB1">
        <w:rPr>
          <w:szCs w:val="22"/>
          <w:lang w:val="lt-LT"/>
        </w:rPr>
        <w:t xml:space="preserve"> gali sukelti</w:t>
      </w:r>
      <w:r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fototoksin</w:t>
      </w:r>
      <w:r w:rsidR="00441AFD" w:rsidRPr="00696CB1">
        <w:rPr>
          <w:szCs w:val="22"/>
          <w:lang w:val="lt-LT"/>
        </w:rPr>
        <w:t>į</w:t>
      </w:r>
      <w:proofErr w:type="spellEnd"/>
      <w:r w:rsidRPr="00696CB1">
        <w:rPr>
          <w:szCs w:val="22"/>
          <w:lang w:val="lt-LT"/>
        </w:rPr>
        <w:t xml:space="preserve"> poveik</w:t>
      </w:r>
      <w:r w:rsidR="00441AFD" w:rsidRPr="00696CB1">
        <w:rPr>
          <w:szCs w:val="22"/>
          <w:lang w:val="lt-LT"/>
        </w:rPr>
        <w:t>į</w:t>
      </w:r>
      <w:r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6.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6.1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1A3612" w:rsidRPr="00696CB1" w:rsidRDefault="001A3612" w:rsidP="00696CB1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Tabletės šerdis</w:t>
      </w:r>
    </w:p>
    <w:p w:rsidR="00F53684" w:rsidRPr="00696CB1" w:rsidRDefault="00F5368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Natrio </w:t>
      </w:r>
      <w:proofErr w:type="spellStart"/>
      <w:r w:rsidRPr="00696CB1">
        <w:rPr>
          <w:szCs w:val="22"/>
          <w:lang w:val="lt-LT"/>
        </w:rPr>
        <w:t>laurilsulfatas</w:t>
      </w:r>
      <w:proofErr w:type="spellEnd"/>
    </w:p>
    <w:p w:rsidR="001A3612" w:rsidRPr="00696CB1" w:rsidRDefault="00F5368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Laktozė</w:t>
      </w:r>
      <w:r w:rsidR="001A3612" w:rsidRPr="00696CB1">
        <w:rPr>
          <w:szCs w:val="22"/>
          <w:lang w:val="lt-LT"/>
        </w:rPr>
        <w:t xml:space="preserve"> </w:t>
      </w:r>
      <w:proofErr w:type="spellStart"/>
      <w:r w:rsidR="001A3612" w:rsidRPr="00696CB1">
        <w:rPr>
          <w:szCs w:val="22"/>
          <w:lang w:val="lt-LT"/>
        </w:rPr>
        <w:t>monohidratas</w:t>
      </w:r>
      <w:proofErr w:type="spellEnd"/>
    </w:p>
    <w:p w:rsidR="001A3612" w:rsidRPr="00696CB1" w:rsidRDefault="00F5368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Mikrokristalinė</w:t>
      </w:r>
      <w:proofErr w:type="spellEnd"/>
      <w:r w:rsidRPr="00696CB1">
        <w:rPr>
          <w:szCs w:val="22"/>
          <w:lang w:val="lt-LT"/>
        </w:rPr>
        <w:t xml:space="preserve"> celiuliozė</w:t>
      </w:r>
    </w:p>
    <w:p w:rsidR="00F53684" w:rsidRPr="00696CB1" w:rsidRDefault="00F5368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Povidonas</w:t>
      </w:r>
      <w:proofErr w:type="spellEnd"/>
    </w:p>
    <w:p w:rsidR="001A3612" w:rsidRPr="00696CB1" w:rsidRDefault="00F5368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Kroskarmeliozės</w:t>
      </w:r>
      <w:proofErr w:type="spellEnd"/>
      <w:r w:rsidRPr="00696CB1">
        <w:rPr>
          <w:szCs w:val="22"/>
          <w:lang w:val="lt-LT"/>
        </w:rPr>
        <w:t xml:space="preserve"> natrio druska</w:t>
      </w:r>
    </w:p>
    <w:p w:rsidR="001A3612" w:rsidRPr="00696CB1" w:rsidRDefault="001A3612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Magnio </w:t>
      </w:r>
      <w:proofErr w:type="spellStart"/>
      <w:r w:rsidRPr="00696CB1">
        <w:rPr>
          <w:szCs w:val="22"/>
          <w:lang w:val="lt-LT"/>
        </w:rPr>
        <w:t>stearatas</w:t>
      </w:r>
      <w:proofErr w:type="spellEnd"/>
    </w:p>
    <w:p w:rsidR="00F53684" w:rsidRPr="00696CB1" w:rsidRDefault="00F5368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1A3612" w:rsidRPr="00696CB1" w:rsidRDefault="00F53684" w:rsidP="00696CB1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696CB1">
        <w:rPr>
          <w:szCs w:val="22"/>
          <w:u w:val="single"/>
          <w:lang w:val="lt-LT"/>
        </w:rPr>
        <w:t>Tabletės plėvelė</w:t>
      </w:r>
    </w:p>
    <w:p w:rsidR="006E65FF" w:rsidRPr="00696CB1" w:rsidRDefault="006E65F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Polivinilo</w:t>
      </w:r>
      <w:proofErr w:type="spellEnd"/>
      <w:r w:rsidRPr="00696CB1">
        <w:rPr>
          <w:szCs w:val="22"/>
          <w:lang w:val="lt-LT"/>
        </w:rPr>
        <w:t xml:space="preserve"> alkoholis</w:t>
      </w:r>
    </w:p>
    <w:p w:rsidR="006E65FF" w:rsidRPr="00696CB1" w:rsidRDefault="006E65F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Makrogolis</w:t>
      </w:r>
      <w:proofErr w:type="spellEnd"/>
    </w:p>
    <w:p w:rsidR="006E65FF" w:rsidRPr="00696CB1" w:rsidRDefault="006E65F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Talkas</w:t>
      </w:r>
    </w:p>
    <w:p w:rsidR="006E65FF" w:rsidRPr="00696CB1" w:rsidRDefault="006E65F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Raudonas</w:t>
      </w:r>
      <w:r w:rsidR="001C318A" w:rsidRPr="00696CB1">
        <w:rPr>
          <w:szCs w:val="22"/>
          <w:lang w:val="lt-LT"/>
        </w:rPr>
        <w:t>is</w:t>
      </w:r>
      <w:r w:rsidRPr="00696CB1">
        <w:rPr>
          <w:szCs w:val="22"/>
          <w:lang w:val="lt-LT"/>
        </w:rPr>
        <w:t xml:space="preserve"> geležies oksidas (E172)</w:t>
      </w:r>
    </w:p>
    <w:p w:rsidR="001A3612" w:rsidRPr="00696CB1" w:rsidRDefault="001A3612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Geltonas</w:t>
      </w:r>
      <w:r w:rsidR="001C318A" w:rsidRPr="00696CB1">
        <w:rPr>
          <w:szCs w:val="22"/>
          <w:lang w:val="lt-LT"/>
        </w:rPr>
        <w:t>is</w:t>
      </w:r>
      <w:r w:rsidRPr="00696CB1">
        <w:rPr>
          <w:szCs w:val="22"/>
          <w:lang w:val="lt-LT"/>
        </w:rPr>
        <w:t xml:space="preserve"> geležies oksidas </w:t>
      </w:r>
      <w:r w:rsidR="006E65FF" w:rsidRPr="00696CB1">
        <w:rPr>
          <w:szCs w:val="22"/>
          <w:lang w:val="lt-LT"/>
        </w:rPr>
        <w:t>(</w:t>
      </w:r>
      <w:r w:rsidRPr="00696CB1">
        <w:rPr>
          <w:szCs w:val="22"/>
          <w:lang w:val="lt-LT"/>
        </w:rPr>
        <w:t>E172</w:t>
      </w:r>
      <w:r w:rsidR="006E65FF" w:rsidRPr="00696CB1">
        <w:rPr>
          <w:szCs w:val="22"/>
          <w:lang w:val="lt-LT"/>
        </w:rPr>
        <w:t>)</w:t>
      </w:r>
    </w:p>
    <w:p w:rsidR="00F34163" w:rsidRPr="00696CB1" w:rsidRDefault="006E65F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Juodasis</w:t>
      </w:r>
      <w:r w:rsidR="001A3612" w:rsidRPr="00696CB1">
        <w:rPr>
          <w:szCs w:val="22"/>
          <w:lang w:val="lt-LT"/>
        </w:rPr>
        <w:t xml:space="preserve"> geležies oksidas </w:t>
      </w:r>
      <w:r w:rsidRPr="00696CB1">
        <w:rPr>
          <w:szCs w:val="22"/>
          <w:lang w:val="lt-LT"/>
        </w:rPr>
        <w:t>(</w:t>
      </w:r>
      <w:r w:rsidR="001A3612" w:rsidRPr="00696CB1">
        <w:rPr>
          <w:szCs w:val="22"/>
          <w:lang w:val="lt-LT"/>
        </w:rPr>
        <w:t>E172</w:t>
      </w:r>
      <w:r w:rsidRPr="00696CB1">
        <w:rPr>
          <w:szCs w:val="22"/>
          <w:lang w:val="lt-LT"/>
        </w:rPr>
        <w:t>)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6.2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Duomen</w:t>
      </w:r>
      <w:r w:rsidR="006E65FF" w:rsidRPr="00696CB1">
        <w:rPr>
          <w:szCs w:val="22"/>
          <w:lang w:val="lt-LT"/>
        </w:rPr>
        <w:t>ys nebūtini.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6.3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3</w:t>
      </w:r>
      <w:r w:rsidR="006E65FF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metai</w:t>
      </w:r>
      <w:r w:rsidR="006E65FF"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6.4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2F5C27" w:rsidP="00696CB1">
      <w:pPr>
        <w:widowControl w:val="0"/>
        <w:tabs>
          <w:tab w:val="clear" w:pos="567"/>
        </w:tabs>
        <w:spacing w:line="240" w:lineRule="auto"/>
        <w:rPr>
          <w:color w:val="0D0D0D"/>
          <w:szCs w:val="22"/>
          <w:lang w:val="lt-LT"/>
        </w:rPr>
      </w:pPr>
      <w:r w:rsidRPr="00696CB1">
        <w:rPr>
          <w:color w:val="0D0D0D"/>
          <w:szCs w:val="22"/>
          <w:lang w:val="lt-LT"/>
        </w:rPr>
        <w:t>Šiam vaistiniam preparatui specialių laikymo sąlygų nereikia.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6.5</w:t>
      </w:r>
      <w:r w:rsidRPr="00696CB1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2F5C27" w:rsidRPr="00696CB1" w:rsidRDefault="002F5C2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oPA</w:t>
      </w:r>
      <w:proofErr w:type="spellEnd"/>
      <w:r w:rsidRPr="00696CB1">
        <w:rPr>
          <w:szCs w:val="22"/>
          <w:lang w:val="lt-LT"/>
        </w:rPr>
        <w:t>/aliuminio/PVC-aliumini</w:t>
      </w:r>
      <w:r w:rsidR="00FC6BB7" w:rsidRPr="00696CB1">
        <w:rPr>
          <w:szCs w:val="22"/>
          <w:lang w:val="lt-LT"/>
        </w:rPr>
        <w:t>o</w:t>
      </w:r>
      <w:r w:rsidRPr="00696CB1">
        <w:rPr>
          <w:szCs w:val="22"/>
          <w:lang w:val="lt-LT"/>
        </w:rPr>
        <w:t xml:space="preserve"> perforuotos ar neperforuotos lizdinės plokštelės.</w:t>
      </w:r>
    </w:p>
    <w:p w:rsidR="002F5C27" w:rsidRPr="00696CB1" w:rsidRDefault="002F5C27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5D6BD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Dėžutėje</w:t>
      </w:r>
      <w:r w:rsidR="002F5C27" w:rsidRPr="00696CB1">
        <w:rPr>
          <w:szCs w:val="22"/>
          <w:lang w:val="lt-LT"/>
        </w:rPr>
        <w:t xml:space="preserve"> yra 30</w:t>
      </w:r>
      <w:r w:rsidRPr="00696CB1">
        <w:rPr>
          <w:szCs w:val="22"/>
          <w:lang w:val="lt-LT"/>
        </w:rPr>
        <w:t>,</w:t>
      </w:r>
      <w:r w:rsidR="00FB46EE" w:rsidRPr="00696CB1">
        <w:rPr>
          <w:szCs w:val="22"/>
          <w:lang w:val="lt-LT"/>
        </w:rPr>
        <w:t xml:space="preserve"> 90 </w:t>
      </w:r>
      <w:r w:rsidR="002F5C27" w:rsidRPr="00696CB1">
        <w:rPr>
          <w:szCs w:val="22"/>
          <w:lang w:val="lt-LT"/>
        </w:rPr>
        <w:t>tablečių arba 30 x 1</w:t>
      </w:r>
      <w:r w:rsidR="00FB46EE" w:rsidRPr="00696CB1">
        <w:rPr>
          <w:szCs w:val="22"/>
          <w:lang w:val="lt-LT"/>
        </w:rPr>
        <w:t>, 90 x 1</w:t>
      </w:r>
      <w:r w:rsidR="002F5C27" w:rsidRPr="00696CB1">
        <w:rPr>
          <w:szCs w:val="22"/>
          <w:lang w:val="lt-LT"/>
        </w:rPr>
        <w:t xml:space="preserve"> tabletė. </w:t>
      </w:r>
      <w:r w:rsidR="00F34163" w:rsidRPr="00696CB1">
        <w:rPr>
          <w:szCs w:val="22"/>
          <w:lang w:val="lt-LT"/>
        </w:rPr>
        <w:t>Gali būti tie</w:t>
      </w:r>
      <w:r w:rsidR="002F5C27" w:rsidRPr="00696CB1">
        <w:rPr>
          <w:szCs w:val="22"/>
          <w:lang w:val="lt-LT"/>
        </w:rPr>
        <w:t>kiamos ne visų dydžių pakuotės.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bookmarkStart w:id="0" w:name="OLE_LINK1"/>
      <w:r w:rsidRPr="00696CB1">
        <w:rPr>
          <w:rFonts w:ascii="Times New Roman" w:hAnsi="Times New Roman"/>
          <w:sz w:val="22"/>
          <w:szCs w:val="22"/>
          <w:lang w:val="lt-LT"/>
        </w:rPr>
        <w:lastRenderedPageBreak/>
        <w:t>6.6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 xml:space="preserve">Specialūs </w:t>
      </w:r>
      <w:r w:rsidR="002F5C27" w:rsidRPr="00696CB1">
        <w:rPr>
          <w:rFonts w:ascii="Times New Roman" w:hAnsi="Times New Roman"/>
          <w:sz w:val="22"/>
          <w:szCs w:val="22"/>
          <w:lang w:val="lt-LT"/>
        </w:rPr>
        <w:t>reikalavimai atliekoms tvarkyti</w:t>
      </w:r>
    </w:p>
    <w:bookmarkEnd w:id="0"/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Nesuvartotą vaistinį preparatą ar atliekas reikia tvarkyti l</w:t>
      </w:r>
      <w:r w:rsidR="002F5C27" w:rsidRPr="00696CB1">
        <w:rPr>
          <w:szCs w:val="22"/>
          <w:lang w:val="lt-LT"/>
        </w:rPr>
        <w:t>aikantis vietinių reikalavimų.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7.</w:t>
      </w:r>
      <w:r w:rsidRPr="00696CB1">
        <w:rPr>
          <w:rFonts w:ascii="Times New Roman" w:hAnsi="Times New Roman"/>
          <w:sz w:val="22"/>
          <w:szCs w:val="22"/>
          <w:lang w:val="lt-LT"/>
        </w:rPr>
        <w:tab/>
      </w:r>
      <w:r w:rsidR="00126F6D" w:rsidRPr="00696CB1">
        <w:rPr>
          <w:rFonts w:ascii="Times New Roman" w:hAnsi="Times New Roman"/>
          <w:sz w:val="22"/>
          <w:szCs w:val="22"/>
          <w:lang w:val="lt-LT"/>
        </w:rPr>
        <w:t>REGISTRUOTOJAS</w:t>
      </w: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lt-LT"/>
        </w:rPr>
      </w:pPr>
    </w:p>
    <w:p w:rsidR="003861B0" w:rsidRPr="00696CB1" w:rsidRDefault="00B660D5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KRKA,</w:t>
      </w:r>
      <w:r w:rsidR="003861B0" w:rsidRPr="00696CB1">
        <w:rPr>
          <w:snapToGrid/>
          <w:szCs w:val="22"/>
          <w:lang w:val="lt-LT" w:eastAsia="sl-SI"/>
        </w:rPr>
        <w:t xml:space="preserve"> </w:t>
      </w:r>
      <w:proofErr w:type="spellStart"/>
      <w:r w:rsidR="003861B0" w:rsidRPr="00696CB1">
        <w:rPr>
          <w:snapToGrid/>
          <w:szCs w:val="22"/>
          <w:lang w:val="lt-LT" w:eastAsia="sl-SI"/>
        </w:rPr>
        <w:t>d.d</w:t>
      </w:r>
      <w:proofErr w:type="spellEnd"/>
      <w:r w:rsidR="003861B0" w:rsidRPr="00696CB1">
        <w:rPr>
          <w:snapToGrid/>
          <w:szCs w:val="22"/>
          <w:lang w:val="lt-LT" w:eastAsia="sl-SI"/>
        </w:rPr>
        <w:t>., Novo mesto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proofErr w:type="spellStart"/>
      <w:r w:rsidRPr="00696CB1">
        <w:rPr>
          <w:snapToGrid/>
          <w:szCs w:val="22"/>
          <w:lang w:val="lt-LT" w:eastAsia="sl-SI"/>
        </w:rPr>
        <w:t>Šmarješka</w:t>
      </w:r>
      <w:proofErr w:type="spellEnd"/>
      <w:r w:rsidRPr="00696CB1">
        <w:rPr>
          <w:snapToGrid/>
          <w:szCs w:val="22"/>
          <w:lang w:val="lt-LT" w:eastAsia="sl-SI"/>
        </w:rPr>
        <w:t xml:space="preserve"> </w:t>
      </w:r>
      <w:proofErr w:type="spellStart"/>
      <w:r w:rsidRPr="00696CB1">
        <w:rPr>
          <w:snapToGrid/>
          <w:szCs w:val="22"/>
          <w:lang w:val="lt-LT" w:eastAsia="sl-SI"/>
        </w:rPr>
        <w:t>cesta</w:t>
      </w:r>
      <w:proofErr w:type="spellEnd"/>
      <w:r w:rsidRPr="00696CB1">
        <w:rPr>
          <w:snapToGrid/>
          <w:szCs w:val="22"/>
          <w:lang w:val="lt-LT" w:eastAsia="sl-SI"/>
        </w:rPr>
        <w:t xml:space="preserve"> 6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8501 Novo mesto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Slovėnija</w:t>
      </w: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47AC5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8.</w:t>
      </w:r>
      <w:r w:rsidRPr="00696CB1">
        <w:rPr>
          <w:rFonts w:ascii="Times New Roman" w:hAnsi="Times New Roman"/>
          <w:sz w:val="22"/>
          <w:szCs w:val="22"/>
          <w:lang w:val="lt-LT"/>
        </w:rPr>
        <w:tab/>
      </w:r>
      <w:r w:rsidR="00826CB6" w:rsidRPr="00696CB1">
        <w:rPr>
          <w:rFonts w:ascii="Times New Roman" w:hAnsi="Times New Roman"/>
          <w:sz w:val="22"/>
          <w:szCs w:val="22"/>
          <w:lang w:val="lt-LT"/>
        </w:rPr>
        <w:t xml:space="preserve">REGISTRACIJOS </w:t>
      </w:r>
      <w:r w:rsidRPr="00696CB1">
        <w:rPr>
          <w:rFonts w:ascii="Times New Roman" w:hAnsi="Times New Roman"/>
          <w:sz w:val="22"/>
          <w:szCs w:val="22"/>
          <w:lang w:val="lt-LT"/>
        </w:rPr>
        <w:t xml:space="preserve">PAŽYMĖJIMO NUMERIS (-IAI) </w:t>
      </w:r>
    </w:p>
    <w:p w:rsidR="005D6BD4" w:rsidRPr="00696CB1" w:rsidRDefault="005D6BD4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5D6BD4" w:rsidRPr="00696CB1" w:rsidRDefault="005D6BD4" w:rsidP="00696CB1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696CB1">
        <w:rPr>
          <w:rFonts w:eastAsia="Calibri"/>
          <w:snapToGrid/>
          <w:szCs w:val="22"/>
          <w:lang w:val="lt-LT" w:eastAsia="lt-LT"/>
        </w:rPr>
        <w:t>LT/1/18/4253/001 – N30</w:t>
      </w:r>
    </w:p>
    <w:p w:rsidR="005D6BD4" w:rsidRPr="00696CB1" w:rsidRDefault="005D6BD4" w:rsidP="00696CB1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696CB1">
        <w:rPr>
          <w:rFonts w:eastAsia="Calibri"/>
          <w:snapToGrid/>
          <w:szCs w:val="22"/>
          <w:lang w:val="lt-LT" w:eastAsia="lt-LT"/>
        </w:rPr>
        <w:t>LT/1/18/4253/002 – N90</w:t>
      </w:r>
    </w:p>
    <w:p w:rsidR="005D6BD4" w:rsidRPr="00696CB1" w:rsidRDefault="005D6BD4" w:rsidP="00696CB1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696CB1">
        <w:rPr>
          <w:rFonts w:eastAsia="Calibri"/>
          <w:snapToGrid/>
          <w:szCs w:val="22"/>
          <w:lang w:val="lt-LT" w:eastAsia="lt-LT"/>
        </w:rPr>
        <w:t>LT/1/18/4253/003 – N30x1</w:t>
      </w:r>
    </w:p>
    <w:p w:rsidR="005D6BD4" w:rsidRPr="00696CB1" w:rsidRDefault="005D6BD4" w:rsidP="00696CB1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696CB1">
        <w:rPr>
          <w:rFonts w:eastAsia="Calibri"/>
          <w:snapToGrid/>
          <w:szCs w:val="22"/>
          <w:lang w:val="lt-LT" w:eastAsia="lt-LT"/>
        </w:rPr>
        <w:t>LT/1/18/4253/004 – N90x1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9.</w:t>
      </w:r>
      <w:r w:rsidRPr="00696CB1">
        <w:rPr>
          <w:rFonts w:ascii="Times New Roman" w:hAnsi="Times New Roman"/>
          <w:sz w:val="22"/>
          <w:szCs w:val="22"/>
          <w:lang w:val="lt-LT"/>
        </w:rPr>
        <w:tab/>
      </w:r>
      <w:r w:rsidR="00826CB6" w:rsidRPr="00696CB1">
        <w:rPr>
          <w:rFonts w:ascii="Times New Roman" w:hAnsi="Times New Roman"/>
          <w:sz w:val="22"/>
          <w:szCs w:val="22"/>
          <w:lang w:val="lt-LT"/>
        </w:rPr>
        <w:t>REGISTRA</w:t>
      </w:r>
      <w:r w:rsidR="00B51C06" w:rsidRPr="00696CB1">
        <w:rPr>
          <w:rFonts w:ascii="Times New Roman" w:hAnsi="Times New Roman"/>
          <w:sz w:val="22"/>
          <w:szCs w:val="22"/>
          <w:lang w:val="lt-LT"/>
        </w:rPr>
        <w:t>VIMO</w:t>
      </w:r>
      <w:r w:rsidRPr="00696CB1">
        <w:rPr>
          <w:rFonts w:ascii="Times New Roman" w:hAnsi="Times New Roman"/>
          <w:sz w:val="22"/>
          <w:szCs w:val="22"/>
          <w:lang w:val="lt-LT"/>
        </w:rPr>
        <w:t xml:space="preserve"> / </w:t>
      </w:r>
      <w:r w:rsidR="00CE6EC2" w:rsidRPr="00696CB1">
        <w:rPr>
          <w:rFonts w:ascii="Times New Roman" w:hAnsi="Times New Roman"/>
          <w:sz w:val="22"/>
          <w:szCs w:val="22"/>
          <w:lang w:val="lt-LT"/>
        </w:rPr>
        <w:t xml:space="preserve">PERREGISTRAVIMO </w:t>
      </w:r>
      <w:r w:rsidRPr="00696CB1">
        <w:rPr>
          <w:rFonts w:ascii="Times New Roman" w:hAnsi="Times New Roman"/>
          <w:sz w:val="22"/>
          <w:szCs w:val="22"/>
          <w:lang w:val="lt-LT"/>
        </w:rPr>
        <w:t>DATA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8B5733" w:rsidRPr="00696CB1" w:rsidRDefault="00C8680A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Registra</w:t>
      </w:r>
      <w:r w:rsidR="00B51C06" w:rsidRPr="00696CB1">
        <w:rPr>
          <w:szCs w:val="22"/>
          <w:lang w:val="lt-LT"/>
        </w:rPr>
        <w:t>vimo</w:t>
      </w:r>
      <w:r w:rsidRPr="00696CB1">
        <w:rPr>
          <w:szCs w:val="22"/>
          <w:lang w:val="lt-LT"/>
        </w:rPr>
        <w:t xml:space="preserve"> data</w:t>
      </w:r>
      <w:r w:rsidR="009F444D" w:rsidRPr="00696CB1">
        <w:rPr>
          <w:szCs w:val="22"/>
          <w:lang w:val="lt-LT"/>
        </w:rPr>
        <w:t xml:space="preserve"> </w:t>
      </w:r>
      <w:r w:rsidR="005D6BD4" w:rsidRPr="00696CB1">
        <w:rPr>
          <w:szCs w:val="22"/>
          <w:lang w:val="lt-LT"/>
        </w:rPr>
        <w:t>2018 m. rugsėjo 10 d.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064FB6" w:rsidRPr="00696CB1" w:rsidRDefault="00064FB6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10.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8857A1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2021</w:t>
      </w:r>
      <w:r w:rsidR="00CD2E7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m. spalio 23</w:t>
      </w:r>
      <w:r w:rsidR="00CD2E77">
        <w:rPr>
          <w:szCs w:val="22"/>
          <w:lang w:val="lt-LT"/>
        </w:rPr>
        <w:t xml:space="preserve"> </w:t>
      </w:r>
      <w:bookmarkStart w:id="1" w:name="_GoBack"/>
      <w:bookmarkEnd w:id="1"/>
      <w:r>
        <w:rPr>
          <w:szCs w:val="22"/>
          <w:lang w:val="lt-LT"/>
        </w:rPr>
        <w:t>d.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Paprastasistekstas"/>
        <w:widowControl w:val="0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696CB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2" w:history="1">
        <w:r w:rsidR="005D6BD4" w:rsidRPr="00696CB1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:rsidR="00F34163" w:rsidRPr="00696CB1" w:rsidRDefault="00F34163" w:rsidP="00696CB1">
      <w:pPr>
        <w:pStyle w:val="Paprastasistekstas"/>
        <w:widowControl w:val="0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:rsidR="00F34163" w:rsidRPr="00696CB1" w:rsidRDefault="00331196" w:rsidP="00696CB1">
      <w:pPr>
        <w:pStyle w:val="Paprastasistekstas"/>
        <w:widowControl w:val="0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br w:type="page"/>
      </w:r>
    </w:p>
    <w:p w:rsidR="005D6BD4" w:rsidRPr="00696CB1" w:rsidRDefault="005D6BD4" w:rsidP="00696CB1">
      <w:pPr>
        <w:widowControl w:val="0"/>
        <w:spacing w:line="240" w:lineRule="auto"/>
        <w:rPr>
          <w:szCs w:val="22"/>
          <w:lang w:val="lt-LT"/>
        </w:rPr>
      </w:pPr>
    </w:p>
    <w:p w:rsidR="005D6BD4" w:rsidRPr="00696CB1" w:rsidRDefault="005D6BD4" w:rsidP="00696CB1">
      <w:pPr>
        <w:widowControl w:val="0"/>
        <w:spacing w:line="240" w:lineRule="auto"/>
        <w:rPr>
          <w:szCs w:val="22"/>
          <w:lang w:val="lt-LT"/>
        </w:rPr>
      </w:pPr>
    </w:p>
    <w:p w:rsidR="005D6BD4" w:rsidRPr="00696CB1" w:rsidRDefault="005D6BD4" w:rsidP="00696CB1">
      <w:pPr>
        <w:widowControl w:val="0"/>
        <w:spacing w:line="240" w:lineRule="auto"/>
        <w:rPr>
          <w:szCs w:val="22"/>
          <w:lang w:val="lt-LT"/>
        </w:rPr>
      </w:pPr>
    </w:p>
    <w:p w:rsidR="005D6BD4" w:rsidRPr="00696CB1" w:rsidRDefault="005D6BD4" w:rsidP="00696CB1">
      <w:pPr>
        <w:widowControl w:val="0"/>
        <w:spacing w:line="240" w:lineRule="auto"/>
        <w:rPr>
          <w:szCs w:val="22"/>
          <w:lang w:val="lt-LT"/>
        </w:rPr>
      </w:pPr>
    </w:p>
    <w:p w:rsidR="005D6BD4" w:rsidRPr="00696CB1" w:rsidRDefault="005D6BD4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center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center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center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center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center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center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II PRIEDAS</w:t>
      </w:r>
    </w:p>
    <w:p w:rsidR="00F34163" w:rsidRPr="00696CB1" w:rsidRDefault="00F34163" w:rsidP="00696CB1">
      <w:pPr>
        <w:widowControl w:val="0"/>
        <w:spacing w:line="240" w:lineRule="auto"/>
        <w:ind w:left="1701" w:right="1416" w:hanging="567"/>
        <w:rPr>
          <w:szCs w:val="22"/>
          <w:lang w:val="lt-LT"/>
        </w:rPr>
      </w:pPr>
    </w:p>
    <w:p w:rsidR="00F34163" w:rsidRPr="00696CB1" w:rsidRDefault="00CE6EC2" w:rsidP="00696CB1">
      <w:pPr>
        <w:widowControl w:val="0"/>
        <w:spacing w:line="240" w:lineRule="auto"/>
        <w:jc w:val="center"/>
        <w:rPr>
          <w:i/>
          <w:szCs w:val="22"/>
          <w:lang w:val="lt-LT"/>
        </w:rPr>
      </w:pPr>
      <w:r w:rsidRPr="00696CB1">
        <w:rPr>
          <w:b/>
          <w:szCs w:val="22"/>
          <w:lang w:val="lt-LT"/>
        </w:rPr>
        <w:t xml:space="preserve">REGISTRACIJOS </w:t>
      </w:r>
      <w:r w:rsidR="00F34163" w:rsidRPr="00696CB1">
        <w:rPr>
          <w:b/>
          <w:szCs w:val="22"/>
          <w:lang w:val="lt-LT"/>
        </w:rPr>
        <w:t>SĄLYGOS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A.</w:t>
      </w:r>
      <w:r w:rsidRPr="00696CB1">
        <w:rPr>
          <w:b/>
          <w:szCs w:val="22"/>
          <w:lang w:val="lt-LT"/>
        </w:rPr>
        <w:tab/>
        <w:t>GAMINTOJAS (-AI), ATSAKINGAS (-I) UŽ SERIJŲ IŠLEIDIMĄ</w:t>
      </w:r>
    </w:p>
    <w:p w:rsidR="00F34163" w:rsidRPr="00696CB1" w:rsidRDefault="00F34163" w:rsidP="00696CB1">
      <w:pPr>
        <w:widowControl w:val="0"/>
        <w:tabs>
          <w:tab w:val="clear" w:pos="567"/>
          <w:tab w:val="left" w:pos="1701"/>
        </w:tabs>
        <w:spacing w:line="240" w:lineRule="auto"/>
        <w:ind w:left="567" w:right="567" w:hanging="567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B.</w:t>
      </w:r>
      <w:r w:rsidRPr="00696CB1">
        <w:rPr>
          <w:b/>
          <w:szCs w:val="22"/>
          <w:lang w:val="lt-LT"/>
        </w:rPr>
        <w:tab/>
        <w:t>TIEKIMO IR VARTOJIMO SĄLYGOS AR APRIBOJIMAI</w:t>
      </w:r>
    </w:p>
    <w:p w:rsidR="00F34163" w:rsidRPr="00696CB1" w:rsidRDefault="00F34163" w:rsidP="00696CB1">
      <w:pPr>
        <w:widowControl w:val="0"/>
        <w:spacing w:line="240" w:lineRule="auto"/>
        <w:ind w:left="1701" w:right="1558" w:hanging="85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ind w:left="567" w:hanging="567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ind w:right="-1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ind w:left="567" w:hanging="567"/>
        <w:rPr>
          <w:b/>
          <w:szCs w:val="22"/>
          <w:lang w:val="lt-LT"/>
        </w:rPr>
      </w:pPr>
      <w:r w:rsidRPr="00696CB1">
        <w:rPr>
          <w:szCs w:val="22"/>
          <w:lang w:val="lt-LT"/>
        </w:rPr>
        <w:br w:type="page"/>
      </w:r>
      <w:r w:rsidRPr="00696CB1">
        <w:rPr>
          <w:b/>
          <w:szCs w:val="22"/>
          <w:lang w:val="lt-LT"/>
        </w:rPr>
        <w:lastRenderedPageBreak/>
        <w:t>A.</w:t>
      </w:r>
      <w:r w:rsidRPr="00696CB1">
        <w:rPr>
          <w:b/>
          <w:szCs w:val="22"/>
          <w:lang w:val="lt-LT"/>
        </w:rPr>
        <w:tab/>
        <w:t>GAMINTOJAS (-AI), ATSAKINGAS (-I) UŽ SERIJŲ IŠLEIDIMĄ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both"/>
        <w:rPr>
          <w:szCs w:val="22"/>
          <w:lang w:val="lt-LT"/>
        </w:rPr>
      </w:pPr>
      <w:r w:rsidRPr="00696CB1">
        <w:rPr>
          <w:szCs w:val="22"/>
          <w:u w:val="single"/>
          <w:lang w:val="lt-LT"/>
        </w:rPr>
        <w:t>Gamintojo (-ų), atsakingo (-ų) už serijų išleidimą, pavadinimas (-ai) ir adresas (-ai)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696CB1">
        <w:rPr>
          <w:snapToGrid/>
          <w:szCs w:val="22"/>
          <w:lang w:val="lt-LT"/>
        </w:rPr>
        <w:t>Synthon</w:t>
      </w:r>
      <w:proofErr w:type="spellEnd"/>
      <w:r w:rsidRPr="00696CB1">
        <w:rPr>
          <w:snapToGrid/>
          <w:szCs w:val="22"/>
          <w:lang w:val="lt-LT"/>
        </w:rPr>
        <w:t xml:space="preserve"> </w:t>
      </w:r>
      <w:proofErr w:type="spellStart"/>
      <w:r w:rsidRPr="00696CB1">
        <w:rPr>
          <w:snapToGrid/>
          <w:szCs w:val="22"/>
          <w:lang w:val="lt-LT"/>
        </w:rPr>
        <w:t>Hispania</w:t>
      </w:r>
      <w:proofErr w:type="spellEnd"/>
      <w:r w:rsidRPr="00696CB1">
        <w:rPr>
          <w:snapToGrid/>
          <w:szCs w:val="22"/>
          <w:lang w:val="lt-LT"/>
        </w:rPr>
        <w:t>, S.L.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 xml:space="preserve">C/ </w:t>
      </w:r>
      <w:proofErr w:type="spellStart"/>
      <w:r w:rsidRPr="00696CB1">
        <w:rPr>
          <w:snapToGrid/>
          <w:szCs w:val="22"/>
          <w:lang w:val="lt-LT"/>
        </w:rPr>
        <w:t>Castelló</w:t>
      </w:r>
      <w:proofErr w:type="spellEnd"/>
      <w:r w:rsidRPr="00696CB1">
        <w:rPr>
          <w:snapToGrid/>
          <w:szCs w:val="22"/>
          <w:lang w:val="lt-LT"/>
        </w:rPr>
        <w:t xml:space="preserve"> no1, </w:t>
      </w:r>
      <w:proofErr w:type="spellStart"/>
      <w:r w:rsidRPr="00696CB1">
        <w:rPr>
          <w:snapToGrid/>
          <w:szCs w:val="22"/>
          <w:lang w:val="lt-LT"/>
        </w:rPr>
        <w:t>Pol</w:t>
      </w:r>
      <w:proofErr w:type="spellEnd"/>
      <w:r w:rsidRPr="00696CB1">
        <w:rPr>
          <w:snapToGrid/>
          <w:szCs w:val="22"/>
          <w:lang w:val="lt-LT"/>
        </w:rPr>
        <w:t xml:space="preserve">. </w:t>
      </w:r>
      <w:proofErr w:type="spellStart"/>
      <w:r w:rsidRPr="00696CB1">
        <w:rPr>
          <w:snapToGrid/>
          <w:szCs w:val="22"/>
          <w:lang w:val="lt-LT"/>
        </w:rPr>
        <w:t>Las</w:t>
      </w:r>
      <w:proofErr w:type="spellEnd"/>
      <w:r w:rsidRPr="00696CB1">
        <w:rPr>
          <w:snapToGrid/>
          <w:szCs w:val="22"/>
          <w:lang w:val="lt-LT"/>
        </w:rPr>
        <w:t xml:space="preserve"> </w:t>
      </w:r>
      <w:proofErr w:type="spellStart"/>
      <w:r w:rsidRPr="00696CB1">
        <w:rPr>
          <w:snapToGrid/>
          <w:szCs w:val="22"/>
          <w:lang w:val="lt-LT"/>
        </w:rPr>
        <w:t>Salinas</w:t>
      </w:r>
      <w:proofErr w:type="spellEnd"/>
      <w:r w:rsidRPr="00696CB1">
        <w:rPr>
          <w:snapToGrid/>
          <w:szCs w:val="22"/>
          <w:lang w:val="lt-LT"/>
        </w:rPr>
        <w:t xml:space="preserve">, </w:t>
      </w:r>
      <w:proofErr w:type="spellStart"/>
      <w:r w:rsidRPr="00696CB1">
        <w:rPr>
          <w:snapToGrid/>
          <w:szCs w:val="22"/>
          <w:lang w:val="lt-LT"/>
        </w:rPr>
        <w:t>Sant</w:t>
      </w:r>
      <w:proofErr w:type="spellEnd"/>
      <w:r w:rsidRPr="00696CB1">
        <w:rPr>
          <w:snapToGrid/>
          <w:szCs w:val="22"/>
          <w:lang w:val="lt-LT"/>
        </w:rPr>
        <w:t xml:space="preserve"> </w:t>
      </w:r>
      <w:proofErr w:type="spellStart"/>
      <w:r w:rsidRPr="00696CB1">
        <w:rPr>
          <w:snapToGrid/>
          <w:szCs w:val="22"/>
          <w:lang w:val="lt-LT"/>
        </w:rPr>
        <w:t>Boi</w:t>
      </w:r>
      <w:proofErr w:type="spellEnd"/>
      <w:r w:rsidRPr="00696CB1">
        <w:rPr>
          <w:snapToGrid/>
          <w:szCs w:val="22"/>
          <w:lang w:val="lt-LT"/>
        </w:rPr>
        <w:t xml:space="preserve"> de </w:t>
      </w:r>
      <w:proofErr w:type="spellStart"/>
      <w:r w:rsidRPr="00696CB1">
        <w:rPr>
          <w:snapToGrid/>
          <w:szCs w:val="22"/>
          <w:lang w:val="lt-LT"/>
        </w:rPr>
        <w:t>Llobregat</w:t>
      </w:r>
      <w:proofErr w:type="spellEnd"/>
    </w:p>
    <w:p w:rsidR="00F47AC5" w:rsidRPr="00E94ADD" w:rsidRDefault="00027861" w:rsidP="00E94ADD">
      <w:pPr>
        <w:tabs>
          <w:tab w:val="clear" w:pos="567"/>
        </w:tabs>
        <w:spacing w:line="240" w:lineRule="auto"/>
        <w:rPr>
          <w:lang w:val="lt-LT"/>
        </w:rPr>
      </w:pPr>
      <w:r w:rsidRPr="00E94ADD">
        <w:rPr>
          <w:lang w:val="lt-LT"/>
        </w:rPr>
        <w:t xml:space="preserve">08830 </w:t>
      </w:r>
      <w:proofErr w:type="spellStart"/>
      <w:r w:rsidR="00FB46EE" w:rsidRPr="00E94ADD">
        <w:rPr>
          <w:lang w:val="lt-LT"/>
        </w:rPr>
        <w:t>Barcelona</w:t>
      </w:r>
      <w:proofErr w:type="spellEnd"/>
      <w:r w:rsidR="00FB46EE" w:rsidRPr="00696CB1">
        <w:rPr>
          <w:snapToGrid/>
          <w:szCs w:val="22"/>
          <w:lang w:val="lt-LT"/>
        </w:rPr>
        <w:t xml:space="preserve"> </w:t>
      </w:r>
    </w:p>
    <w:p w:rsidR="003861B0" w:rsidRPr="00E94ADD" w:rsidRDefault="003861B0" w:rsidP="00E94ADD">
      <w:pPr>
        <w:tabs>
          <w:tab w:val="clear" w:pos="567"/>
        </w:tabs>
        <w:spacing w:line="240" w:lineRule="auto"/>
        <w:rPr>
          <w:lang w:val="lt-LT"/>
        </w:rPr>
      </w:pPr>
      <w:r w:rsidRPr="00E94ADD">
        <w:rPr>
          <w:lang w:val="lt-LT"/>
        </w:rPr>
        <w:t>Ispanija</w:t>
      </w: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lt-LT"/>
        </w:rPr>
      </w:pP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arba</w:t>
      </w: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3861B0" w:rsidRPr="00E94ADD" w:rsidRDefault="003861B0" w:rsidP="00E94ADD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E94ADD">
        <w:rPr>
          <w:lang w:val="lt-LT"/>
        </w:rPr>
        <w:t>Synthon</w:t>
      </w:r>
      <w:proofErr w:type="spellEnd"/>
      <w:r w:rsidRPr="00E94ADD">
        <w:rPr>
          <w:lang w:val="lt-LT"/>
        </w:rPr>
        <w:t xml:space="preserve"> BV</w:t>
      </w:r>
    </w:p>
    <w:p w:rsidR="003861B0" w:rsidRPr="00E94ADD" w:rsidRDefault="003861B0" w:rsidP="00E94ADD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E94ADD">
        <w:rPr>
          <w:lang w:val="lt-LT"/>
        </w:rPr>
        <w:t>Microweg</w:t>
      </w:r>
      <w:proofErr w:type="spellEnd"/>
      <w:r w:rsidRPr="00E94ADD">
        <w:rPr>
          <w:lang w:val="lt-LT"/>
        </w:rPr>
        <w:t xml:space="preserve"> 22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 xml:space="preserve">6545 CM </w:t>
      </w:r>
      <w:proofErr w:type="spellStart"/>
      <w:r w:rsidRPr="00696CB1">
        <w:rPr>
          <w:snapToGrid/>
          <w:szCs w:val="22"/>
          <w:lang w:val="lt-LT"/>
        </w:rPr>
        <w:t>Nijmegen</w:t>
      </w:r>
      <w:proofErr w:type="spellEnd"/>
    </w:p>
    <w:p w:rsidR="005D6BD4" w:rsidRPr="00696CB1" w:rsidRDefault="005D6BD4" w:rsidP="00E94AD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>Nyderlandai</w:t>
      </w: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arba</w:t>
      </w:r>
    </w:p>
    <w:p w:rsidR="003861B0" w:rsidRPr="00696CB1" w:rsidRDefault="003861B0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3861B0" w:rsidRPr="00696CB1" w:rsidRDefault="00B660D5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KRKA,</w:t>
      </w:r>
      <w:r w:rsidR="003861B0" w:rsidRPr="00696CB1">
        <w:rPr>
          <w:snapToGrid/>
          <w:szCs w:val="22"/>
          <w:lang w:val="lt-LT" w:eastAsia="sl-SI"/>
        </w:rPr>
        <w:t xml:space="preserve"> </w:t>
      </w:r>
      <w:proofErr w:type="spellStart"/>
      <w:r w:rsidR="003861B0" w:rsidRPr="00696CB1">
        <w:rPr>
          <w:snapToGrid/>
          <w:szCs w:val="22"/>
          <w:lang w:val="lt-LT" w:eastAsia="sl-SI"/>
        </w:rPr>
        <w:t>d.d</w:t>
      </w:r>
      <w:proofErr w:type="spellEnd"/>
      <w:r w:rsidR="003861B0" w:rsidRPr="00696CB1">
        <w:rPr>
          <w:snapToGrid/>
          <w:szCs w:val="22"/>
          <w:lang w:val="lt-LT" w:eastAsia="sl-SI"/>
        </w:rPr>
        <w:t>., Novo mesto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proofErr w:type="spellStart"/>
      <w:r w:rsidRPr="00696CB1">
        <w:rPr>
          <w:snapToGrid/>
          <w:szCs w:val="22"/>
          <w:lang w:val="lt-LT" w:eastAsia="sl-SI"/>
        </w:rPr>
        <w:t>Šmarješka</w:t>
      </w:r>
      <w:proofErr w:type="spellEnd"/>
      <w:r w:rsidRPr="00696CB1">
        <w:rPr>
          <w:snapToGrid/>
          <w:szCs w:val="22"/>
          <w:lang w:val="lt-LT" w:eastAsia="sl-SI"/>
        </w:rPr>
        <w:t xml:space="preserve"> </w:t>
      </w:r>
      <w:proofErr w:type="spellStart"/>
      <w:r w:rsidRPr="00696CB1">
        <w:rPr>
          <w:snapToGrid/>
          <w:szCs w:val="22"/>
          <w:lang w:val="lt-LT" w:eastAsia="sl-SI"/>
        </w:rPr>
        <w:t>cesta</w:t>
      </w:r>
      <w:proofErr w:type="spellEnd"/>
      <w:r w:rsidRPr="00696CB1">
        <w:rPr>
          <w:snapToGrid/>
          <w:szCs w:val="22"/>
          <w:lang w:val="lt-LT" w:eastAsia="sl-SI"/>
        </w:rPr>
        <w:t xml:space="preserve"> 6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8501 Novo mesto</w:t>
      </w:r>
    </w:p>
    <w:p w:rsidR="003861B0" w:rsidRPr="00696CB1" w:rsidRDefault="003861B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Slovėnija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highlight w:val="yellow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both"/>
        <w:rPr>
          <w:szCs w:val="22"/>
          <w:lang w:val="lt-LT"/>
        </w:rPr>
      </w:pPr>
      <w:r w:rsidRPr="00696CB1">
        <w:rPr>
          <w:szCs w:val="22"/>
          <w:lang w:val="lt-LT"/>
        </w:rPr>
        <w:t>Su pakuote pateikiamame lapelyje nurodomas gamintojo, atsakingo už konkrečios serijos išl</w:t>
      </w:r>
      <w:r w:rsidR="003861B0" w:rsidRPr="00696CB1">
        <w:rPr>
          <w:szCs w:val="22"/>
          <w:lang w:val="lt-LT"/>
        </w:rPr>
        <w:t>eidimą, pavadinimas ir adresas.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ind w:left="567" w:hanging="567"/>
        <w:rPr>
          <w:szCs w:val="22"/>
          <w:lang w:val="lt-LT"/>
        </w:rPr>
      </w:pPr>
      <w:r w:rsidRPr="00696CB1">
        <w:rPr>
          <w:b/>
          <w:szCs w:val="22"/>
          <w:lang w:val="lt-LT"/>
        </w:rPr>
        <w:t>B.</w:t>
      </w:r>
      <w:r w:rsidRPr="00696CB1">
        <w:rPr>
          <w:b/>
          <w:szCs w:val="22"/>
          <w:lang w:val="lt-LT"/>
        </w:rPr>
        <w:tab/>
        <w:t>TIEKIMO IR VARTOJIMO SĄLYGOS AR APRIBOJIMAI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R</w:t>
      </w:r>
      <w:r w:rsidR="0007451C" w:rsidRPr="00696CB1">
        <w:rPr>
          <w:szCs w:val="22"/>
          <w:lang w:val="lt-LT"/>
        </w:rPr>
        <w:t>eceptinis vaistinis preparatas.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highlight w:val="yellow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E94ADD" w:rsidRDefault="00F34163" w:rsidP="00696CB1">
      <w:pPr>
        <w:pStyle w:val="Paprastasistekstas"/>
        <w:widowControl w:val="0"/>
        <w:tabs>
          <w:tab w:val="left" w:pos="4962"/>
        </w:tabs>
        <w:rPr>
          <w:sz w:val="22"/>
          <w:lang w:val="lt-LT"/>
        </w:rPr>
      </w:pPr>
      <w:r w:rsidRPr="00E94ADD">
        <w:rPr>
          <w:b/>
          <w:sz w:val="22"/>
          <w:lang w:val="lt-LT"/>
        </w:rPr>
        <w:br w:type="page"/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</w:p>
    <w:p w:rsidR="00F34163" w:rsidRPr="00696CB1" w:rsidRDefault="00F34163" w:rsidP="00696CB1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96CB1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96CB1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br w:type="page"/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96CB1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br w:type="page"/>
      </w:r>
    </w:p>
    <w:p w:rsidR="00F34163" w:rsidRPr="00696CB1" w:rsidRDefault="006D6B1D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lastRenderedPageBreak/>
        <w:t xml:space="preserve">INFORMACIJA ANT </w:t>
      </w:r>
      <w:r w:rsidR="00F34163" w:rsidRPr="00696CB1">
        <w:rPr>
          <w:b/>
          <w:szCs w:val="22"/>
          <w:lang w:val="lt-LT"/>
        </w:rPr>
        <w:t>IŠORINĖS PAKUOTĖS</w:t>
      </w: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:rsidR="00F34163" w:rsidRPr="00696CB1" w:rsidRDefault="006D6B1D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DĖŽUTĖ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1.</w:t>
      </w:r>
      <w:r w:rsidRPr="00696CB1">
        <w:rPr>
          <w:b/>
          <w:szCs w:val="22"/>
          <w:lang w:val="lt-LT"/>
        </w:rPr>
        <w:tab/>
      </w:r>
      <w:r w:rsidRPr="00696CB1">
        <w:rPr>
          <w:b/>
          <w:caps/>
          <w:szCs w:val="22"/>
          <w:lang w:val="lt-LT"/>
        </w:rPr>
        <w:t>VAISTINIO</w:t>
      </w:r>
      <w:r w:rsidRPr="00696CB1">
        <w:rPr>
          <w:b/>
          <w:szCs w:val="22"/>
          <w:lang w:val="lt-LT"/>
        </w:rPr>
        <w:t xml:space="preserve"> PREPARATO PAVADINIMAS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250 mg plėvele dengtos tabletės</w:t>
      </w:r>
      <w:r w:rsidRPr="00696CB1">
        <w:rPr>
          <w:szCs w:val="22"/>
          <w:lang w:val="lt-LT"/>
        </w:rPr>
        <w:cr/>
      </w: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gefitinibas</w:t>
      </w:r>
      <w:proofErr w:type="spellEnd"/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2.</w:t>
      </w:r>
      <w:r w:rsidRPr="00696CB1">
        <w:rPr>
          <w:b/>
          <w:szCs w:val="22"/>
          <w:lang w:val="lt-LT"/>
        </w:rPr>
        <w:tab/>
        <w:t>VEIKLIOJI (-IOS) MEDŽIAGA (-OS) IR JOS (-Ų) KIEKIS (-IAI)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Kiekvienoje tabletėje yra 250 mg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="005D6BD4"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3.</w:t>
      </w:r>
      <w:r w:rsidRPr="00696CB1">
        <w:rPr>
          <w:b/>
          <w:szCs w:val="22"/>
          <w:lang w:val="lt-LT"/>
        </w:rPr>
        <w:tab/>
        <w:t>PAGALBINIŲ MEDŽIAGŲ SĄRAŠAS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C3576B" w:rsidP="00696CB1">
      <w:pPr>
        <w:widowControl w:val="0"/>
        <w:spacing w:line="240" w:lineRule="auto"/>
        <w:rPr>
          <w:rFonts w:eastAsia="SimSun"/>
          <w:snapToGrid/>
          <w:szCs w:val="22"/>
          <w:lang w:val="lt-LT"/>
        </w:rPr>
      </w:pPr>
      <w:r w:rsidRPr="00696CB1">
        <w:rPr>
          <w:szCs w:val="22"/>
          <w:lang w:val="lt-LT"/>
        </w:rPr>
        <w:t>Sudėtyje yra laktozės.</w:t>
      </w:r>
      <w:r w:rsidR="003861B0" w:rsidRPr="00696CB1">
        <w:rPr>
          <w:rFonts w:eastAsia="SimSun"/>
          <w:snapToGrid/>
          <w:szCs w:val="22"/>
          <w:lang w:val="lt-LT"/>
        </w:rPr>
        <w:t xml:space="preserve"> Daugiau informacijos žr. pakuotės lapelyje.</w:t>
      </w: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4.</w:t>
      </w:r>
      <w:r w:rsidRPr="00696CB1">
        <w:rPr>
          <w:b/>
          <w:szCs w:val="22"/>
          <w:lang w:val="lt-LT"/>
        </w:rPr>
        <w:tab/>
        <w:t>FARMACINĖ FORMA IR KIEKIS PAKUOTĖJE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highlight w:val="lightGray"/>
          <w:lang w:val="lt-LT"/>
        </w:rPr>
        <w:t>Plėvele dengtos tabletės</w:t>
      </w:r>
    </w:p>
    <w:p w:rsidR="00767A6C" w:rsidRPr="00696CB1" w:rsidRDefault="00767A6C" w:rsidP="00696CB1">
      <w:pPr>
        <w:widowControl w:val="0"/>
        <w:spacing w:line="240" w:lineRule="auto"/>
        <w:rPr>
          <w:szCs w:val="22"/>
          <w:lang w:val="lt-LT"/>
        </w:rPr>
      </w:pPr>
    </w:p>
    <w:p w:rsidR="005D6BD4" w:rsidRPr="00696CB1" w:rsidRDefault="005D6BD4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30 plėvele dengtų tablečių</w:t>
      </w:r>
    </w:p>
    <w:p w:rsidR="005D6BD4" w:rsidRPr="00696CB1" w:rsidRDefault="005D6BD4" w:rsidP="00696CB1">
      <w:pPr>
        <w:widowControl w:val="0"/>
        <w:spacing w:line="240" w:lineRule="auto"/>
        <w:rPr>
          <w:highlight w:val="lightGray"/>
          <w:lang w:val="lt-LT"/>
        </w:rPr>
      </w:pPr>
      <w:r w:rsidRPr="00696CB1">
        <w:rPr>
          <w:highlight w:val="lightGray"/>
          <w:lang w:val="lt-LT"/>
        </w:rPr>
        <w:t>90 plėvele dengtų tablečių</w:t>
      </w:r>
    </w:p>
    <w:p w:rsidR="00C3576B" w:rsidRPr="00696CB1" w:rsidRDefault="00C3576B" w:rsidP="00696CB1">
      <w:pPr>
        <w:widowControl w:val="0"/>
        <w:spacing w:line="240" w:lineRule="auto"/>
        <w:rPr>
          <w:highlight w:val="lightGray"/>
          <w:lang w:val="lt-LT"/>
        </w:rPr>
      </w:pPr>
      <w:r w:rsidRPr="00696CB1">
        <w:rPr>
          <w:highlight w:val="lightGray"/>
          <w:lang w:val="lt-LT"/>
        </w:rPr>
        <w:t>30</w:t>
      </w:r>
      <w:r w:rsidR="00580272">
        <w:rPr>
          <w:highlight w:val="lightGray"/>
          <w:lang w:val="lt-LT"/>
        </w:rPr>
        <w:t> </w:t>
      </w:r>
      <w:r w:rsidRPr="00696CB1">
        <w:rPr>
          <w:highlight w:val="lightGray"/>
          <w:lang w:val="lt-LT"/>
        </w:rPr>
        <w:t>x</w:t>
      </w:r>
      <w:r w:rsidR="00580272">
        <w:rPr>
          <w:highlight w:val="lightGray"/>
          <w:lang w:val="lt-LT"/>
        </w:rPr>
        <w:t> </w:t>
      </w:r>
      <w:r w:rsidRPr="00696CB1">
        <w:rPr>
          <w:highlight w:val="lightGray"/>
          <w:lang w:val="lt-LT"/>
        </w:rPr>
        <w:t>1</w:t>
      </w:r>
      <w:r w:rsidR="005D6BD4" w:rsidRPr="00696CB1">
        <w:rPr>
          <w:highlight w:val="lightGray"/>
          <w:lang w:val="lt-LT"/>
        </w:rPr>
        <w:t xml:space="preserve"> plėvele dengta tabletė</w:t>
      </w:r>
    </w:p>
    <w:p w:rsidR="00FB46EE" w:rsidRPr="00696CB1" w:rsidRDefault="00FB46EE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highlight w:val="lightGray"/>
          <w:lang w:val="lt-LT"/>
        </w:rPr>
        <w:t>90</w:t>
      </w:r>
      <w:r w:rsidR="00580272">
        <w:rPr>
          <w:highlight w:val="lightGray"/>
          <w:lang w:val="lt-LT"/>
        </w:rPr>
        <w:t> </w:t>
      </w:r>
      <w:r w:rsidRPr="00696CB1">
        <w:rPr>
          <w:highlight w:val="lightGray"/>
          <w:lang w:val="lt-LT"/>
        </w:rPr>
        <w:t>x</w:t>
      </w:r>
      <w:r w:rsidR="00580272">
        <w:rPr>
          <w:highlight w:val="lightGray"/>
          <w:lang w:val="lt-LT"/>
        </w:rPr>
        <w:t> </w:t>
      </w:r>
      <w:r w:rsidRPr="00696CB1">
        <w:rPr>
          <w:highlight w:val="lightGray"/>
          <w:lang w:val="lt-LT"/>
        </w:rPr>
        <w:t>1</w:t>
      </w:r>
      <w:r w:rsidR="005D6BD4" w:rsidRPr="00696CB1">
        <w:rPr>
          <w:highlight w:val="lightGray"/>
          <w:lang w:val="lt-LT"/>
        </w:rPr>
        <w:t xml:space="preserve"> plėvele dengta tabletė</w:t>
      </w: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5.</w:t>
      </w:r>
      <w:r w:rsidRPr="00696CB1">
        <w:rPr>
          <w:b/>
          <w:szCs w:val="22"/>
          <w:lang w:val="lt-LT"/>
        </w:rPr>
        <w:tab/>
        <w:t>VARTOJIMO METODAS IR BŪDAS (-AI)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Prieš vartojimą perskaitykite pakuotės lapelį.</w:t>
      </w:r>
    </w:p>
    <w:p w:rsidR="00C3576B" w:rsidRPr="00696CB1" w:rsidRDefault="00C3576B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Vartoti per burną.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6.</w:t>
      </w:r>
      <w:r w:rsidRPr="00696CB1">
        <w:rPr>
          <w:b/>
          <w:szCs w:val="22"/>
          <w:lang w:val="lt-LT"/>
        </w:rPr>
        <w:tab/>
        <w:t>SPECIALUS ĮSPĖJIMAS, KAD VAISTINĮ PREPARATĄ BŪTINA LAIKYTI VAIKAMS NEPASTEBIMOJE IR</w:t>
      </w:r>
      <w:r w:rsidR="009F444D" w:rsidRPr="00696CB1">
        <w:rPr>
          <w:b/>
          <w:szCs w:val="22"/>
          <w:lang w:val="lt-LT"/>
        </w:rPr>
        <w:t xml:space="preserve"> </w:t>
      </w:r>
      <w:r w:rsidRPr="00696CB1">
        <w:rPr>
          <w:b/>
          <w:szCs w:val="22"/>
          <w:lang w:val="lt-LT"/>
        </w:rPr>
        <w:t>NEPASIEKIAMOJE VIETOJE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Laikyti vaikams nepastebimoje ir nepasiekiamoje vietoje.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7.</w:t>
      </w:r>
      <w:r w:rsidRPr="00696CB1">
        <w:rPr>
          <w:b/>
          <w:szCs w:val="22"/>
          <w:lang w:val="lt-LT"/>
        </w:rPr>
        <w:tab/>
        <w:t>KITAS (-I) SPECIALUS (-ŪS) ĮSPĖJIMAS (-AI) (JEI REIKIA)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8.</w:t>
      </w:r>
      <w:r w:rsidRPr="00696CB1">
        <w:rPr>
          <w:b/>
          <w:szCs w:val="22"/>
          <w:lang w:val="lt-LT"/>
        </w:rPr>
        <w:tab/>
        <w:t>TINKAMUMO LAIKAS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AD2800" w:rsidRPr="00696CB1" w:rsidRDefault="00AD2800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EXP {mm/MMMM}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highlight w:val="lightGray"/>
          <w:lang w:val="lt-LT"/>
        </w:rPr>
        <w:t xml:space="preserve">Tinka iki </w:t>
      </w:r>
      <w:r w:rsidR="00C3576B" w:rsidRPr="00696CB1">
        <w:rPr>
          <w:highlight w:val="lightGray"/>
          <w:lang w:val="lt-LT"/>
        </w:rPr>
        <w:t>{mm/MMMM}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3E6D93" w:rsidRPr="00696CB1" w:rsidRDefault="003E6D9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9.</w:t>
      </w:r>
      <w:r w:rsidRPr="00696CB1">
        <w:rPr>
          <w:b/>
          <w:szCs w:val="22"/>
          <w:lang w:val="lt-LT"/>
        </w:rPr>
        <w:tab/>
        <w:t>SPECIALIOS LAIKYMO SĄLYGOS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10.</w:t>
      </w:r>
      <w:r w:rsidRPr="00696CB1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11.</w:t>
      </w:r>
      <w:r w:rsidRPr="00696CB1">
        <w:rPr>
          <w:b/>
          <w:szCs w:val="22"/>
          <w:lang w:val="lt-LT"/>
        </w:rPr>
        <w:tab/>
      </w:r>
      <w:r w:rsidR="00461F31" w:rsidRPr="00696CB1">
        <w:rPr>
          <w:b/>
          <w:caps/>
          <w:szCs w:val="22"/>
          <w:lang w:val="lt-LT"/>
        </w:rPr>
        <w:t xml:space="preserve"> REGISTRUOTOJO</w:t>
      </w:r>
      <w:r w:rsidRPr="00696CB1">
        <w:rPr>
          <w:b/>
          <w:caps/>
          <w:szCs w:val="22"/>
          <w:lang w:val="lt-LT"/>
        </w:rPr>
        <w:t xml:space="preserve"> PAVADINIMAS IR ADRESAS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B67470" w:rsidRPr="00696CB1" w:rsidRDefault="00B660D5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KRKA,</w:t>
      </w:r>
      <w:r w:rsidR="00B67470" w:rsidRPr="00696CB1">
        <w:rPr>
          <w:snapToGrid/>
          <w:szCs w:val="22"/>
          <w:lang w:val="lt-LT" w:eastAsia="sl-SI"/>
        </w:rPr>
        <w:t xml:space="preserve"> </w:t>
      </w:r>
      <w:proofErr w:type="spellStart"/>
      <w:r w:rsidR="00B67470" w:rsidRPr="00696CB1">
        <w:rPr>
          <w:snapToGrid/>
          <w:szCs w:val="22"/>
          <w:lang w:val="lt-LT" w:eastAsia="sl-SI"/>
        </w:rPr>
        <w:t>d.d</w:t>
      </w:r>
      <w:proofErr w:type="spellEnd"/>
      <w:r w:rsidR="00B67470" w:rsidRPr="00696CB1">
        <w:rPr>
          <w:snapToGrid/>
          <w:szCs w:val="22"/>
          <w:lang w:val="lt-LT" w:eastAsia="sl-SI"/>
        </w:rPr>
        <w:t>., Novo mesto</w:t>
      </w:r>
    </w:p>
    <w:p w:rsidR="00B67470" w:rsidRPr="00696CB1" w:rsidRDefault="00B6747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proofErr w:type="spellStart"/>
      <w:r w:rsidRPr="00696CB1">
        <w:rPr>
          <w:snapToGrid/>
          <w:szCs w:val="22"/>
          <w:lang w:val="lt-LT" w:eastAsia="sl-SI"/>
        </w:rPr>
        <w:t>Šmarješka</w:t>
      </w:r>
      <w:proofErr w:type="spellEnd"/>
      <w:r w:rsidRPr="00696CB1">
        <w:rPr>
          <w:snapToGrid/>
          <w:szCs w:val="22"/>
          <w:lang w:val="lt-LT" w:eastAsia="sl-SI"/>
        </w:rPr>
        <w:t xml:space="preserve"> </w:t>
      </w:r>
      <w:proofErr w:type="spellStart"/>
      <w:r w:rsidRPr="00696CB1">
        <w:rPr>
          <w:snapToGrid/>
          <w:szCs w:val="22"/>
          <w:lang w:val="lt-LT" w:eastAsia="sl-SI"/>
        </w:rPr>
        <w:t>cesta</w:t>
      </w:r>
      <w:proofErr w:type="spellEnd"/>
      <w:r w:rsidRPr="00696CB1">
        <w:rPr>
          <w:snapToGrid/>
          <w:szCs w:val="22"/>
          <w:lang w:val="lt-LT" w:eastAsia="sl-SI"/>
        </w:rPr>
        <w:t xml:space="preserve"> 6</w:t>
      </w:r>
    </w:p>
    <w:p w:rsidR="00B67470" w:rsidRPr="00696CB1" w:rsidRDefault="00B6747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8501 Novo mesto</w:t>
      </w:r>
    </w:p>
    <w:p w:rsidR="00B67470" w:rsidRPr="00696CB1" w:rsidRDefault="00B67470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Slovėnija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47AC5" w:rsidRPr="00E94ADD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696CB1">
        <w:rPr>
          <w:b/>
          <w:szCs w:val="22"/>
          <w:lang w:val="lt-LT"/>
        </w:rPr>
        <w:t>12.</w:t>
      </w:r>
      <w:r w:rsidRPr="00696CB1">
        <w:rPr>
          <w:b/>
          <w:szCs w:val="22"/>
          <w:lang w:val="lt-LT"/>
        </w:rPr>
        <w:tab/>
      </w:r>
      <w:r w:rsidR="00461F31" w:rsidRPr="00696CB1">
        <w:rPr>
          <w:b/>
          <w:szCs w:val="22"/>
          <w:lang w:val="lt-LT"/>
        </w:rPr>
        <w:t xml:space="preserve">REGISTRACIJOS </w:t>
      </w:r>
      <w:r w:rsidRPr="00696CB1">
        <w:rPr>
          <w:b/>
          <w:szCs w:val="22"/>
          <w:lang w:val="lt-LT"/>
        </w:rPr>
        <w:t xml:space="preserve">PAŽYMĖJIMO NUMERIS (-IAI) 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8B5733" w:rsidRPr="00696CB1" w:rsidRDefault="00F34163" w:rsidP="00696CB1">
      <w:pPr>
        <w:widowControl w:val="0"/>
        <w:spacing w:line="240" w:lineRule="auto"/>
        <w:rPr>
          <w:highlight w:val="lightGray"/>
          <w:lang w:val="lt-LT"/>
        </w:rPr>
      </w:pPr>
      <w:r w:rsidRPr="00696CB1">
        <w:rPr>
          <w:szCs w:val="22"/>
          <w:lang w:val="lt-LT"/>
        </w:rPr>
        <w:t>LT/1/</w:t>
      </w:r>
      <w:r w:rsidR="005D6BD4" w:rsidRPr="00696CB1">
        <w:rPr>
          <w:rFonts w:eastAsia="Calibri"/>
          <w:snapToGrid/>
          <w:szCs w:val="22"/>
          <w:lang w:val="lt-LT" w:eastAsia="lt-LT"/>
        </w:rPr>
        <w:t xml:space="preserve">18/4253/001 </w:t>
      </w:r>
      <w:r w:rsidR="005D6BD4" w:rsidRPr="00696CB1">
        <w:rPr>
          <w:highlight w:val="lightGray"/>
          <w:lang w:val="lt-LT"/>
        </w:rPr>
        <w:t>– N30</w:t>
      </w:r>
    </w:p>
    <w:p w:rsidR="005D6BD4" w:rsidRPr="00696CB1" w:rsidRDefault="005D6BD4" w:rsidP="00696CB1">
      <w:pPr>
        <w:widowControl w:val="0"/>
        <w:spacing w:line="240" w:lineRule="auto"/>
        <w:rPr>
          <w:highlight w:val="lightGray"/>
          <w:lang w:val="lt-LT"/>
        </w:rPr>
      </w:pPr>
      <w:r w:rsidRPr="00696CB1">
        <w:rPr>
          <w:highlight w:val="lightGray"/>
          <w:lang w:val="lt-LT"/>
        </w:rPr>
        <w:t>LT/1/18/4253/002 – N90</w:t>
      </w:r>
    </w:p>
    <w:p w:rsidR="005D6BD4" w:rsidRPr="00696CB1" w:rsidRDefault="005D6BD4" w:rsidP="00696CB1">
      <w:pPr>
        <w:widowControl w:val="0"/>
        <w:spacing w:line="240" w:lineRule="auto"/>
        <w:rPr>
          <w:highlight w:val="lightGray"/>
          <w:lang w:val="lt-LT"/>
        </w:rPr>
      </w:pPr>
      <w:r w:rsidRPr="00696CB1">
        <w:rPr>
          <w:highlight w:val="lightGray"/>
          <w:lang w:val="lt-LT"/>
        </w:rPr>
        <w:t>LT/1/18/4253/003 – N30x1</w:t>
      </w:r>
    </w:p>
    <w:p w:rsidR="005D6BD4" w:rsidRPr="00696CB1" w:rsidRDefault="005D6BD4" w:rsidP="00696CB1">
      <w:pPr>
        <w:widowControl w:val="0"/>
        <w:spacing w:line="240" w:lineRule="auto"/>
        <w:rPr>
          <w:rFonts w:eastAsia="Calibri"/>
          <w:snapToGrid/>
          <w:szCs w:val="22"/>
          <w:lang w:val="lt-LT" w:eastAsia="lt-LT"/>
        </w:rPr>
      </w:pPr>
      <w:r w:rsidRPr="00696CB1">
        <w:rPr>
          <w:highlight w:val="lightGray"/>
          <w:lang w:val="lt-LT"/>
        </w:rPr>
        <w:t>LT/1/18/4253/004 – N90x1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47AC5" w:rsidRPr="00E94ADD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696CB1">
        <w:rPr>
          <w:b/>
          <w:szCs w:val="22"/>
          <w:lang w:val="lt-LT"/>
        </w:rPr>
        <w:t>13.</w:t>
      </w:r>
      <w:r w:rsidRPr="00696CB1">
        <w:rPr>
          <w:b/>
          <w:szCs w:val="22"/>
          <w:lang w:val="lt-LT"/>
        </w:rPr>
        <w:tab/>
        <w:t xml:space="preserve">SERIJOS NUMERIS 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5C7029" w:rsidRPr="00696CB1" w:rsidRDefault="005C7029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Lot</w:t>
      </w:r>
      <w:proofErr w:type="spellEnd"/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highlight w:val="lightGray"/>
          <w:lang w:val="lt-LT"/>
        </w:rPr>
        <w:t>Serija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14.</w:t>
      </w:r>
      <w:r w:rsidRPr="00696CB1">
        <w:rPr>
          <w:b/>
          <w:szCs w:val="22"/>
          <w:lang w:val="lt-LT"/>
        </w:rPr>
        <w:tab/>
        <w:t>PARDAVIMO (IŠDAVIMO) TVARKA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Receptinis vaist</w:t>
      </w:r>
      <w:r w:rsidR="005829CF" w:rsidRPr="00696CB1">
        <w:rPr>
          <w:szCs w:val="22"/>
          <w:lang w:val="lt-LT"/>
        </w:rPr>
        <w:t>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696CB1">
        <w:rPr>
          <w:b/>
          <w:szCs w:val="22"/>
          <w:lang w:val="lt-LT"/>
        </w:rPr>
        <w:t>15.</w:t>
      </w:r>
      <w:r w:rsidRPr="00696CB1">
        <w:rPr>
          <w:b/>
          <w:szCs w:val="22"/>
          <w:lang w:val="lt-LT"/>
        </w:rPr>
        <w:tab/>
        <w:t>VARTOJIMO INSTRUKCIJA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696CB1">
        <w:rPr>
          <w:b/>
          <w:szCs w:val="22"/>
          <w:lang w:val="lt-LT"/>
        </w:rPr>
        <w:t>16.</w:t>
      </w:r>
      <w:r w:rsidRPr="00696CB1">
        <w:rPr>
          <w:b/>
          <w:szCs w:val="22"/>
          <w:lang w:val="lt-LT"/>
        </w:rPr>
        <w:tab/>
        <w:t>INFORMACIJA BRAILIO RAŠTU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4B0572" w:rsidRPr="00696CB1" w:rsidRDefault="004B0572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</w:t>
      </w:r>
      <w:r w:rsidR="00027861" w:rsidRPr="00696CB1">
        <w:rPr>
          <w:szCs w:val="22"/>
          <w:lang w:val="lt-LT"/>
        </w:rPr>
        <w:t>250 mg</w:t>
      </w:r>
    </w:p>
    <w:p w:rsidR="00082583" w:rsidRPr="00696CB1" w:rsidRDefault="00082583" w:rsidP="00696CB1">
      <w:pPr>
        <w:widowControl w:val="0"/>
        <w:spacing w:line="240" w:lineRule="auto"/>
        <w:rPr>
          <w:szCs w:val="22"/>
          <w:lang w:val="lt-LT"/>
        </w:rPr>
      </w:pPr>
    </w:p>
    <w:p w:rsidR="00082583" w:rsidRPr="00696CB1" w:rsidRDefault="00082583" w:rsidP="00696CB1">
      <w:pPr>
        <w:widowControl w:val="0"/>
        <w:spacing w:line="240" w:lineRule="auto"/>
        <w:rPr>
          <w:snapToGrid/>
          <w:szCs w:val="22"/>
          <w:shd w:val="clear" w:color="auto" w:fill="CCCCCC"/>
          <w:lang w:val="lt-LT"/>
        </w:rPr>
      </w:pPr>
    </w:p>
    <w:p w:rsidR="00082583" w:rsidRPr="00696CB1" w:rsidRDefault="0008258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szCs w:val="22"/>
          <w:lang w:val="lt-LT"/>
        </w:rPr>
      </w:pPr>
      <w:r w:rsidRPr="00696CB1">
        <w:rPr>
          <w:b/>
          <w:szCs w:val="22"/>
          <w:lang w:val="lt-LT"/>
        </w:rPr>
        <w:t>17.</w:t>
      </w:r>
      <w:r w:rsidRPr="00696CB1">
        <w:rPr>
          <w:b/>
          <w:szCs w:val="22"/>
          <w:lang w:val="lt-LT"/>
        </w:rPr>
        <w:tab/>
        <w:t>UNIKALUS IDENTIFIKATORIUS – 2D BRŪKŠNINIS KODAS</w:t>
      </w:r>
    </w:p>
    <w:p w:rsidR="00082583" w:rsidRPr="00696CB1" w:rsidRDefault="00082583" w:rsidP="00696CB1">
      <w:pPr>
        <w:widowControl w:val="0"/>
        <w:spacing w:line="240" w:lineRule="auto"/>
        <w:rPr>
          <w:szCs w:val="22"/>
          <w:lang w:val="lt-LT"/>
        </w:rPr>
      </w:pPr>
    </w:p>
    <w:p w:rsidR="00082583" w:rsidRPr="00696CB1" w:rsidRDefault="00082583" w:rsidP="00696CB1">
      <w:pPr>
        <w:widowControl w:val="0"/>
        <w:spacing w:line="240" w:lineRule="auto"/>
        <w:rPr>
          <w:szCs w:val="22"/>
          <w:shd w:val="clear" w:color="auto" w:fill="CCCCCC"/>
          <w:lang w:val="lt-LT"/>
        </w:rPr>
      </w:pPr>
      <w:r w:rsidRPr="00696CB1">
        <w:rPr>
          <w:highlight w:val="lightGray"/>
          <w:lang w:val="lt-LT"/>
        </w:rPr>
        <w:t>2D brūkšninis kodas su nurod</w:t>
      </w:r>
      <w:r w:rsidR="004B0572" w:rsidRPr="00696CB1">
        <w:rPr>
          <w:highlight w:val="lightGray"/>
          <w:lang w:val="lt-LT"/>
        </w:rPr>
        <w:t>ytu unikaliu identifikatoriumi.</w:t>
      </w:r>
    </w:p>
    <w:p w:rsidR="00082583" w:rsidRPr="00696CB1" w:rsidRDefault="00082583" w:rsidP="00696CB1">
      <w:pPr>
        <w:widowControl w:val="0"/>
        <w:spacing w:line="240" w:lineRule="auto"/>
        <w:rPr>
          <w:szCs w:val="22"/>
          <w:shd w:val="clear" w:color="auto" w:fill="CCCCCC"/>
          <w:lang w:val="lt-LT"/>
        </w:rPr>
      </w:pPr>
    </w:p>
    <w:p w:rsidR="00082583" w:rsidRPr="00696CB1" w:rsidRDefault="00082583" w:rsidP="00696CB1">
      <w:pPr>
        <w:widowControl w:val="0"/>
        <w:spacing w:line="240" w:lineRule="auto"/>
        <w:rPr>
          <w:szCs w:val="22"/>
          <w:lang w:val="lt-LT"/>
        </w:rPr>
      </w:pPr>
    </w:p>
    <w:p w:rsidR="00082583" w:rsidRPr="00696CB1" w:rsidRDefault="0008258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szCs w:val="22"/>
          <w:lang w:val="lt-LT"/>
        </w:rPr>
      </w:pPr>
      <w:r w:rsidRPr="00696CB1">
        <w:rPr>
          <w:b/>
          <w:szCs w:val="22"/>
          <w:lang w:val="lt-LT"/>
        </w:rPr>
        <w:t>18.</w:t>
      </w:r>
      <w:r w:rsidRPr="00696CB1">
        <w:rPr>
          <w:b/>
          <w:szCs w:val="22"/>
          <w:lang w:val="lt-LT"/>
        </w:rPr>
        <w:tab/>
        <w:t>UNIKALUS IDENTIFIKATORIUS – ŽMONĖMS SUPRANTAMI DUOMENYS</w:t>
      </w:r>
    </w:p>
    <w:p w:rsidR="00082583" w:rsidRPr="00696CB1" w:rsidRDefault="00082583" w:rsidP="00696CB1">
      <w:pPr>
        <w:widowControl w:val="0"/>
        <w:spacing w:line="240" w:lineRule="auto"/>
        <w:rPr>
          <w:szCs w:val="22"/>
          <w:lang w:val="lt-LT"/>
        </w:rPr>
      </w:pPr>
    </w:p>
    <w:p w:rsidR="004B0572" w:rsidRPr="00696CB1" w:rsidRDefault="0008258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PC</w:t>
      </w:r>
    </w:p>
    <w:p w:rsidR="004B0572" w:rsidRPr="00696CB1" w:rsidRDefault="0008258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SN</w:t>
      </w:r>
    </w:p>
    <w:p w:rsidR="004B0572" w:rsidRPr="00696CB1" w:rsidRDefault="00082583" w:rsidP="00696CB1">
      <w:pPr>
        <w:widowControl w:val="0"/>
        <w:spacing w:line="240" w:lineRule="auto"/>
        <w:rPr>
          <w:highlight w:val="lightGray"/>
          <w:lang w:val="lt-LT"/>
        </w:rPr>
      </w:pPr>
      <w:r w:rsidRPr="00696CB1">
        <w:rPr>
          <w:highlight w:val="lightGray"/>
          <w:lang w:val="lt-LT"/>
        </w:rPr>
        <w:t>NN</w:t>
      </w:r>
    </w:p>
    <w:p w:rsidR="00082583" w:rsidRPr="00696CB1" w:rsidRDefault="00082583" w:rsidP="00696CB1">
      <w:pPr>
        <w:widowControl w:val="0"/>
        <w:spacing w:line="240" w:lineRule="auto"/>
        <w:rPr>
          <w:vanish/>
          <w:szCs w:val="22"/>
          <w:lang w:val="lt-LT"/>
        </w:rPr>
      </w:pPr>
    </w:p>
    <w:p w:rsidR="00082583" w:rsidRPr="00696CB1" w:rsidRDefault="0008258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br w:type="page"/>
      </w: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lastRenderedPageBreak/>
        <w:t>MINIMALI INFORMACIJA ANT LIZDINIŲ PLOKŠTELIŲ ARBA DVISLUOKSNIŲ JUOSTELIŲ</w:t>
      </w: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:rsidR="00F34163" w:rsidRPr="00696CB1" w:rsidRDefault="00583D4D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LIZDINĖ PLOKŠTELĖ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1.</w:t>
      </w:r>
      <w:r w:rsidRPr="00696CB1">
        <w:rPr>
          <w:b/>
          <w:szCs w:val="22"/>
          <w:lang w:val="lt-LT"/>
        </w:rPr>
        <w:tab/>
      </w:r>
      <w:r w:rsidRPr="00696CB1">
        <w:rPr>
          <w:b/>
          <w:caps/>
          <w:szCs w:val="22"/>
          <w:lang w:val="lt-LT"/>
        </w:rPr>
        <w:t>VAISTINIO</w:t>
      </w:r>
      <w:r w:rsidRPr="00696CB1">
        <w:rPr>
          <w:b/>
          <w:szCs w:val="22"/>
          <w:lang w:val="lt-LT"/>
        </w:rPr>
        <w:t xml:space="preserve"> PREPARATO PAVADINIMAS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4B0572" w:rsidRPr="00696CB1" w:rsidRDefault="004B0572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250 mg tabletės</w:t>
      </w:r>
      <w:r w:rsidRPr="00696CB1">
        <w:rPr>
          <w:szCs w:val="22"/>
          <w:lang w:val="lt-LT"/>
        </w:rPr>
        <w:cr/>
      </w:r>
      <w:proofErr w:type="spellStart"/>
      <w:r w:rsidRPr="00696CB1">
        <w:rPr>
          <w:szCs w:val="22"/>
          <w:lang w:val="lt-LT"/>
        </w:rPr>
        <w:t>gefitinibas</w:t>
      </w:r>
      <w:proofErr w:type="spellEnd"/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2.</w:t>
      </w:r>
      <w:r w:rsidRPr="00696CB1">
        <w:rPr>
          <w:b/>
          <w:szCs w:val="22"/>
          <w:lang w:val="lt-LT"/>
        </w:rPr>
        <w:tab/>
      </w:r>
      <w:r w:rsidR="00461F31" w:rsidRPr="00696CB1">
        <w:rPr>
          <w:b/>
          <w:caps/>
          <w:szCs w:val="22"/>
          <w:lang w:val="lt-LT"/>
        </w:rPr>
        <w:t>REGISTRUOTOJO</w:t>
      </w:r>
      <w:r w:rsidRPr="00696CB1">
        <w:rPr>
          <w:b/>
          <w:caps/>
          <w:szCs w:val="22"/>
          <w:lang w:val="lt-LT"/>
        </w:rPr>
        <w:t xml:space="preserve"> pavadinimas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3E5249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KRKA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3.</w:t>
      </w:r>
      <w:r w:rsidRPr="00696CB1">
        <w:rPr>
          <w:b/>
          <w:szCs w:val="22"/>
          <w:lang w:val="lt-LT"/>
        </w:rPr>
        <w:tab/>
        <w:t>TINKAMUMO LAIKAS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4B0572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  <w:r w:rsidRPr="00696CB1">
        <w:rPr>
          <w:highlight w:val="lightGray"/>
          <w:lang w:val="lt-LT"/>
        </w:rPr>
        <w:t>EXP</w:t>
      </w:r>
      <w:r w:rsidR="004B0572" w:rsidRPr="00696CB1">
        <w:rPr>
          <w:szCs w:val="22"/>
          <w:lang w:val="lt-LT"/>
        </w:rPr>
        <w:t xml:space="preserve"> {mm/MMMM}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3E6D93" w:rsidRPr="00696CB1" w:rsidRDefault="003E6D9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4.</w:t>
      </w:r>
      <w:r w:rsidRPr="00696CB1">
        <w:rPr>
          <w:b/>
          <w:szCs w:val="22"/>
          <w:lang w:val="lt-LT"/>
        </w:rPr>
        <w:tab/>
        <w:t>SERIJOS NUMERIS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b/>
          <w:szCs w:val="22"/>
          <w:lang w:val="lt-LT"/>
        </w:rPr>
      </w:pPr>
      <w:proofErr w:type="spellStart"/>
      <w:r w:rsidRPr="00696CB1">
        <w:rPr>
          <w:highlight w:val="lightGray"/>
          <w:lang w:val="lt-LT"/>
        </w:rPr>
        <w:t>Lot</w:t>
      </w:r>
      <w:proofErr w:type="spellEnd"/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5.</w:t>
      </w:r>
      <w:r w:rsidRPr="00696CB1">
        <w:rPr>
          <w:b/>
          <w:szCs w:val="22"/>
          <w:lang w:val="lt-LT"/>
        </w:rPr>
        <w:tab/>
        <w:t>KITA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  <w:r w:rsidRPr="00696CB1">
        <w:rPr>
          <w:szCs w:val="22"/>
          <w:lang w:val="lt-LT"/>
        </w:rPr>
        <w:br w:type="page"/>
      </w: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outlineLvl w:val="0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jc w:val="center"/>
        <w:outlineLvl w:val="0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B. PAKUOTĖS LAPELIS</w:t>
      </w:r>
    </w:p>
    <w:p w:rsidR="00F34163" w:rsidRPr="00696CB1" w:rsidRDefault="00F34163" w:rsidP="00696CB1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96CB1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696CB1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696CB1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="00AA26AA" w:rsidRPr="00696CB1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Pr="00696CB1">
        <w:rPr>
          <w:rFonts w:ascii="Times New Roman" w:hAnsi="Times New Roman"/>
          <w:i w:val="0"/>
          <w:sz w:val="22"/>
          <w:szCs w:val="22"/>
          <w:lang w:val="lt-LT"/>
        </w:rPr>
        <w:t>pacientui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AA26AA" w:rsidRPr="00696CB1" w:rsidRDefault="00AA26AA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696CB1">
        <w:rPr>
          <w:b/>
          <w:szCs w:val="22"/>
          <w:lang w:val="lt-LT"/>
        </w:rPr>
        <w:t>Gefitinib</w:t>
      </w:r>
      <w:proofErr w:type="spellEnd"/>
      <w:r w:rsidRPr="00696CB1">
        <w:rPr>
          <w:b/>
          <w:szCs w:val="22"/>
          <w:lang w:val="lt-LT"/>
        </w:rPr>
        <w:t xml:space="preserve"> </w:t>
      </w:r>
      <w:proofErr w:type="spellStart"/>
      <w:r w:rsidR="009E39E4" w:rsidRPr="00696CB1">
        <w:rPr>
          <w:b/>
          <w:szCs w:val="22"/>
          <w:lang w:val="lt-LT"/>
        </w:rPr>
        <w:t>Krka</w:t>
      </w:r>
      <w:proofErr w:type="spellEnd"/>
      <w:r w:rsidRPr="00696CB1">
        <w:rPr>
          <w:b/>
          <w:szCs w:val="22"/>
          <w:lang w:val="lt-LT"/>
        </w:rPr>
        <w:t xml:space="preserve"> 250 mg plėvele dengtos tabletės</w:t>
      </w:r>
      <w:r w:rsidRPr="00696CB1">
        <w:rPr>
          <w:b/>
          <w:szCs w:val="22"/>
          <w:lang w:val="lt-LT"/>
        </w:rPr>
        <w:cr/>
      </w:r>
      <w:proofErr w:type="spellStart"/>
      <w:r w:rsidRPr="00696CB1">
        <w:rPr>
          <w:szCs w:val="22"/>
          <w:lang w:val="lt-LT"/>
        </w:rPr>
        <w:t>gefitinibas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:rsidR="00F34163" w:rsidRPr="00696CB1" w:rsidRDefault="00F34163" w:rsidP="00696CB1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Neišmeskite šio lapelio, nes vėl</w:t>
      </w:r>
      <w:r w:rsidR="00665B69" w:rsidRPr="00696CB1">
        <w:rPr>
          <w:szCs w:val="22"/>
          <w:lang w:val="lt-LT"/>
        </w:rPr>
        <w:t xml:space="preserve"> gali prireikti jį perskaityti.</w:t>
      </w:r>
    </w:p>
    <w:p w:rsidR="00F34163" w:rsidRPr="00696CB1" w:rsidRDefault="00F34163" w:rsidP="00696CB1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kiltų </w:t>
      </w:r>
      <w:r w:rsidR="00AA26AA" w:rsidRPr="00696CB1">
        <w:rPr>
          <w:szCs w:val="22"/>
          <w:lang w:val="lt-LT"/>
        </w:rPr>
        <w:t xml:space="preserve">daugiau klausimų, kreipkitės į </w:t>
      </w:r>
      <w:r w:rsidRPr="00696CB1">
        <w:rPr>
          <w:szCs w:val="22"/>
          <w:lang w:val="lt-LT"/>
        </w:rPr>
        <w:t>gydytoją</w:t>
      </w:r>
      <w:r w:rsidR="00AA26AA" w:rsidRPr="00696CB1">
        <w:rPr>
          <w:szCs w:val="22"/>
          <w:lang w:val="lt-LT"/>
        </w:rPr>
        <w:t xml:space="preserve">, </w:t>
      </w:r>
      <w:r w:rsidRPr="00696CB1">
        <w:rPr>
          <w:szCs w:val="22"/>
          <w:lang w:val="lt-LT"/>
        </w:rPr>
        <w:t>vaistininką</w:t>
      </w:r>
      <w:r w:rsidR="00AA26AA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arba slaugytoją.</w:t>
      </w:r>
    </w:p>
    <w:p w:rsidR="00F34163" w:rsidRPr="00696CB1" w:rsidRDefault="00F34163" w:rsidP="00696CB1">
      <w:pPr>
        <w:widowControl w:val="0"/>
        <w:numPr>
          <w:ilvl w:val="0"/>
          <w:numId w:val="10"/>
        </w:numPr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Šis vaistas skirtas tik Jums, todėl kitiems žmonėms jo duoti negalima. Vaistas gali jiems pakenkti (net tiems, kurių ligos požymi</w:t>
      </w:r>
      <w:r w:rsidR="00AA26AA" w:rsidRPr="00696CB1">
        <w:rPr>
          <w:szCs w:val="22"/>
          <w:lang w:val="lt-LT"/>
        </w:rPr>
        <w:t>ai yra tokie patys kaip Jūsų).</w:t>
      </w:r>
    </w:p>
    <w:p w:rsidR="00F34163" w:rsidRPr="00696CB1" w:rsidRDefault="00F34163" w:rsidP="00696CB1">
      <w:pPr>
        <w:widowControl w:val="0"/>
        <w:numPr>
          <w:ilvl w:val="0"/>
          <w:numId w:val="10"/>
        </w:numPr>
        <w:spacing w:line="240" w:lineRule="auto"/>
        <w:ind w:left="567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pasireiškė šalutinis poveikis (net jeigu jis šiame lapelyje nenurodytas), kreipkitės į </w:t>
      </w:r>
      <w:r w:rsidR="00AA26AA" w:rsidRPr="00696CB1">
        <w:rPr>
          <w:szCs w:val="22"/>
          <w:lang w:val="lt-LT"/>
        </w:rPr>
        <w:t>gydytoją, vaistininką arba slaugytoją</w:t>
      </w:r>
      <w:r w:rsidRPr="00696CB1">
        <w:rPr>
          <w:szCs w:val="22"/>
          <w:lang w:val="lt-LT"/>
        </w:rPr>
        <w:t>. Žr. 4</w:t>
      </w:r>
      <w:r w:rsidR="00404FF5" w:rsidRPr="00696CB1">
        <w:rPr>
          <w:szCs w:val="22"/>
          <w:lang w:val="lt-LT"/>
        </w:rPr>
        <w:t> skyri</w:t>
      </w:r>
      <w:r w:rsidR="00AA26AA" w:rsidRPr="00696CB1">
        <w:rPr>
          <w:szCs w:val="22"/>
          <w:lang w:val="lt-LT"/>
        </w:rPr>
        <w:t>ų.</w:t>
      </w:r>
    </w:p>
    <w:p w:rsidR="00F34163" w:rsidRPr="00696CB1" w:rsidRDefault="00F34163" w:rsidP="00696CB1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1.</w:t>
      </w:r>
      <w:r w:rsidRPr="00696CB1">
        <w:rPr>
          <w:szCs w:val="22"/>
          <w:lang w:val="lt-LT"/>
        </w:rPr>
        <w:tab/>
        <w:t xml:space="preserve">Kas yra </w:t>
      </w:r>
      <w:proofErr w:type="spellStart"/>
      <w:r w:rsidR="00E752C8" w:rsidRPr="00696CB1">
        <w:rPr>
          <w:szCs w:val="22"/>
          <w:lang w:val="lt-LT"/>
        </w:rPr>
        <w:t>Gefitinib</w:t>
      </w:r>
      <w:proofErr w:type="spellEnd"/>
      <w:r w:rsidR="00E752C8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1B0129" w:rsidRPr="00696CB1">
        <w:rPr>
          <w:szCs w:val="22"/>
          <w:lang w:val="lt-LT"/>
        </w:rPr>
        <w:t xml:space="preserve"> ir kam jis vartojamas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2.</w:t>
      </w:r>
      <w:r w:rsidRPr="00696CB1">
        <w:rPr>
          <w:szCs w:val="22"/>
          <w:lang w:val="lt-LT"/>
        </w:rPr>
        <w:tab/>
        <w:t xml:space="preserve">Kas žinotina prieš vartojant </w:t>
      </w:r>
      <w:proofErr w:type="spellStart"/>
      <w:r w:rsidR="00E752C8" w:rsidRPr="00696CB1">
        <w:rPr>
          <w:szCs w:val="22"/>
          <w:lang w:val="lt-LT"/>
        </w:rPr>
        <w:t>Gefitinib</w:t>
      </w:r>
      <w:proofErr w:type="spellEnd"/>
      <w:r w:rsidR="00E752C8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3.</w:t>
      </w:r>
      <w:r w:rsidRPr="00696CB1">
        <w:rPr>
          <w:szCs w:val="22"/>
          <w:lang w:val="lt-LT"/>
        </w:rPr>
        <w:tab/>
        <w:t xml:space="preserve">Kaip vartoti </w:t>
      </w:r>
      <w:proofErr w:type="spellStart"/>
      <w:r w:rsidR="00E752C8" w:rsidRPr="00696CB1">
        <w:rPr>
          <w:szCs w:val="22"/>
          <w:lang w:val="lt-LT"/>
        </w:rPr>
        <w:t>Gefitinib</w:t>
      </w:r>
      <w:proofErr w:type="spellEnd"/>
      <w:r w:rsidR="00E752C8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4.</w:t>
      </w:r>
      <w:r w:rsidRPr="00696CB1">
        <w:rPr>
          <w:szCs w:val="22"/>
          <w:lang w:val="lt-LT"/>
        </w:rPr>
        <w:tab/>
        <w:t>Galimas š</w:t>
      </w:r>
      <w:r w:rsidR="001B0129" w:rsidRPr="00696CB1">
        <w:rPr>
          <w:szCs w:val="22"/>
          <w:lang w:val="lt-LT"/>
        </w:rPr>
        <w:t>alutinis poveikis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5.</w:t>
      </w:r>
      <w:r w:rsidRPr="00696CB1">
        <w:rPr>
          <w:szCs w:val="22"/>
          <w:lang w:val="lt-LT"/>
        </w:rPr>
        <w:tab/>
        <w:t xml:space="preserve">Kaip laikyti </w:t>
      </w:r>
      <w:proofErr w:type="spellStart"/>
      <w:r w:rsidR="00E752C8" w:rsidRPr="00696CB1">
        <w:rPr>
          <w:szCs w:val="22"/>
          <w:lang w:val="lt-LT"/>
        </w:rPr>
        <w:t>Gefitinib</w:t>
      </w:r>
      <w:proofErr w:type="spellEnd"/>
      <w:r w:rsidR="00E752C8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6.</w:t>
      </w:r>
      <w:r w:rsidRPr="00696CB1">
        <w:rPr>
          <w:szCs w:val="22"/>
          <w:lang w:val="lt-LT"/>
        </w:rPr>
        <w:tab/>
        <w:t>Pakuotės turinys ir kita informacija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1.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E752C8"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="00E752C8"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752C8" w:rsidRPr="00696CB1" w:rsidRDefault="00E752C8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sudėtyje yra veikliosios medžiagos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>, kuris blokuoja baltymą, vadinamą epidermio augimo faktoriaus receptoriumi (EAFR). Šis baltymas yra svarbus vėžio ląstelių augimui ir sklidimui organizme.</w:t>
      </w:r>
    </w:p>
    <w:p w:rsidR="00E752C8" w:rsidRPr="00696CB1" w:rsidRDefault="00E752C8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E752C8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vartojamas suaugusių pacientų nesmulkiųjų ląstelių plaučių vėžiui gydyti. Šis vėžys – tai liga, kuria sergant plaučio audiniuose atsiranda piktybinių (vėžinių) ląstelių.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752C8" w:rsidRPr="00696CB1" w:rsidRDefault="00E752C8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2.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E752C8"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="00E752C8"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E752C8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  <w:r w:rsidR="00F34163" w:rsidRPr="00696CB1">
        <w:rPr>
          <w:rFonts w:ascii="Times New Roman" w:hAnsi="Times New Roman"/>
          <w:sz w:val="22"/>
          <w:szCs w:val="22"/>
          <w:lang w:val="lt-LT"/>
        </w:rPr>
        <w:t xml:space="preserve"> vartoti negalima:</w:t>
      </w:r>
    </w:p>
    <w:p w:rsidR="00F34163" w:rsidRPr="00696CB1" w:rsidRDefault="00F34163" w:rsidP="00696CB1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yra alergija </w:t>
      </w:r>
      <w:proofErr w:type="spellStart"/>
      <w:r w:rsidR="00A3016B" w:rsidRPr="00696CB1">
        <w:rPr>
          <w:b/>
          <w:szCs w:val="22"/>
          <w:lang w:val="lt-LT"/>
        </w:rPr>
        <w:t>gefitinibui</w:t>
      </w:r>
      <w:proofErr w:type="spellEnd"/>
      <w:r w:rsidR="000E4AA9" w:rsidRPr="00696CB1">
        <w:rPr>
          <w:b/>
          <w:szCs w:val="22"/>
          <w:lang w:val="lt-LT"/>
        </w:rPr>
        <w:t xml:space="preserve"> </w:t>
      </w:r>
      <w:r w:rsidRPr="00696CB1">
        <w:rPr>
          <w:b/>
          <w:szCs w:val="22"/>
          <w:lang w:val="lt-LT"/>
        </w:rPr>
        <w:t>arba bet kuriai pagalbinei</w:t>
      </w:r>
      <w:r w:rsidRPr="00696CB1">
        <w:rPr>
          <w:szCs w:val="22"/>
          <w:lang w:val="lt-LT"/>
        </w:rPr>
        <w:t xml:space="preserve"> šio vaisto </w:t>
      </w:r>
      <w:r w:rsidRPr="00696CB1">
        <w:rPr>
          <w:b/>
          <w:szCs w:val="22"/>
          <w:lang w:val="lt-LT"/>
        </w:rPr>
        <w:t>medžiagai</w:t>
      </w:r>
      <w:r w:rsidRPr="00696CB1">
        <w:rPr>
          <w:szCs w:val="22"/>
          <w:lang w:val="lt-LT"/>
        </w:rPr>
        <w:t xml:space="preserve"> (jos išvardytos 6</w:t>
      </w:r>
      <w:r w:rsidR="00404FF5" w:rsidRPr="00696CB1">
        <w:rPr>
          <w:szCs w:val="22"/>
          <w:lang w:val="lt-LT"/>
        </w:rPr>
        <w:t> skyri</w:t>
      </w:r>
      <w:r w:rsidR="00A3016B" w:rsidRPr="00696CB1">
        <w:rPr>
          <w:szCs w:val="22"/>
          <w:lang w:val="lt-LT"/>
        </w:rPr>
        <w:t>uje</w:t>
      </w:r>
      <w:r w:rsidR="000E4AA9" w:rsidRPr="00696CB1">
        <w:rPr>
          <w:szCs w:val="22"/>
          <w:lang w:val="lt-LT"/>
        </w:rPr>
        <w:t>, „</w:t>
      </w:r>
      <w:proofErr w:type="spellStart"/>
      <w:r w:rsidR="000E4AA9" w:rsidRPr="00696CB1">
        <w:rPr>
          <w:szCs w:val="22"/>
          <w:lang w:val="lt-LT"/>
        </w:rPr>
        <w:t>Gefitinib</w:t>
      </w:r>
      <w:proofErr w:type="spellEnd"/>
      <w:r w:rsidR="000E4AA9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0E4AA9" w:rsidRPr="00696CB1">
        <w:rPr>
          <w:szCs w:val="22"/>
          <w:lang w:val="lt-LT"/>
        </w:rPr>
        <w:t xml:space="preserve"> sudėtis“</w:t>
      </w:r>
      <w:r w:rsidR="00A3016B" w:rsidRPr="00696CB1">
        <w:rPr>
          <w:szCs w:val="22"/>
          <w:lang w:val="lt-LT"/>
        </w:rPr>
        <w:t>);</w:t>
      </w:r>
    </w:p>
    <w:p w:rsidR="00A3016B" w:rsidRPr="00696CB1" w:rsidRDefault="00A3016B" w:rsidP="00696CB1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</w:t>
      </w:r>
      <w:r w:rsidRPr="00696CB1">
        <w:rPr>
          <w:b/>
          <w:szCs w:val="22"/>
          <w:lang w:val="lt-LT"/>
        </w:rPr>
        <w:t>maitinate krūtimi</w:t>
      </w:r>
      <w:r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Į</w:t>
      </w:r>
      <w:r w:rsidR="00A146CB" w:rsidRPr="00696CB1">
        <w:rPr>
          <w:rFonts w:ascii="Times New Roman" w:hAnsi="Times New Roman"/>
          <w:sz w:val="22"/>
          <w:szCs w:val="22"/>
          <w:lang w:val="lt-LT"/>
        </w:rPr>
        <w:t>spėjimai ir atsargumo priemonės</w:t>
      </w:r>
    </w:p>
    <w:p w:rsidR="00F34163" w:rsidRPr="00696CB1" w:rsidRDefault="000E4AA9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Pasitarkite su gydytoju </w:t>
      </w:r>
      <w:r w:rsidR="00F34163" w:rsidRPr="00696CB1">
        <w:rPr>
          <w:szCs w:val="22"/>
          <w:lang w:val="lt-LT"/>
        </w:rPr>
        <w:t>arba</w:t>
      </w:r>
      <w:r w:rsidRPr="00696CB1">
        <w:rPr>
          <w:szCs w:val="22"/>
          <w:lang w:val="lt-LT"/>
        </w:rPr>
        <w:t xml:space="preserve"> </w:t>
      </w:r>
      <w:r w:rsidR="00F34163" w:rsidRPr="00696CB1">
        <w:rPr>
          <w:szCs w:val="22"/>
          <w:lang w:val="lt-LT"/>
        </w:rPr>
        <w:t xml:space="preserve">vaistininku, prieš pradėdami vartoti </w:t>
      </w:r>
      <w:proofErr w:type="spellStart"/>
      <w:r w:rsidR="00E752C8" w:rsidRPr="00696CB1">
        <w:rPr>
          <w:szCs w:val="22"/>
          <w:lang w:val="lt-LT"/>
        </w:rPr>
        <w:t>Gefitinib</w:t>
      </w:r>
      <w:proofErr w:type="spellEnd"/>
      <w:r w:rsidR="00E752C8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275930" w:rsidRPr="00696CB1">
        <w:rPr>
          <w:szCs w:val="22"/>
          <w:lang w:val="lt-LT"/>
        </w:rPr>
        <w:t>:</w:t>
      </w:r>
    </w:p>
    <w:p w:rsidR="00275930" w:rsidRPr="00696CB1" w:rsidRDefault="00275930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kada nors buvo pasireiškę </w:t>
      </w:r>
      <w:r w:rsidRPr="00696CB1">
        <w:rPr>
          <w:b/>
          <w:szCs w:val="22"/>
          <w:lang w:val="lt-LT"/>
        </w:rPr>
        <w:t>kitokių plaučių sutrikimų.</w:t>
      </w:r>
      <w:r w:rsidRPr="00696CB1">
        <w:rPr>
          <w:szCs w:val="22"/>
          <w:lang w:val="lt-LT"/>
        </w:rPr>
        <w:t xml:space="preserve"> Kai kurie plaučių sutrikimai vartojant </w:t>
      </w: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gali pasunkėti;</w:t>
      </w:r>
    </w:p>
    <w:p w:rsidR="00F34163" w:rsidRPr="00696CB1" w:rsidRDefault="00275930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kada nors buvo </w:t>
      </w:r>
      <w:r w:rsidRPr="00696CB1">
        <w:rPr>
          <w:b/>
          <w:szCs w:val="22"/>
          <w:lang w:val="lt-LT"/>
        </w:rPr>
        <w:t>kepenų sutrikimų</w:t>
      </w:r>
      <w:r w:rsidRPr="00696CB1">
        <w:rPr>
          <w:szCs w:val="22"/>
          <w:lang w:val="lt-LT"/>
        </w:rPr>
        <w:t>.</w:t>
      </w:r>
    </w:p>
    <w:p w:rsidR="00073311" w:rsidRPr="00696CB1" w:rsidRDefault="00073311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275930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Vaikams ir paaugliams</w:t>
      </w:r>
    </w:p>
    <w:p w:rsidR="00F34163" w:rsidRPr="00696CB1" w:rsidRDefault="00C23E74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nėra skirtas vartoti vaikams ir paaugliams iki 18 metų.</w:t>
      </w:r>
    </w:p>
    <w:p w:rsidR="00C23E74" w:rsidRPr="00696CB1" w:rsidRDefault="00C23E74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="00E752C8"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="00E752C8"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Jeigu vartojate ar neseniai vartojote kitų vaistų arba dėl to nes</w:t>
      </w:r>
      <w:r w:rsidR="00555122" w:rsidRPr="00696CB1">
        <w:rPr>
          <w:szCs w:val="22"/>
          <w:lang w:val="lt-LT"/>
        </w:rPr>
        <w:t xml:space="preserve">ate tikri, apie tai pasakykite </w:t>
      </w:r>
      <w:r w:rsidRPr="00696CB1">
        <w:rPr>
          <w:szCs w:val="22"/>
          <w:lang w:val="lt-LT"/>
        </w:rPr>
        <w:t>gydytojui</w:t>
      </w:r>
      <w:r w:rsidR="00555122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arba</w:t>
      </w:r>
      <w:r w:rsidR="00555122" w:rsidRPr="00696CB1">
        <w:rPr>
          <w:szCs w:val="22"/>
          <w:lang w:val="lt-LT"/>
        </w:rPr>
        <w:t xml:space="preserve"> vaistininkui.</w:t>
      </w:r>
    </w:p>
    <w:p w:rsidR="00555122" w:rsidRPr="00696CB1" w:rsidRDefault="00555122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55122" w:rsidRPr="00696CB1" w:rsidRDefault="00555122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Gydytojui arba vaistininkui ypač svarbu pasakyti, jeigu vartojate:</w:t>
      </w:r>
    </w:p>
    <w:p w:rsidR="00555122" w:rsidRPr="00696CB1" w:rsidRDefault="002F47FE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696CB1">
        <w:rPr>
          <w:b/>
          <w:szCs w:val="22"/>
          <w:lang w:val="lt-LT"/>
        </w:rPr>
        <w:t>F</w:t>
      </w:r>
      <w:r w:rsidR="00555122" w:rsidRPr="00696CB1">
        <w:rPr>
          <w:b/>
          <w:szCs w:val="22"/>
          <w:lang w:val="lt-LT"/>
        </w:rPr>
        <w:t>enitoiną</w:t>
      </w:r>
      <w:proofErr w:type="spellEnd"/>
      <w:r w:rsidR="00555122" w:rsidRPr="00696CB1">
        <w:rPr>
          <w:szCs w:val="22"/>
          <w:lang w:val="lt-LT"/>
        </w:rPr>
        <w:t xml:space="preserve"> arba </w:t>
      </w:r>
      <w:proofErr w:type="spellStart"/>
      <w:r w:rsidR="00555122" w:rsidRPr="00696CB1">
        <w:rPr>
          <w:b/>
          <w:szCs w:val="22"/>
          <w:lang w:val="lt-LT"/>
        </w:rPr>
        <w:t>karbamazepiną</w:t>
      </w:r>
      <w:proofErr w:type="spellEnd"/>
      <w:r w:rsidR="00555122" w:rsidRPr="00696CB1">
        <w:rPr>
          <w:szCs w:val="22"/>
          <w:lang w:val="lt-LT"/>
        </w:rPr>
        <w:t xml:space="preserve"> (nuo epilepsijos);</w:t>
      </w:r>
    </w:p>
    <w:p w:rsidR="00555122" w:rsidRPr="00696CB1" w:rsidRDefault="002F47FE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696CB1">
        <w:rPr>
          <w:b/>
          <w:szCs w:val="22"/>
          <w:lang w:val="lt-LT"/>
        </w:rPr>
        <w:t>R</w:t>
      </w:r>
      <w:r w:rsidR="00555122" w:rsidRPr="00696CB1">
        <w:rPr>
          <w:b/>
          <w:szCs w:val="22"/>
          <w:lang w:val="lt-LT"/>
        </w:rPr>
        <w:t>ifampiciną</w:t>
      </w:r>
      <w:proofErr w:type="spellEnd"/>
      <w:r w:rsidR="00555122" w:rsidRPr="00696CB1">
        <w:rPr>
          <w:szCs w:val="22"/>
          <w:lang w:val="lt-LT"/>
        </w:rPr>
        <w:t xml:space="preserve"> (nuo tuberkuliozės);</w:t>
      </w:r>
    </w:p>
    <w:p w:rsidR="00555122" w:rsidRPr="00696CB1" w:rsidRDefault="002F47FE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696CB1">
        <w:rPr>
          <w:b/>
          <w:szCs w:val="22"/>
          <w:lang w:val="lt-LT"/>
        </w:rPr>
        <w:lastRenderedPageBreak/>
        <w:t>I</w:t>
      </w:r>
      <w:r w:rsidR="00555122" w:rsidRPr="00696CB1">
        <w:rPr>
          <w:b/>
          <w:szCs w:val="22"/>
          <w:lang w:val="lt-LT"/>
        </w:rPr>
        <w:t>trakonazolą</w:t>
      </w:r>
      <w:proofErr w:type="spellEnd"/>
      <w:r w:rsidR="00555122" w:rsidRPr="00696CB1">
        <w:rPr>
          <w:szCs w:val="22"/>
          <w:lang w:val="lt-LT"/>
        </w:rPr>
        <w:t xml:space="preserve"> (nuo grybelių infekcijos);</w:t>
      </w:r>
    </w:p>
    <w:p w:rsidR="00555122" w:rsidRPr="00696CB1" w:rsidRDefault="002F47FE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b/>
          <w:szCs w:val="22"/>
          <w:lang w:val="lt-LT"/>
        </w:rPr>
        <w:t>B</w:t>
      </w:r>
      <w:r w:rsidR="00555122" w:rsidRPr="00696CB1">
        <w:rPr>
          <w:b/>
          <w:szCs w:val="22"/>
          <w:lang w:val="lt-LT"/>
        </w:rPr>
        <w:t>arbitūratus</w:t>
      </w:r>
      <w:r w:rsidR="00555122" w:rsidRPr="00696CB1">
        <w:rPr>
          <w:szCs w:val="22"/>
          <w:lang w:val="lt-LT"/>
        </w:rPr>
        <w:t xml:space="preserve"> (vaistus nuo miego sutrikimų);</w:t>
      </w:r>
    </w:p>
    <w:p w:rsidR="00555122" w:rsidRPr="00696CB1" w:rsidRDefault="002F47FE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Ž</w:t>
      </w:r>
      <w:r w:rsidR="00555122" w:rsidRPr="00696CB1">
        <w:rPr>
          <w:szCs w:val="22"/>
          <w:lang w:val="lt-LT"/>
        </w:rPr>
        <w:t>olini</w:t>
      </w:r>
      <w:r w:rsidR="00EF167F" w:rsidRPr="00696CB1">
        <w:rPr>
          <w:szCs w:val="22"/>
          <w:lang w:val="lt-LT"/>
        </w:rPr>
        <w:t>us preparatu</w:t>
      </w:r>
      <w:r w:rsidR="00555122" w:rsidRPr="00696CB1">
        <w:rPr>
          <w:szCs w:val="22"/>
          <w:lang w:val="lt-LT"/>
        </w:rPr>
        <w:t xml:space="preserve">, kurių sudėtyje yra </w:t>
      </w:r>
      <w:r w:rsidR="00EF167F" w:rsidRPr="00696CB1">
        <w:rPr>
          <w:b/>
          <w:szCs w:val="22"/>
          <w:lang w:val="lt-LT"/>
        </w:rPr>
        <w:t xml:space="preserve">paprastosios </w:t>
      </w:r>
      <w:r w:rsidR="00555122" w:rsidRPr="00696CB1">
        <w:rPr>
          <w:b/>
          <w:szCs w:val="22"/>
          <w:lang w:val="lt-LT"/>
        </w:rPr>
        <w:t>jonažolės</w:t>
      </w:r>
      <w:r w:rsidR="00555122" w:rsidRPr="00696CB1">
        <w:rPr>
          <w:szCs w:val="22"/>
          <w:lang w:val="lt-LT"/>
        </w:rPr>
        <w:t xml:space="preserve"> (</w:t>
      </w:r>
      <w:proofErr w:type="spellStart"/>
      <w:r w:rsidR="00555122" w:rsidRPr="00696CB1">
        <w:rPr>
          <w:i/>
          <w:szCs w:val="22"/>
          <w:lang w:val="lt-LT"/>
        </w:rPr>
        <w:t>Hypericum</w:t>
      </w:r>
      <w:proofErr w:type="spellEnd"/>
      <w:r w:rsidR="00555122" w:rsidRPr="00696CB1">
        <w:rPr>
          <w:i/>
          <w:szCs w:val="22"/>
          <w:lang w:val="lt-LT"/>
        </w:rPr>
        <w:t xml:space="preserve"> </w:t>
      </w:r>
      <w:proofErr w:type="spellStart"/>
      <w:r w:rsidR="00555122" w:rsidRPr="00696CB1">
        <w:rPr>
          <w:i/>
          <w:szCs w:val="22"/>
          <w:lang w:val="lt-LT"/>
        </w:rPr>
        <w:t>perforatum</w:t>
      </w:r>
      <w:proofErr w:type="spellEnd"/>
      <w:r w:rsidR="00555122" w:rsidRPr="00696CB1">
        <w:rPr>
          <w:szCs w:val="22"/>
          <w:lang w:val="lt-LT"/>
        </w:rPr>
        <w:t>, kuri vartojama nuo</w:t>
      </w:r>
      <w:r w:rsidR="00EF167F" w:rsidRPr="00696CB1">
        <w:rPr>
          <w:szCs w:val="22"/>
          <w:lang w:val="lt-LT"/>
        </w:rPr>
        <w:t xml:space="preserve"> </w:t>
      </w:r>
      <w:r w:rsidR="00555122" w:rsidRPr="00696CB1">
        <w:rPr>
          <w:szCs w:val="22"/>
          <w:lang w:val="lt-LT"/>
        </w:rPr>
        <w:t>depresijos ir nerimo);</w:t>
      </w:r>
    </w:p>
    <w:p w:rsidR="00EF167F" w:rsidRPr="00696CB1" w:rsidRDefault="002F47FE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b/>
          <w:szCs w:val="22"/>
          <w:lang w:val="lt-LT"/>
        </w:rPr>
        <w:t>P</w:t>
      </w:r>
      <w:r w:rsidR="00555122" w:rsidRPr="00696CB1">
        <w:rPr>
          <w:b/>
          <w:szCs w:val="22"/>
          <w:lang w:val="lt-LT"/>
        </w:rPr>
        <w:t>rotonų siurblį slopinanči</w:t>
      </w:r>
      <w:r w:rsidR="00EF167F" w:rsidRPr="00696CB1">
        <w:rPr>
          <w:b/>
          <w:szCs w:val="22"/>
          <w:lang w:val="lt-LT"/>
        </w:rPr>
        <w:t xml:space="preserve">us </w:t>
      </w:r>
      <w:r w:rsidR="00555122" w:rsidRPr="00696CB1">
        <w:rPr>
          <w:b/>
          <w:szCs w:val="22"/>
          <w:lang w:val="lt-LT"/>
        </w:rPr>
        <w:t>vaist</w:t>
      </w:r>
      <w:r w:rsidR="00EF167F" w:rsidRPr="00696CB1">
        <w:rPr>
          <w:b/>
          <w:szCs w:val="22"/>
          <w:lang w:val="lt-LT"/>
        </w:rPr>
        <w:t>us</w:t>
      </w:r>
      <w:r w:rsidR="00555122" w:rsidRPr="00696CB1">
        <w:rPr>
          <w:szCs w:val="22"/>
          <w:lang w:val="lt-LT"/>
        </w:rPr>
        <w:t xml:space="preserve">, </w:t>
      </w:r>
      <w:r w:rsidR="00555122" w:rsidRPr="00696CB1">
        <w:rPr>
          <w:b/>
          <w:szCs w:val="22"/>
          <w:lang w:val="lt-LT"/>
        </w:rPr>
        <w:t>H</w:t>
      </w:r>
      <w:r w:rsidR="00555122" w:rsidRPr="00696CB1">
        <w:rPr>
          <w:b/>
          <w:szCs w:val="22"/>
          <w:vertAlign w:val="subscript"/>
          <w:lang w:val="lt-LT"/>
        </w:rPr>
        <w:t>2</w:t>
      </w:r>
      <w:r w:rsidR="00555122" w:rsidRPr="00696CB1">
        <w:rPr>
          <w:b/>
          <w:szCs w:val="22"/>
          <w:lang w:val="lt-LT"/>
        </w:rPr>
        <w:t xml:space="preserve"> antagonistus</w:t>
      </w:r>
      <w:r w:rsidR="00555122" w:rsidRPr="00696CB1">
        <w:rPr>
          <w:szCs w:val="22"/>
          <w:lang w:val="lt-LT"/>
        </w:rPr>
        <w:t xml:space="preserve"> ar </w:t>
      </w:r>
      <w:proofErr w:type="spellStart"/>
      <w:r w:rsidR="00EF167F" w:rsidRPr="00696CB1">
        <w:rPr>
          <w:b/>
          <w:szCs w:val="22"/>
          <w:lang w:val="lt-LT"/>
        </w:rPr>
        <w:t>antacidinius</w:t>
      </w:r>
      <w:proofErr w:type="spellEnd"/>
      <w:r w:rsidR="00555122" w:rsidRPr="00696CB1">
        <w:rPr>
          <w:b/>
          <w:szCs w:val="22"/>
          <w:lang w:val="lt-LT"/>
        </w:rPr>
        <w:t xml:space="preserve"> vaistus</w:t>
      </w:r>
      <w:r w:rsidR="00EF167F" w:rsidRPr="00696CB1">
        <w:rPr>
          <w:szCs w:val="22"/>
          <w:lang w:val="lt-LT"/>
        </w:rPr>
        <w:t xml:space="preserve"> </w:t>
      </w:r>
      <w:r w:rsidR="00555122" w:rsidRPr="00696CB1">
        <w:rPr>
          <w:szCs w:val="22"/>
          <w:lang w:val="lt-LT"/>
        </w:rPr>
        <w:t>(nuo op</w:t>
      </w:r>
      <w:r w:rsidR="00C16F78" w:rsidRPr="00696CB1">
        <w:rPr>
          <w:szCs w:val="22"/>
          <w:lang w:val="lt-LT"/>
        </w:rPr>
        <w:t>ų</w:t>
      </w:r>
      <w:r w:rsidR="00555122" w:rsidRPr="00696CB1">
        <w:rPr>
          <w:szCs w:val="22"/>
          <w:lang w:val="lt-LT"/>
        </w:rPr>
        <w:t xml:space="preserve">, </w:t>
      </w:r>
      <w:proofErr w:type="spellStart"/>
      <w:r w:rsidR="00555122" w:rsidRPr="00696CB1">
        <w:rPr>
          <w:szCs w:val="22"/>
          <w:lang w:val="lt-LT"/>
        </w:rPr>
        <w:t>nevirškinimo</w:t>
      </w:r>
      <w:proofErr w:type="spellEnd"/>
      <w:r w:rsidR="00555122" w:rsidRPr="00696CB1">
        <w:rPr>
          <w:szCs w:val="22"/>
          <w:lang w:val="lt-LT"/>
        </w:rPr>
        <w:t>, rėmens</w:t>
      </w:r>
      <w:r w:rsidR="00EF167F" w:rsidRPr="00696CB1">
        <w:rPr>
          <w:szCs w:val="22"/>
          <w:lang w:val="lt-LT"/>
        </w:rPr>
        <w:t xml:space="preserve"> bei</w:t>
      </w:r>
      <w:r w:rsidR="00555122" w:rsidRPr="00696CB1">
        <w:rPr>
          <w:szCs w:val="22"/>
          <w:lang w:val="lt-LT"/>
        </w:rPr>
        <w:t xml:space="preserve"> rūgšties kiekiui skrandyje sumažinti)</w:t>
      </w:r>
      <w:r w:rsidR="00EF167F" w:rsidRPr="00696CB1">
        <w:rPr>
          <w:szCs w:val="22"/>
          <w:lang w:val="lt-LT"/>
        </w:rPr>
        <w:t>.</w:t>
      </w:r>
    </w:p>
    <w:p w:rsidR="00555122" w:rsidRPr="00696CB1" w:rsidRDefault="00EF167F" w:rsidP="00696CB1">
      <w:pPr>
        <w:widowControl w:val="0"/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Š</w:t>
      </w:r>
      <w:r w:rsidR="00555122" w:rsidRPr="00696CB1">
        <w:rPr>
          <w:szCs w:val="22"/>
          <w:lang w:val="lt-LT"/>
        </w:rPr>
        <w:t xml:space="preserve">ie vaistai gali turėti įtakos </w:t>
      </w: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poveikiui</w:t>
      </w:r>
      <w:r w:rsidR="00303F24" w:rsidRPr="00696CB1">
        <w:rPr>
          <w:szCs w:val="22"/>
          <w:lang w:val="lt-LT"/>
        </w:rPr>
        <w:t>.</w:t>
      </w:r>
    </w:p>
    <w:p w:rsidR="00555122" w:rsidRPr="00696CB1" w:rsidRDefault="00C16F78" w:rsidP="00696CB1">
      <w:pPr>
        <w:widowControl w:val="0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696CB1">
        <w:rPr>
          <w:b/>
          <w:szCs w:val="22"/>
          <w:lang w:val="lt-LT"/>
        </w:rPr>
        <w:t>V</w:t>
      </w:r>
      <w:r w:rsidR="00555122" w:rsidRPr="00696CB1">
        <w:rPr>
          <w:b/>
          <w:szCs w:val="22"/>
          <w:lang w:val="lt-LT"/>
        </w:rPr>
        <w:t>arfariną</w:t>
      </w:r>
      <w:proofErr w:type="spellEnd"/>
      <w:r w:rsidR="00555122" w:rsidRPr="00696CB1">
        <w:rPr>
          <w:szCs w:val="22"/>
          <w:lang w:val="lt-LT"/>
        </w:rPr>
        <w:t xml:space="preserve"> (jis vadinamas geriamuoju antikoaguliantu ir</w:t>
      </w:r>
      <w:r w:rsidR="00EF167F" w:rsidRPr="00696CB1">
        <w:rPr>
          <w:szCs w:val="22"/>
          <w:lang w:val="lt-LT"/>
        </w:rPr>
        <w:t xml:space="preserve"> </w:t>
      </w:r>
      <w:r w:rsidR="00555122" w:rsidRPr="00696CB1">
        <w:rPr>
          <w:szCs w:val="22"/>
          <w:lang w:val="lt-LT"/>
        </w:rPr>
        <w:t>vartojamas norint išvengti kraujo krešulių susidarymo). Jeigu vartojate vaistą, kurio sudėtyje yra</w:t>
      </w:r>
      <w:r w:rsidR="00EF167F" w:rsidRPr="00696CB1">
        <w:rPr>
          <w:szCs w:val="22"/>
          <w:lang w:val="lt-LT"/>
        </w:rPr>
        <w:t xml:space="preserve"> </w:t>
      </w:r>
      <w:r w:rsidR="00555122" w:rsidRPr="00696CB1">
        <w:rPr>
          <w:szCs w:val="22"/>
          <w:lang w:val="lt-LT"/>
        </w:rPr>
        <w:t>šios veikliosios medžiagos, gydytojui gali reikėti dažniau tirti kraują.</w:t>
      </w:r>
    </w:p>
    <w:p w:rsidR="00F34163" w:rsidRPr="00696CB1" w:rsidRDefault="00555122" w:rsidP="00696CB1">
      <w:pPr>
        <w:widowControl w:val="0"/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</w:t>
      </w:r>
      <w:r w:rsidR="00EF167F" w:rsidRPr="00696CB1">
        <w:rPr>
          <w:szCs w:val="22"/>
          <w:lang w:val="lt-LT"/>
        </w:rPr>
        <w:t xml:space="preserve">bet </w:t>
      </w:r>
      <w:r w:rsidR="00FD1E75" w:rsidRPr="00696CB1">
        <w:rPr>
          <w:szCs w:val="22"/>
          <w:lang w:val="lt-LT"/>
        </w:rPr>
        <w:t>kuri</w:t>
      </w:r>
      <w:r w:rsidR="00EF167F" w:rsidRPr="00696CB1">
        <w:rPr>
          <w:szCs w:val="22"/>
          <w:lang w:val="lt-LT"/>
        </w:rPr>
        <w:t xml:space="preserve"> paminėta būklė Jums tinka arba dėl to abejojate, </w:t>
      </w:r>
      <w:r w:rsidR="00F73BA5" w:rsidRPr="00696CB1">
        <w:rPr>
          <w:szCs w:val="22"/>
          <w:lang w:val="lt-LT"/>
        </w:rPr>
        <w:t>pasitarkite su</w:t>
      </w:r>
      <w:r w:rsidR="00EF167F" w:rsidRPr="00696CB1">
        <w:rPr>
          <w:szCs w:val="22"/>
          <w:lang w:val="lt-LT"/>
        </w:rPr>
        <w:t xml:space="preserve"> g</w:t>
      </w:r>
      <w:r w:rsidRPr="00696CB1">
        <w:rPr>
          <w:szCs w:val="22"/>
          <w:lang w:val="lt-LT"/>
        </w:rPr>
        <w:t xml:space="preserve">ydytojui arba vaistininkui prieš pradėdami vartoti </w:t>
      </w:r>
      <w:proofErr w:type="spellStart"/>
      <w:r w:rsidR="00EF167F" w:rsidRPr="00696CB1">
        <w:rPr>
          <w:szCs w:val="22"/>
          <w:lang w:val="lt-LT"/>
        </w:rPr>
        <w:t>Gefitinib</w:t>
      </w:r>
      <w:proofErr w:type="spellEnd"/>
      <w:r w:rsidR="00EF167F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>.</w:t>
      </w:r>
    </w:p>
    <w:p w:rsidR="00555122" w:rsidRPr="00696CB1" w:rsidRDefault="00555122" w:rsidP="00696CB1">
      <w:pPr>
        <w:widowControl w:val="0"/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Nėštumas</w:t>
      </w:r>
      <w:r w:rsidR="00D96AEE" w:rsidRPr="00696CB1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696CB1">
        <w:rPr>
          <w:rFonts w:ascii="Times New Roman" w:hAnsi="Times New Roman"/>
          <w:sz w:val="22"/>
          <w:szCs w:val="22"/>
          <w:lang w:val="lt-LT"/>
        </w:rPr>
        <w:t xml:space="preserve">žindymo laikotarpis </w:t>
      </w:r>
      <w:r w:rsidR="00D96AEE" w:rsidRPr="00696CB1">
        <w:rPr>
          <w:rFonts w:ascii="Times New Roman" w:hAnsi="Times New Roman"/>
          <w:sz w:val="22"/>
          <w:szCs w:val="22"/>
          <w:lang w:val="lt-LT"/>
        </w:rPr>
        <w:t>ir vaisingumas</w:t>
      </w:r>
    </w:p>
    <w:p w:rsidR="00AD003F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esate nėščia, </w:t>
      </w:r>
      <w:r w:rsidR="00AD003F" w:rsidRPr="00696CB1">
        <w:rPr>
          <w:szCs w:val="22"/>
          <w:lang w:val="lt-LT"/>
        </w:rPr>
        <w:t>galite pastoti arba žindote kūdikį</w:t>
      </w:r>
      <w:r w:rsidRPr="00696CB1">
        <w:rPr>
          <w:szCs w:val="22"/>
          <w:lang w:val="lt-LT"/>
        </w:rPr>
        <w:t>, tai prieš varto</w:t>
      </w:r>
      <w:r w:rsidR="00AD003F" w:rsidRPr="00696CB1">
        <w:rPr>
          <w:szCs w:val="22"/>
          <w:lang w:val="lt-LT"/>
        </w:rPr>
        <w:t xml:space="preserve">dama šį vaistą, pasitarkite su </w:t>
      </w:r>
      <w:r w:rsidRPr="00696CB1">
        <w:rPr>
          <w:szCs w:val="22"/>
          <w:lang w:val="lt-LT"/>
        </w:rPr>
        <w:t>gydytoju</w:t>
      </w:r>
      <w:r w:rsidR="00AD003F" w:rsidRPr="00696CB1">
        <w:rPr>
          <w:szCs w:val="22"/>
          <w:lang w:val="lt-LT"/>
        </w:rPr>
        <w:t>.</w:t>
      </w:r>
    </w:p>
    <w:p w:rsidR="00AD003F" w:rsidRPr="00696CB1" w:rsidRDefault="00AD003F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Vartojant </w:t>
      </w: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>, rekomenduojama vengti pastoti, kadangi šis vaistas gali pakenkti kūdikiui.</w:t>
      </w:r>
    </w:p>
    <w:p w:rsidR="00F34163" w:rsidRPr="00696CB1" w:rsidRDefault="00AD003F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Žindymo laikotarpiu </w:t>
      </w: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vartoti negalima, kadangi tai nesaugu Jūsų kūdikiui.</w:t>
      </w:r>
    </w:p>
    <w:p w:rsidR="00AD003F" w:rsidRPr="00696CB1" w:rsidRDefault="00AD003F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F34163" w:rsidRPr="00696CB1" w:rsidRDefault="002538C8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8F3ACB" w:rsidRPr="00696CB1">
        <w:rPr>
          <w:szCs w:val="22"/>
          <w:lang w:val="lt-LT"/>
        </w:rPr>
        <w:t xml:space="preserve">artodami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Krka</w:t>
      </w:r>
      <w:proofErr w:type="spellEnd"/>
      <w:r>
        <w:rPr>
          <w:szCs w:val="22"/>
          <w:lang w:val="lt-LT"/>
        </w:rPr>
        <w:t>, galite jausti</w:t>
      </w:r>
      <w:r w:rsidR="008F3ACB" w:rsidRPr="00696CB1">
        <w:rPr>
          <w:szCs w:val="22"/>
          <w:lang w:val="lt-LT"/>
        </w:rPr>
        <w:t xml:space="preserve"> silpnumą</w:t>
      </w:r>
      <w:r w:rsidR="006B00B7">
        <w:rPr>
          <w:szCs w:val="22"/>
          <w:lang w:val="lt-LT"/>
        </w:rPr>
        <w:t>.</w:t>
      </w:r>
      <w:r w:rsidR="00372E4E">
        <w:rPr>
          <w:szCs w:val="22"/>
          <w:lang w:val="lt-LT"/>
        </w:rPr>
        <w:t xml:space="preserve"> Jeigu taip atsitiktų, tai</w:t>
      </w:r>
      <w:r w:rsidR="008F3ACB" w:rsidRPr="00696CB1">
        <w:rPr>
          <w:szCs w:val="22"/>
          <w:lang w:val="lt-LT"/>
        </w:rPr>
        <w:t xml:space="preserve"> </w:t>
      </w:r>
      <w:r w:rsidR="00372E4E">
        <w:rPr>
          <w:szCs w:val="22"/>
          <w:lang w:val="lt-LT"/>
        </w:rPr>
        <w:t>ne</w:t>
      </w:r>
      <w:r w:rsidR="008F3ACB" w:rsidRPr="00696CB1">
        <w:rPr>
          <w:szCs w:val="22"/>
          <w:lang w:val="lt-LT"/>
        </w:rPr>
        <w:t>vairuokite</w:t>
      </w:r>
      <w:r w:rsidR="00372E4E">
        <w:rPr>
          <w:szCs w:val="22"/>
          <w:lang w:val="lt-LT"/>
        </w:rPr>
        <w:t xml:space="preserve"> </w:t>
      </w:r>
      <w:r w:rsidR="008F3ACB" w:rsidRPr="00696CB1">
        <w:rPr>
          <w:szCs w:val="22"/>
          <w:lang w:val="lt-LT"/>
        </w:rPr>
        <w:t xml:space="preserve">ir </w:t>
      </w:r>
      <w:r w:rsidR="00372E4E">
        <w:rPr>
          <w:szCs w:val="22"/>
          <w:lang w:val="lt-LT"/>
        </w:rPr>
        <w:t>ne</w:t>
      </w:r>
      <w:r w:rsidR="008F3ACB" w:rsidRPr="00696CB1">
        <w:rPr>
          <w:szCs w:val="22"/>
          <w:lang w:val="lt-LT"/>
        </w:rPr>
        <w:t>valdykite mechanizm</w:t>
      </w:r>
      <w:r w:rsidR="00372E4E">
        <w:rPr>
          <w:szCs w:val="22"/>
          <w:lang w:val="lt-LT"/>
        </w:rPr>
        <w:t>ų</w:t>
      </w:r>
      <w:r w:rsidR="008F3ACB" w:rsidRPr="00696CB1">
        <w:rPr>
          <w:szCs w:val="22"/>
          <w:lang w:val="lt-LT"/>
        </w:rPr>
        <w:t>.</w:t>
      </w:r>
    </w:p>
    <w:p w:rsidR="008F3ACB" w:rsidRPr="00696CB1" w:rsidRDefault="008F3ACB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8F3ACB" w:rsidRPr="00696CB1" w:rsidRDefault="008F3ACB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sudėtyje yra laktozės</w:t>
      </w:r>
      <w:r w:rsidR="002C13E6" w:rsidRPr="00696CB1">
        <w:rPr>
          <w:rFonts w:ascii="Times New Roman" w:hAnsi="Times New Roman"/>
          <w:sz w:val="22"/>
          <w:szCs w:val="22"/>
          <w:lang w:val="lt-LT"/>
        </w:rPr>
        <w:t xml:space="preserve"> ir natrio</w:t>
      </w:r>
    </w:p>
    <w:p w:rsidR="008F3ACB" w:rsidRPr="00696CB1" w:rsidRDefault="008F3ACB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gydytojas Jums yra sakęs, kad netoleruojate kokių nors angliavandenių, kreipkitės į jį prieš pradėdami vartoti šį </w:t>
      </w:r>
      <w:r w:rsidR="0005189D">
        <w:rPr>
          <w:szCs w:val="22"/>
          <w:lang w:val="lt-LT"/>
        </w:rPr>
        <w:t>-</w:t>
      </w:r>
      <w:r w:rsidRPr="00696CB1">
        <w:rPr>
          <w:szCs w:val="22"/>
          <w:lang w:val="lt-LT"/>
        </w:rPr>
        <w:t>vaistą.</w:t>
      </w:r>
    </w:p>
    <w:p w:rsidR="00F34163" w:rsidRPr="00696CB1" w:rsidRDefault="0020788B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Šio vaisto </w:t>
      </w:r>
      <w:r w:rsidR="0005189D">
        <w:rPr>
          <w:szCs w:val="22"/>
          <w:lang w:val="lt-LT"/>
        </w:rPr>
        <w:t xml:space="preserve">plėvele dengtoje </w:t>
      </w:r>
      <w:r w:rsidRPr="00696CB1">
        <w:rPr>
          <w:szCs w:val="22"/>
          <w:lang w:val="lt-LT"/>
        </w:rPr>
        <w:t>tabletėje yra mažiau kaip 1 </w:t>
      </w:r>
      <w:proofErr w:type="spellStart"/>
      <w:r w:rsidRPr="00696CB1">
        <w:rPr>
          <w:szCs w:val="22"/>
          <w:lang w:val="lt-LT"/>
        </w:rPr>
        <w:t>mmol</w:t>
      </w:r>
      <w:proofErr w:type="spellEnd"/>
      <w:r w:rsidRPr="00696CB1">
        <w:rPr>
          <w:szCs w:val="22"/>
          <w:lang w:val="lt-LT"/>
        </w:rPr>
        <w:t xml:space="preserve"> (23</w:t>
      </w:r>
      <w:r w:rsidR="00005515" w:rsidRPr="00696CB1">
        <w:rPr>
          <w:szCs w:val="22"/>
          <w:lang w:val="lt-LT"/>
        </w:rPr>
        <w:t> </w:t>
      </w:r>
      <w:r w:rsidRPr="00696CB1">
        <w:rPr>
          <w:szCs w:val="22"/>
          <w:lang w:val="lt-LT"/>
        </w:rPr>
        <w:t>mg) natrio, t. y. jis beveik neturi reikšmės.</w:t>
      </w:r>
    </w:p>
    <w:p w:rsidR="0020788B" w:rsidRPr="00696CB1" w:rsidRDefault="0020788B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3.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E752C8"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="00E752C8"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Visada vartokite šį vaistą </w:t>
      </w:r>
      <w:r w:rsidR="00653B9F" w:rsidRPr="00696CB1">
        <w:rPr>
          <w:szCs w:val="22"/>
          <w:lang w:val="lt-LT"/>
        </w:rPr>
        <w:t>tiksliai kaip nurodė gydytojas</w:t>
      </w:r>
      <w:r w:rsidRPr="00696CB1">
        <w:rPr>
          <w:szCs w:val="22"/>
          <w:lang w:val="lt-LT"/>
        </w:rPr>
        <w:t xml:space="preserve">. </w:t>
      </w:r>
      <w:r w:rsidR="00653B9F" w:rsidRPr="00696CB1">
        <w:rPr>
          <w:szCs w:val="22"/>
          <w:lang w:val="lt-LT"/>
        </w:rPr>
        <w:t xml:space="preserve">Jeigu abejojate, kreipkitės į </w:t>
      </w:r>
      <w:r w:rsidRPr="00696CB1">
        <w:rPr>
          <w:szCs w:val="22"/>
          <w:lang w:val="lt-LT"/>
        </w:rPr>
        <w:t>gydytoją</w:t>
      </w:r>
      <w:r w:rsidR="00653B9F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arba</w:t>
      </w:r>
      <w:r w:rsidR="00653B9F" w:rsidRPr="00696CB1">
        <w:rPr>
          <w:szCs w:val="22"/>
          <w:lang w:val="lt-LT"/>
        </w:rPr>
        <w:t xml:space="preserve"> vaistininką.</w:t>
      </w:r>
    </w:p>
    <w:p w:rsidR="00653B9F" w:rsidRPr="00696CB1" w:rsidRDefault="00653B9F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Rekomenduojama dozė yra viena 250 mg tabletė per parą.</w:t>
      </w:r>
    </w:p>
    <w:p w:rsidR="00653B9F" w:rsidRPr="00696CB1" w:rsidRDefault="00653B9F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Gerkite tabletę kasdien maždaug tuo pačiu laiku.</w:t>
      </w:r>
    </w:p>
    <w:p w:rsidR="00653B9F" w:rsidRPr="00696CB1" w:rsidRDefault="00653B9F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Šias tabletes galima gerti valgant arba kitu laiku.</w:t>
      </w:r>
    </w:p>
    <w:p w:rsidR="00653B9F" w:rsidRPr="00696CB1" w:rsidRDefault="00653B9F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Negerkite </w:t>
      </w:r>
      <w:proofErr w:type="spellStart"/>
      <w:r w:rsidRPr="00696CB1">
        <w:rPr>
          <w:szCs w:val="22"/>
          <w:lang w:val="lt-LT"/>
        </w:rPr>
        <w:t>antacidinių</w:t>
      </w:r>
      <w:proofErr w:type="spellEnd"/>
      <w:r w:rsidRPr="00696CB1">
        <w:rPr>
          <w:szCs w:val="22"/>
          <w:lang w:val="lt-LT"/>
        </w:rPr>
        <w:t xml:space="preserve"> vaistų (jie skirti rūgšties kiekiui skrandyje sumažinti) 2 val. iki </w:t>
      </w: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vartojimo ir 1 val. po jo.</w:t>
      </w:r>
    </w:p>
    <w:p w:rsidR="00653B9F" w:rsidRPr="00696CB1" w:rsidRDefault="00653B9F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653B9F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Jeigu sunku nuryti tabletę, ištirpinkite ją pusėje stiklinės negazuoto (neputojančio) vandens. Kitų</w:t>
      </w:r>
      <w:r w:rsidR="003E01D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skysčių naudoti negalima. Tabletės negalima traiškyti. Pasukiokite stiklinę su vandeniu, kol tabletė</w:t>
      </w:r>
      <w:r w:rsidR="003E01D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 xml:space="preserve">ištirps (tai gali trukti iki 20 min.) ir tuoj pat išgerkite. Kad būtų suvartotas visas vaistas, </w:t>
      </w:r>
      <w:r w:rsidR="003E01D4" w:rsidRPr="00696CB1">
        <w:rPr>
          <w:szCs w:val="22"/>
          <w:lang w:val="lt-LT"/>
        </w:rPr>
        <w:t>po to</w:t>
      </w:r>
      <w:r w:rsidRPr="00696CB1">
        <w:rPr>
          <w:szCs w:val="22"/>
          <w:lang w:val="lt-LT"/>
        </w:rPr>
        <w:t xml:space="preserve"> įpilkite</w:t>
      </w:r>
      <w:r w:rsidR="003E01D4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dar pusę stiklinės vandens, gerai ją praskalaukite ir vėl išgerkite.</w:t>
      </w:r>
    </w:p>
    <w:p w:rsidR="00653B9F" w:rsidRPr="00696CB1" w:rsidRDefault="00653B9F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E752C8"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="00E752C8"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  <w:r w:rsidR="003E01D4" w:rsidRPr="00696CB1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:rsidR="00F34163" w:rsidRPr="00696CB1" w:rsidRDefault="003E01D4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Išgėrę daugiau tablečių nei reikia, nedelsdami kreipkitės į gydytoją arba vaistininką.</w:t>
      </w:r>
    </w:p>
    <w:p w:rsidR="003E01D4" w:rsidRPr="00696CB1" w:rsidRDefault="003E01D4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="00E752C8"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="00E752C8"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</w:p>
    <w:p w:rsidR="003E01D4" w:rsidRPr="00696CB1" w:rsidRDefault="003E01D4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Ką daryti užmiršus išgerti tabletę, priklauso nuo to, kiek liko laiko iki kitos dozės.</w:t>
      </w:r>
    </w:p>
    <w:p w:rsidR="003E01D4" w:rsidRPr="00696CB1" w:rsidRDefault="003E01D4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Jei iki kitos dozės vartojimo liko 12 val. arba daugiau: praleistą tabletę išgerkite iš karto prisiminę, o kitą dozę vartokite įprastu laiku.</w:t>
      </w:r>
    </w:p>
    <w:p w:rsidR="003E01D4" w:rsidRPr="00696CB1" w:rsidRDefault="003E01D4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Jei iki kitos dozės vartojimo liko mažiau kaip 12 val.</w:t>
      </w:r>
      <w:r w:rsidR="00EB1A18" w:rsidRPr="00696CB1">
        <w:rPr>
          <w:szCs w:val="22"/>
          <w:lang w:val="lt-LT"/>
        </w:rPr>
        <w:t xml:space="preserve">: </w:t>
      </w:r>
      <w:r w:rsidRPr="00696CB1">
        <w:rPr>
          <w:szCs w:val="22"/>
          <w:lang w:val="lt-LT"/>
        </w:rPr>
        <w:t>užmirštą tabletę praleiskite, o kitą gerkite</w:t>
      </w:r>
      <w:r w:rsidR="00EB1A18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įprastu laiku.</w:t>
      </w:r>
    </w:p>
    <w:p w:rsidR="003E01D4" w:rsidRPr="00696CB1" w:rsidRDefault="003E01D4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Negalima vartoti dvigubos dozės (iš karto dviejų tablečių) norint kompensuoti praleistą dozę.</w:t>
      </w:r>
    </w:p>
    <w:p w:rsidR="00EB1A18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kiltų daugiau klausimų dėl šio </w:t>
      </w:r>
      <w:r w:rsidR="00EB1A18" w:rsidRPr="00696CB1">
        <w:rPr>
          <w:szCs w:val="22"/>
          <w:lang w:val="lt-LT"/>
        </w:rPr>
        <w:t xml:space="preserve">vaisto vartojimo, kreipkitės į </w:t>
      </w:r>
      <w:r w:rsidRPr="00696CB1">
        <w:rPr>
          <w:szCs w:val="22"/>
          <w:lang w:val="lt-LT"/>
        </w:rPr>
        <w:t>gydytoją</w:t>
      </w:r>
      <w:r w:rsidR="00EB1A18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arba</w:t>
      </w:r>
      <w:r w:rsidR="00EB1A18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vaistininką</w:t>
      </w:r>
      <w:r w:rsidR="00EB1A18"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447DE7" w:rsidRPr="00696CB1" w:rsidRDefault="00447DE7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4.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96CB1">
        <w:rPr>
          <w:szCs w:val="22"/>
          <w:lang w:val="lt-LT"/>
        </w:rPr>
        <w:t>Šis vaistas, kaip ir visi kiti, gali sukelti šalutinį poveikį, nors jis pasireiškia ne visiems žmonėms.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A30E6" w:rsidRPr="00696CB1" w:rsidRDefault="00DA30E6" w:rsidP="00696CB1">
      <w:pPr>
        <w:widowControl w:val="0"/>
        <w:spacing w:line="240" w:lineRule="auto"/>
        <w:rPr>
          <w:b/>
          <w:bCs/>
          <w:szCs w:val="22"/>
          <w:lang w:val="lt-LT" w:eastAsia="x-none"/>
        </w:rPr>
      </w:pPr>
      <w:r w:rsidRPr="00696CB1">
        <w:rPr>
          <w:b/>
          <w:bCs/>
          <w:szCs w:val="22"/>
          <w:lang w:val="lt-LT" w:eastAsia="x-none"/>
        </w:rPr>
        <w:t xml:space="preserve">Nedelsdami kreipkitės į gydytoją, </w:t>
      </w:r>
      <w:r w:rsidR="00A33E1F" w:rsidRPr="00696CB1">
        <w:rPr>
          <w:b/>
          <w:bCs/>
          <w:szCs w:val="22"/>
          <w:lang w:val="lt-LT" w:eastAsia="x-none"/>
        </w:rPr>
        <w:t xml:space="preserve">jei </w:t>
      </w:r>
      <w:r w:rsidRPr="00696CB1">
        <w:rPr>
          <w:b/>
          <w:bCs/>
          <w:szCs w:val="22"/>
          <w:lang w:val="lt-LT" w:eastAsia="x-none"/>
        </w:rPr>
        <w:t>pastebė</w:t>
      </w:r>
      <w:r w:rsidR="00A33E1F" w:rsidRPr="00696CB1">
        <w:rPr>
          <w:b/>
          <w:bCs/>
          <w:szCs w:val="22"/>
          <w:lang w:val="lt-LT" w:eastAsia="x-none"/>
        </w:rPr>
        <w:t>site</w:t>
      </w:r>
      <w:r w:rsidRPr="00696CB1">
        <w:rPr>
          <w:b/>
          <w:bCs/>
          <w:szCs w:val="22"/>
          <w:lang w:val="lt-LT" w:eastAsia="x-none"/>
        </w:rPr>
        <w:t xml:space="preserve"> bet kurį </w:t>
      </w:r>
      <w:r w:rsidR="00A33E1F" w:rsidRPr="00696CB1">
        <w:rPr>
          <w:b/>
          <w:bCs/>
          <w:szCs w:val="22"/>
          <w:lang w:val="lt-LT" w:eastAsia="x-none"/>
        </w:rPr>
        <w:t>toliau paminėtą šalutinį poveikį, ne</w:t>
      </w:r>
      <w:r w:rsidR="003E64C5" w:rsidRPr="00696CB1">
        <w:rPr>
          <w:b/>
          <w:bCs/>
          <w:szCs w:val="22"/>
          <w:lang w:val="lt-LT" w:eastAsia="x-none"/>
        </w:rPr>
        <w:t>s</w:t>
      </w:r>
      <w:r w:rsidR="00A33E1F" w:rsidRPr="00696CB1">
        <w:rPr>
          <w:b/>
          <w:bCs/>
          <w:szCs w:val="22"/>
          <w:lang w:val="lt-LT" w:eastAsia="x-none"/>
        </w:rPr>
        <w:t xml:space="preserve"> </w:t>
      </w:r>
      <w:r w:rsidRPr="00696CB1">
        <w:rPr>
          <w:b/>
          <w:bCs/>
          <w:szCs w:val="22"/>
          <w:lang w:val="lt-LT" w:eastAsia="x-none"/>
        </w:rPr>
        <w:t xml:space="preserve">gali </w:t>
      </w:r>
      <w:r w:rsidR="009163CF" w:rsidRPr="00696CB1">
        <w:rPr>
          <w:b/>
          <w:bCs/>
          <w:szCs w:val="22"/>
          <w:lang w:val="lt-LT" w:eastAsia="x-none"/>
        </w:rPr>
        <w:t>prireikti skubaus gydymo):</w:t>
      </w:r>
    </w:p>
    <w:p w:rsidR="00DA30E6" w:rsidRPr="00696CB1" w:rsidRDefault="003E64C5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A</w:t>
      </w:r>
      <w:r w:rsidR="00DA30E6" w:rsidRPr="00696CB1">
        <w:rPr>
          <w:szCs w:val="22"/>
          <w:lang w:val="lt-LT"/>
        </w:rPr>
        <w:t>lergin</w:t>
      </w:r>
      <w:r w:rsidRPr="00696CB1">
        <w:rPr>
          <w:szCs w:val="22"/>
          <w:lang w:val="lt-LT"/>
        </w:rPr>
        <w:t>ė</w:t>
      </w:r>
      <w:r w:rsidR="00DA30E6" w:rsidRPr="00696CB1">
        <w:rPr>
          <w:szCs w:val="22"/>
          <w:lang w:val="lt-LT"/>
        </w:rPr>
        <w:t xml:space="preserve"> reakcij</w:t>
      </w:r>
      <w:r w:rsidRPr="00696CB1">
        <w:rPr>
          <w:szCs w:val="22"/>
          <w:lang w:val="lt-LT"/>
        </w:rPr>
        <w:t>a</w:t>
      </w:r>
      <w:r w:rsidR="00DA30E6" w:rsidRPr="00696CB1">
        <w:rPr>
          <w:szCs w:val="22"/>
          <w:lang w:val="lt-LT"/>
        </w:rPr>
        <w:t xml:space="preserve"> (ji pasireiškia dažnai), ypač jeigu </w:t>
      </w:r>
      <w:r w:rsidRPr="00696CB1">
        <w:rPr>
          <w:szCs w:val="22"/>
          <w:lang w:val="lt-LT"/>
        </w:rPr>
        <w:t>atsiranda tokių simptomų kaip</w:t>
      </w:r>
      <w:r w:rsidR="00DA30E6" w:rsidRPr="00696CB1">
        <w:rPr>
          <w:szCs w:val="22"/>
          <w:lang w:val="lt-LT"/>
        </w:rPr>
        <w:t xml:space="preserve"> veid</w:t>
      </w:r>
      <w:r w:rsidRPr="00696CB1">
        <w:rPr>
          <w:szCs w:val="22"/>
          <w:lang w:val="lt-LT"/>
        </w:rPr>
        <w:t>o</w:t>
      </w:r>
      <w:r w:rsidR="00DA30E6" w:rsidRPr="00696CB1">
        <w:rPr>
          <w:szCs w:val="22"/>
          <w:lang w:val="lt-LT"/>
        </w:rPr>
        <w:t>, lūp</w:t>
      </w:r>
      <w:r w:rsidRPr="00696CB1">
        <w:rPr>
          <w:szCs w:val="22"/>
          <w:lang w:val="lt-LT"/>
        </w:rPr>
        <w:t>ų</w:t>
      </w:r>
      <w:r w:rsidR="00DA30E6" w:rsidRPr="00696CB1">
        <w:rPr>
          <w:szCs w:val="22"/>
          <w:lang w:val="lt-LT"/>
        </w:rPr>
        <w:t>, liežuvi</w:t>
      </w:r>
      <w:r w:rsidRPr="00696CB1">
        <w:rPr>
          <w:szCs w:val="22"/>
          <w:lang w:val="lt-LT"/>
        </w:rPr>
        <w:t>o</w:t>
      </w:r>
      <w:r w:rsidR="00DA30E6" w:rsidRPr="00696CB1">
        <w:rPr>
          <w:szCs w:val="22"/>
          <w:lang w:val="lt-LT"/>
        </w:rPr>
        <w:t xml:space="preserve"> arba gerkl</w:t>
      </w:r>
      <w:r w:rsidRPr="00696CB1">
        <w:rPr>
          <w:szCs w:val="22"/>
          <w:lang w:val="lt-LT"/>
        </w:rPr>
        <w:t xml:space="preserve">ės patinimas, </w:t>
      </w:r>
      <w:r w:rsidR="001227B9" w:rsidRPr="00696CB1">
        <w:rPr>
          <w:szCs w:val="22"/>
          <w:lang w:val="lt-LT"/>
        </w:rPr>
        <w:t xml:space="preserve">rijimo pasunkėjimas, </w:t>
      </w:r>
      <w:r w:rsidR="00DA30E6" w:rsidRPr="00696CB1">
        <w:rPr>
          <w:szCs w:val="22"/>
          <w:lang w:val="lt-LT"/>
        </w:rPr>
        <w:t>dilgėlinė, išbėrimas ruplėmis</w:t>
      </w:r>
      <w:r w:rsidRPr="00696CB1">
        <w:rPr>
          <w:szCs w:val="22"/>
          <w:lang w:val="lt-LT"/>
        </w:rPr>
        <w:t xml:space="preserve"> ar kvėpavimo pasunkėjimas.</w:t>
      </w:r>
    </w:p>
    <w:p w:rsidR="00DA30E6" w:rsidRPr="00696CB1" w:rsidRDefault="00580942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Stiprus ar staiga pasunkėjęs dusulys </w:t>
      </w:r>
      <w:r w:rsidR="00DA30E6" w:rsidRPr="00696CB1">
        <w:rPr>
          <w:szCs w:val="22"/>
          <w:lang w:val="lt-LT"/>
        </w:rPr>
        <w:t>(kartu gali būti kosulys ar karščiavimas)</w:t>
      </w:r>
      <w:r w:rsidRPr="00696CB1">
        <w:rPr>
          <w:szCs w:val="22"/>
          <w:lang w:val="lt-LT"/>
        </w:rPr>
        <w:t xml:space="preserve">. Tai </w:t>
      </w:r>
      <w:r w:rsidR="00DA30E6" w:rsidRPr="00696CB1">
        <w:rPr>
          <w:szCs w:val="22"/>
          <w:lang w:val="lt-LT"/>
        </w:rPr>
        <w:t>gali rod</w:t>
      </w:r>
      <w:r w:rsidR="00351CE4" w:rsidRPr="00696CB1">
        <w:rPr>
          <w:szCs w:val="22"/>
          <w:lang w:val="lt-LT"/>
        </w:rPr>
        <w:t xml:space="preserve">yti plaučių uždegimą, vadinamą </w:t>
      </w:r>
      <w:proofErr w:type="spellStart"/>
      <w:r w:rsidR="00351CE4" w:rsidRPr="00696CB1">
        <w:rPr>
          <w:szCs w:val="22"/>
          <w:lang w:val="lt-LT"/>
        </w:rPr>
        <w:t>intersticine</w:t>
      </w:r>
      <w:proofErr w:type="spellEnd"/>
      <w:r w:rsidR="00351CE4" w:rsidRPr="00696CB1">
        <w:rPr>
          <w:szCs w:val="22"/>
          <w:lang w:val="lt-LT"/>
        </w:rPr>
        <w:t xml:space="preserve"> plaučių liga (ji</w:t>
      </w:r>
      <w:r w:rsidR="00DA30E6" w:rsidRPr="00696CB1">
        <w:rPr>
          <w:szCs w:val="22"/>
          <w:lang w:val="lt-LT"/>
        </w:rPr>
        <w:t xml:space="preserve"> gali pasireikšti maždaug</w:t>
      </w:r>
      <w:r w:rsidR="00351CE4" w:rsidRPr="00696CB1">
        <w:rPr>
          <w:szCs w:val="22"/>
          <w:lang w:val="lt-LT"/>
        </w:rPr>
        <w:t xml:space="preserve"> </w:t>
      </w:r>
      <w:r w:rsidR="00DA30E6" w:rsidRPr="00696CB1">
        <w:rPr>
          <w:szCs w:val="22"/>
          <w:lang w:val="lt-LT"/>
        </w:rPr>
        <w:t xml:space="preserve">vienam iš 100 </w:t>
      </w:r>
      <w:proofErr w:type="spellStart"/>
      <w:r w:rsidR="00351CE4" w:rsidRPr="00696CB1">
        <w:rPr>
          <w:szCs w:val="22"/>
          <w:lang w:val="lt-LT"/>
        </w:rPr>
        <w:t>Gefitinib</w:t>
      </w:r>
      <w:proofErr w:type="spellEnd"/>
      <w:r w:rsidR="00351CE4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351CE4" w:rsidRPr="00696CB1">
        <w:rPr>
          <w:szCs w:val="22"/>
          <w:lang w:val="lt-LT"/>
        </w:rPr>
        <w:t xml:space="preserve"> </w:t>
      </w:r>
      <w:r w:rsidR="00DA30E6" w:rsidRPr="00696CB1">
        <w:rPr>
          <w:szCs w:val="22"/>
          <w:lang w:val="lt-LT"/>
        </w:rPr>
        <w:t>vartojančių pa</w:t>
      </w:r>
      <w:r w:rsidR="00351CE4" w:rsidRPr="00696CB1">
        <w:rPr>
          <w:szCs w:val="22"/>
          <w:lang w:val="lt-LT"/>
        </w:rPr>
        <w:t>cientų ir kelti pavojų gyvybei).</w:t>
      </w:r>
    </w:p>
    <w:p w:rsidR="00DA30E6" w:rsidRPr="00696CB1" w:rsidRDefault="00351CE4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Sunkios odos reakcijos</w:t>
      </w:r>
      <w:r w:rsidR="00DA30E6" w:rsidRPr="00696CB1">
        <w:rPr>
          <w:szCs w:val="22"/>
          <w:lang w:val="lt-LT"/>
        </w:rPr>
        <w:t xml:space="preserve"> (jų </w:t>
      </w:r>
      <w:r w:rsidRPr="00696CB1">
        <w:rPr>
          <w:szCs w:val="22"/>
          <w:lang w:val="lt-LT"/>
        </w:rPr>
        <w:t>pasireiškia</w:t>
      </w:r>
      <w:r w:rsidR="00DA30E6" w:rsidRPr="00696CB1">
        <w:rPr>
          <w:szCs w:val="22"/>
          <w:lang w:val="lt-LT"/>
        </w:rPr>
        <w:t xml:space="preserve"> retai), </w:t>
      </w:r>
      <w:r w:rsidRPr="00696CB1">
        <w:rPr>
          <w:szCs w:val="22"/>
          <w:lang w:val="lt-LT"/>
        </w:rPr>
        <w:t>apimančios didelį odos plotą. Galimi požymiai yra</w:t>
      </w:r>
      <w:r w:rsidR="00DA30E6" w:rsidRPr="00696CB1">
        <w:rPr>
          <w:szCs w:val="22"/>
          <w:lang w:val="lt-LT"/>
        </w:rPr>
        <w:t xml:space="preserve"> paraudimas, skausmas, opos, pūslės ir odos pleiskanojimas</w:t>
      </w:r>
      <w:r w:rsidR="00FF714D" w:rsidRPr="00696CB1">
        <w:rPr>
          <w:szCs w:val="22"/>
          <w:lang w:val="lt-LT"/>
        </w:rPr>
        <w:t xml:space="preserve">. Gali būti pažeistos </w:t>
      </w:r>
      <w:r w:rsidR="00DA30E6" w:rsidRPr="00696CB1">
        <w:rPr>
          <w:szCs w:val="22"/>
          <w:lang w:val="lt-LT"/>
        </w:rPr>
        <w:t>lūp</w:t>
      </w:r>
      <w:r w:rsidR="00FF714D" w:rsidRPr="00696CB1">
        <w:rPr>
          <w:szCs w:val="22"/>
          <w:lang w:val="lt-LT"/>
        </w:rPr>
        <w:t>o</w:t>
      </w:r>
      <w:r w:rsidR="00DA30E6" w:rsidRPr="00696CB1">
        <w:rPr>
          <w:szCs w:val="22"/>
          <w:lang w:val="lt-LT"/>
        </w:rPr>
        <w:t>s, nos</w:t>
      </w:r>
      <w:r w:rsidR="00FF714D" w:rsidRPr="00696CB1">
        <w:rPr>
          <w:szCs w:val="22"/>
          <w:lang w:val="lt-LT"/>
        </w:rPr>
        <w:t>is,</w:t>
      </w:r>
      <w:r w:rsidR="00DA30E6" w:rsidRPr="00696CB1">
        <w:rPr>
          <w:szCs w:val="22"/>
          <w:lang w:val="lt-LT"/>
        </w:rPr>
        <w:t xml:space="preserve"> a</w:t>
      </w:r>
      <w:r w:rsidR="00FF714D" w:rsidRPr="00696CB1">
        <w:rPr>
          <w:szCs w:val="22"/>
          <w:lang w:val="lt-LT"/>
        </w:rPr>
        <w:t>ky</w:t>
      </w:r>
      <w:r w:rsidR="00DA30E6" w:rsidRPr="00696CB1">
        <w:rPr>
          <w:szCs w:val="22"/>
          <w:lang w:val="lt-LT"/>
        </w:rPr>
        <w:t>s ir lytini</w:t>
      </w:r>
      <w:r w:rsidR="00FF714D" w:rsidRPr="00696CB1">
        <w:rPr>
          <w:szCs w:val="22"/>
          <w:lang w:val="lt-LT"/>
        </w:rPr>
        <w:t>ai organai.</w:t>
      </w:r>
    </w:p>
    <w:p w:rsidR="00DA30E6" w:rsidRPr="00696CB1" w:rsidRDefault="00FF714D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Skysčių kiekio organizme sumažėjimas (jis pasireiškia dažnai), sukeltas</w:t>
      </w:r>
      <w:r w:rsidR="00DA30E6" w:rsidRPr="00696CB1">
        <w:rPr>
          <w:szCs w:val="22"/>
          <w:lang w:val="lt-LT"/>
        </w:rPr>
        <w:t xml:space="preserve"> ilgalaikio ar stipraus viduriavimo, vėmimo,</w:t>
      </w:r>
      <w:r w:rsidRPr="00696CB1">
        <w:rPr>
          <w:szCs w:val="22"/>
          <w:lang w:val="lt-LT"/>
        </w:rPr>
        <w:t xml:space="preserve"> </w:t>
      </w:r>
      <w:r w:rsidR="001227B9" w:rsidRPr="00696CB1">
        <w:rPr>
          <w:szCs w:val="22"/>
          <w:lang w:val="lt-LT"/>
        </w:rPr>
        <w:t>pykinimo arba apetito stokos.</w:t>
      </w:r>
    </w:p>
    <w:p w:rsidR="00DA30E6" w:rsidRPr="00696CB1" w:rsidRDefault="00FF714D" w:rsidP="00696CB1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A</w:t>
      </w:r>
      <w:r w:rsidR="00DA30E6" w:rsidRPr="00696CB1">
        <w:rPr>
          <w:szCs w:val="22"/>
          <w:lang w:val="lt-LT"/>
        </w:rPr>
        <w:t>kių sutrikim</w:t>
      </w:r>
      <w:r w:rsidRPr="00696CB1">
        <w:rPr>
          <w:szCs w:val="22"/>
          <w:lang w:val="lt-LT"/>
        </w:rPr>
        <w:t>ai</w:t>
      </w:r>
      <w:r w:rsidR="00DA30E6" w:rsidRPr="00696CB1">
        <w:rPr>
          <w:szCs w:val="22"/>
          <w:lang w:val="lt-LT"/>
        </w:rPr>
        <w:t xml:space="preserve"> (jų </w:t>
      </w:r>
      <w:r w:rsidRPr="00696CB1">
        <w:rPr>
          <w:szCs w:val="22"/>
          <w:lang w:val="lt-LT"/>
        </w:rPr>
        <w:t xml:space="preserve">pasireiškia </w:t>
      </w:r>
      <w:r w:rsidR="00DA30E6" w:rsidRPr="00696CB1">
        <w:rPr>
          <w:szCs w:val="22"/>
          <w:lang w:val="lt-LT"/>
        </w:rPr>
        <w:t>nedažnai), pvz., skausm</w:t>
      </w:r>
      <w:r w:rsidRPr="00696CB1">
        <w:rPr>
          <w:szCs w:val="22"/>
          <w:lang w:val="lt-LT"/>
        </w:rPr>
        <w:t>as</w:t>
      </w:r>
      <w:r w:rsidR="00DA30E6" w:rsidRPr="00696CB1">
        <w:rPr>
          <w:szCs w:val="22"/>
          <w:lang w:val="lt-LT"/>
        </w:rPr>
        <w:t>, paraudim</w:t>
      </w:r>
      <w:r w:rsidRPr="00696CB1">
        <w:rPr>
          <w:szCs w:val="22"/>
          <w:lang w:val="lt-LT"/>
        </w:rPr>
        <w:t>as</w:t>
      </w:r>
      <w:r w:rsidR="00DA30E6" w:rsidRPr="00696CB1">
        <w:rPr>
          <w:szCs w:val="22"/>
          <w:lang w:val="lt-LT"/>
        </w:rPr>
        <w:t>, ašarojim</w:t>
      </w:r>
      <w:r w:rsidRPr="00696CB1">
        <w:rPr>
          <w:szCs w:val="22"/>
          <w:lang w:val="lt-LT"/>
        </w:rPr>
        <w:t>as</w:t>
      </w:r>
      <w:r w:rsidR="00DA30E6" w:rsidRPr="00696CB1">
        <w:rPr>
          <w:szCs w:val="22"/>
          <w:lang w:val="lt-LT"/>
        </w:rPr>
        <w:t>, jautrum</w:t>
      </w:r>
      <w:r w:rsidRPr="00696CB1">
        <w:rPr>
          <w:szCs w:val="22"/>
          <w:lang w:val="lt-LT"/>
        </w:rPr>
        <w:t>as</w:t>
      </w:r>
      <w:r w:rsidR="00DA30E6" w:rsidRPr="00696CB1">
        <w:rPr>
          <w:szCs w:val="22"/>
          <w:lang w:val="lt-LT"/>
        </w:rPr>
        <w:t xml:space="preserve"> šviesai,</w:t>
      </w:r>
      <w:r w:rsidRPr="00696CB1">
        <w:rPr>
          <w:szCs w:val="22"/>
          <w:lang w:val="lt-LT"/>
        </w:rPr>
        <w:t xml:space="preserve"> pakitusi</w:t>
      </w:r>
      <w:r w:rsidR="00DA30E6" w:rsidRPr="00696CB1">
        <w:rPr>
          <w:szCs w:val="22"/>
          <w:lang w:val="lt-LT"/>
        </w:rPr>
        <w:t xml:space="preserve"> reg</w:t>
      </w:r>
      <w:r w:rsidRPr="00696CB1">
        <w:rPr>
          <w:szCs w:val="22"/>
          <w:lang w:val="lt-LT"/>
        </w:rPr>
        <w:t>a</w:t>
      </w:r>
      <w:r w:rsidR="00DA30E6" w:rsidRPr="00696CB1">
        <w:rPr>
          <w:szCs w:val="22"/>
          <w:lang w:val="lt-LT"/>
        </w:rPr>
        <w:t xml:space="preserve"> arba blakstienų įaugim</w:t>
      </w:r>
      <w:r w:rsidRPr="00696CB1">
        <w:rPr>
          <w:szCs w:val="22"/>
          <w:lang w:val="lt-LT"/>
        </w:rPr>
        <w:t>as</w:t>
      </w:r>
      <w:r w:rsidR="00DA30E6" w:rsidRPr="00696CB1">
        <w:rPr>
          <w:szCs w:val="22"/>
          <w:lang w:val="lt-LT"/>
        </w:rPr>
        <w:t xml:space="preserve">. </w:t>
      </w:r>
      <w:r w:rsidRPr="00696CB1">
        <w:rPr>
          <w:szCs w:val="22"/>
          <w:lang w:val="lt-LT"/>
        </w:rPr>
        <w:t xml:space="preserve">Tai gali rodyti </w:t>
      </w:r>
      <w:r w:rsidR="00DA30E6" w:rsidRPr="00696CB1">
        <w:rPr>
          <w:szCs w:val="22"/>
          <w:lang w:val="lt-LT"/>
        </w:rPr>
        <w:t>akies pavirši</w:t>
      </w:r>
      <w:r w:rsidRPr="00696CB1">
        <w:rPr>
          <w:szCs w:val="22"/>
          <w:lang w:val="lt-LT"/>
        </w:rPr>
        <w:t>aus</w:t>
      </w:r>
      <w:r w:rsidR="00DA30E6" w:rsidRPr="00696CB1">
        <w:rPr>
          <w:szCs w:val="22"/>
          <w:lang w:val="lt-LT"/>
        </w:rPr>
        <w:t xml:space="preserve"> (rageno</w:t>
      </w:r>
      <w:r w:rsidRPr="00696CB1">
        <w:rPr>
          <w:szCs w:val="22"/>
          <w:lang w:val="lt-LT"/>
        </w:rPr>
        <w:t>s</w:t>
      </w:r>
      <w:r w:rsidR="00DA30E6" w:rsidRPr="00696CB1">
        <w:rPr>
          <w:szCs w:val="22"/>
          <w:lang w:val="lt-LT"/>
        </w:rPr>
        <w:t>)</w:t>
      </w:r>
      <w:r w:rsidRPr="00696CB1">
        <w:rPr>
          <w:szCs w:val="22"/>
          <w:lang w:val="lt-LT"/>
        </w:rPr>
        <w:t xml:space="preserve"> išopėjimą</w:t>
      </w:r>
      <w:r w:rsidR="00DA30E6" w:rsidRPr="00696CB1">
        <w:rPr>
          <w:szCs w:val="22"/>
          <w:lang w:val="lt-LT"/>
        </w:rPr>
        <w:t>.</w:t>
      </w:r>
    </w:p>
    <w:p w:rsidR="00FF714D" w:rsidRPr="00696CB1" w:rsidRDefault="00FF714D" w:rsidP="00696CB1">
      <w:pPr>
        <w:widowControl w:val="0"/>
        <w:spacing w:line="240" w:lineRule="auto"/>
        <w:rPr>
          <w:bCs/>
          <w:szCs w:val="22"/>
          <w:lang w:val="lt-LT" w:eastAsia="x-none"/>
        </w:rPr>
      </w:pPr>
    </w:p>
    <w:p w:rsidR="00DA30E6" w:rsidRPr="00696CB1" w:rsidRDefault="00DA30E6" w:rsidP="00696CB1">
      <w:pPr>
        <w:widowControl w:val="0"/>
        <w:spacing w:line="240" w:lineRule="auto"/>
        <w:rPr>
          <w:b/>
          <w:bCs/>
          <w:szCs w:val="22"/>
          <w:lang w:val="lt-LT" w:eastAsia="x-none"/>
        </w:rPr>
      </w:pPr>
      <w:r w:rsidRPr="00696CB1">
        <w:rPr>
          <w:b/>
          <w:bCs/>
          <w:szCs w:val="22"/>
          <w:lang w:val="lt-LT" w:eastAsia="x-none"/>
        </w:rPr>
        <w:t>Kiek įmanoma greičiau pasakykite gydytojui, jeigu pastebė</w:t>
      </w:r>
      <w:r w:rsidR="00FF714D" w:rsidRPr="00696CB1">
        <w:rPr>
          <w:b/>
          <w:bCs/>
          <w:szCs w:val="22"/>
          <w:lang w:val="lt-LT" w:eastAsia="x-none"/>
        </w:rPr>
        <w:t>site</w:t>
      </w:r>
      <w:r w:rsidRPr="00696CB1">
        <w:rPr>
          <w:b/>
          <w:bCs/>
          <w:szCs w:val="22"/>
          <w:lang w:val="lt-LT" w:eastAsia="x-none"/>
        </w:rPr>
        <w:t xml:space="preserve"> </w:t>
      </w:r>
      <w:r w:rsidR="00FF714D" w:rsidRPr="00696CB1">
        <w:rPr>
          <w:b/>
          <w:bCs/>
          <w:szCs w:val="22"/>
          <w:lang w:val="lt-LT" w:eastAsia="x-none"/>
        </w:rPr>
        <w:t>bet kurį t</w:t>
      </w:r>
      <w:r w:rsidR="009163CF" w:rsidRPr="00696CB1">
        <w:rPr>
          <w:b/>
          <w:bCs/>
          <w:szCs w:val="22"/>
          <w:lang w:val="lt-LT" w:eastAsia="x-none"/>
        </w:rPr>
        <w:t>oliau paminėtą šalutinį poveikį:</w:t>
      </w:r>
    </w:p>
    <w:p w:rsidR="00FF714D" w:rsidRPr="00696CB1" w:rsidRDefault="00FF714D" w:rsidP="00696CB1">
      <w:pPr>
        <w:widowControl w:val="0"/>
        <w:spacing w:line="240" w:lineRule="auto"/>
        <w:rPr>
          <w:bCs/>
          <w:szCs w:val="22"/>
          <w:lang w:val="lt-LT" w:eastAsia="x-none"/>
        </w:rPr>
      </w:pPr>
    </w:p>
    <w:p w:rsidR="00213026" w:rsidRPr="00696CB1" w:rsidRDefault="00DA30E6" w:rsidP="008857A1">
      <w:pPr>
        <w:widowControl w:val="0"/>
        <w:spacing w:line="240" w:lineRule="auto"/>
        <w:rPr>
          <w:bCs/>
          <w:szCs w:val="22"/>
          <w:lang w:val="lt-LT" w:eastAsia="x-none"/>
        </w:rPr>
      </w:pPr>
      <w:r w:rsidRPr="00696CB1">
        <w:rPr>
          <w:b/>
          <w:bCs/>
          <w:szCs w:val="22"/>
          <w:lang w:val="lt-LT" w:eastAsia="x-none"/>
        </w:rPr>
        <w:t>Labai dažnas šalutinis poveikis (gali pasireikšti daugiau kaip 1 iš 10 žmonių):</w:t>
      </w:r>
    </w:p>
    <w:p w:rsidR="00372E4E" w:rsidRDefault="00372E4E" w:rsidP="00696CB1">
      <w:pPr>
        <w:widowControl w:val="0"/>
        <w:numPr>
          <w:ilvl w:val="0"/>
          <w:numId w:val="8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>
        <w:rPr>
          <w:bCs/>
          <w:szCs w:val="22"/>
          <w:lang w:val="lt-LT" w:eastAsia="x-none"/>
        </w:rPr>
        <w:t>v</w:t>
      </w:r>
      <w:r w:rsidR="00DA30E6" w:rsidRPr="00696CB1">
        <w:rPr>
          <w:bCs/>
          <w:szCs w:val="22"/>
          <w:lang w:val="lt-LT" w:eastAsia="x-none"/>
        </w:rPr>
        <w:t>iduriavimas</w:t>
      </w:r>
      <w:r>
        <w:rPr>
          <w:bCs/>
          <w:szCs w:val="22"/>
          <w:lang w:val="lt-LT" w:eastAsia="x-none"/>
        </w:rPr>
        <w:t>;</w:t>
      </w:r>
    </w:p>
    <w:p w:rsidR="00372E4E" w:rsidRDefault="00DA30E6" w:rsidP="00696CB1">
      <w:pPr>
        <w:widowControl w:val="0"/>
        <w:numPr>
          <w:ilvl w:val="0"/>
          <w:numId w:val="8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vėmimas</w:t>
      </w:r>
      <w:r w:rsidR="00372E4E">
        <w:rPr>
          <w:bCs/>
          <w:szCs w:val="22"/>
          <w:lang w:val="lt-LT" w:eastAsia="x-none"/>
        </w:rPr>
        <w:t>;</w:t>
      </w:r>
    </w:p>
    <w:p w:rsidR="00DA30E6" w:rsidRPr="00696CB1" w:rsidRDefault="00DA30E6" w:rsidP="00696CB1">
      <w:pPr>
        <w:widowControl w:val="0"/>
        <w:numPr>
          <w:ilvl w:val="0"/>
          <w:numId w:val="8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pykinimas</w:t>
      </w:r>
      <w:r w:rsidR="00276A16" w:rsidRPr="00696CB1">
        <w:rPr>
          <w:bCs/>
          <w:szCs w:val="22"/>
          <w:lang w:val="lt-LT" w:eastAsia="x-none"/>
        </w:rPr>
        <w:t>;</w:t>
      </w:r>
    </w:p>
    <w:p w:rsidR="00DA30E6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 xml:space="preserve">odos reakcijos, pvz., į spuogus </w:t>
      </w:r>
      <w:r w:rsidR="00276A16" w:rsidRPr="00696CB1">
        <w:rPr>
          <w:bCs/>
          <w:szCs w:val="22"/>
          <w:lang w:val="lt-LT" w:eastAsia="x-none"/>
        </w:rPr>
        <w:t xml:space="preserve">panašus </w:t>
      </w:r>
      <w:r w:rsidRPr="00696CB1">
        <w:rPr>
          <w:bCs/>
          <w:szCs w:val="22"/>
          <w:lang w:val="lt-LT" w:eastAsia="x-none"/>
        </w:rPr>
        <w:t xml:space="preserve">išbėrimas (kartais kartu būna niežulys, sausa oda </w:t>
      </w:r>
      <w:r w:rsidR="00276A16" w:rsidRPr="00696CB1">
        <w:rPr>
          <w:bCs/>
          <w:szCs w:val="22"/>
          <w:lang w:val="lt-LT" w:eastAsia="x-none"/>
        </w:rPr>
        <w:t xml:space="preserve">ir (arba) </w:t>
      </w:r>
      <w:r w:rsidRPr="00696CB1">
        <w:rPr>
          <w:bCs/>
          <w:szCs w:val="22"/>
          <w:lang w:val="lt-LT" w:eastAsia="x-none"/>
        </w:rPr>
        <w:t xml:space="preserve">odos </w:t>
      </w:r>
      <w:r w:rsidR="00276A16" w:rsidRPr="00696CB1">
        <w:rPr>
          <w:bCs/>
          <w:szCs w:val="22"/>
          <w:lang w:val="lt-LT" w:eastAsia="x-none"/>
        </w:rPr>
        <w:t>įplyšimų</w:t>
      </w:r>
      <w:r w:rsidR="001227B9" w:rsidRPr="00696CB1">
        <w:rPr>
          <w:bCs/>
          <w:szCs w:val="22"/>
          <w:lang w:val="lt-LT" w:eastAsia="x-none"/>
        </w:rPr>
        <w:t>)</w:t>
      </w:r>
      <w:r w:rsidR="00276A16" w:rsidRPr="00696CB1">
        <w:rPr>
          <w:bCs/>
          <w:szCs w:val="22"/>
          <w:lang w:val="lt-LT" w:eastAsia="x-none"/>
        </w:rPr>
        <w:t>;</w:t>
      </w:r>
    </w:p>
    <w:p w:rsidR="004E15A4" w:rsidRPr="004E15A4" w:rsidRDefault="004E15A4" w:rsidP="004E15A4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>
        <w:rPr>
          <w:bCs/>
          <w:szCs w:val="22"/>
          <w:lang w:val="lt-LT" w:eastAsia="x-none"/>
        </w:rPr>
        <w:t>apetito stoka;</w:t>
      </w:r>
    </w:p>
    <w:p w:rsidR="00DA30E6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silpnumas;</w:t>
      </w:r>
    </w:p>
    <w:p w:rsidR="00450380" w:rsidRPr="00696CB1" w:rsidRDefault="00450380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>
        <w:rPr>
          <w:bCs/>
          <w:szCs w:val="22"/>
          <w:lang w:val="lt-LT" w:eastAsia="x-none"/>
        </w:rPr>
        <w:t>burnos ertmės paraudimas ar perštėjimas;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 xml:space="preserve">padidėjęs kepenų fermento, vadinamo </w:t>
      </w:r>
      <w:proofErr w:type="spellStart"/>
      <w:r w:rsidRPr="00696CB1">
        <w:rPr>
          <w:bCs/>
          <w:szCs w:val="22"/>
          <w:lang w:val="lt-LT" w:eastAsia="x-none"/>
        </w:rPr>
        <w:t>alanino</w:t>
      </w:r>
      <w:proofErr w:type="spellEnd"/>
      <w:r w:rsidRPr="00696CB1">
        <w:rPr>
          <w:bCs/>
          <w:szCs w:val="22"/>
          <w:lang w:val="lt-LT" w:eastAsia="x-none"/>
        </w:rPr>
        <w:t xml:space="preserve"> </w:t>
      </w:r>
      <w:proofErr w:type="spellStart"/>
      <w:r w:rsidRPr="00696CB1">
        <w:rPr>
          <w:bCs/>
          <w:szCs w:val="22"/>
          <w:lang w:val="lt-LT" w:eastAsia="x-none"/>
        </w:rPr>
        <w:t>aminotransferaze</w:t>
      </w:r>
      <w:proofErr w:type="spellEnd"/>
      <w:r w:rsidRPr="00696CB1">
        <w:rPr>
          <w:bCs/>
          <w:szCs w:val="22"/>
          <w:lang w:val="lt-LT" w:eastAsia="x-none"/>
        </w:rPr>
        <w:t xml:space="preserve">, </w:t>
      </w:r>
      <w:r w:rsidR="00276A16" w:rsidRPr="00696CB1">
        <w:rPr>
          <w:bCs/>
          <w:szCs w:val="22"/>
          <w:lang w:val="lt-LT" w:eastAsia="x-none"/>
        </w:rPr>
        <w:t>aktyvumas</w:t>
      </w:r>
      <w:r w:rsidR="00A337CE" w:rsidRPr="00696CB1">
        <w:rPr>
          <w:bCs/>
          <w:szCs w:val="22"/>
          <w:lang w:val="lt-LT" w:eastAsia="x-none"/>
        </w:rPr>
        <w:t xml:space="preserve"> (</w:t>
      </w:r>
      <w:r w:rsidRPr="00696CB1">
        <w:rPr>
          <w:bCs/>
          <w:szCs w:val="22"/>
          <w:lang w:val="lt-LT" w:eastAsia="x-none"/>
        </w:rPr>
        <w:t>nustatomas tiriant</w:t>
      </w:r>
      <w:r w:rsidR="00276A16" w:rsidRPr="00696CB1">
        <w:rPr>
          <w:bCs/>
          <w:szCs w:val="22"/>
          <w:lang w:val="lt-LT" w:eastAsia="x-none"/>
        </w:rPr>
        <w:t xml:space="preserve"> </w:t>
      </w:r>
      <w:r w:rsidRPr="00696CB1">
        <w:rPr>
          <w:bCs/>
          <w:szCs w:val="22"/>
          <w:lang w:val="lt-LT" w:eastAsia="x-none"/>
        </w:rPr>
        <w:t>kraują</w:t>
      </w:r>
      <w:r w:rsidR="00A337CE" w:rsidRPr="00696CB1">
        <w:rPr>
          <w:bCs/>
          <w:szCs w:val="22"/>
          <w:lang w:val="lt-LT" w:eastAsia="x-none"/>
        </w:rPr>
        <w:t>; j</w:t>
      </w:r>
      <w:r w:rsidRPr="00696CB1">
        <w:rPr>
          <w:bCs/>
          <w:szCs w:val="22"/>
          <w:lang w:val="lt-LT" w:eastAsia="x-none"/>
        </w:rPr>
        <w:t xml:space="preserve">eigu jis per didelis, gydytojas gali nurodyti nutraukti </w:t>
      </w:r>
      <w:proofErr w:type="spellStart"/>
      <w:r w:rsidR="00276A16" w:rsidRPr="00696CB1">
        <w:rPr>
          <w:szCs w:val="22"/>
          <w:lang w:val="lt-LT"/>
        </w:rPr>
        <w:t>Gefitinib</w:t>
      </w:r>
      <w:proofErr w:type="spellEnd"/>
      <w:r w:rsidR="00276A16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276A16" w:rsidRPr="00696CB1">
        <w:rPr>
          <w:bCs/>
          <w:szCs w:val="22"/>
          <w:lang w:val="lt-LT" w:eastAsia="x-none"/>
        </w:rPr>
        <w:t xml:space="preserve"> </w:t>
      </w:r>
      <w:r w:rsidRPr="00696CB1">
        <w:rPr>
          <w:bCs/>
          <w:szCs w:val="22"/>
          <w:lang w:val="lt-LT" w:eastAsia="x-none"/>
        </w:rPr>
        <w:t>vartojimą</w:t>
      </w:r>
      <w:r w:rsidR="001227B9" w:rsidRPr="00696CB1">
        <w:rPr>
          <w:bCs/>
          <w:szCs w:val="22"/>
          <w:lang w:val="lt-LT" w:eastAsia="x-none"/>
        </w:rPr>
        <w:t>)</w:t>
      </w:r>
      <w:r w:rsidRPr="00696CB1">
        <w:rPr>
          <w:bCs/>
          <w:szCs w:val="22"/>
          <w:lang w:val="lt-LT" w:eastAsia="x-none"/>
        </w:rPr>
        <w:t>.</w:t>
      </w:r>
    </w:p>
    <w:p w:rsidR="00213026" w:rsidRPr="00696CB1" w:rsidRDefault="00213026" w:rsidP="00696CB1">
      <w:pPr>
        <w:widowControl w:val="0"/>
        <w:spacing w:line="240" w:lineRule="auto"/>
        <w:rPr>
          <w:bCs/>
          <w:szCs w:val="22"/>
          <w:lang w:val="lt-LT" w:eastAsia="x-none"/>
        </w:rPr>
      </w:pPr>
    </w:p>
    <w:p w:rsidR="00DA30E6" w:rsidRPr="00696CB1" w:rsidRDefault="00DA30E6" w:rsidP="00696CB1">
      <w:pPr>
        <w:widowControl w:val="0"/>
        <w:spacing w:line="240" w:lineRule="auto"/>
        <w:rPr>
          <w:b/>
          <w:bCs/>
          <w:szCs w:val="22"/>
          <w:lang w:val="lt-LT" w:eastAsia="x-none"/>
        </w:rPr>
      </w:pPr>
      <w:r w:rsidRPr="00696CB1">
        <w:rPr>
          <w:b/>
          <w:bCs/>
          <w:szCs w:val="22"/>
          <w:lang w:val="lt-LT" w:eastAsia="x-none"/>
        </w:rPr>
        <w:t>Dažnas šalutinis poveikis (</w:t>
      </w:r>
      <w:r w:rsidR="00D64A8F" w:rsidRPr="00696CB1">
        <w:rPr>
          <w:b/>
          <w:bCs/>
          <w:szCs w:val="22"/>
          <w:lang w:val="lt-LT" w:eastAsia="x-none"/>
        </w:rPr>
        <w:t xml:space="preserve">gali pasireikšti </w:t>
      </w:r>
      <w:r w:rsidR="005D6BD4" w:rsidRPr="00696CB1">
        <w:rPr>
          <w:b/>
          <w:bCs/>
          <w:szCs w:val="22"/>
          <w:lang w:val="lt-LT"/>
        </w:rPr>
        <w:t>rečiau</w:t>
      </w:r>
      <w:r w:rsidR="00D64A8F" w:rsidRPr="00696CB1">
        <w:rPr>
          <w:b/>
          <w:bCs/>
          <w:szCs w:val="22"/>
          <w:lang w:val="lt-LT" w:eastAsia="x-none"/>
        </w:rPr>
        <w:t xml:space="preserve"> kaip 1 iš 10 žmonių</w:t>
      </w:r>
      <w:r w:rsidRPr="00696CB1">
        <w:rPr>
          <w:b/>
          <w:bCs/>
          <w:szCs w:val="22"/>
          <w:lang w:val="lt-LT" w:eastAsia="x-none"/>
        </w:rPr>
        <w:t>):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 xml:space="preserve">burnos </w:t>
      </w:r>
      <w:r w:rsidR="00D64A8F" w:rsidRPr="00696CB1">
        <w:rPr>
          <w:bCs/>
          <w:szCs w:val="22"/>
          <w:lang w:val="lt-LT" w:eastAsia="x-none"/>
        </w:rPr>
        <w:t>džiūvimas</w:t>
      </w:r>
      <w:r w:rsidRPr="00696CB1">
        <w:rPr>
          <w:bCs/>
          <w:szCs w:val="22"/>
          <w:lang w:val="lt-LT" w:eastAsia="x-none"/>
        </w:rPr>
        <w:t>;</w:t>
      </w:r>
    </w:p>
    <w:p w:rsidR="008B15E7" w:rsidRDefault="00DA30E6" w:rsidP="00696CB1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akių sausumas, paraudimas ar niežulys</w:t>
      </w:r>
      <w:r w:rsidR="008B15E7">
        <w:rPr>
          <w:bCs/>
          <w:szCs w:val="22"/>
          <w:lang w:val="lt-LT" w:eastAsia="x-none"/>
        </w:rPr>
        <w:t>;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vokų paraudimas ir perštėjimas;</w:t>
      </w:r>
    </w:p>
    <w:p w:rsidR="008B15E7" w:rsidRDefault="00DA30E6" w:rsidP="00696CB1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nagų sutrikimai</w:t>
      </w:r>
      <w:r w:rsidR="008B15E7">
        <w:rPr>
          <w:bCs/>
          <w:szCs w:val="22"/>
          <w:lang w:val="lt-LT" w:eastAsia="x-none"/>
        </w:rPr>
        <w:t>;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plaukų slinkimas;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karščiavimas;</w:t>
      </w:r>
    </w:p>
    <w:p w:rsidR="00DA30E6" w:rsidRDefault="00DA30E6" w:rsidP="00696CB1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kraujavimas (pvz., kraujavimas iš nosies, kraujas šlapime);</w:t>
      </w:r>
    </w:p>
    <w:p w:rsidR="00F43A15" w:rsidRPr="00F43A15" w:rsidRDefault="00F43A15" w:rsidP="00F43A15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 w:eastAsia="x-none"/>
        </w:rPr>
      </w:pPr>
      <w:proofErr w:type="spellStart"/>
      <w:r>
        <w:t>balty</w:t>
      </w:r>
      <w:r w:rsidR="006018A7">
        <w:t>mas</w:t>
      </w:r>
      <w:proofErr w:type="spellEnd"/>
      <w:r w:rsidR="006018A7">
        <w:t xml:space="preserve"> </w:t>
      </w:r>
      <w:proofErr w:type="spellStart"/>
      <w:r w:rsidR="006018A7">
        <w:t>šlapime</w:t>
      </w:r>
      <w:proofErr w:type="spellEnd"/>
      <w:r w:rsidR="006018A7">
        <w:t xml:space="preserve"> (</w:t>
      </w:r>
      <w:proofErr w:type="spellStart"/>
      <w:r w:rsidR="006018A7">
        <w:t>nustatomas</w:t>
      </w:r>
      <w:proofErr w:type="spellEnd"/>
      <w:r w:rsidR="006018A7">
        <w:t xml:space="preserve"> </w:t>
      </w:r>
      <w:proofErr w:type="spellStart"/>
      <w:r w:rsidR="006018A7">
        <w:t>šlapimo</w:t>
      </w:r>
      <w:proofErr w:type="spellEnd"/>
      <w:r w:rsidR="006018A7">
        <w:t xml:space="preserve"> </w:t>
      </w:r>
      <w:proofErr w:type="spellStart"/>
      <w:r w:rsidR="006018A7">
        <w:t>tyrimu</w:t>
      </w:r>
      <w:proofErr w:type="spellEnd"/>
      <w:r>
        <w:t>);</w:t>
      </w:r>
    </w:p>
    <w:p w:rsidR="00A337CE" w:rsidRPr="00696CB1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 xml:space="preserve">padidėjęs </w:t>
      </w:r>
      <w:proofErr w:type="spellStart"/>
      <w:r w:rsidRPr="00696CB1">
        <w:rPr>
          <w:bCs/>
          <w:szCs w:val="22"/>
          <w:lang w:val="lt-LT" w:eastAsia="x-none"/>
        </w:rPr>
        <w:t>bilirubino</w:t>
      </w:r>
      <w:proofErr w:type="spellEnd"/>
      <w:r w:rsidRPr="00696CB1">
        <w:rPr>
          <w:bCs/>
          <w:szCs w:val="22"/>
          <w:lang w:val="lt-LT" w:eastAsia="x-none"/>
        </w:rPr>
        <w:t xml:space="preserve"> </w:t>
      </w:r>
      <w:r w:rsidR="00A337CE" w:rsidRPr="00696CB1">
        <w:rPr>
          <w:bCs/>
          <w:szCs w:val="22"/>
          <w:lang w:val="lt-LT" w:eastAsia="x-none"/>
        </w:rPr>
        <w:t xml:space="preserve">kiekis </w:t>
      </w:r>
      <w:r w:rsidRPr="00696CB1">
        <w:rPr>
          <w:bCs/>
          <w:szCs w:val="22"/>
          <w:lang w:val="lt-LT" w:eastAsia="x-none"/>
        </w:rPr>
        <w:t xml:space="preserve">ir </w:t>
      </w:r>
      <w:r w:rsidR="0097209C" w:rsidRPr="00696CB1">
        <w:rPr>
          <w:bCs/>
          <w:szCs w:val="22"/>
          <w:lang w:val="lt-LT" w:eastAsia="x-none"/>
        </w:rPr>
        <w:t xml:space="preserve">kito </w:t>
      </w:r>
      <w:r w:rsidRPr="00696CB1">
        <w:rPr>
          <w:bCs/>
          <w:szCs w:val="22"/>
          <w:lang w:val="lt-LT" w:eastAsia="x-none"/>
        </w:rPr>
        <w:t xml:space="preserve">kepenų fermento, vadinamo </w:t>
      </w:r>
      <w:proofErr w:type="spellStart"/>
      <w:r w:rsidRPr="00696CB1">
        <w:rPr>
          <w:bCs/>
          <w:szCs w:val="22"/>
          <w:lang w:val="lt-LT" w:eastAsia="x-none"/>
        </w:rPr>
        <w:t>aspartato</w:t>
      </w:r>
      <w:proofErr w:type="spellEnd"/>
      <w:r w:rsidRPr="00696CB1">
        <w:rPr>
          <w:bCs/>
          <w:szCs w:val="22"/>
          <w:lang w:val="lt-LT" w:eastAsia="x-none"/>
        </w:rPr>
        <w:t xml:space="preserve"> </w:t>
      </w:r>
      <w:proofErr w:type="spellStart"/>
      <w:r w:rsidRPr="00696CB1">
        <w:rPr>
          <w:bCs/>
          <w:szCs w:val="22"/>
          <w:lang w:val="lt-LT" w:eastAsia="x-none"/>
        </w:rPr>
        <w:t>aminotransferaze</w:t>
      </w:r>
      <w:proofErr w:type="spellEnd"/>
      <w:r w:rsidRPr="00696CB1">
        <w:rPr>
          <w:bCs/>
          <w:szCs w:val="22"/>
          <w:lang w:val="lt-LT" w:eastAsia="x-none"/>
        </w:rPr>
        <w:t xml:space="preserve">, </w:t>
      </w:r>
      <w:r w:rsidR="00A337CE" w:rsidRPr="00696CB1">
        <w:rPr>
          <w:bCs/>
          <w:szCs w:val="22"/>
          <w:lang w:val="lt-LT" w:eastAsia="x-none"/>
        </w:rPr>
        <w:t xml:space="preserve">aktyvumas (nustatomas tiriant kraują; jeigu jis per didelis, gydytojas gali nurodyti nutraukti </w:t>
      </w:r>
      <w:proofErr w:type="spellStart"/>
      <w:r w:rsidR="00A337CE" w:rsidRPr="00696CB1">
        <w:rPr>
          <w:szCs w:val="22"/>
          <w:lang w:val="lt-LT"/>
        </w:rPr>
        <w:t>Gefitinib</w:t>
      </w:r>
      <w:proofErr w:type="spellEnd"/>
      <w:r w:rsidR="00A337CE"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="00A337CE" w:rsidRPr="00696CB1">
        <w:rPr>
          <w:bCs/>
          <w:szCs w:val="22"/>
          <w:lang w:val="lt-LT" w:eastAsia="x-none"/>
        </w:rPr>
        <w:t xml:space="preserve"> vartojimą);</w:t>
      </w:r>
    </w:p>
    <w:p w:rsidR="000835C8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padidėj</w:t>
      </w:r>
      <w:r w:rsidR="00A337CE" w:rsidRPr="00696CB1">
        <w:rPr>
          <w:bCs/>
          <w:szCs w:val="22"/>
          <w:lang w:val="lt-LT" w:eastAsia="x-none"/>
        </w:rPr>
        <w:t>ęs</w:t>
      </w:r>
      <w:r w:rsidRPr="00696CB1">
        <w:rPr>
          <w:bCs/>
          <w:szCs w:val="22"/>
          <w:lang w:val="lt-LT" w:eastAsia="x-none"/>
        </w:rPr>
        <w:t xml:space="preserve"> </w:t>
      </w:r>
      <w:proofErr w:type="spellStart"/>
      <w:r w:rsidRPr="00696CB1">
        <w:rPr>
          <w:bCs/>
          <w:szCs w:val="22"/>
          <w:lang w:val="lt-LT" w:eastAsia="x-none"/>
        </w:rPr>
        <w:t>kreatinino</w:t>
      </w:r>
      <w:proofErr w:type="spellEnd"/>
      <w:r w:rsidRPr="00696CB1">
        <w:rPr>
          <w:bCs/>
          <w:szCs w:val="22"/>
          <w:lang w:val="lt-LT" w:eastAsia="x-none"/>
        </w:rPr>
        <w:t xml:space="preserve"> </w:t>
      </w:r>
      <w:r w:rsidR="00A337CE" w:rsidRPr="00696CB1">
        <w:rPr>
          <w:bCs/>
          <w:szCs w:val="22"/>
          <w:lang w:val="lt-LT" w:eastAsia="x-none"/>
        </w:rPr>
        <w:t>kiekis</w:t>
      </w:r>
      <w:r w:rsidRPr="00696CB1">
        <w:rPr>
          <w:bCs/>
          <w:szCs w:val="22"/>
          <w:lang w:val="lt-LT" w:eastAsia="x-none"/>
        </w:rPr>
        <w:t xml:space="preserve"> kraujyje</w:t>
      </w:r>
      <w:r w:rsidR="00A337CE" w:rsidRPr="00696CB1">
        <w:rPr>
          <w:bCs/>
          <w:szCs w:val="22"/>
          <w:lang w:val="lt-LT" w:eastAsia="x-none"/>
        </w:rPr>
        <w:t xml:space="preserve"> (</w:t>
      </w:r>
      <w:r w:rsidRPr="00696CB1">
        <w:rPr>
          <w:bCs/>
          <w:szCs w:val="22"/>
          <w:lang w:val="lt-LT" w:eastAsia="x-none"/>
        </w:rPr>
        <w:t>nustatoma</w:t>
      </w:r>
      <w:r w:rsidR="00A337CE" w:rsidRPr="00696CB1">
        <w:rPr>
          <w:bCs/>
          <w:szCs w:val="22"/>
          <w:lang w:val="lt-LT" w:eastAsia="x-none"/>
        </w:rPr>
        <w:t>s</w:t>
      </w:r>
      <w:r w:rsidRPr="00696CB1">
        <w:rPr>
          <w:bCs/>
          <w:szCs w:val="22"/>
          <w:lang w:val="lt-LT" w:eastAsia="x-none"/>
        </w:rPr>
        <w:t xml:space="preserve"> tiriant kraują; šio tyrimo duomenys</w:t>
      </w:r>
      <w:r w:rsidR="00A337CE" w:rsidRPr="00696CB1">
        <w:rPr>
          <w:bCs/>
          <w:szCs w:val="22"/>
          <w:lang w:val="lt-LT" w:eastAsia="x-none"/>
        </w:rPr>
        <w:t xml:space="preserve"> rodo inkstų funkciją)</w:t>
      </w:r>
      <w:r w:rsidR="000835C8">
        <w:rPr>
          <w:bCs/>
          <w:szCs w:val="22"/>
          <w:lang w:val="lt-LT" w:eastAsia="x-none"/>
        </w:rPr>
        <w:t>;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cistitas (pasireiškia deginimo pojūčiu šlapinantis ir dažnu, staiga atsirandančiu noru</w:t>
      </w:r>
      <w:r w:rsidR="00A337CE" w:rsidRPr="00696CB1">
        <w:rPr>
          <w:bCs/>
          <w:szCs w:val="22"/>
          <w:lang w:val="lt-LT" w:eastAsia="x-none"/>
        </w:rPr>
        <w:t xml:space="preserve"> </w:t>
      </w:r>
      <w:r w:rsidRPr="00696CB1">
        <w:rPr>
          <w:bCs/>
          <w:szCs w:val="22"/>
          <w:lang w:val="lt-LT" w:eastAsia="x-none"/>
        </w:rPr>
        <w:t>šlapintis).</w:t>
      </w:r>
    </w:p>
    <w:p w:rsidR="00D64A8F" w:rsidRPr="00696CB1" w:rsidRDefault="00D64A8F" w:rsidP="00696CB1">
      <w:pPr>
        <w:widowControl w:val="0"/>
        <w:spacing w:line="240" w:lineRule="auto"/>
        <w:rPr>
          <w:bCs/>
          <w:szCs w:val="22"/>
          <w:lang w:val="lt-LT" w:eastAsia="x-none"/>
        </w:rPr>
      </w:pPr>
    </w:p>
    <w:p w:rsidR="00DA30E6" w:rsidRPr="00696CB1" w:rsidRDefault="00DA30E6" w:rsidP="00696CB1">
      <w:pPr>
        <w:widowControl w:val="0"/>
        <w:spacing w:line="240" w:lineRule="auto"/>
        <w:rPr>
          <w:b/>
          <w:bCs/>
          <w:szCs w:val="22"/>
          <w:lang w:val="lt-LT" w:eastAsia="x-none"/>
        </w:rPr>
      </w:pPr>
      <w:r w:rsidRPr="00696CB1">
        <w:rPr>
          <w:b/>
          <w:bCs/>
          <w:szCs w:val="22"/>
          <w:lang w:val="lt-LT" w:eastAsia="x-none"/>
        </w:rPr>
        <w:t>Nedažnas šalutinis poveikis (</w:t>
      </w:r>
      <w:r w:rsidR="00B90EA9" w:rsidRPr="00696CB1">
        <w:rPr>
          <w:b/>
          <w:bCs/>
          <w:szCs w:val="22"/>
          <w:lang w:val="lt-LT" w:eastAsia="x-none"/>
        </w:rPr>
        <w:t xml:space="preserve">gali pasireikšti </w:t>
      </w:r>
      <w:r w:rsidR="005D6BD4" w:rsidRPr="00696CB1">
        <w:rPr>
          <w:b/>
          <w:bCs/>
          <w:szCs w:val="22"/>
          <w:lang w:val="lt-LT"/>
        </w:rPr>
        <w:t>rečiau</w:t>
      </w:r>
      <w:r w:rsidR="00B90EA9" w:rsidRPr="00696CB1">
        <w:rPr>
          <w:b/>
          <w:bCs/>
          <w:szCs w:val="22"/>
          <w:lang w:val="lt-LT" w:eastAsia="x-none"/>
        </w:rPr>
        <w:t xml:space="preserve"> kaip 1 iš 100 žmonių</w:t>
      </w:r>
      <w:r w:rsidRPr="00696CB1">
        <w:rPr>
          <w:b/>
          <w:bCs/>
          <w:szCs w:val="22"/>
          <w:lang w:val="lt-LT" w:eastAsia="x-none"/>
        </w:rPr>
        <w:t>):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 xml:space="preserve">kasos uždegimas (jo </w:t>
      </w:r>
      <w:r w:rsidR="00B90EA9" w:rsidRPr="00696CB1">
        <w:rPr>
          <w:bCs/>
          <w:szCs w:val="22"/>
          <w:lang w:val="lt-LT" w:eastAsia="x-none"/>
        </w:rPr>
        <w:t>požymiai</w:t>
      </w:r>
      <w:r w:rsidRPr="00696CB1">
        <w:rPr>
          <w:bCs/>
          <w:szCs w:val="22"/>
          <w:lang w:val="lt-LT" w:eastAsia="x-none"/>
        </w:rPr>
        <w:t xml:space="preserve"> yra labai stiprus skausmas viršutinėje </w:t>
      </w:r>
      <w:r w:rsidR="00B90EA9" w:rsidRPr="00696CB1">
        <w:rPr>
          <w:bCs/>
          <w:szCs w:val="22"/>
          <w:lang w:val="lt-LT" w:eastAsia="x-none"/>
        </w:rPr>
        <w:t>pilvo</w:t>
      </w:r>
      <w:r w:rsidRPr="00696CB1">
        <w:rPr>
          <w:bCs/>
          <w:szCs w:val="22"/>
          <w:lang w:val="lt-LT" w:eastAsia="x-none"/>
        </w:rPr>
        <w:t xml:space="preserve"> dalyje,</w:t>
      </w:r>
      <w:r w:rsidR="00B90EA9" w:rsidRPr="00696CB1">
        <w:rPr>
          <w:bCs/>
          <w:szCs w:val="22"/>
          <w:lang w:val="lt-LT" w:eastAsia="x-none"/>
        </w:rPr>
        <w:t xml:space="preserve"> </w:t>
      </w:r>
      <w:r w:rsidRPr="00696CB1">
        <w:rPr>
          <w:bCs/>
          <w:szCs w:val="22"/>
          <w:lang w:val="lt-LT" w:eastAsia="x-none"/>
        </w:rPr>
        <w:t>stiprus pykinimas ir vėmimas);</w:t>
      </w:r>
    </w:p>
    <w:p w:rsidR="000835C8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kepenų uždegimas, kurio simptomai gali būti bendras negalavimas su gelta (pageltusi oda ir</w:t>
      </w:r>
      <w:r w:rsidR="00B90EA9" w:rsidRPr="00696CB1">
        <w:rPr>
          <w:bCs/>
          <w:szCs w:val="22"/>
          <w:lang w:val="lt-LT" w:eastAsia="x-none"/>
        </w:rPr>
        <w:t xml:space="preserve"> </w:t>
      </w:r>
      <w:r w:rsidRPr="00696CB1">
        <w:rPr>
          <w:bCs/>
          <w:szCs w:val="22"/>
          <w:lang w:val="lt-LT" w:eastAsia="x-none"/>
        </w:rPr>
        <w:lastRenderedPageBreak/>
        <w:t xml:space="preserve">akys) ar be jos. Šis šalutinis poveikis pasireiškia nedažnai, tačiau </w:t>
      </w:r>
      <w:r w:rsidR="00B90EA9" w:rsidRPr="00696CB1">
        <w:rPr>
          <w:bCs/>
          <w:szCs w:val="22"/>
          <w:lang w:val="lt-LT" w:eastAsia="x-none"/>
        </w:rPr>
        <w:t>yra buvę mirties atvejų</w:t>
      </w:r>
      <w:r w:rsidR="000835C8">
        <w:rPr>
          <w:bCs/>
          <w:szCs w:val="22"/>
          <w:lang w:val="lt-LT" w:eastAsia="x-none"/>
        </w:rPr>
        <w:t>;</w:t>
      </w:r>
    </w:p>
    <w:p w:rsidR="000835C8" w:rsidRDefault="000835C8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>
        <w:rPr>
          <w:bCs/>
          <w:szCs w:val="22"/>
          <w:lang w:val="lt-LT" w:eastAsia="x-none"/>
        </w:rPr>
        <w:t>virškinimo trakto prakiurimas;</w:t>
      </w:r>
    </w:p>
    <w:p w:rsidR="00DA30E6" w:rsidRPr="00696CB1" w:rsidRDefault="000835C8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proofErr w:type="spellStart"/>
      <w:proofErr w:type="gramStart"/>
      <w:r>
        <w:t>plaštakų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pėdų</w:t>
      </w:r>
      <w:proofErr w:type="spellEnd"/>
      <w:r>
        <w:t xml:space="preserve"> </w:t>
      </w:r>
      <w:proofErr w:type="spellStart"/>
      <w:r>
        <w:t>odos</w:t>
      </w:r>
      <w:proofErr w:type="spellEnd"/>
      <w:r>
        <w:t xml:space="preserve"> </w:t>
      </w:r>
      <w:proofErr w:type="spellStart"/>
      <w:r>
        <w:t>reakcija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pasireiškia</w:t>
      </w:r>
      <w:proofErr w:type="spellEnd"/>
      <w:r>
        <w:t xml:space="preserve"> </w:t>
      </w:r>
      <w:proofErr w:type="spellStart"/>
      <w:r>
        <w:t>dilgčiojimu</w:t>
      </w:r>
      <w:proofErr w:type="spellEnd"/>
      <w:r>
        <w:t xml:space="preserve">, </w:t>
      </w:r>
      <w:proofErr w:type="spellStart"/>
      <w:r>
        <w:t>nejautra</w:t>
      </w:r>
      <w:proofErr w:type="spellEnd"/>
      <w:r>
        <w:t xml:space="preserve">, </w:t>
      </w:r>
      <w:proofErr w:type="spellStart"/>
      <w:r>
        <w:t>skausmu</w:t>
      </w:r>
      <w:proofErr w:type="spellEnd"/>
      <w:r>
        <w:t xml:space="preserve">, </w:t>
      </w:r>
      <w:proofErr w:type="spellStart"/>
      <w:r>
        <w:t>patinimu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paraudinimu</w:t>
      </w:r>
      <w:proofErr w:type="spellEnd"/>
      <w:r>
        <w:t xml:space="preserve"> (</w:t>
      </w:r>
      <w:proofErr w:type="spellStart"/>
      <w:r>
        <w:t>vadinama</w:t>
      </w:r>
      <w:proofErr w:type="spellEnd"/>
      <w:r>
        <w:t xml:space="preserve"> </w:t>
      </w:r>
      <w:proofErr w:type="spellStart"/>
      <w:r>
        <w:t>plaštakų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pėdų</w:t>
      </w:r>
      <w:proofErr w:type="spellEnd"/>
      <w:r>
        <w:t xml:space="preserve"> </w:t>
      </w:r>
      <w:proofErr w:type="spellStart"/>
      <w:r>
        <w:t>eritrodizestezijos</w:t>
      </w:r>
      <w:proofErr w:type="spellEnd"/>
      <w:r>
        <w:t xml:space="preserve"> </w:t>
      </w:r>
      <w:proofErr w:type="spellStart"/>
      <w:r>
        <w:t>sindromu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plaštakų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pėdų</w:t>
      </w:r>
      <w:proofErr w:type="spellEnd"/>
      <w:r>
        <w:t xml:space="preserve"> </w:t>
      </w:r>
      <w:proofErr w:type="spellStart"/>
      <w:r>
        <w:t>sindromu</w:t>
      </w:r>
      <w:proofErr w:type="spellEnd"/>
      <w:r>
        <w:t>)</w:t>
      </w:r>
      <w:r w:rsidR="00B90EA9" w:rsidRPr="00696CB1">
        <w:rPr>
          <w:bCs/>
          <w:szCs w:val="22"/>
          <w:lang w:val="lt-LT" w:eastAsia="x-none"/>
        </w:rPr>
        <w:t>.</w:t>
      </w:r>
    </w:p>
    <w:p w:rsidR="00B90EA9" w:rsidRPr="00696CB1" w:rsidRDefault="00B90EA9" w:rsidP="00696CB1">
      <w:pPr>
        <w:widowControl w:val="0"/>
        <w:spacing w:line="240" w:lineRule="auto"/>
        <w:rPr>
          <w:bCs/>
          <w:szCs w:val="22"/>
          <w:lang w:val="lt-LT" w:eastAsia="x-none"/>
        </w:rPr>
      </w:pPr>
    </w:p>
    <w:p w:rsidR="00DA30E6" w:rsidRPr="00696CB1" w:rsidRDefault="00DA30E6" w:rsidP="00696CB1">
      <w:pPr>
        <w:widowControl w:val="0"/>
        <w:spacing w:line="240" w:lineRule="auto"/>
        <w:rPr>
          <w:b/>
          <w:bCs/>
          <w:szCs w:val="22"/>
          <w:lang w:val="lt-LT" w:eastAsia="x-none"/>
        </w:rPr>
      </w:pPr>
      <w:r w:rsidRPr="00696CB1">
        <w:rPr>
          <w:b/>
          <w:bCs/>
          <w:szCs w:val="22"/>
          <w:lang w:val="lt-LT" w:eastAsia="x-none"/>
        </w:rPr>
        <w:t>Retas šalutinis poveikis (</w:t>
      </w:r>
      <w:r w:rsidR="00B90EA9" w:rsidRPr="00696CB1">
        <w:rPr>
          <w:b/>
          <w:bCs/>
          <w:szCs w:val="22"/>
          <w:lang w:val="lt-LT" w:eastAsia="x-none"/>
        </w:rPr>
        <w:t xml:space="preserve">gali pasireikšti </w:t>
      </w:r>
      <w:r w:rsidR="005D6BD4" w:rsidRPr="00696CB1">
        <w:rPr>
          <w:b/>
          <w:bCs/>
          <w:szCs w:val="22"/>
          <w:lang w:val="lt-LT"/>
        </w:rPr>
        <w:t>rečiau</w:t>
      </w:r>
      <w:r w:rsidR="00B90EA9" w:rsidRPr="00696CB1">
        <w:rPr>
          <w:b/>
          <w:bCs/>
          <w:szCs w:val="22"/>
          <w:lang w:val="lt-LT" w:eastAsia="x-none"/>
        </w:rPr>
        <w:t xml:space="preserve"> kaip 1 iš 1000 žmonių</w:t>
      </w:r>
      <w:r w:rsidRPr="00696CB1">
        <w:rPr>
          <w:b/>
          <w:bCs/>
          <w:szCs w:val="22"/>
          <w:lang w:val="lt-LT" w:eastAsia="x-none"/>
        </w:rPr>
        <w:t>):</w:t>
      </w:r>
    </w:p>
    <w:p w:rsidR="00DA30E6" w:rsidRPr="00696CB1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odos kraujagyslių uždegimas (dėl jo gali susidaryti kraujosruvų ar paspaudus neblunkančio</w:t>
      </w:r>
      <w:r w:rsidR="00B90EA9" w:rsidRPr="00696CB1">
        <w:rPr>
          <w:bCs/>
          <w:szCs w:val="22"/>
          <w:lang w:val="lt-LT" w:eastAsia="x-none"/>
        </w:rPr>
        <w:t xml:space="preserve"> </w:t>
      </w:r>
      <w:r w:rsidRPr="00696CB1">
        <w:rPr>
          <w:bCs/>
          <w:szCs w:val="22"/>
          <w:lang w:val="lt-LT" w:eastAsia="x-none"/>
        </w:rPr>
        <w:t>išbėrimo dėmių odoje);</w:t>
      </w:r>
    </w:p>
    <w:p w:rsidR="00F34163" w:rsidRPr="00696CB1" w:rsidRDefault="00DA30E6" w:rsidP="00696CB1">
      <w:pPr>
        <w:widowControl w:val="0"/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696CB1">
        <w:rPr>
          <w:bCs/>
          <w:szCs w:val="22"/>
          <w:lang w:val="lt-LT" w:eastAsia="x-none"/>
        </w:rPr>
        <w:t>hemoraginis cistitas (pasireiškia deginimo pojūčiu šlapinantis ir dažnu, staiga atsirandančiu</w:t>
      </w:r>
      <w:r w:rsidR="00B90EA9" w:rsidRPr="00696CB1">
        <w:rPr>
          <w:bCs/>
          <w:szCs w:val="22"/>
          <w:lang w:val="lt-LT" w:eastAsia="x-none"/>
        </w:rPr>
        <w:t xml:space="preserve"> </w:t>
      </w:r>
      <w:r w:rsidRPr="00696CB1">
        <w:rPr>
          <w:bCs/>
          <w:szCs w:val="22"/>
          <w:lang w:val="lt-LT" w:eastAsia="x-none"/>
        </w:rPr>
        <w:t>noru šlapintis, o šlapime pastebima kraujo).</w:t>
      </w:r>
    </w:p>
    <w:p w:rsidR="00DA30E6" w:rsidRPr="00696CB1" w:rsidRDefault="00DA30E6" w:rsidP="00696CB1">
      <w:pPr>
        <w:widowControl w:val="0"/>
        <w:spacing w:line="240" w:lineRule="auto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spacing w:line="240" w:lineRule="auto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Pranešimas apie šalutinį poveikį</w:t>
      </w:r>
    </w:p>
    <w:p w:rsidR="00F34163" w:rsidRPr="00696CB1" w:rsidRDefault="00503D27" w:rsidP="00696CB1">
      <w:pPr>
        <w:widowControl w:val="0"/>
        <w:spacing w:line="240" w:lineRule="auto"/>
        <w:ind w:right="-449"/>
        <w:rPr>
          <w:szCs w:val="22"/>
          <w:lang w:val="lt-LT"/>
        </w:rPr>
      </w:pPr>
      <w:r w:rsidRPr="00696CB1">
        <w:rPr>
          <w:szCs w:val="22"/>
          <w:lang w:val="lt-LT"/>
        </w:rPr>
        <w:t>Jeigu pasireiškė šalutinis poveikis, įskaitant šiame l</w:t>
      </w:r>
      <w:r w:rsidR="00DA30E6" w:rsidRPr="00696CB1">
        <w:rPr>
          <w:szCs w:val="22"/>
          <w:lang w:val="lt-LT"/>
        </w:rPr>
        <w:t xml:space="preserve">apelyje nenurodytą, pasakykite </w:t>
      </w:r>
      <w:r w:rsidRPr="00696CB1">
        <w:rPr>
          <w:szCs w:val="22"/>
          <w:lang w:val="lt-LT"/>
        </w:rPr>
        <w:t>gydytojui</w:t>
      </w:r>
      <w:r w:rsidR="00DA30E6" w:rsidRPr="00696CB1">
        <w:rPr>
          <w:szCs w:val="22"/>
          <w:lang w:val="lt-LT"/>
        </w:rPr>
        <w:t xml:space="preserve">, </w:t>
      </w:r>
      <w:r w:rsidRPr="00696CB1">
        <w:rPr>
          <w:szCs w:val="22"/>
          <w:lang w:val="lt-LT"/>
        </w:rPr>
        <w:t>vaistininkui</w:t>
      </w:r>
      <w:r w:rsidR="00DA30E6" w:rsidRPr="00696CB1">
        <w:rPr>
          <w:szCs w:val="22"/>
          <w:lang w:val="lt-LT"/>
        </w:rPr>
        <w:t xml:space="preserve"> </w:t>
      </w:r>
      <w:r w:rsidRPr="00696CB1">
        <w:rPr>
          <w:szCs w:val="22"/>
          <w:lang w:val="lt-LT"/>
        </w:rPr>
        <w:t>arba slaugytojui. Apie šalutinį poveikį taip pat galite pranešti Valstybinei vaistų kontrolės tarnybai prie Lietuvos Respublikos sveikatos apsaugos ministerijos nemokamu t</w:t>
      </w:r>
      <w:r w:rsidRPr="00696CB1">
        <w:rPr>
          <w:szCs w:val="22"/>
          <w:lang w:val="lt-LT" w:eastAsia="zh-CN"/>
        </w:rPr>
        <w:t>elefonu 8 800 73568</w:t>
      </w:r>
      <w:r w:rsidRPr="00696CB1">
        <w:rPr>
          <w:szCs w:val="22"/>
          <w:lang w:val="lt-LT"/>
        </w:rPr>
        <w:t xml:space="preserve"> arba užpildyti interneto svetainėje </w:t>
      </w:r>
      <w:hyperlink r:id="rId13" w:history="1">
        <w:r w:rsidRPr="00696CB1">
          <w:rPr>
            <w:rStyle w:val="Hipersaitas"/>
            <w:rFonts w:eastAsia="SimSun"/>
            <w:szCs w:val="22"/>
            <w:lang w:val="lt-LT"/>
          </w:rPr>
          <w:t>www.vvkt.lt</w:t>
        </w:r>
      </w:hyperlink>
      <w:r w:rsidRPr="00696CB1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96CB1">
        <w:rPr>
          <w:szCs w:val="22"/>
          <w:lang w:val="lt-LT" w:eastAsia="zh-CN"/>
        </w:rPr>
        <w:t xml:space="preserve">nemokamu </w:t>
      </w:r>
      <w:r w:rsidRPr="00696CB1">
        <w:rPr>
          <w:szCs w:val="22"/>
          <w:lang w:val="lt-LT"/>
        </w:rPr>
        <w:t>fakso numeriu 8 800 20131</w:t>
      </w:r>
      <w:r w:rsidRPr="00696CB1">
        <w:rPr>
          <w:szCs w:val="22"/>
          <w:lang w:val="lt-LT" w:eastAsia="zh-CN"/>
        </w:rPr>
        <w:t xml:space="preserve">, </w:t>
      </w:r>
      <w:r w:rsidRPr="00696CB1">
        <w:rPr>
          <w:szCs w:val="22"/>
          <w:lang w:val="lt-LT"/>
        </w:rPr>
        <w:t xml:space="preserve">el. paštu </w:t>
      </w:r>
      <w:hyperlink r:id="rId14" w:history="1">
        <w:r w:rsidRPr="00696CB1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Pr="00696CB1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5" w:history="1">
        <w:r w:rsidRPr="00696CB1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Pr="00696CB1">
        <w:rPr>
          <w:szCs w:val="22"/>
          <w:lang w:val="lt-LT"/>
        </w:rPr>
        <w:t>). Pranešdami apie šalutinį poveikį galite mums padėti gauti daugiau inform</w:t>
      </w:r>
      <w:r w:rsidR="00EF473A" w:rsidRPr="00696CB1">
        <w:rPr>
          <w:szCs w:val="22"/>
          <w:lang w:val="lt-LT"/>
        </w:rPr>
        <w:t>acijos apie šio vaisto saugumą.</w:t>
      </w:r>
    </w:p>
    <w:p w:rsidR="00AA148B" w:rsidRPr="00696CB1" w:rsidRDefault="00AA148B" w:rsidP="00696CB1">
      <w:pPr>
        <w:widowControl w:val="0"/>
        <w:spacing w:line="240" w:lineRule="auto"/>
        <w:ind w:right="-449"/>
        <w:rPr>
          <w:szCs w:val="22"/>
          <w:lang w:val="lt-LT"/>
        </w:rPr>
      </w:pPr>
    </w:p>
    <w:p w:rsidR="00447DE7" w:rsidRPr="00696CB1" w:rsidRDefault="00447DE7" w:rsidP="00696CB1">
      <w:pPr>
        <w:widowControl w:val="0"/>
        <w:spacing w:line="240" w:lineRule="auto"/>
        <w:ind w:right="-449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5.</w:t>
      </w:r>
      <w:r w:rsidRPr="00696CB1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E752C8"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="00E752C8"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Šį vaistą laikykite vaikams nepastebimoje ir nepasiekiamoje vietoje.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Ant dėžutės</w:t>
      </w:r>
      <w:r w:rsidR="00507808" w:rsidRPr="00696CB1">
        <w:rPr>
          <w:szCs w:val="22"/>
          <w:lang w:val="lt-LT"/>
        </w:rPr>
        <w:t xml:space="preserve"> ir lizdinės plokštelės po „Tink</w:t>
      </w:r>
      <w:r w:rsidR="00C36CC7" w:rsidRPr="00696CB1">
        <w:rPr>
          <w:szCs w:val="22"/>
          <w:lang w:val="lt-LT"/>
        </w:rPr>
        <w:t>a</w:t>
      </w:r>
      <w:r w:rsidR="00507808" w:rsidRPr="00696CB1">
        <w:rPr>
          <w:szCs w:val="22"/>
          <w:lang w:val="lt-LT"/>
        </w:rPr>
        <w:t xml:space="preserve"> iki“ arba „EXP“ </w:t>
      </w:r>
      <w:r w:rsidRPr="00696CB1">
        <w:rPr>
          <w:szCs w:val="22"/>
          <w:lang w:val="lt-LT"/>
        </w:rPr>
        <w:t>nurodytam tinkamumo laikui pasibaigus,</w:t>
      </w:r>
      <w:r w:rsidR="00507808" w:rsidRPr="00696CB1">
        <w:rPr>
          <w:szCs w:val="22"/>
          <w:lang w:val="lt-LT"/>
        </w:rPr>
        <w:t xml:space="preserve"> šio vaisto vartoti negalima. </w:t>
      </w:r>
      <w:r w:rsidRPr="00696CB1">
        <w:rPr>
          <w:szCs w:val="22"/>
          <w:lang w:val="lt-LT"/>
        </w:rPr>
        <w:t>Vaistas tinkamas vartoti iki paskutinės nurodyto mėn</w:t>
      </w:r>
      <w:r w:rsidR="00507808" w:rsidRPr="00696CB1">
        <w:rPr>
          <w:szCs w:val="22"/>
          <w:lang w:val="lt-LT"/>
        </w:rPr>
        <w:t>esio dienos.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507808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Šiam vaistui specialių laikymo sąlygų nereikia</w:t>
      </w:r>
      <w:r w:rsidR="00C577D2"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96CB1">
        <w:rPr>
          <w:szCs w:val="22"/>
          <w:lang w:val="lt-LT"/>
        </w:rPr>
        <w:t>Vaistų n</w:t>
      </w:r>
      <w:r w:rsidR="00507808" w:rsidRPr="00696CB1">
        <w:rPr>
          <w:szCs w:val="22"/>
          <w:lang w:val="lt-LT"/>
        </w:rPr>
        <w:t>egalima išmesti į kanalizaciją arba su buitinėmis atliekomis</w:t>
      </w:r>
      <w:r w:rsidRPr="00696CB1">
        <w:rPr>
          <w:szCs w:val="22"/>
          <w:lang w:val="lt-LT"/>
        </w:rPr>
        <w:t xml:space="preserve">. Kaip išmesti nereikalingus vaistus, klauskite vaistininko. Šios priemonės padės apsaugoti </w:t>
      </w:r>
      <w:r w:rsidR="00507808" w:rsidRPr="00696CB1">
        <w:rPr>
          <w:szCs w:val="22"/>
          <w:lang w:val="lt-LT"/>
        </w:rPr>
        <w:t>aplinką.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447DE7" w:rsidRPr="00696CB1" w:rsidRDefault="00447DE7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6.</w:t>
      </w:r>
      <w:r w:rsidRPr="00696CB1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696CB1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F47AC5" w:rsidRPr="00696CB1" w:rsidRDefault="00E752C8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  <w:r w:rsidR="00F34163" w:rsidRPr="00696CB1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:rsidR="00F34163" w:rsidRPr="00696CB1" w:rsidRDefault="00C63F1A" w:rsidP="00696CB1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Veiklioji medžiaga yra </w:t>
      </w:r>
      <w:proofErr w:type="spellStart"/>
      <w:r w:rsidRPr="00696CB1">
        <w:rPr>
          <w:szCs w:val="22"/>
          <w:lang w:val="lt-LT"/>
        </w:rPr>
        <w:t>gefitinibas</w:t>
      </w:r>
      <w:proofErr w:type="spellEnd"/>
      <w:r w:rsidRPr="00696CB1">
        <w:rPr>
          <w:szCs w:val="22"/>
          <w:lang w:val="lt-LT"/>
        </w:rPr>
        <w:t>. Kiekvienoje tabletėje yra 250 mg</w:t>
      </w:r>
      <w:r w:rsidR="00F34163" w:rsidRPr="00696CB1">
        <w:rPr>
          <w:szCs w:val="22"/>
          <w:lang w:val="lt-LT"/>
        </w:rPr>
        <w:t xml:space="preserve"> </w:t>
      </w:r>
      <w:proofErr w:type="spellStart"/>
      <w:r w:rsidRPr="00696CB1">
        <w:rPr>
          <w:szCs w:val="22"/>
          <w:lang w:val="lt-LT"/>
        </w:rPr>
        <w:t>gefitinibo</w:t>
      </w:r>
      <w:proofErr w:type="spellEnd"/>
      <w:r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96CB1">
        <w:rPr>
          <w:szCs w:val="22"/>
          <w:lang w:val="lt-LT"/>
        </w:rPr>
        <w:t>Pagalbinė</w:t>
      </w:r>
      <w:r w:rsidR="00C63F1A" w:rsidRPr="00696CB1">
        <w:rPr>
          <w:szCs w:val="22"/>
          <w:lang w:val="lt-LT"/>
        </w:rPr>
        <w:t>s</w:t>
      </w:r>
      <w:r w:rsidRPr="00696CB1">
        <w:rPr>
          <w:szCs w:val="22"/>
          <w:lang w:val="lt-LT"/>
        </w:rPr>
        <w:t xml:space="preserve"> medžiag</w:t>
      </w:r>
      <w:r w:rsidR="00C63F1A" w:rsidRPr="00696CB1">
        <w:rPr>
          <w:szCs w:val="22"/>
          <w:lang w:val="lt-LT"/>
        </w:rPr>
        <w:t xml:space="preserve">os yra </w:t>
      </w:r>
      <w:r w:rsidR="00682456" w:rsidRPr="00696CB1">
        <w:rPr>
          <w:szCs w:val="22"/>
          <w:lang w:val="lt-LT"/>
        </w:rPr>
        <w:t xml:space="preserve">natrio </w:t>
      </w:r>
      <w:proofErr w:type="spellStart"/>
      <w:r w:rsidR="00682456" w:rsidRPr="00696CB1">
        <w:rPr>
          <w:szCs w:val="22"/>
          <w:lang w:val="lt-LT"/>
        </w:rPr>
        <w:t>laurilsulfatas</w:t>
      </w:r>
      <w:proofErr w:type="spellEnd"/>
      <w:r w:rsidR="00682456" w:rsidRPr="00696CB1">
        <w:rPr>
          <w:szCs w:val="22"/>
          <w:lang w:val="lt-LT"/>
        </w:rPr>
        <w:t xml:space="preserve">, laktozė </w:t>
      </w:r>
      <w:proofErr w:type="spellStart"/>
      <w:r w:rsidR="00682456" w:rsidRPr="00696CB1">
        <w:rPr>
          <w:szCs w:val="22"/>
          <w:lang w:val="lt-LT"/>
        </w:rPr>
        <w:t>monohidratas</w:t>
      </w:r>
      <w:proofErr w:type="spellEnd"/>
      <w:r w:rsidR="00682456" w:rsidRPr="00696CB1">
        <w:rPr>
          <w:szCs w:val="22"/>
          <w:lang w:val="lt-LT"/>
        </w:rPr>
        <w:t xml:space="preserve">, </w:t>
      </w:r>
      <w:proofErr w:type="spellStart"/>
      <w:r w:rsidR="00682456" w:rsidRPr="00696CB1">
        <w:rPr>
          <w:szCs w:val="22"/>
          <w:lang w:val="lt-LT"/>
        </w:rPr>
        <w:t>mikrokristalinė</w:t>
      </w:r>
      <w:proofErr w:type="spellEnd"/>
      <w:r w:rsidR="00682456" w:rsidRPr="00696CB1">
        <w:rPr>
          <w:szCs w:val="22"/>
          <w:lang w:val="lt-LT"/>
        </w:rPr>
        <w:t xml:space="preserve"> celiuliozė, </w:t>
      </w:r>
      <w:proofErr w:type="spellStart"/>
      <w:r w:rsidR="00682456" w:rsidRPr="00696CB1">
        <w:rPr>
          <w:szCs w:val="22"/>
          <w:lang w:val="lt-LT"/>
        </w:rPr>
        <w:t>povidonas</w:t>
      </w:r>
      <w:proofErr w:type="spellEnd"/>
      <w:r w:rsidR="00682456" w:rsidRPr="00696CB1">
        <w:rPr>
          <w:szCs w:val="22"/>
          <w:lang w:val="lt-LT"/>
        </w:rPr>
        <w:t xml:space="preserve">, </w:t>
      </w:r>
      <w:proofErr w:type="spellStart"/>
      <w:r w:rsidR="00682456" w:rsidRPr="00696CB1">
        <w:rPr>
          <w:szCs w:val="22"/>
          <w:lang w:val="lt-LT"/>
        </w:rPr>
        <w:t>kroskarmeliozės</w:t>
      </w:r>
      <w:proofErr w:type="spellEnd"/>
      <w:r w:rsidR="00682456" w:rsidRPr="00696CB1">
        <w:rPr>
          <w:szCs w:val="22"/>
          <w:lang w:val="lt-LT"/>
        </w:rPr>
        <w:t xml:space="preserve"> natrio druska, magnio </w:t>
      </w:r>
      <w:proofErr w:type="spellStart"/>
      <w:r w:rsidR="00682456" w:rsidRPr="00696CB1">
        <w:rPr>
          <w:szCs w:val="22"/>
          <w:lang w:val="lt-LT"/>
        </w:rPr>
        <w:t>stearatas</w:t>
      </w:r>
      <w:proofErr w:type="spellEnd"/>
      <w:r w:rsidR="00682456" w:rsidRPr="00696CB1">
        <w:rPr>
          <w:szCs w:val="22"/>
          <w:lang w:val="lt-LT"/>
        </w:rPr>
        <w:t xml:space="preserve">, </w:t>
      </w:r>
      <w:proofErr w:type="spellStart"/>
      <w:r w:rsidR="00682456" w:rsidRPr="00696CB1">
        <w:rPr>
          <w:szCs w:val="22"/>
          <w:lang w:val="lt-LT"/>
        </w:rPr>
        <w:t>polivinilo</w:t>
      </w:r>
      <w:proofErr w:type="spellEnd"/>
      <w:r w:rsidR="00682456" w:rsidRPr="00696CB1">
        <w:rPr>
          <w:szCs w:val="22"/>
          <w:lang w:val="lt-LT"/>
        </w:rPr>
        <w:t xml:space="preserve"> alkoholis, </w:t>
      </w:r>
      <w:proofErr w:type="spellStart"/>
      <w:r w:rsidR="00682456" w:rsidRPr="00696CB1">
        <w:rPr>
          <w:szCs w:val="22"/>
          <w:lang w:val="lt-LT"/>
        </w:rPr>
        <w:t>makrogolis</w:t>
      </w:r>
      <w:proofErr w:type="spellEnd"/>
      <w:r w:rsidR="00682456" w:rsidRPr="00696CB1">
        <w:rPr>
          <w:szCs w:val="22"/>
          <w:lang w:val="lt-LT"/>
        </w:rPr>
        <w:t>, talkas, raudonasis geležies oksidas (E172), gel</w:t>
      </w:r>
      <w:r w:rsidR="0097209C" w:rsidRPr="00696CB1">
        <w:rPr>
          <w:szCs w:val="22"/>
          <w:lang w:val="lt-LT"/>
        </w:rPr>
        <w:t>tonasis geležies oksidas (E172) ir</w:t>
      </w:r>
      <w:r w:rsidR="00682456" w:rsidRPr="00696CB1">
        <w:rPr>
          <w:szCs w:val="22"/>
          <w:lang w:val="lt-LT"/>
        </w:rPr>
        <w:t xml:space="preserve"> juodasis geležies oksidas (E172).</w:t>
      </w:r>
      <w:r w:rsidR="00106F1C" w:rsidRPr="00696CB1">
        <w:rPr>
          <w:szCs w:val="22"/>
          <w:lang w:val="lt-LT"/>
        </w:rPr>
        <w:t xml:space="preserve"> </w:t>
      </w:r>
      <w:r w:rsidR="009A49D1">
        <w:rPr>
          <w:rFonts w:eastAsia="Calibri"/>
          <w:color w:val="000000"/>
          <w:szCs w:val="22"/>
          <w:lang w:val="lt-LT" w:eastAsia="lt-LT"/>
        </w:rPr>
        <w:t>Žr. 2 </w:t>
      </w:r>
      <w:r w:rsidR="00106F1C" w:rsidRPr="00696CB1">
        <w:rPr>
          <w:rFonts w:eastAsia="Calibri"/>
          <w:color w:val="000000"/>
          <w:szCs w:val="22"/>
          <w:lang w:val="lt-LT" w:eastAsia="lt-LT"/>
        </w:rPr>
        <w:t>skyrių „</w:t>
      </w:r>
      <w:proofErr w:type="spellStart"/>
      <w:r w:rsidR="00106F1C" w:rsidRPr="00696CB1">
        <w:rPr>
          <w:rFonts w:eastAsia="Calibri"/>
          <w:color w:val="000000"/>
          <w:szCs w:val="22"/>
          <w:lang w:val="lt-LT" w:eastAsia="lt-LT"/>
        </w:rPr>
        <w:t>Gefitinib</w:t>
      </w:r>
      <w:proofErr w:type="spellEnd"/>
      <w:r w:rsidR="00106F1C" w:rsidRPr="00696CB1">
        <w:rPr>
          <w:rFonts w:eastAsia="Calibri"/>
          <w:color w:val="000000"/>
          <w:szCs w:val="22"/>
          <w:lang w:val="lt-LT" w:eastAsia="lt-LT"/>
        </w:rPr>
        <w:t xml:space="preserve"> </w:t>
      </w:r>
      <w:proofErr w:type="spellStart"/>
      <w:r w:rsidR="00106F1C" w:rsidRPr="00696CB1">
        <w:rPr>
          <w:rFonts w:eastAsia="Calibri"/>
          <w:color w:val="000000"/>
          <w:szCs w:val="22"/>
          <w:lang w:val="lt-LT" w:eastAsia="lt-LT"/>
        </w:rPr>
        <w:t>Krka</w:t>
      </w:r>
      <w:proofErr w:type="spellEnd"/>
      <w:r w:rsidR="0028428B" w:rsidRPr="00696CB1">
        <w:rPr>
          <w:rFonts w:eastAsia="Calibri"/>
          <w:color w:val="000000"/>
          <w:szCs w:val="22"/>
          <w:lang w:val="lt-LT" w:eastAsia="lt-LT"/>
        </w:rPr>
        <w:t xml:space="preserve"> sudėtyje yra lakt</w:t>
      </w:r>
      <w:r w:rsidR="00106F1C" w:rsidRPr="00696CB1">
        <w:rPr>
          <w:rFonts w:eastAsia="Calibri"/>
          <w:color w:val="000000"/>
          <w:szCs w:val="22"/>
          <w:lang w:val="lt-LT" w:eastAsia="lt-LT"/>
        </w:rPr>
        <w:t>ozės ir natrio“.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E752C8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696CB1"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 w:rsidRPr="00696CB1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9E39E4" w:rsidRPr="00696CB1">
        <w:rPr>
          <w:rFonts w:ascii="Times New Roman" w:hAnsi="Times New Roman"/>
          <w:sz w:val="22"/>
          <w:szCs w:val="22"/>
          <w:lang w:val="lt-LT"/>
        </w:rPr>
        <w:t>Krka</w:t>
      </w:r>
      <w:proofErr w:type="spellEnd"/>
      <w:r w:rsidR="00F34163" w:rsidRPr="00696CB1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0064A1" w:rsidRPr="00696CB1" w:rsidRDefault="000064A1" w:rsidP="00696CB1">
      <w:pPr>
        <w:widowControl w:val="0"/>
        <w:spacing w:line="240" w:lineRule="auto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yra rudos spalvos, apvalios, abipus išgaubtos</w:t>
      </w:r>
      <w:r w:rsidR="005D6BD4" w:rsidRPr="00696CB1">
        <w:rPr>
          <w:szCs w:val="22"/>
          <w:lang w:val="lt-LT"/>
        </w:rPr>
        <w:t>,</w:t>
      </w:r>
      <w:r w:rsidRPr="00696CB1">
        <w:rPr>
          <w:szCs w:val="22"/>
          <w:lang w:val="lt-LT"/>
        </w:rPr>
        <w:t xml:space="preserve"> maždaug 11 mm</w:t>
      </w:r>
      <w:r w:rsidR="005D6BD4" w:rsidRPr="00696CB1">
        <w:rPr>
          <w:szCs w:val="22"/>
          <w:lang w:val="lt-LT"/>
        </w:rPr>
        <w:t xml:space="preserve"> skersmens</w:t>
      </w:r>
      <w:r w:rsidRPr="00696CB1">
        <w:rPr>
          <w:szCs w:val="22"/>
          <w:lang w:val="lt-LT"/>
        </w:rPr>
        <w:t xml:space="preserve"> plėvele dengtos tabletės,</w:t>
      </w:r>
      <w:r w:rsidR="005D6BD4" w:rsidRPr="00696CB1">
        <w:rPr>
          <w:szCs w:val="22"/>
          <w:lang w:val="lt-LT"/>
        </w:rPr>
        <w:t xml:space="preserve"> kurių</w:t>
      </w:r>
      <w:r w:rsidRPr="00696CB1">
        <w:rPr>
          <w:szCs w:val="22"/>
          <w:lang w:val="lt-LT"/>
        </w:rPr>
        <w:t xml:space="preserve"> vienoje pusėje įspausta „G9FB 250“.</w:t>
      </w:r>
    </w:p>
    <w:p w:rsidR="000064A1" w:rsidRPr="00696CB1" w:rsidRDefault="000064A1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696CB1">
        <w:rPr>
          <w:szCs w:val="22"/>
          <w:lang w:val="lt-LT"/>
        </w:rPr>
        <w:t>Gefitinib</w:t>
      </w:r>
      <w:proofErr w:type="spellEnd"/>
      <w:r w:rsidRPr="00696CB1">
        <w:rPr>
          <w:szCs w:val="22"/>
          <w:lang w:val="lt-LT"/>
        </w:rPr>
        <w:t xml:space="preserve"> </w:t>
      </w:r>
      <w:proofErr w:type="spellStart"/>
      <w:r w:rsidR="009E39E4" w:rsidRPr="00696CB1">
        <w:rPr>
          <w:szCs w:val="22"/>
          <w:lang w:val="lt-LT"/>
        </w:rPr>
        <w:t>Krka</w:t>
      </w:r>
      <w:proofErr w:type="spellEnd"/>
      <w:r w:rsidRPr="00696CB1">
        <w:rPr>
          <w:szCs w:val="22"/>
          <w:lang w:val="lt-LT"/>
        </w:rPr>
        <w:t xml:space="preserve"> tiekiamas lizdinėse plokštelėse po 30 </w:t>
      </w:r>
      <w:r w:rsidR="00027861" w:rsidRPr="00696CB1">
        <w:rPr>
          <w:szCs w:val="22"/>
          <w:lang w:val="lt-LT"/>
        </w:rPr>
        <w:t xml:space="preserve">arba 90 tablečių </w:t>
      </w:r>
      <w:r w:rsidR="005D6BD4" w:rsidRPr="00696CB1">
        <w:rPr>
          <w:szCs w:val="22"/>
          <w:lang w:val="lt-LT"/>
        </w:rPr>
        <w:t>ir po</w:t>
      </w:r>
      <w:r w:rsidR="00027861" w:rsidRPr="00696CB1">
        <w:rPr>
          <w:szCs w:val="22"/>
          <w:lang w:val="lt-LT"/>
        </w:rPr>
        <w:t xml:space="preserve"> 30 x 1 arba 90 x 1 </w:t>
      </w:r>
      <w:r w:rsidR="005D6BD4" w:rsidRPr="00696CB1">
        <w:rPr>
          <w:szCs w:val="22"/>
          <w:lang w:val="lt-LT"/>
        </w:rPr>
        <w:t>tabletę</w:t>
      </w:r>
      <w:r w:rsidRPr="00696CB1">
        <w:rPr>
          <w:szCs w:val="22"/>
          <w:lang w:val="lt-LT"/>
        </w:rPr>
        <w:t>. Lizdinės plokštelės g</w:t>
      </w:r>
      <w:r w:rsidR="005B7A28" w:rsidRPr="00696CB1">
        <w:rPr>
          <w:szCs w:val="22"/>
          <w:lang w:val="lt-LT"/>
        </w:rPr>
        <w:t>a</w:t>
      </w:r>
      <w:r w:rsidRPr="00696CB1">
        <w:rPr>
          <w:szCs w:val="22"/>
          <w:lang w:val="lt-LT"/>
        </w:rPr>
        <w:t>li būti perforuotos ar neperforuotos.</w:t>
      </w:r>
    </w:p>
    <w:p w:rsidR="003F3005" w:rsidRPr="00696CB1" w:rsidRDefault="003F3005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52FCB" w:rsidRPr="00696CB1" w:rsidRDefault="00F52FCB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Gali būti tiekiamos ne visų dydžių pakuotės.</w:t>
      </w:r>
    </w:p>
    <w:p w:rsidR="000064A1" w:rsidRPr="00696CB1" w:rsidRDefault="000064A1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461F31" w:rsidP="00696CB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696CB1"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696CB1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:rsidR="004C55D9" w:rsidRPr="00696CB1" w:rsidRDefault="004C55D9" w:rsidP="00696CB1">
      <w:pPr>
        <w:widowControl w:val="0"/>
        <w:tabs>
          <w:tab w:val="clear" w:pos="567"/>
        </w:tabs>
        <w:spacing w:line="240" w:lineRule="auto"/>
        <w:ind w:left="567" w:hanging="567"/>
        <w:rPr>
          <w:rFonts w:eastAsia="Calibri"/>
          <w:i/>
          <w:snapToGrid/>
          <w:szCs w:val="22"/>
          <w:lang w:val="lt-LT"/>
        </w:rPr>
      </w:pPr>
    </w:p>
    <w:p w:rsidR="004C55D9" w:rsidRPr="00696CB1" w:rsidRDefault="004C55D9" w:rsidP="00696CB1">
      <w:pPr>
        <w:widowControl w:val="0"/>
        <w:tabs>
          <w:tab w:val="clear" w:pos="567"/>
        </w:tabs>
        <w:spacing w:line="240" w:lineRule="auto"/>
        <w:ind w:left="567" w:hanging="567"/>
        <w:rPr>
          <w:rFonts w:eastAsia="Calibri"/>
          <w:i/>
          <w:snapToGrid/>
          <w:szCs w:val="22"/>
          <w:lang w:val="lt-LT"/>
        </w:rPr>
      </w:pPr>
      <w:r w:rsidRPr="00696CB1">
        <w:rPr>
          <w:rFonts w:eastAsia="Calibri"/>
          <w:i/>
          <w:snapToGrid/>
          <w:szCs w:val="22"/>
          <w:lang w:val="lt-LT"/>
        </w:rPr>
        <w:t>Registruotojas</w:t>
      </w:r>
    </w:p>
    <w:p w:rsidR="004C55D9" w:rsidRPr="00696CB1" w:rsidRDefault="00B660D5" w:rsidP="00696CB1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lastRenderedPageBreak/>
        <w:t>KRKA,</w:t>
      </w:r>
      <w:r w:rsidR="004C55D9" w:rsidRPr="00696CB1">
        <w:rPr>
          <w:snapToGrid/>
          <w:szCs w:val="22"/>
          <w:lang w:val="lt-LT"/>
        </w:rPr>
        <w:t xml:space="preserve"> </w:t>
      </w:r>
      <w:proofErr w:type="spellStart"/>
      <w:r w:rsidR="004C55D9" w:rsidRPr="00696CB1">
        <w:rPr>
          <w:snapToGrid/>
          <w:szCs w:val="22"/>
          <w:lang w:val="lt-LT"/>
        </w:rPr>
        <w:t>d.d</w:t>
      </w:r>
      <w:proofErr w:type="spellEnd"/>
      <w:r w:rsidR="004C55D9" w:rsidRPr="00696CB1">
        <w:rPr>
          <w:snapToGrid/>
          <w:szCs w:val="22"/>
          <w:lang w:val="lt-LT"/>
        </w:rPr>
        <w:t>., Novo mesto</w:t>
      </w:r>
    </w:p>
    <w:p w:rsidR="004C55D9" w:rsidRPr="00696CB1" w:rsidRDefault="004C55D9" w:rsidP="00696CB1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proofErr w:type="spellStart"/>
      <w:r w:rsidRPr="00696CB1">
        <w:rPr>
          <w:snapToGrid/>
          <w:szCs w:val="22"/>
          <w:lang w:val="lt-LT"/>
        </w:rPr>
        <w:t>Šmarješka</w:t>
      </w:r>
      <w:proofErr w:type="spellEnd"/>
      <w:r w:rsidRPr="00696CB1">
        <w:rPr>
          <w:snapToGrid/>
          <w:szCs w:val="22"/>
          <w:lang w:val="lt-LT"/>
        </w:rPr>
        <w:t xml:space="preserve"> </w:t>
      </w:r>
      <w:proofErr w:type="spellStart"/>
      <w:r w:rsidRPr="00696CB1">
        <w:rPr>
          <w:snapToGrid/>
          <w:szCs w:val="22"/>
          <w:lang w:val="lt-LT"/>
        </w:rPr>
        <w:t>cesta</w:t>
      </w:r>
      <w:proofErr w:type="spellEnd"/>
      <w:r w:rsidRPr="00696CB1">
        <w:rPr>
          <w:snapToGrid/>
          <w:szCs w:val="22"/>
          <w:lang w:val="lt-LT"/>
        </w:rPr>
        <w:t xml:space="preserve"> 6</w:t>
      </w:r>
    </w:p>
    <w:p w:rsidR="004C55D9" w:rsidRPr="00696CB1" w:rsidRDefault="004C55D9" w:rsidP="00696CB1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>8501 Novo mesto</w:t>
      </w:r>
    </w:p>
    <w:p w:rsidR="004C55D9" w:rsidRPr="00696CB1" w:rsidRDefault="004C55D9" w:rsidP="00696CB1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>Slovėnija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4C55D9" w:rsidRPr="00696CB1" w:rsidRDefault="004C55D9" w:rsidP="00696CB1">
      <w:pPr>
        <w:widowControl w:val="0"/>
        <w:tabs>
          <w:tab w:val="clear" w:pos="567"/>
        </w:tabs>
        <w:spacing w:line="240" w:lineRule="auto"/>
        <w:ind w:left="567" w:hanging="567"/>
        <w:rPr>
          <w:rFonts w:eastAsia="Calibri"/>
          <w:i/>
          <w:snapToGrid/>
          <w:szCs w:val="22"/>
          <w:lang w:val="lt-LT"/>
        </w:rPr>
      </w:pPr>
      <w:r w:rsidRPr="00696CB1">
        <w:rPr>
          <w:rFonts w:eastAsia="Calibri"/>
          <w:i/>
          <w:snapToGrid/>
          <w:szCs w:val="22"/>
          <w:lang w:val="lt-LT"/>
        </w:rPr>
        <w:t>Gamintojas</w:t>
      </w:r>
    </w:p>
    <w:p w:rsidR="0067509F" w:rsidRPr="00E94ADD" w:rsidRDefault="0067509F" w:rsidP="00E94ADD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E94ADD">
        <w:rPr>
          <w:lang w:val="lt-LT"/>
        </w:rPr>
        <w:t>Synthon</w:t>
      </w:r>
      <w:proofErr w:type="spellEnd"/>
      <w:r w:rsidRPr="00E94ADD">
        <w:rPr>
          <w:lang w:val="lt-LT"/>
        </w:rPr>
        <w:t xml:space="preserve"> </w:t>
      </w:r>
      <w:proofErr w:type="spellStart"/>
      <w:r w:rsidRPr="00E94ADD">
        <w:rPr>
          <w:lang w:val="lt-LT"/>
        </w:rPr>
        <w:t>Hispania</w:t>
      </w:r>
      <w:proofErr w:type="spellEnd"/>
      <w:r w:rsidRPr="00E94ADD">
        <w:rPr>
          <w:lang w:val="lt-LT"/>
        </w:rPr>
        <w:t>, S.L.</w:t>
      </w:r>
    </w:p>
    <w:p w:rsidR="0067509F" w:rsidRPr="00696CB1" w:rsidRDefault="0067509F" w:rsidP="00E94AD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 xml:space="preserve">C/ </w:t>
      </w:r>
      <w:proofErr w:type="spellStart"/>
      <w:r w:rsidRPr="00696CB1">
        <w:rPr>
          <w:snapToGrid/>
          <w:szCs w:val="22"/>
          <w:lang w:val="lt-LT"/>
        </w:rPr>
        <w:t>Castelló</w:t>
      </w:r>
      <w:proofErr w:type="spellEnd"/>
      <w:r w:rsidRPr="00696CB1">
        <w:rPr>
          <w:snapToGrid/>
          <w:szCs w:val="22"/>
          <w:lang w:val="lt-LT"/>
        </w:rPr>
        <w:t xml:space="preserve"> no1, </w:t>
      </w:r>
      <w:proofErr w:type="spellStart"/>
      <w:r w:rsidRPr="00696CB1">
        <w:rPr>
          <w:snapToGrid/>
          <w:szCs w:val="22"/>
          <w:lang w:val="lt-LT"/>
        </w:rPr>
        <w:t>Pol</w:t>
      </w:r>
      <w:proofErr w:type="spellEnd"/>
      <w:r w:rsidRPr="00696CB1">
        <w:rPr>
          <w:snapToGrid/>
          <w:szCs w:val="22"/>
          <w:lang w:val="lt-LT"/>
        </w:rPr>
        <w:t xml:space="preserve">. </w:t>
      </w:r>
      <w:proofErr w:type="spellStart"/>
      <w:r w:rsidRPr="00696CB1">
        <w:rPr>
          <w:snapToGrid/>
          <w:szCs w:val="22"/>
          <w:lang w:val="lt-LT"/>
        </w:rPr>
        <w:t>Las</w:t>
      </w:r>
      <w:proofErr w:type="spellEnd"/>
      <w:r w:rsidRPr="00696CB1">
        <w:rPr>
          <w:snapToGrid/>
          <w:szCs w:val="22"/>
          <w:lang w:val="lt-LT"/>
        </w:rPr>
        <w:t xml:space="preserve"> </w:t>
      </w:r>
      <w:proofErr w:type="spellStart"/>
      <w:r w:rsidRPr="00696CB1">
        <w:rPr>
          <w:snapToGrid/>
          <w:szCs w:val="22"/>
          <w:lang w:val="lt-LT"/>
        </w:rPr>
        <w:t>Salinas</w:t>
      </w:r>
      <w:proofErr w:type="spellEnd"/>
      <w:r w:rsidRPr="00696CB1">
        <w:rPr>
          <w:snapToGrid/>
          <w:szCs w:val="22"/>
          <w:lang w:val="lt-LT"/>
        </w:rPr>
        <w:t xml:space="preserve">, </w:t>
      </w:r>
      <w:proofErr w:type="spellStart"/>
      <w:r w:rsidRPr="00696CB1">
        <w:rPr>
          <w:snapToGrid/>
          <w:szCs w:val="22"/>
          <w:lang w:val="lt-LT"/>
        </w:rPr>
        <w:t>Sant</w:t>
      </w:r>
      <w:proofErr w:type="spellEnd"/>
      <w:r w:rsidRPr="00696CB1">
        <w:rPr>
          <w:snapToGrid/>
          <w:szCs w:val="22"/>
          <w:lang w:val="lt-LT"/>
        </w:rPr>
        <w:t xml:space="preserve"> </w:t>
      </w:r>
      <w:proofErr w:type="spellStart"/>
      <w:r w:rsidRPr="00696CB1">
        <w:rPr>
          <w:snapToGrid/>
          <w:szCs w:val="22"/>
          <w:lang w:val="lt-LT"/>
        </w:rPr>
        <w:t>Boi</w:t>
      </w:r>
      <w:proofErr w:type="spellEnd"/>
      <w:r w:rsidRPr="00696CB1">
        <w:rPr>
          <w:snapToGrid/>
          <w:szCs w:val="22"/>
          <w:lang w:val="lt-LT"/>
        </w:rPr>
        <w:t xml:space="preserve"> de </w:t>
      </w:r>
      <w:proofErr w:type="spellStart"/>
      <w:r w:rsidRPr="00696CB1">
        <w:rPr>
          <w:snapToGrid/>
          <w:szCs w:val="22"/>
          <w:lang w:val="lt-LT"/>
        </w:rPr>
        <w:t>Llobregat</w:t>
      </w:r>
      <w:proofErr w:type="spellEnd"/>
    </w:p>
    <w:p w:rsidR="0067509F" w:rsidRPr="00E94ADD" w:rsidRDefault="00027861" w:rsidP="00E94ADD">
      <w:pPr>
        <w:tabs>
          <w:tab w:val="clear" w:pos="567"/>
        </w:tabs>
        <w:spacing w:line="240" w:lineRule="auto"/>
        <w:rPr>
          <w:lang w:val="lt-LT"/>
        </w:rPr>
      </w:pPr>
      <w:r w:rsidRPr="00E94ADD">
        <w:rPr>
          <w:lang w:val="lt-LT"/>
        </w:rPr>
        <w:t xml:space="preserve">08830 </w:t>
      </w:r>
      <w:proofErr w:type="spellStart"/>
      <w:r w:rsidR="0067509F" w:rsidRPr="00E94ADD">
        <w:rPr>
          <w:lang w:val="lt-LT"/>
        </w:rPr>
        <w:t>Barcelona</w:t>
      </w:r>
      <w:proofErr w:type="spellEnd"/>
    </w:p>
    <w:p w:rsidR="0067509F" w:rsidRPr="00E94ADD" w:rsidRDefault="0067509F" w:rsidP="00E94ADD">
      <w:pPr>
        <w:tabs>
          <w:tab w:val="clear" w:pos="567"/>
        </w:tabs>
        <w:spacing w:line="240" w:lineRule="auto"/>
        <w:rPr>
          <w:lang w:val="lt-LT"/>
        </w:rPr>
      </w:pPr>
      <w:r w:rsidRPr="00E94ADD">
        <w:rPr>
          <w:lang w:val="lt-LT"/>
        </w:rPr>
        <w:t>Ispanija</w:t>
      </w:r>
    </w:p>
    <w:p w:rsidR="0067509F" w:rsidRPr="00696CB1" w:rsidRDefault="0067509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67509F" w:rsidRPr="00696CB1" w:rsidRDefault="0067509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arba</w:t>
      </w:r>
    </w:p>
    <w:p w:rsidR="0067509F" w:rsidRPr="00696CB1" w:rsidRDefault="0067509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67509F" w:rsidRPr="00E94ADD" w:rsidRDefault="0067509F" w:rsidP="00E94ADD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E94ADD">
        <w:rPr>
          <w:lang w:val="lt-LT"/>
        </w:rPr>
        <w:t>Synthon</w:t>
      </w:r>
      <w:proofErr w:type="spellEnd"/>
      <w:r w:rsidRPr="00E94ADD">
        <w:rPr>
          <w:lang w:val="lt-LT"/>
        </w:rPr>
        <w:t xml:space="preserve"> BV</w:t>
      </w:r>
    </w:p>
    <w:p w:rsidR="0067509F" w:rsidRPr="00E94ADD" w:rsidRDefault="0067509F" w:rsidP="00E94ADD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E94ADD">
        <w:rPr>
          <w:lang w:val="lt-LT"/>
        </w:rPr>
        <w:t>Microweg</w:t>
      </w:r>
      <w:proofErr w:type="spellEnd"/>
      <w:r w:rsidRPr="00E94ADD">
        <w:rPr>
          <w:lang w:val="lt-LT"/>
        </w:rPr>
        <w:t xml:space="preserve"> 22</w:t>
      </w:r>
    </w:p>
    <w:p w:rsidR="0067509F" w:rsidRPr="00696CB1" w:rsidRDefault="0067509F" w:rsidP="00E94AD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 xml:space="preserve">6545 CM </w:t>
      </w:r>
      <w:proofErr w:type="spellStart"/>
      <w:r w:rsidRPr="00696CB1">
        <w:rPr>
          <w:snapToGrid/>
          <w:szCs w:val="22"/>
          <w:lang w:val="lt-LT"/>
        </w:rPr>
        <w:t>Nijmegen</w:t>
      </w:r>
      <w:proofErr w:type="spellEnd"/>
    </w:p>
    <w:p w:rsidR="0067509F" w:rsidRPr="00696CB1" w:rsidRDefault="005A0CB5" w:rsidP="00E94AD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6CB1">
        <w:rPr>
          <w:snapToGrid/>
          <w:szCs w:val="22"/>
          <w:lang w:val="lt-LT"/>
        </w:rPr>
        <w:t>Nyderlandai</w:t>
      </w:r>
    </w:p>
    <w:p w:rsidR="0067509F" w:rsidRPr="00696CB1" w:rsidRDefault="0067509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67509F" w:rsidRPr="00696CB1" w:rsidRDefault="0067509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696CB1">
        <w:rPr>
          <w:szCs w:val="22"/>
          <w:lang w:val="lt-LT"/>
        </w:rPr>
        <w:t>arba</w:t>
      </w:r>
    </w:p>
    <w:p w:rsidR="0067509F" w:rsidRPr="00696CB1" w:rsidRDefault="0067509F" w:rsidP="00696CB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:rsidR="0067509F" w:rsidRPr="00696CB1" w:rsidRDefault="00B660D5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KRKA</w:t>
      </w:r>
      <w:r w:rsidR="0067509F" w:rsidRPr="00696CB1">
        <w:rPr>
          <w:snapToGrid/>
          <w:szCs w:val="22"/>
          <w:lang w:val="lt-LT" w:eastAsia="sl-SI"/>
        </w:rPr>
        <w:t xml:space="preserve">, </w:t>
      </w:r>
      <w:proofErr w:type="spellStart"/>
      <w:r w:rsidR="0067509F" w:rsidRPr="00696CB1">
        <w:rPr>
          <w:snapToGrid/>
          <w:szCs w:val="22"/>
          <w:lang w:val="lt-LT" w:eastAsia="sl-SI"/>
        </w:rPr>
        <w:t>d.d</w:t>
      </w:r>
      <w:proofErr w:type="spellEnd"/>
      <w:r w:rsidR="0067509F" w:rsidRPr="00696CB1">
        <w:rPr>
          <w:snapToGrid/>
          <w:szCs w:val="22"/>
          <w:lang w:val="lt-LT" w:eastAsia="sl-SI"/>
        </w:rPr>
        <w:t>., Novo mesto</w:t>
      </w:r>
    </w:p>
    <w:p w:rsidR="0067509F" w:rsidRPr="00696CB1" w:rsidRDefault="0067509F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proofErr w:type="spellStart"/>
      <w:r w:rsidRPr="00696CB1">
        <w:rPr>
          <w:snapToGrid/>
          <w:szCs w:val="22"/>
          <w:lang w:val="lt-LT" w:eastAsia="sl-SI"/>
        </w:rPr>
        <w:t>Šmarješka</w:t>
      </w:r>
      <w:proofErr w:type="spellEnd"/>
      <w:r w:rsidRPr="00696CB1">
        <w:rPr>
          <w:snapToGrid/>
          <w:szCs w:val="22"/>
          <w:lang w:val="lt-LT" w:eastAsia="sl-SI"/>
        </w:rPr>
        <w:t xml:space="preserve"> </w:t>
      </w:r>
      <w:proofErr w:type="spellStart"/>
      <w:r w:rsidRPr="00696CB1">
        <w:rPr>
          <w:snapToGrid/>
          <w:szCs w:val="22"/>
          <w:lang w:val="lt-LT" w:eastAsia="sl-SI"/>
        </w:rPr>
        <w:t>cesta</w:t>
      </w:r>
      <w:proofErr w:type="spellEnd"/>
      <w:r w:rsidRPr="00696CB1">
        <w:rPr>
          <w:snapToGrid/>
          <w:szCs w:val="22"/>
          <w:lang w:val="lt-LT" w:eastAsia="sl-SI"/>
        </w:rPr>
        <w:t xml:space="preserve"> 6</w:t>
      </w:r>
    </w:p>
    <w:p w:rsidR="0067509F" w:rsidRPr="00696CB1" w:rsidRDefault="0067509F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8501 Novo mesto</w:t>
      </w:r>
    </w:p>
    <w:p w:rsidR="0067509F" w:rsidRPr="00696CB1" w:rsidRDefault="0067509F" w:rsidP="00E94ADD">
      <w:p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Slovėnija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 xml:space="preserve">Jeigu apie šį vaistą norite sužinoti daugiau, kreipkitės į vietinį </w:t>
      </w:r>
      <w:r w:rsidR="00461F31" w:rsidRPr="00696CB1">
        <w:rPr>
          <w:szCs w:val="22"/>
          <w:lang w:val="lt-LT"/>
        </w:rPr>
        <w:t>registruotojo</w:t>
      </w:r>
      <w:r w:rsidRPr="00696CB1">
        <w:rPr>
          <w:szCs w:val="22"/>
          <w:lang w:val="lt-LT"/>
        </w:rPr>
        <w:t xml:space="preserve"> atstovą</w:t>
      </w:r>
      <w:r w:rsidR="00447DE7" w:rsidRPr="00696CB1">
        <w:rPr>
          <w:szCs w:val="22"/>
          <w:lang w:val="lt-LT"/>
        </w:rPr>
        <w:t>.</w:t>
      </w:r>
    </w:p>
    <w:p w:rsidR="00F34163" w:rsidRPr="00696CB1" w:rsidRDefault="00F34163" w:rsidP="00696CB1">
      <w:pPr>
        <w:widowControl w:val="0"/>
        <w:spacing w:line="240" w:lineRule="auto"/>
        <w:rPr>
          <w:szCs w:val="22"/>
          <w:lang w:val="lt-LT"/>
        </w:rPr>
      </w:pPr>
    </w:p>
    <w:p w:rsidR="004C55D9" w:rsidRPr="00696CB1" w:rsidRDefault="004C55D9" w:rsidP="00696CB1">
      <w:pPr>
        <w:widowControl w:val="0"/>
        <w:tabs>
          <w:tab w:val="clear" w:pos="567"/>
          <w:tab w:val="left" w:pos="-720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UAB KRKA Lietuva</w:t>
      </w:r>
    </w:p>
    <w:p w:rsidR="004C55D9" w:rsidRPr="00696CB1" w:rsidRDefault="004C55D9" w:rsidP="00696CB1">
      <w:pPr>
        <w:widowControl w:val="0"/>
        <w:tabs>
          <w:tab w:val="clear" w:pos="567"/>
          <w:tab w:val="left" w:pos="-720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Senasis Ukmergės kelias 4,</w:t>
      </w:r>
    </w:p>
    <w:p w:rsidR="004C55D9" w:rsidRPr="00696CB1" w:rsidRDefault="004C55D9" w:rsidP="00696CB1">
      <w:pPr>
        <w:widowControl w:val="0"/>
        <w:tabs>
          <w:tab w:val="clear" w:pos="567"/>
          <w:tab w:val="left" w:pos="-720"/>
        </w:tabs>
        <w:spacing w:line="240" w:lineRule="auto"/>
        <w:rPr>
          <w:snapToGrid/>
          <w:szCs w:val="22"/>
          <w:lang w:val="lt-LT" w:eastAsia="sl-SI"/>
        </w:rPr>
      </w:pPr>
      <w:proofErr w:type="spellStart"/>
      <w:r w:rsidRPr="00696CB1">
        <w:rPr>
          <w:snapToGrid/>
          <w:szCs w:val="22"/>
          <w:lang w:val="lt-LT" w:eastAsia="sl-SI"/>
        </w:rPr>
        <w:t>Užubalių</w:t>
      </w:r>
      <w:proofErr w:type="spellEnd"/>
      <w:r w:rsidRPr="00696CB1">
        <w:rPr>
          <w:snapToGrid/>
          <w:szCs w:val="22"/>
          <w:lang w:val="lt-LT" w:eastAsia="sl-SI"/>
        </w:rPr>
        <w:t xml:space="preserve"> km., Vilniaus r.</w:t>
      </w:r>
    </w:p>
    <w:p w:rsidR="004C55D9" w:rsidRPr="00696CB1" w:rsidRDefault="004C55D9" w:rsidP="00696CB1">
      <w:pPr>
        <w:widowControl w:val="0"/>
        <w:tabs>
          <w:tab w:val="clear" w:pos="567"/>
          <w:tab w:val="left" w:pos="-720"/>
        </w:tabs>
        <w:spacing w:line="240" w:lineRule="auto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LT – 14013</w:t>
      </w:r>
    </w:p>
    <w:p w:rsidR="00F34163" w:rsidRPr="00696CB1" w:rsidRDefault="004C55D9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sl-SI"/>
        </w:rPr>
      </w:pPr>
      <w:r w:rsidRPr="00696CB1">
        <w:rPr>
          <w:snapToGrid/>
          <w:szCs w:val="22"/>
          <w:lang w:val="lt-LT" w:eastAsia="sl-SI"/>
        </w:rPr>
        <w:t>Tel. +370 5 236 27 40</w:t>
      </w:r>
    </w:p>
    <w:p w:rsidR="00462227" w:rsidRPr="00696CB1" w:rsidRDefault="00462227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F34163" w:rsidRPr="00696CB1" w:rsidRDefault="00461F31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b/>
          <w:szCs w:val="22"/>
          <w:lang w:val="lt-LT"/>
        </w:rPr>
        <w:t xml:space="preserve">Šis </w:t>
      </w:r>
      <w:r w:rsidR="00A76206" w:rsidRPr="00696CB1">
        <w:rPr>
          <w:b/>
          <w:szCs w:val="22"/>
          <w:lang w:val="lt-LT"/>
        </w:rPr>
        <w:t>vaistas</w:t>
      </w:r>
      <w:r w:rsidR="00F34163" w:rsidRPr="00696CB1">
        <w:rPr>
          <w:b/>
          <w:szCs w:val="22"/>
          <w:lang w:val="lt-LT"/>
        </w:rPr>
        <w:t xml:space="preserve"> E</w:t>
      </w:r>
      <w:r w:rsidR="000835C8">
        <w:rPr>
          <w:b/>
          <w:szCs w:val="22"/>
          <w:lang w:val="lt-LT"/>
        </w:rPr>
        <w:t>uropos ekonominės erdvės</w:t>
      </w:r>
      <w:r w:rsidR="00F34163" w:rsidRPr="00696CB1">
        <w:rPr>
          <w:b/>
          <w:szCs w:val="22"/>
          <w:lang w:val="lt-LT"/>
        </w:rPr>
        <w:t xml:space="preserve"> valstybėse narėse </w:t>
      </w:r>
      <w:r w:rsidRPr="00696CB1">
        <w:rPr>
          <w:b/>
          <w:szCs w:val="22"/>
          <w:lang w:val="lt-LT"/>
        </w:rPr>
        <w:t xml:space="preserve">registruotas </w:t>
      </w:r>
      <w:r w:rsidR="00F34163" w:rsidRPr="00696CB1">
        <w:rPr>
          <w:b/>
          <w:szCs w:val="22"/>
          <w:lang w:val="lt-LT"/>
        </w:rPr>
        <w:t>tokiais pavadinimais</w:t>
      </w:r>
      <w:r w:rsidR="00462227" w:rsidRPr="00696CB1">
        <w:rPr>
          <w:szCs w:val="22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760"/>
      </w:tblGrid>
      <w:tr w:rsidR="00462227" w:rsidRPr="00696CB1" w:rsidTr="00E94ADD">
        <w:tc>
          <w:tcPr>
            <w:tcW w:w="3369" w:type="dxa"/>
            <w:shd w:val="clear" w:color="auto" w:fill="auto"/>
          </w:tcPr>
          <w:p w:rsidR="00462227" w:rsidRPr="00696CB1" w:rsidRDefault="00462227" w:rsidP="00696CB1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 w:eastAsia="sl-SI"/>
              </w:rPr>
            </w:pPr>
            <w:r w:rsidRPr="00696CB1">
              <w:rPr>
                <w:rFonts w:eastAsia="Calibri"/>
                <w:snapToGrid/>
                <w:szCs w:val="22"/>
                <w:lang w:val="lt-LT" w:eastAsia="sl-SI"/>
              </w:rPr>
              <w:t>Valstybės narės pavadinimas</w:t>
            </w:r>
          </w:p>
        </w:tc>
        <w:tc>
          <w:tcPr>
            <w:tcW w:w="5918" w:type="dxa"/>
            <w:shd w:val="clear" w:color="auto" w:fill="auto"/>
          </w:tcPr>
          <w:p w:rsidR="00462227" w:rsidRPr="00696CB1" w:rsidRDefault="00462227" w:rsidP="00696CB1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 w:eastAsia="sl-SI"/>
              </w:rPr>
            </w:pPr>
            <w:r w:rsidRPr="00696CB1">
              <w:rPr>
                <w:rFonts w:eastAsia="Calibri"/>
                <w:snapToGrid/>
                <w:szCs w:val="22"/>
                <w:lang w:val="lt-LT" w:eastAsia="sl-SI"/>
              </w:rPr>
              <w:t>Vaisto pavadinimas</w:t>
            </w:r>
          </w:p>
        </w:tc>
      </w:tr>
      <w:tr w:rsidR="00462227" w:rsidRPr="00696CB1" w:rsidTr="00E94ADD">
        <w:tc>
          <w:tcPr>
            <w:tcW w:w="3369" w:type="dxa"/>
            <w:shd w:val="clear" w:color="auto" w:fill="auto"/>
          </w:tcPr>
          <w:p w:rsidR="00462227" w:rsidRPr="00696CB1" w:rsidRDefault="00462227" w:rsidP="00696CB1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 w:eastAsia="sl-SI"/>
              </w:rPr>
            </w:pPr>
            <w:r w:rsidRPr="00696CB1">
              <w:rPr>
                <w:rFonts w:eastAsia="Calibri"/>
                <w:snapToGrid/>
                <w:szCs w:val="22"/>
                <w:lang w:val="lt-LT" w:eastAsia="sl-SI"/>
              </w:rPr>
              <w:t>Nyderlandai,</w:t>
            </w:r>
            <w:r w:rsidR="005A0CB5" w:rsidRPr="00696CB1">
              <w:rPr>
                <w:rFonts w:eastAsia="Calibri"/>
                <w:snapToGrid/>
                <w:szCs w:val="22"/>
                <w:lang w:val="lt-LT" w:eastAsia="sl-SI"/>
              </w:rPr>
              <w:t xml:space="preserve"> </w:t>
            </w:r>
            <w:r w:rsidR="005D6BD4" w:rsidRPr="00696CB1">
              <w:rPr>
                <w:rFonts w:eastAsia="Calibri"/>
                <w:snapToGrid/>
                <w:szCs w:val="22"/>
                <w:lang w:val="lt-LT" w:eastAsia="sl-SI"/>
              </w:rPr>
              <w:t>Čekija</w:t>
            </w:r>
            <w:r w:rsidR="005A0CB5" w:rsidRPr="00696CB1">
              <w:rPr>
                <w:rFonts w:eastAsia="Calibri"/>
                <w:snapToGrid/>
                <w:szCs w:val="22"/>
                <w:lang w:val="lt-LT" w:eastAsia="sl-SI"/>
              </w:rPr>
              <w:t>, Estija, Prancūzija, Vengrija, Lietuva, Lenkija, Slovėnija</w:t>
            </w:r>
          </w:p>
        </w:tc>
        <w:tc>
          <w:tcPr>
            <w:tcW w:w="5918" w:type="dxa"/>
            <w:shd w:val="clear" w:color="auto" w:fill="auto"/>
          </w:tcPr>
          <w:p w:rsidR="00462227" w:rsidRPr="00696CB1" w:rsidRDefault="005A0CB5" w:rsidP="00696CB1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 w:eastAsia="sl-SI"/>
              </w:rPr>
            </w:pPr>
            <w:proofErr w:type="spellStart"/>
            <w:r w:rsidRPr="00696CB1">
              <w:rPr>
                <w:rFonts w:eastAsia="Calibri"/>
                <w:snapToGrid/>
                <w:szCs w:val="22"/>
                <w:lang w:val="lt-LT" w:eastAsia="sl-SI"/>
              </w:rPr>
              <w:t>Gefitinib</w:t>
            </w:r>
            <w:proofErr w:type="spellEnd"/>
            <w:r w:rsidR="00462227" w:rsidRPr="00696CB1">
              <w:rPr>
                <w:rFonts w:eastAsia="Calibri"/>
                <w:snapToGrid/>
                <w:szCs w:val="22"/>
                <w:lang w:val="lt-LT" w:eastAsia="sl-SI"/>
              </w:rPr>
              <w:t xml:space="preserve"> </w:t>
            </w:r>
            <w:proofErr w:type="spellStart"/>
            <w:r w:rsidR="00462227" w:rsidRPr="00696CB1">
              <w:rPr>
                <w:rFonts w:eastAsia="Calibri"/>
                <w:snapToGrid/>
                <w:szCs w:val="22"/>
                <w:lang w:val="lt-LT" w:eastAsia="sl-SI"/>
              </w:rPr>
              <w:t>Krka</w:t>
            </w:r>
            <w:proofErr w:type="spellEnd"/>
          </w:p>
        </w:tc>
      </w:tr>
    </w:tbl>
    <w:p w:rsidR="00447DE7" w:rsidRPr="00696CB1" w:rsidRDefault="00447DE7" w:rsidP="00696CB1">
      <w:pPr>
        <w:widowControl w:val="0"/>
        <w:spacing w:line="240" w:lineRule="auto"/>
        <w:ind w:left="567" w:hanging="567"/>
        <w:rPr>
          <w:szCs w:val="22"/>
          <w:lang w:val="lt-LT"/>
        </w:rPr>
      </w:pPr>
    </w:p>
    <w:p w:rsidR="008B5733" w:rsidRPr="00696CB1" w:rsidRDefault="00F34163" w:rsidP="00696CB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696CB1">
        <w:rPr>
          <w:b/>
          <w:szCs w:val="22"/>
          <w:lang w:val="lt-LT"/>
        </w:rPr>
        <w:t>Šis pakuotės lapelis paskutinį kartą peržiūrėtas</w:t>
      </w:r>
      <w:r w:rsidR="00D35880">
        <w:rPr>
          <w:b/>
          <w:szCs w:val="22"/>
          <w:lang w:val="lt-LT"/>
        </w:rPr>
        <w:t xml:space="preserve"> </w:t>
      </w:r>
      <w:r w:rsidR="008857A1">
        <w:rPr>
          <w:b/>
          <w:szCs w:val="22"/>
          <w:lang w:val="lt-LT"/>
        </w:rPr>
        <w:t>2021-10-23.</w:t>
      </w:r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:rsidR="00F34163" w:rsidRPr="00696CB1" w:rsidRDefault="00F34163" w:rsidP="00696CB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696CB1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96CB1">
        <w:rPr>
          <w:i/>
          <w:szCs w:val="22"/>
          <w:lang w:val="lt-LT"/>
        </w:rPr>
        <w:t xml:space="preserve"> </w:t>
      </w:r>
      <w:hyperlink r:id="rId16" w:history="1">
        <w:r w:rsidR="005D6BD4" w:rsidRPr="00696CB1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696CB1">
        <w:rPr>
          <w:szCs w:val="22"/>
          <w:lang w:val="lt-LT"/>
        </w:rPr>
        <w:t>.</w:t>
      </w:r>
    </w:p>
    <w:p w:rsidR="00EC46F9" w:rsidRPr="00696CB1" w:rsidRDefault="00EC46F9" w:rsidP="00696CB1">
      <w:pPr>
        <w:widowControl w:val="0"/>
        <w:spacing w:line="240" w:lineRule="auto"/>
        <w:rPr>
          <w:szCs w:val="22"/>
          <w:lang w:val="lt-LT"/>
        </w:rPr>
      </w:pPr>
    </w:p>
    <w:sectPr w:rsidR="00EC46F9" w:rsidRPr="00696CB1" w:rsidSect="00F47AC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3D" w:rsidRDefault="008B353D" w:rsidP="005260AA">
      <w:pPr>
        <w:spacing w:line="240" w:lineRule="auto"/>
      </w:pPr>
      <w:r>
        <w:separator/>
      </w:r>
    </w:p>
  </w:endnote>
  <w:endnote w:type="continuationSeparator" w:id="0">
    <w:p w:rsidR="008B353D" w:rsidRDefault="008B353D" w:rsidP="00526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31" w:rsidRDefault="007E723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31" w:rsidRDefault="007E723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31" w:rsidRDefault="007E72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3D" w:rsidRDefault="008B353D" w:rsidP="005260AA">
      <w:pPr>
        <w:spacing w:line="240" w:lineRule="auto"/>
      </w:pPr>
      <w:r>
        <w:separator/>
      </w:r>
    </w:p>
  </w:footnote>
  <w:footnote w:type="continuationSeparator" w:id="0">
    <w:p w:rsidR="008B353D" w:rsidRDefault="008B353D" w:rsidP="00526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31" w:rsidRDefault="007E72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31" w:rsidRDefault="007E723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31" w:rsidRDefault="007E72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33CE"/>
    <w:multiLevelType w:val="hybridMultilevel"/>
    <w:tmpl w:val="636EF3CC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E233F"/>
    <w:multiLevelType w:val="hybridMultilevel"/>
    <w:tmpl w:val="D23A89FE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0BA7"/>
    <w:multiLevelType w:val="hybridMultilevel"/>
    <w:tmpl w:val="6A104D6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6CF7"/>
    <w:multiLevelType w:val="hybridMultilevel"/>
    <w:tmpl w:val="15ACB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7947"/>
    <w:multiLevelType w:val="hybridMultilevel"/>
    <w:tmpl w:val="63647CEE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25D12"/>
    <w:multiLevelType w:val="hybridMultilevel"/>
    <w:tmpl w:val="89E209C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337D0"/>
    <w:multiLevelType w:val="hybridMultilevel"/>
    <w:tmpl w:val="2EFE428C"/>
    <w:lvl w:ilvl="0" w:tplc="71B0FE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5515"/>
    <w:rsid w:val="000055A5"/>
    <w:rsid w:val="00005BA7"/>
    <w:rsid w:val="000064A1"/>
    <w:rsid w:val="00012FD2"/>
    <w:rsid w:val="00013E39"/>
    <w:rsid w:val="00027861"/>
    <w:rsid w:val="000324A2"/>
    <w:rsid w:val="00050117"/>
    <w:rsid w:val="0005189D"/>
    <w:rsid w:val="00052A4B"/>
    <w:rsid w:val="00055167"/>
    <w:rsid w:val="00064FB6"/>
    <w:rsid w:val="00073311"/>
    <w:rsid w:val="00073BBB"/>
    <w:rsid w:val="0007451C"/>
    <w:rsid w:val="00074828"/>
    <w:rsid w:val="000779FD"/>
    <w:rsid w:val="000805AE"/>
    <w:rsid w:val="00082583"/>
    <w:rsid w:val="000835C8"/>
    <w:rsid w:val="00094C95"/>
    <w:rsid w:val="0009581A"/>
    <w:rsid w:val="000A58F3"/>
    <w:rsid w:val="000A79DC"/>
    <w:rsid w:val="000B1B55"/>
    <w:rsid w:val="000B3DD2"/>
    <w:rsid w:val="000B3E6C"/>
    <w:rsid w:val="000C01FC"/>
    <w:rsid w:val="000C461E"/>
    <w:rsid w:val="000C54F0"/>
    <w:rsid w:val="000E4AA9"/>
    <w:rsid w:val="000F54BB"/>
    <w:rsid w:val="00106F1C"/>
    <w:rsid w:val="00113C28"/>
    <w:rsid w:val="00117733"/>
    <w:rsid w:val="001227B9"/>
    <w:rsid w:val="0012284D"/>
    <w:rsid w:val="00126F6D"/>
    <w:rsid w:val="00130992"/>
    <w:rsid w:val="00135C15"/>
    <w:rsid w:val="00137DFC"/>
    <w:rsid w:val="0015485D"/>
    <w:rsid w:val="00154AA9"/>
    <w:rsid w:val="0016525F"/>
    <w:rsid w:val="00173404"/>
    <w:rsid w:val="001A3612"/>
    <w:rsid w:val="001A3DF1"/>
    <w:rsid w:val="001A4353"/>
    <w:rsid w:val="001A4C00"/>
    <w:rsid w:val="001A5C10"/>
    <w:rsid w:val="001B0129"/>
    <w:rsid w:val="001B3360"/>
    <w:rsid w:val="001B73ED"/>
    <w:rsid w:val="001C1D8A"/>
    <w:rsid w:val="001C1EC0"/>
    <w:rsid w:val="001C318A"/>
    <w:rsid w:val="001D0416"/>
    <w:rsid w:val="001D1492"/>
    <w:rsid w:val="001D3166"/>
    <w:rsid w:val="001D5471"/>
    <w:rsid w:val="001D5A61"/>
    <w:rsid w:val="001E0341"/>
    <w:rsid w:val="001E15D7"/>
    <w:rsid w:val="001E55DB"/>
    <w:rsid w:val="001E6195"/>
    <w:rsid w:val="001F10B8"/>
    <w:rsid w:val="00207825"/>
    <w:rsid w:val="0020788B"/>
    <w:rsid w:val="00213026"/>
    <w:rsid w:val="00224A13"/>
    <w:rsid w:val="002538C8"/>
    <w:rsid w:val="002541FD"/>
    <w:rsid w:val="00256C1D"/>
    <w:rsid w:val="002573A6"/>
    <w:rsid w:val="00262BA6"/>
    <w:rsid w:val="00264E83"/>
    <w:rsid w:val="00275930"/>
    <w:rsid w:val="00276A16"/>
    <w:rsid w:val="00283D66"/>
    <w:rsid w:val="0028428B"/>
    <w:rsid w:val="002842A2"/>
    <w:rsid w:val="00294205"/>
    <w:rsid w:val="002A0BC8"/>
    <w:rsid w:val="002B58B6"/>
    <w:rsid w:val="002C13E6"/>
    <w:rsid w:val="002F47FE"/>
    <w:rsid w:val="002F5C27"/>
    <w:rsid w:val="00303F24"/>
    <w:rsid w:val="00305D9B"/>
    <w:rsid w:val="00316086"/>
    <w:rsid w:val="00320F35"/>
    <w:rsid w:val="00331196"/>
    <w:rsid w:val="00335E7B"/>
    <w:rsid w:val="003409A9"/>
    <w:rsid w:val="00350478"/>
    <w:rsid w:val="003506DE"/>
    <w:rsid w:val="00351CE4"/>
    <w:rsid w:val="00355525"/>
    <w:rsid w:val="00356493"/>
    <w:rsid w:val="00362A32"/>
    <w:rsid w:val="0036377A"/>
    <w:rsid w:val="003659F0"/>
    <w:rsid w:val="00367531"/>
    <w:rsid w:val="003728BB"/>
    <w:rsid w:val="00372E4E"/>
    <w:rsid w:val="00373B55"/>
    <w:rsid w:val="003861B0"/>
    <w:rsid w:val="00392879"/>
    <w:rsid w:val="00397A41"/>
    <w:rsid w:val="003A15F1"/>
    <w:rsid w:val="003B70EF"/>
    <w:rsid w:val="003C166C"/>
    <w:rsid w:val="003E019D"/>
    <w:rsid w:val="003E01D4"/>
    <w:rsid w:val="003E1EC8"/>
    <w:rsid w:val="003E5249"/>
    <w:rsid w:val="003E5784"/>
    <w:rsid w:val="003E5C01"/>
    <w:rsid w:val="003E64C5"/>
    <w:rsid w:val="003E6D93"/>
    <w:rsid w:val="003F26C5"/>
    <w:rsid w:val="003F3005"/>
    <w:rsid w:val="003F4447"/>
    <w:rsid w:val="00404FF5"/>
    <w:rsid w:val="004053EC"/>
    <w:rsid w:val="0041760E"/>
    <w:rsid w:val="00441AFD"/>
    <w:rsid w:val="00444711"/>
    <w:rsid w:val="00444983"/>
    <w:rsid w:val="004461D3"/>
    <w:rsid w:val="00447DE7"/>
    <w:rsid w:val="00450380"/>
    <w:rsid w:val="00460430"/>
    <w:rsid w:val="00461F31"/>
    <w:rsid w:val="00462227"/>
    <w:rsid w:val="004677F0"/>
    <w:rsid w:val="00470C3D"/>
    <w:rsid w:val="004971F6"/>
    <w:rsid w:val="004B0280"/>
    <w:rsid w:val="004B0572"/>
    <w:rsid w:val="004B3C47"/>
    <w:rsid w:val="004C55D9"/>
    <w:rsid w:val="004C782A"/>
    <w:rsid w:val="004E15A4"/>
    <w:rsid w:val="004E2681"/>
    <w:rsid w:val="004E672D"/>
    <w:rsid w:val="004E69EB"/>
    <w:rsid w:val="00503D27"/>
    <w:rsid w:val="00507808"/>
    <w:rsid w:val="005152A5"/>
    <w:rsid w:val="005260AA"/>
    <w:rsid w:val="005276B4"/>
    <w:rsid w:val="005321EA"/>
    <w:rsid w:val="005405BF"/>
    <w:rsid w:val="00541DB5"/>
    <w:rsid w:val="00542A21"/>
    <w:rsid w:val="00547ACC"/>
    <w:rsid w:val="00555122"/>
    <w:rsid w:val="0056128B"/>
    <w:rsid w:val="00562DA0"/>
    <w:rsid w:val="005657D2"/>
    <w:rsid w:val="00575BC9"/>
    <w:rsid w:val="00580272"/>
    <w:rsid w:val="00580942"/>
    <w:rsid w:val="005829CF"/>
    <w:rsid w:val="005837A2"/>
    <w:rsid w:val="00583D4D"/>
    <w:rsid w:val="00585EF2"/>
    <w:rsid w:val="00592949"/>
    <w:rsid w:val="00597B83"/>
    <w:rsid w:val="005A0CB5"/>
    <w:rsid w:val="005A1181"/>
    <w:rsid w:val="005B7A28"/>
    <w:rsid w:val="005C7029"/>
    <w:rsid w:val="005C73D6"/>
    <w:rsid w:val="005D00C0"/>
    <w:rsid w:val="005D0870"/>
    <w:rsid w:val="005D142A"/>
    <w:rsid w:val="005D262D"/>
    <w:rsid w:val="005D6BD4"/>
    <w:rsid w:val="005E0F93"/>
    <w:rsid w:val="005E5430"/>
    <w:rsid w:val="005E5BCD"/>
    <w:rsid w:val="005F2433"/>
    <w:rsid w:val="005F6731"/>
    <w:rsid w:val="005F67F3"/>
    <w:rsid w:val="005F6B15"/>
    <w:rsid w:val="006008EF"/>
    <w:rsid w:val="006018A7"/>
    <w:rsid w:val="00627AB4"/>
    <w:rsid w:val="006513E4"/>
    <w:rsid w:val="00653B9F"/>
    <w:rsid w:val="00657373"/>
    <w:rsid w:val="00665B69"/>
    <w:rsid w:val="0067509F"/>
    <w:rsid w:val="00682237"/>
    <w:rsid w:val="00682456"/>
    <w:rsid w:val="00696CB1"/>
    <w:rsid w:val="006A0FBF"/>
    <w:rsid w:val="006B00B7"/>
    <w:rsid w:val="006B3BA8"/>
    <w:rsid w:val="006C0AF6"/>
    <w:rsid w:val="006D3F6C"/>
    <w:rsid w:val="006D62B7"/>
    <w:rsid w:val="006D6B1D"/>
    <w:rsid w:val="006E65FF"/>
    <w:rsid w:val="00703169"/>
    <w:rsid w:val="007046D8"/>
    <w:rsid w:val="00707742"/>
    <w:rsid w:val="00707A49"/>
    <w:rsid w:val="00712167"/>
    <w:rsid w:val="007150E2"/>
    <w:rsid w:val="007308E2"/>
    <w:rsid w:val="00732B1D"/>
    <w:rsid w:val="007373AC"/>
    <w:rsid w:val="007378D6"/>
    <w:rsid w:val="00762698"/>
    <w:rsid w:val="00767A6C"/>
    <w:rsid w:val="0078349D"/>
    <w:rsid w:val="007939BE"/>
    <w:rsid w:val="007B7566"/>
    <w:rsid w:val="007C3382"/>
    <w:rsid w:val="007D0B50"/>
    <w:rsid w:val="007D2D93"/>
    <w:rsid w:val="007D41E4"/>
    <w:rsid w:val="007E7231"/>
    <w:rsid w:val="007F5E91"/>
    <w:rsid w:val="00800DC5"/>
    <w:rsid w:val="0080684F"/>
    <w:rsid w:val="00815D1A"/>
    <w:rsid w:val="008176C6"/>
    <w:rsid w:val="00820C1F"/>
    <w:rsid w:val="00824354"/>
    <w:rsid w:val="00826CB6"/>
    <w:rsid w:val="008327FC"/>
    <w:rsid w:val="0085207E"/>
    <w:rsid w:val="00853543"/>
    <w:rsid w:val="008735EE"/>
    <w:rsid w:val="008757F6"/>
    <w:rsid w:val="00876435"/>
    <w:rsid w:val="0087694E"/>
    <w:rsid w:val="008847D7"/>
    <w:rsid w:val="008857A1"/>
    <w:rsid w:val="008B15E7"/>
    <w:rsid w:val="008B353D"/>
    <w:rsid w:val="008B5733"/>
    <w:rsid w:val="008C24C5"/>
    <w:rsid w:val="008C3A64"/>
    <w:rsid w:val="008D4DDE"/>
    <w:rsid w:val="008D73A9"/>
    <w:rsid w:val="008E2535"/>
    <w:rsid w:val="008E6800"/>
    <w:rsid w:val="008F3ACB"/>
    <w:rsid w:val="00905F07"/>
    <w:rsid w:val="00913E25"/>
    <w:rsid w:val="009163CF"/>
    <w:rsid w:val="009305B0"/>
    <w:rsid w:val="009415F6"/>
    <w:rsid w:val="00943A29"/>
    <w:rsid w:val="0095305D"/>
    <w:rsid w:val="0096357C"/>
    <w:rsid w:val="00964E6F"/>
    <w:rsid w:val="00966E5B"/>
    <w:rsid w:val="0097042F"/>
    <w:rsid w:val="0097209C"/>
    <w:rsid w:val="00972FD3"/>
    <w:rsid w:val="009827D7"/>
    <w:rsid w:val="00990235"/>
    <w:rsid w:val="009A1DBF"/>
    <w:rsid w:val="009A25B4"/>
    <w:rsid w:val="009A49D1"/>
    <w:rsid w:val="009B484F"/>
    <w:rsid w:val="009B498A"/>
    <w:rsid w:val="009B5E60"/>
    <w:rsid w:val="009D0CC0"/>
    <w:rsid w:val="009D3651"/>
    <w:rsid w:val="009E39E4"/>
    <w:rsid w:val="009F444D"/>
    <w:rsid w:val="00A03040"/>
    <w:rsid w:val="00A10CF0"/>
    <w:rsid w:val="00A117A3"/>
    <w:rsid w:val="00A1348E"/>
    <w:rsid w:val="00A146CB"/>
    <w:rsid w:val="00A21E60"/>
    <w:rsid w:val="00A26EF1"/>
    <w:rsid w:val="00A3016B"/>
    <w:rsid w:val="00A337CE"/>
    <w:rsid w:val="00A33E1F"/>
    <w:rsid w:val="00A4039A"/>
    <w:rsid w:val="00A426A1"/>
    <w:rsid w:val="00A45BE4"/>
    <w:rsid w:val="00A56998"/>
    <w:rsid w:val="00A64840"/>
    <w:rsid w:val="00A72EED"/>
    <w:rsid w:val="00A76206"/>
    <w:rsid w:val="00A87094"/>
    <w:rsid w:val="00AA148B"/>
    <w:rsid w:val="00AA26AA"/>
    <w:rsid w:val="00AB770A"/>
    <w:rsid w:val="00AD003F"/>
    <w:rsid w:val="00AD2800"/>
    <w:rsid w:val="00AD476F"/>
    <w:rsid w:val="00AE29F4"/>
    <w:rsid w:val="00B06C8B"/>
    <w:rsid w:val="00B276CC"/>
    <w:rsid w:val="00B32ED6"/>
    <w:rsid w:val="00B33EE1"/>
    <w:rsid w:val="00B51C06"/>
    <w:rsid w:val="00B6472D"/>
    <w:rsid w:val="00B651E2"/>
    <w:rsid w:val="00B660D5"/>
    <w:rsid w:val="00B66677"/>
    <w:rsid w:val="00B67470"/>
    <w:rsid w:val="00B71C65"/>
    <w:rsid w:val="00B71D61"/>
    <w:rsid w:val="00B7489F"/>
    <w:rsid w:val="00B84BB6"/>
    <w:rsid w:val="00B90EA9"/>
    <w:rsid w:val="00BA255D"/>
    <w:rsid w:val="00BA2583"/>
    <w:rsid w:val="00BA7FD4"/>
    <w:rsid w:val="00BC0220"/>
    <w:rsid w:val="00BC7B8A"/>
    <w:rsid w:val="00BD14ED"/>
    <w:rsid w:val="00BD4B85"/>
    <w:rsid w:val="00BE07CE"/>
    <w:rsid w:val="00C06782"/>
    <w:rsid w:val="00C124AF"/>
    <w:rsid w:val="00C13CC5"/>
    <w:rsid w:val="00C15275"/>
    <w:rsid w:val="00C16B39"/>
    <w:rsid w:val="00C16F78"/>
    <w:rsid w:val="00C17BDC"/>
    <w:rsid w:val="00C23E74"/>
    <w:rsid w:val="00C23F44"/>
    <w:rsid w:val="00C3576B"/>
    <w:rsid w:val="00C36495"/>
    <w:rsid w:val="00C36CC7"/>
    <w:rsid w:val="00C427E7"/>
    <w:rsid w:val="00C4408F"/>
    <w:rsid w:val="00C52551"/>
    <w:rsid w:val="00C577D2"/>
    <w:rsid w:val="00C63F1A"/>
    <w:rsid w:val="00C8680A"/>
    <w:rsid w:val="00CA49B1"/>
    <w:rsid w:val="00CA7F48"/>
    <w:rsid w:val="00CB1B43"/>
    <w:rsid w:val="00CB7A92"/>
    <w:rsid w:val="00CD22B5"/>
    <w:rsid w:val="00CD2E77"/>
    <w:rsid w:val="00CE6EC2"/>
    <w:rsid w:val="00CF59CE"/>
    <w:rsid w:val="00D01096"/>
    <w:rsid w:val="00D06C66"/>
    <w:rsid w:val="00D113E2"/>
    <w:rsid w:val="00D15ECA"/>
    <w:rsid w:val="00D24502"/>
    <w:rsid w:val="00D25601"/>
    <w:rsid w:val="00D27714"/>
    <w:rsid w:val="00D353BC"/>
    <w:rsid w:val="00D35880"/>
    <w:rsid w:val="00D64A8F"/>
    <w:rsid w:val="00D80F67"/>
    <w:rsid w:val="00D96732"/>
    <w:rsid w:val="00D96AEE"/>
    <w:rsid w:val="00DA30E6"/>
    <w:rsid w:val="00DA7717"/>
    <w:rsid w:val="00DB013B"/>
    <w:rsid w:val="00DB6594"/>
    <w:rsid w:val="00DB68BA"/>
    <w:rsid w:val="00DC2844"/>
    <w:rsid w:val="00DC45D4"/>
    <w:rsid w:val="00DD06C6"/>
    <w:rsid w:val="00DF2C25"/>
    <w:rsid w:val="00DF56DC"/>
    <w:rsid w:val="00DF5BD0"/>
    <w:rsid w:val="00DF78D7"/>
    <w:rsid w:val="00E05DAC"/>
    <w:rsid w:val="00E103FB"/>
    <w:rsid w:val="00E2116A"/>
    <w:rsid w:val="00E31159"/>
    <w:rsid w:val="00E34098"/>
    <w:rsid w:val="00E40F7F"/>
    <w:rsid w:val="00E43324"/>
    <w:rsid w:val="00E531F2"/>
    <w:rsid w:val="00E56AAB"/>
    <w:rsid w:val="00E60DE5"/>
    <w:rsid w:val="00E6710D"/>
    <w:rsid w:val="00E7064A"/>
    <w:rsid w:val="00E752C8"/>
    <w:rsid w:val="00E94ADD"/>
    <w:rsid w:val="00E96AB4"/>
    <w:rsid w:val="00EA0DE7"/>
    <w:rsid w:val="00EB110E"/>
    <w:rsid w:val="00EB1A18"/>
    <w:rsid w:val="00EB201F"/>
    <w:rsid w:val="00EC4439"/>
    <w:rsid w:val="00EC46F9"/>
    <w:rsid w:val="00ED19C7"/>
    <w:rsid w:val="00EE1512"/>
    <w:rsid w:val="00EE4F9E"/>
    <w:rsid w:val="00EF167F"/>
    <w:rsid w:val="00EF2CD4"/>
    <w:rsid w:val="00EF3357"/>
    <w:rsid w:val="00EF473A"/>
    <w:rsid w:val="00F01CC9"/>
    <w:rsid w:val="00F02E72"/>
    <w:rsid w:val="00F04B40"/>
    <w:rsid w:val="00F206A2"/>
    <w:rsid w:val="00F22534"/>
    <w:rsid w:val="00F2617F"/>
    <w:rsid w:val="00F30EE2"/>
    <w:rsid w:val="00F34163"/>
    <w:rsid w:val="00F43A15"/>
    <w:rsid w:val="00F47AC5"/>
    <w:rsid w:val="00F52FCB"/>
    <w:rsid w:val="00F53684"/>
    <w:rsid w:val="00F53F2E"/>
    <w:rsid w:val="00F65C3C"/>
    <w:rsid w:val="00F7110C"/>
    <w:rsid w:val="00F73BA5"/>
    <w:rsid w:val="00F75C14"/>
    <w:rsid w:val="00F83B82"/>
    <w:rsid w:val="00F841A0"/>
    <w:rsid w:val="00F91C35"/>
    <w:rsid w:val="00FA248E"/>
    <w:rsid w:val="00FA7273"/>
    <w:rsid w:val="00FB2CEF"/>
    <w:rsid w:val="00FB46EE"/>
    <w:rsid w:val="00FC189D"/>
    <w:rsid w:val="00FC6BB7"/>
    <w:rsid w:val="00FD1E75"/>
    <w:rsid w:val="00FE3FD1"/>
    <w:rsid w:val="00FE4B3E"/>
    <w:rsid w:val="00FF62D6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7490"/>
  <w15:chartTrackingRefBased/>
  <w15:docId w15:val="{BEDE8623-ADFB-43BD-9E15-FB7A33C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305D9B"/>
    <w:rPr>
      <w:rFonts w:ascii="Times New Roman" w:eastAsia="Times New Roman" w:hAnsi="Times New Roman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vvkt.l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vkt.l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mailto:NepageidaujamaR@vvkt.l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558F-AE78-48A9-BA72-BEA69DBC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37768</Words>
  <Characters>21528</Characters>
  <Application>Microsoft Office Word</Application>
  <DocSecurity>4</DocSecurity>
  <Lines>179</Lines>
  <Paragraphs>118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59178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2</cp:revision>
  <cp:lastPrinted>2018-07-17T08:39:00Z</cp:lastPrinted>
  <dcterms:created xsi:type="dcterms:W3CDTF">2021-11-16T13:46:00Z</dcterms:created>
  <dcterms:modified xsi:type="dcterms:W3CDTF">2021-11-16T13:46:00Z</dcterms:modified>
</cp:coreProperties>
</file>