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5AA6" w14:textId="77777777" w:rsidR="003744F7" w:rsidRPr="003744F7" w:rsidRDefault="003744F7" w:rsidP="003744F7">
      <w:pPr>
        <w:widowControl w:val="0"/>
        <w:spacing w:after="0" w:line="240" w:lineRule="auto"/>
        <w:rPr>
          <w:rFonts w:ascii="Times New Roman" w:eastAsia="Times New Roman" w:hAnsi="Times New Roman" w:cs="Times New Roman"/>
          <w:lang w:eastAsia="lt-LT" w:bidi="lt-LT"/>
        </w:rPr>
      </w:pPr>
    </w:p>
    <w:p w14:paraId="6C0855D0" w14:textId="77777777" w:rsidR="003744F7" w:rsidRPr="003744F7" w:rsidRDefault="003744F7" w:rsidP="003744F7">
      <w:pPr>
        <w:widowControl w:val="0"/>
        <w:spacing w:after="0" w:line="240" w:lineRule="auto"/>
        <w:rPr>
          <w:rFonts w:ascii="Times New Roman" w:eastAsia="Times New Roman" w:hAnsi="Times New Roman" w:cs="Times New Roman"/>
          <w:lang w:eastAsia="lt-LT" w:bidi="lt-LT"/>
        </w:rPr>
      </w:pPr>
    </w:p>
    <w:p w14:paraId="16D0FFA8"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6AEC8381"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E7DE3E7"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E9CC81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2FB51CE2"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221CD9C"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5D9CCC2"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3F912EAE"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3FB89AF5"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281D895D"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102B7EE4"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6FAFBCF4"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43F0CB76"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7BA3A3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E5853B5"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6D9006A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495CA5A3"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24B3E0D"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lang w:eastAsia="lt-LT" w:bidi="lt-LT"/>
        </w:rPr>
      </w:pPr>
    </w:p>
    <w:p w14:paraId="1B98386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lang w:eastAsia="lt-LT" w:bidi="lt-LT"/>
        </w:rPr>
      </w:pPr>
    </w:p>
    <w:p w14:paraId="39B8FD1F"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lang w:eastAsia="lt-LT" w:bidi="lt-LT"/>
        </w:rPr>
      </w:pPr>
    </w:p>
    <w:p w14:paraId="08D36B1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lang w:eastAsia="lt-LT" w:bidi="lt-LT"/>
        </w:rPr>
      </w:pPr>
    </w:p>
    <w:p w14:paraId="31C079F2" w14:textId="77777777" w:rsidR="003744F7" w:rsidRPr="003744F7" w:rsidRDefault="003744F7" w:rsidP="003744F7">
      <w:pPr>
        <w:tabs>
          <w:tab w:val="left" w:pos="567"/>
        </w:tabs>
        <w:spacing w:after="0" w:line="240" w:lineRule="auto"/>
        <w:jc w:val="center"/>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I PRIEDAS</w:t>
      </w:r>
    </w:p>
    <w:p w14:paraId="401306EA" w14:textId="77777777" w:rsidR="003744F7" w:rsidRPr="003744F7" w:rsidRDefault="003744F7" w:rsidP="003744F7">
      <w:pPr>
        <w:tabs>
          <w:tab w:val="left" w:pos="567"/>
        </w:tabs>
        <w:spacing w:after="0" w:line="240" w:lineRule="auto"/>
        <w:jc w:val="center"/>
        <w:outlineLvl w:val="0"/>
        <w:rPr>
          <w:rFonts w:ascii="Times New Roman" w:eastAsia="Times New Roman" w:hAnsi="Times New Roman" w:cs="Times New Roman"/>
          <w:lang w:eastAsia="lt-LT" w:bidi="lt-LT"/>
        </w:rPr>
      </w:pPr>
    </w:p>
    <w:p w14:paraId="34FD1C38" w14:textId="77777777" w:rsidR="003744F7" w:rsidRPr="003744F7" w:rsidRDefault="003744F7" w:rsidP="003744F7">
      <w:pPr>
        <w:tabs>
          <w:tab w:val="left" w:pos="567"/>
        </w:tabs>
        <w:spacing w:after="0" w:line="240" w:lineRule="auto"/>
        <w:jc w:val="center"/>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PREPARATO CHARAKTERISTIKŲ SANTRAUKA</w:t>
      </w:r>
    </w:p>
    <w:p w14:paraId="6D3068AF" w14:textId="77777777" w:rsidR="003744F7" w:rsidRPr="003744F7" w:rsidRDefault="003744F7" w:rsidP="003744F7">
      <w:pPr>
        <w:keepNext/>
        <w:numPr>
          <w:ilvl w:val="0"/>
          <w:numId w:val="25"/>
        </w:numPr>
        <w:tabs>
          <w:tab w:val="left" w:pos="567"/>
        </w:tabs>
        <w:suppressAutoHyphen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br w:type="page"/>
      </w:r>
      <w:r w:rsidRPr="003744F7">
        <w:rPr>
          <w:rFonts w:ascii="Times New Roman" w:eastAsia="Times New Roman" w:hAnsi="Times New Roman" w:cs="Times New Roman"/>
          <w:b/>
          <w:noProof/>
          <w:lang w:eastAsia="lt-LT" w:bidi="lt-LT"/>
        </w:rPr>
        <w:lastRenderedPageBreak/>
        <w:t>VAISTINIO PREPARATO PAVADINIMAS</w:t>
      </w:r>
    </w:p>
    <w:p w14:paraId="752CE154" w14:textId="77777777" w:rsidR="003744F7" w:rsidRPr="003744F7" w:rsidRDefault="003744F7" w:rsidP="003744F7">
      <w:pPr>
        <w:widowControl w:val="0"/>
        <w:tabs>
          <w:tab w:val="left" w:pos="567"/>
        </w:tabs>
        <w:spacing w:after="0" w:line="240" w:lineRule="auto"/>
        <w:rPr>
          <w:rFonts w:ascii="Times New Roman" w:eastAsia="Times New Roman" w:hAnsi="Times New Roman" w:cs="Times New Roman"/>
          <w:iCs/>
          <w:noProof/>
          <w:lang w:eastAsia="lt-LT" w:bidi="lt-LT"/>
        </w:rPr>
      </w:pPr>
    </w:p>
    <w:p w14:paraId="55CD591D" w14:textId="168E9034" w:rsidR="003744F7" w:rsidRPr="003744F7" w:rsidRDefault="003744F7" w:rsidP="003744F7">
      <w:pPr>
        <w:widowControl w:val="0"/>
        <w:tabs>
          <w:tab w:val="left" w:pos="567"/>
        </w:tabs>
        <w:spacing w:after="0" w:line="240" w:lineRule="auto"/>
        <w:rPr>
          <w:rFonts w:ascii="Times New Roman" w:eastAsia="Times New Roman" w:hAnsi="Times New Roman" w:cs="Times New Roman"/>
          <w:noProof/>
          <w:lang w:eastAsia="lt-LT" w:bidi="lt-LT"/>
        </w:rPr>
      </w:pPr>
      <w:bookmarkStart w:id="0" w:name="_GoBack"/>
      <w:r w:rsidRPr="003744F7">
        <w:rPr>
          <w:rFonts w:ascii="Times New Roman" w:eastAsia="Times New Roman" w:hAnsi="Times New Roman" w:cs="Times New Roman"/>
          <w:lang w:eastAsia="lt-LT" w:bidi="lt-LT"/>
        </w:rPr>
        <w:t xml:space="preserve">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w:t>
      </w:r>
      <w:bookmarkEnd w:id="0"/>
      <w:r w:rsidRPr="003744F7">
        <w:rPr>
          <w:rFonts w:ascii="Times New Roman" w:eastAsia="Times New Roman" w:hAnsi="Times New Roman" w:cs="Times New Roman"/>
          <w:lang w:eastAsia="lt-LT" w:bidi="lt-LT"/>
        </w:rPr>
        <w:t>250 mg plėvele dengtos tabletės</w:t>
      </w:r>
    </w:p>
    <w:p w14:paraId="41E08247" w14:textId="77777777" w:rsidR="003744F7" w:rsidRPr="003744F7" w:rsidRDefault="003744F7" w:rsidP="003744F7">
      <w:pPr>
        <w:tabs>
          <w:tab w:val="left" w:pos="567"/>
        </w:tabs>
        <w:spacing w:after="0" w:line="240" w:lineRule="auto"/>
        <w:rPr>
          <w:rFonts w:ascii="Times New Roman" w:eastAsia="Times New Roman" w:hAnsi="Times New Roman" w:cs="Times New Roman"/>
          <w:iCs/>
          <w:noProof/>
          <w:lang w:eastAsia="lt-LT" w:bidi="lt-LT"/>
        </w:rPr>
      </w:pPr>
    </w:p>
    <w:p w14:paraId="5CF2C857" w14:textId="77777777" w:rsidR="003744F7" w:rsidRPr="003744F7" w:rsidRDefault="003744F7" w:rsidP="003744F7">
      <w:pPr>
        <w:tabs>
          <w:tab w:val="left" w:pos="567"/>
        </w:tabs>
        <w:spacing w:after="0" w:line="240" w:lineRule="auto"/>
        <w:rPr>
          <w:rFonts w:ascii="Times New Roman" w:eastAsia="Times New Roman" w:hAnsi="Times New Roman" w:cs="Times New Roman"/>
          <w:iCs/>
          <w:noProof/>
          <w:lang w:eastAsia="lt-LT" w:bidi="lt-LT"/>
        </w:rPr>
      </w:pPr>
    </w:p>
    <w:p w14:paraId="68FC96AE" w14:textId="77777777" w:rsidR="003744F7" w:rsidRPr="003744F7" w:rsidRDefault="003744F7" w:rsidP="003744F7">
      <w:pPr>
        <w:keepNext/>
        <w:numPr>
          <w:ilvl w:val="0"/>
          <w:numId w:val="25"/>
        </w:numPr>
        <w:tabs>
          <w:tab w:val="left" w:pos="567"/>
        </w:tabs>
        <w:suppressAutoHyphen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KOKYBINĖ IR KIEKYBINĖ SUDĖTIS</w:t>
      </w:r>
    </w:p>
    <w:p w14:paraId="3D2D92B0" w14:textId="77777777" w:rsidR="003744F7" w:rsidRPr="003744F7" w:rsidRDefault="003744F7" w:rsidP="003744F7">
      <w:pPr>
        <w:keepNext/>
        <w:tabs>
          <w:tab w:val="left" w:pos="567"/>
        </w:tabs>
        <w:spacing w:after="0" w:line="240" w:lineRule="auto"/>
        <w:rPr>
          <w:rFonts w:ascii="Times New Roman" w:eastAsia="Times New Roman" w:hAnsi="Times New Roman" w:cs="Times New Roman"/>
          <w:iCs/>
          <w:noProof/>
          <w:lang w:eastAsia="lt-LT" w:bidi="lt-LT"/>
        </w:rPr>
      </w:pPr>
    </w:p>
    <w:p w14:paraId="18613EFC" w14:textId="77777777" w:rsidR="003744F7" w:rsidRPr="003744F7" w:rsidRDefault="003744F7" w:rsidP="003744F7">
      <w:pPr>
        <w:keepNext/>
        <w:widowControl w:val="0"/>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Verdana" w:hAnsi="Times New Roman" w:cs="Times New Roman"/>
          <w:noProof/>
          <w:lang w:eastAsia="lt-LT" w:bidi="lt-LT"/>
        </w:rPr>
        <w:t>Kiekvienoje tabletėje yra 250 mg gefitinibo.</w:t>
      </w:r>
    </w:p>
    <w:p w14:paraId="65BA033D"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p>
    <w:p w14:paraId="2C1B361E" w14:textId="77777777" w:rsidR="003744F7" w:rsidRPr="003744F7" w:rsidRDefault="003744F7" w:rsidP="003744F7">
      <w:pPr>
        <w:autoSpaceDE w:val="0"/>
        <w:autoSpaceDN w:val="0"/>
        <w:adjustRightInd w:val="0"/>
        <w:spacing w:after="0" w:line="240" w:lineRule="auto"/>
        <w:rPr>
          <w:rFonts w:ascii="Times New Roman" w:eastAsia="Times New Roman" w:hAnsi="Times New Roman" w:cs="Times New Roman"/>
          <w:u w:val="single"/>
          <w:lang w:eastAsia="lt-LT" w:bidi="lt-LT"/>
        </w:rPr>
      </w:pPr>
      <w:r w:rsidRPr="003744F7">
        <w:rPr>
          <w:rFonts w:ascii="Times New Roman" w:eastAsia="Times New Roman" w:hAnsi="Times New Roman" w:cs="Times New Roman"/>
          <w:u w:val="single"/>
          <w:lang w:eastAsia="lt-LT" w:bidi="lt-LT"/>
        </w:rPr>
        <w:t>Pagalbinė medžiaga, kurios poveikis žinomas</w:t>
      </w:r>
    </w:p>
    <w:p w14:paraId="2AF7F983" w14:textId="77777777" w:rsidR="003744F7" w:rsidRPr="003744F7" w:rsidRDefault="003744F7" w:rsidP="003744F7">
      <w:pPr>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Kiekvienoje tabletėje yra 163,5 mg laktozės (monohidrato pavidalu). </w:t>
      </w:r>
    </w:p>
    <w:p w14:paraId="062BDD8D" w14:textId="77777777" w:rsidR="003744F7" w:rsidRPr="003744F7" w:rsidRDefault="003744F7" w:rsidP="003744F7">
      <w:pPr>
        <w:autoSpaceDE w:val="0"/>
        <w:autoSpaceDN w:val="0"/>
        <w:adjustRightInd w:val="0"/>
        <w:spacing w:after="0" w:line="240" w:lineRule="auto"/>
        <w:rPr>
          <w:rFonts w:ascii="Times New Roman" w:eastAsia="Times New Roman" w:hAnsi="Times New Roman" w:cs="Times New Roman"/>
          <w:lang w:eastAsia="lt-LT" w:bidi="lt-LT"/>
        </w:rPr>
      </w:pPr>
    </w:p>
    <w:p w14:paraId="5BDF1E3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Visos pagalbinės medžiagos išvardytos 6.1 skyriuje.</w:t>
      </w:r>
    </w:p>
    <w:p w14:paraId="19974CC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C69EAA6"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65BD983" w14:textId="77777777" w:rsidR="003744F7" w:rsidRPr="003744F7" w:rsidRDefault="003744F7" w:rsidP="003744F7">
      <w:pPr>
        <w:keepNext/>
        <w:numPr>
          <w:ilvl w:val="0"/>
          <w:numId w:val="25"/>
        </w:numPr>
        <w:tabs>
          <w:tab w:val="left" w:pos="567"/>
        </w:tabs>
        <w:suppressAutoHyphens/>
        <w:spacing w:after="0" w:line="240" w:lineRule="auto"/>
        <w:rPr>
          <w:rFonts w:ascii="Times New Roman" w:eastAsia="Times New Roman" w:hAnsi="Times New Roman" w:cs="Times New Roman"/>
          <w:caps/>
          <w:noProof/>
          <w:lang w:eastAsia="lt-LT" w:bidi="lt-LT"/>
        </w:rPr>
      </w:pPr>
      <w:r w:rsidRPr="003744F7">
        <w:rPr>
          <w:rFonts w:ascii="Times New Roman" w:eastAsia="Times New Roman" w:hAnsi="Times New Roman" w:cs="Times New Roman"/>
          <w:b/>
          <w:noProof/>
          <w:lang w:eastAsia="lt-LT" w:bidi="lt-LT"/>
        </w:rPr>
        <w:t>FARMACINĖ FORMA</w:t>
      </w:r>
    </w:p>
    <w:p w14:paraId="6CB4766A"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622FBC10"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Plėvele dengta tabletė (tabletė).</w:t>
      </w:r>
    </w:p>
    <w:p w14:paraId="5C4E9FE1"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F58746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Tabletės yra rudos, apvalios, abipus išgaubtos. Vienoje tabletės pusėje įspausta “LP 100”, kita pusė – lygi. Tabletė yra 11,13</w:t>
      </w:r>
      <w:r w:rsidRPr="003744F7">
        <w:rPr>
          <w:rFonts w:ascii="Times New Roman" w:eastAsia="Times New Roman" w:hAnsi="Times New Roman" w:cs="Times New Roman"/>
          <w:lang w:eastAsia="lt-LT" w:bidi="lt-LT"/>
        </w:rPr>
        <w:t>±0,05 mm dydžio.</w:t>
      </w:r>
    </w:p>
    <w:p w14:paraId="0F772C7A"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9F2049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4A7A8AC" w14:textId="77777777" w:rsidR="003744F7" w:rsidRPr="003744F7" w:rsidRDefault="003744F7" w:rsidP="003744F7">
      <w:pPr>
        <w:keepNext/>
        <w:numPr>
          <w:ilvl w:val="0"/>
          <w:numId w:val="25"/>
        </w:numPr>
        <w:tabs>
          <w:tab w:val="left" w:pos="567"/>
        </w:tabs>
        <w:suppressAutoHyphens/>
        <w:spacing w:after="0" w:line="240" w:lineRule="auto"/>
        <w:rPr>
          <w:rFonts w:ascii="Times New Roman" w:eastAsia="Times New Roman" w:hAnsi="Times New Roman" w:cs="Times New Roman"/>
          <w:caps/>
          <w:noProof/>
          <w:lang w:eastAsia="lt-LT" w:bidi="lt-LT"/>
        </w:rPr>
      </w:pPr>
      <w:r w:rsidRPr="003744F7">
        <w:rPr>
          <w:rFonts w:ascii="Times New Roman" w:eastAsia="Times New Roman" w:hAnsi="Times New Roman" w:cs="Times New Roman"/>
          <w:b/>
          <w:noProof/>
          <w:lang w:eastAsia="lt-LT" w:bidi="lt-LT"/>
        </w:rPr>
        <w:t>KLINIKINĖ INFORMACIJA</w:t>
      </w:r>
    </w:p>
    <w:p w14:paraId="2EFE735A"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729C0541"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Terapinės indikacijos</w:t>
      </w:r>
    </w:p>
    <w:p w14:paraId="66828C57"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394EDE04" w14:textId="763EDD46"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Gefitinib </w:t>
      </w:r>
      <w:r w:rsidR="004B326A">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skirtas suaugusių pacientų lokaliai progresavusio arba metastazavusio nesmulkialąstelinio plaučių vėžio (</w:t>
      </w:r>
      <w:r w:rsidRPr="003744F7">
        <w:rPr>
          <w:rFonts w:ascii="Times New Roman" w:eastAsia="Times New Roman" w:hAnsi="Times New Roman" w:cs="Times New Roman"/>
          <w:iCs/>
          <w:noProof/>
          <w:lang w:eastAsia="lt-LT" w:bidi="lt-LT"/>
        </w:rPr>
        <w:t>NSCLC)</w:t>
      </w:r>
      <w:r w:rsidRPr="003744F7">
        <w:rPr>
          <w:rFonts w:ascii="Times New Roman" w:eastAsia="Times New Roman" w:hAnsi="Times New Roman" w:cs="Times New Roman"/>
          <w:noProof/>
          <w:lang w:eastAsia="lt-LT" w:bidi="lt-LT"/>
        </w:rPr>
        <w:t xml:space="preserve">, turinčio </w:t>
      </w:r>
      <w:r w:rsidRPr="003744F7">
        <w:rPr>
          <w:rFonts w:ascii="Times New Roman" w:eastAsia="Times New Roman" w:hAnsi="Times New Roman" w:cs="Times New Roman"/>
          <w:szCs w:val="20"/>
          <w:lang w:eastAsia="lt-LT" w:bidi="lt-LT"/>
        </w:rPr>
        <w:t xml:space="preserve">epidermio augimo faktoriaus receptorių </w:t>
      </w:r>
      <w:r w:rsidRPr="003744F7">
        <w:rPr>
          <w:rFonts w:ascii="Times New Roman" w:eastAsia="Times New Roman" w:hAnsi="Times New Roman" w:cs="Times New Roman"/>
          <w:noProof/>
          <w:lang w:eastAsia="lt-LT" w:bidi="lt-LT"/>
        </w:rPr>
        <w:t>tirozinkinazę (EAFR-TK) aktyvinančių mutacijų, monoterapijai (žr. 4.4 skyrių).</w:t>
      </w:r>
    </w:p>
    <w:p w14:paraId="21A81553"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846CAC6"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Dozavimas ir vartojimo metodas</w:t>
      </w:r>
    </w:p>
    <w:p w14:paraId="5EDDDB8E"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p>
    <w:p w14:paraId="003CB753" w14:textId="64BBC415"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Gydymą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turi pradėti ir prižiūrėti gydytojas, turintis gydymo vaistiniais preparatais nuo vėžio patirties.</w:t>
      </w:r>
    </w:p>
    <w:p w14:paraId="34518B5F"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p>
    <w:p w14:paraId="375C9966" w14:textId="77777777" w:rsidR="003744F7" w:rsidRPr="003744F7" w:rsidRDefault="003744F7" w:rsidP="003744F7">
      <w:pPr>
        <w:keepNext/>
        <w:tabs>
          <w:tab w:val="left" w:pos="567"/>
        </w:tabs>
        <w:spacing w:after="0" w:line="240" w:lineRule="auto"/>
        <w:rPr>
          <w:rFonts w:ascii="Times New Roman" w:eastAsia="Times New Roman" w:hAnsi="Times New Roman" w:cs="Times New Roman"/>
          <w:u w:val="single"/>
          <w:lang w:eastAsia="lt-LT" w:bidi="lt-LT"/>
        </w:rPr>
      </w:pPr>
      <w:r w:rsidRPr="003744F7">
        <w:rPr>
          <w:rFonts w:ascii="Times New Roman" w:eastAsia="Times New Roman" w:hAnsi="Times New Roman" w:cs="Times New Roman"/>
          <w:u w:val="single"/>
          <w:lang w:eastAsia="lt-LT" w:bidi="lt-LT"/>
        </w:rPr>
        <w:t>Dozavimas</w:t>
      </w:r>
    </w:p>
    <w:p w14:paraId="7675B6C4" w14:textId="125E4B00"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Rekomenduojama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dozė – viena 250 mg tabletė vieną kartą per parą. Užmirštą dozę pacientas turi išgerti iš karto prisiminęs. Vis dėlto, jeigu iki laiko kitai dozei gerti liko mažiau kaip 12 val., praleistosios reikia nevartoti. Taip pat negalima gerti dvigubos dozės (t.y. dviejų dozių iš karto) norint kompensuoti praleistą dozę.</w:t>
      </w:r>
    </w:p>
    <w:p w14:paraId="1CF17FCE"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p>
    <w:p w14:paraId="77C0CC63"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Cs/>
          <w:i/>
          <w:iCs/>
          <w:lang w:eastAsia="lt-LT" w:bidi="lt-LT"/>
        </w:rPr>
      </w:pPr>
      <w:r w:rsidRPr="003744F7">
        <w:rPr>
          <w:rFonts w:ascii="Times New Roman" w:eastAsia="Times New Roman" w:hAnsi="Times New Roman" w:cs="Times New Roman"/>
          <w:i/>
          <w:lang w:eastAsia="lt-LT" w:bidi="lt-LT"/>
        </w:rPr>
        <w:t>Vaikų populiacija</w:t>
      </w:r>
    </w:p>
    <w:p w14:paraId="3A6DE7E7"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Gefitinibo saugumas ir veiksmingumas vaikams ir paaugliams iki 18 metų amžiaus dar nebuvo nustatytas. Vaikų populiacijai gefitinibo indikacija nesmulkiųjų ląstelių plaučių vėžiui gydyti yra neaktuali.</w:t>
      </w:r>
    </w:p>
    <w:p w14:paraId="25665F2A"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p>
    <w:p w14:paraId="635D845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i/>
          <w:lang w:eastAsia="lt-LT" w:bidi="lt-LT"/>
        </w:rPr>
        <w:t>Pacientams, kurių kepenų funkcija sutrikusi</w:t>
      </w:r>
    </w:p>
    <w:p w14:paraId="15AB7672"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Pacientų, sergančių vidutiniu ar sunkiu kepenų nepakankamumu (</w:t>
      </w:r>
      <w:r w:rsidRPr="003744F7">
        <w:rPr>
          <w:rFonts w:ascii="Times New Roman" w:eastAsia="Times New Roman" w:hAnsi="Times New Roman" w:cs="Times New Roman"/>
          <w:i/>
          <w:lang w:eastAsia="lt-LT" w:bidi="lt-LT"/>
        </w:rPr>
        <w:t>Child-Pugh</w:t>
      </w:r>
      <w:r w:rsidRPr="003744F7">
        <w:rPr>
          <w:rFonts w:ascii="Times New Roman" w:eastAsia="Times New Roman" w:hAnsi="Times New Roman" w:cs="Times New Roman"/>
          <w:lang w:eastAsia="lt-LT" w:bidi="lt-LT"/>
        </w:rPr>
        <w:t xml:space="preserve"> B arba C) dėl cirozės, plazmoje susidaro didesnė gefitinibo koncentracija. Tokius pacientus reikia atidžiai stebėti dėl galimų nepageidaujamų reiškinių. Kai aspartato transaminazės (AST), šarminės fosfatazės aktyvumas ar bilirubino koncentracija buvo padidėjusi dėl metastazių kepenyse, vaistinio preparato koncentracija plazmoje nepadidėjo (žr. 5.2 skyrių).</w:t>
      </w:r>
    </w:p>
    <w:p w14:paraId="6DEBAFA7"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05BE9B5F"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i/>
          <w:lang w:eastAsia="lt-LT" w:bidi="lt-LT"/>
        </w:rPr>
        <w:t>Pacientams, kurių inkstų funkcija sutrikusi</w:t>
      </w:r>
    </w:p>
    <w:p w14:paraId="7C5B4F2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Kai kreatinino klirensas &gt; 20 ml/min., inkstų nepakankamumu sergantiems pacientams dozės koreguoti nereikia. Duomenų apie šio vaistinio preparato vartojimą, kai kreatinino klirensas </w:t>
      </w:r>
      <w:r w:rsidRPr="003744F7">
        <w:rPr>
          <w:rFonts w:ascii="Times New Roman" w:eastAsia="Times New Roman" w:hAnsi="Times New Roman" w:cs="Times New Roman"/>
          <w:bCs/>
          <w:iCs/>
          <w:lang w:eastAsia="lt-LT" w:bidi="lt-LT"/>
        </w:rPr>
        <w:t>≤ </w:t>
      </w:r>
      <w:r w:rsidRPr="003744F7">
        <w:rPr>
          <w:rFonts w:ascii="Times New Roman" w:eastAsia="Times New Roman" w:hAnsi="Times New Roman" w:cs="Times New Roman"/>
          <w:lang w:eastAsia="lt-LT" w:bidi="lt-LT"/>
        </w:rPr>
        <w:t>20 ml/min, yra mažai, todėl tokiems pacientams jo skiriama atsargiai (žr. 5.2 skyrių).</w:t>
      </w:r>
    </w:p>
    <w:p w14:paraId="55F925A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5226230D"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i/>
          <w:lang w:eastAsia="lt-LT" w:bidi="lt-LT"/>
        </w:rPr>
        <w:t>Senyviems pacientams</w:t>
      </w:r>
    </w:p>
    <w:p w14:paraId="1C1B8A1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Dėl paciento amžiaus dozės koreguoti nereikia (žr. 5.2 skyrių).</w:t>
      </w:r>
    </w:p>
    <w:p w14:paraId="678D11B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29EE256D" w14:textId="77777777" w:rsidR="003744F7" w:rsidRPr="003744F7" w:rsidRDefault="003744F7" w:rsidP="003744F7">
      <w:pPr>
        <w:tabs>
          <w:tab w:val="left" w:pos="567"/>
        </w:tabs>
        <w:spacing w:after="0" w:line="240" w:lineRule="auto"/>
        <w:rPr>
          <w:rFonts w:ascii="Times New Roman" w:eastAsia="Times New Roman" w:hAnsi="Times New Roman" w:cs="Times New Roman"/>
          <w:i/>
          <w:iCs/>
          <w:lang w:eastAsia="lt-LT" w:bidi="lt-LT"/>
        </w:rPr>
      </w:pPr>
      <w:r w:rsidRPr="003744F7">
        <w:rPr>
          <w:rFonts w:ascii="Times New Roman" w:eastAsia="Times New Roman" w:hAnsi="Times New Roman" w:cs="Times New Roman"/>
          <w:i/>
          <w:iCs/>
          <w:lang w:eastAsia="lt-LT" w:bidi="lt-LT"/>
        </w:rPr>
        <w:t>CYP2D6 lėtiems metabolizuotojams</w:t>
      </w:r>
    </w:p>
    <w:p w14:paraId="301E8F0E"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Lėto CYP2D6 metabolizmo genotipo pacientams dozės specifiškai koreguoti nereikia, tačiau juos reikia atidžiai stebėti dėl galimų nepageidaujamų reiškinių (žr. 5.2 skyrių).</w:t>
      </w:r>
    </w:p>
    <w:p w14:paraId="1F62D85E"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2E133E2E" w14:textId="77777777" w:rsidR="003744F7" w:rsidRPr="003744F7" w:rsidRDefault="003744F7" w:rsidP="003744F7">
      <w:pPr>
        <w:tabs>
          <w:tab w:val="left" w:pos="567"/>
        </w:tabs>
        <w:spacing w:after="0" w:line="240" w:lineRule="auto"/>
        <w:rPr>
          <w:rFonts w:ascii="Times New Roman" w:eastAsia="Times New Roman" w:hAnsi="Times New Roman" w:cs="Times New Roman"/>
          <w:i/>
          <w:iCs/>
          <w:lang w:eastAsia="lt-LT" w:bidi="lt-LT"/>
        </w:rPr>
      </w:pPr>
      <w:r w:rsidRPr="003744F7">
        <w:rPr>
          <w:rFonts w:ascii="Times New Roman" w:eastAsia="Times New Roman" w:hAnsi="Times New Roman" w:cs="Times New Roman"/>
          <w:i/>
          <w:iCs/>
          <w:lang w:eastAsia="lt-LT" w:bidi="lt-LT"/>
        </w:rPr>
        <w:t>Dozės koregavimas dėl toksinio poveikio</w:t>
      </w:r>
    </w:p>
    <w:p w14:paraId="33452EBF"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Pacientams, kurie blogai toleruoja viduriavimą arba nepageidaujamas odos reakcijas, gali padėti trumpas (iki 14 dienų) šio vaistinio preparato vartojimo nutraukimas, po kurio vėl vartojama 250 mg dozė (žr. 4.8 skyrių). Jeigu ir po trumpo vartojimo nutraukimo pacientas negali toleruoti šio vaistinio preparato, reikia nutraukti gefitinibo vartojimą ir svarstyti kitokio gydymo galimybę.</w:t>
      </w:r>
    </w:p>
    <w:p w14:paraId="001F2C88"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46FC1A66" w14:textId="77777777" w:rsidR="003744F7" w:rsidRPr="003744F7" w:rsidRDefault="003744F7" w:rsidP="003744F7">
      <w:pPr>
        <w:keepNext/>
        <w:tabs>
          <w:tab w:val="left" w:pos="567"/>
        </w:tabs>
        <w:spacing w:after="0" w:line="240" w:lineRule="auto"/>
        <w:rPr>
          <w:rFonts w:ascii="Times New Roman" w:eastAsia="Times New Roman" w:hAnsi="Times New Roman" w:cs="Times New Roman"/>
          <w:u w:val="single"/>
          <w:lang w:eastAsia="lt-LT" w:bidi="lt-LT"/>
        </w:rPr>
      </w:pPr>
      <w:r w:rsidRPr="003744F7">
        <w:rPr>
          <w:rFonts w:ascii="Times New Roman" w:eastAsia="Times New Roman" w:hAnsi="Times New Roman" w:cs="Times New Roman"/>
          <w:u w:val="single"/>
          <w:lang w:eastAsia="lt-LT" w:bidi="lt-LT"/>
        </w:rPr>
        <w:t xml:space="preserve">Vartojimo metodas </w:t>
      </w:r>
    </w:p>
    <w:p w14:paraId="508D8F5A"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Tabletes galima gerti valgant arba ne valgio metu, kasdien maždaug tuo pačiu laiku. Tabletę galima nuryti nepažeistą, užgeriant vandeniu. Jeigu visos tabletės pacientas nuryti negali, ją galima disperguoti negazuotame vandenyje (kitų skysčių tam naudoti negalima). Reikia įmesti nesutraiškytą tabletę į pusę stiklinės geriamojo vandens, paskui protarpiais pasukioti stiklinę, kol tabletė disperguosis (tai gali užtrukti iki 20 min.). Dispersiją reikia išgerti, kai tik tabletė baigs disperguotis (t.y. per 60 min.). Paskui stiklinę reikia praskalauti puse stiklinės vandens ir jį taip pat išgerti. Dispersiją taip pat galima vartoti per nosies – skrandžio arba gastrostomijos vamzdelį.</w:t>
      </w:r>
    </w:p>
    <w:p w14:paraId="61C13ED1"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D93D0EF"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Kontraindikacijos</w:t>
      </w:r>
    </w:p>
    <w:p w14:paraId="3AC34813"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p>
    <w:p w14:paraId="70B0E647" w14:textId="77777777" w:rsidR="003744F7" w:rsidRPr="003744F7" w:rsidRDefault="003744F7" w:rsidP="003744F7">
      <w:pPr>
        <w:numPr>
          <w:ilvl w:val="0"/>
          <w:numId w:val="38"/>
        </w:numPr>
        <w:tabs>
          <w:tab w:val="left" w:pos="567"/>
        </w:tabs>
        <w:spacing w:after="0" w:line="240" w:lineRule="auto"/>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Padidėjęs jautrumas veikliajai arba bet kuriai 6.1 skyriuje nurodytai pagalbinei medžiagai.</w:t>
      </w:r>
    </w:p>
    <w:p w14:paraId="4D7F28C7" w14:textId="77777777" w:rsidR="003744F7" w:rsidRPr="003744F7" w:rsidRDefault="003744F7" w:rsidP="003744F7">
      <w:pPr>
        <w:numPr>
          <w:ilvl w:val="0"/>
          <w:numId w:val="38"/>
        </w:numPr>
        <w:tabs>
          <w:tab w:val="left" w:pos="567"/>
        </w:tabs>
        <w:spacing w:after="0" w:line="240" w:lineRule="auto"/>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Žindymas (žr. 4.6 skyrių).</w:t>
      </w:r>
    </w:p>
    <w:p w14:paraId="224C4538"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63083089"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Specialūs įspėjimai ir atsargumo priemonės</w:t>
      </w:r>
    </w:p>
    <w:p w14:paraId="4C3AE4A4" w14:textId="77777777" w:rsidR="003744F7" w:rsidRPr="003744F7" w:rsidRDefault="003744F7" w:rsidP="003744F7">
      <w:pPr>
        <w:keepNext/>
        <w:tabs>
          <w:tab w:val="left" w:pos="567"/>
        </w:tabs>
        <w:spacing w:after="0" w:line="240" w:lineRule="auto"/>
        <w:ind w:left="567" w:hanging="567"/>
        <w:rPr>
          <w:rFonts w:ascii="Times New Roman" w:eastAsia="Times New Roman" w:hAnsi="Times New Roman" w:cs="Times New Roman"/>
          <w:b/>
          <w:lang w:eastAsia="lt-LT" w:bidi="lt-LT"/>
        </w:rPr>
      </w:pPr>
    </w:p>
    <w:p w14:paraId="0A623E80" w14:textId="466FEBA8"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Svarstant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vartojimo lokaliai progresavusiam ar metastazavusiam nesmulkiųjų ląstelių plaučių vėžiui gydyti tikslingumą, visais atvejais svarbu pamėginti įvertinti navikinio audinio EGFR (angl. </w:t>
      </w:r>
      <w:r w:rsidRPr="003744F7">
        <w:rPr>
          <w:rFonts w:ascii="Times New Roman" w:eastAsia="Times New Roman" w:hAnsi="Times New Roman" w:cs="Times New Roman"/>
          <w:i/>
          <w:lang w:eastAsia="lt-LT" w:bidi="lt-LT"/>
        </w:rPr>
        <w:t>Epidermal growth factor receptor</w:t>
      </w:r>
      <w:r w:rsidRPr="003744F7">
        <w:rPr>
          <w:rFonts w:ascii="Times New Roman" w:eastAsia="Times New Roman" w:hAnsi="Times New Roman" w:cs="Times New Roman"/>
          <w:lang w:eastAsia="lt-LT" w:bidi="lt-LT"/>
        </w:rPr>
        <w:t>) mutacijas. Jei naviko mėginys tam netinka, tai galima naudoti cirkuliuojančią navikinę DNR (cnDNR), gautą iš kraujo (plazmos) mėginio.</w:t>
      </w:r>
    </w:p>
    <w:p w14:paraId="76045C95"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2060C727"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Būtina pasirinkti tinkamą, patikimą ir jautrų metodą ar metodus, kurio (kurių) nauda navikų ar cnDNR</w:t>
      </w:r>
    </w:p>
    <w:p w14:paraId="3BC4E2EF"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EAFR mutacijų būklei vertinti yra įrodyta, kad nebūtų gauti klaidingai neigiami ar klaidingai teigiami</w:t>
      </w:r>
    </w:p>
    <w:p w14:paraId="0B42B468"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duomenys (žr. 5.1 skyrių).</w:t>
      </w:r>
    </w:p>
    <w:p w14:paraId="190FBB7F"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0B98B614"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iCs/>
          <w:u w:val="single"/>
          <w:lang w:eastAsia="lt-LT" w:bidi="lt-LT"/>
        </w:rPr>
      </w:pPr>
      <w:r w:rsidRPr="003744F7">
        <w:rPr>
          <w:rFonts w:ascii="Times New Roman" w:eastAsia="Times New Roman" w:hAnsi="Times New Roman" w:cs="Times New Roman"/>
          <w:iCs/>
          <w:u w:val="single"/>
          <w:lang w:eastAsia="lt-LT" w:bidi="lt-LT"/>
        </w:rPr>
        <w:t xml:space="preserve">Intersticinė plaučių liga (angl. </w:t>
      </w:r>
      <w:r w:rsidRPr="003744F7">
        <w:rPr>
          <w:rFonts w:ascii="Times New Roman" w:eastAsia="Times New Roman" w:hAnsi="Times New Roman" w:cs="Times New Roman"/>
          <w:i/>
          <w:iCs/>
          <w:u w:val="single"/>
          <w:lang w:eastAsia="lt-LT" w:bidi="lt-LT"/>
        </w:rPr>
        <w:t>Interstitial lung disease,</w:t>
      </w:r>
      <w:r w:rsidRPr="003744F7">
        <w:rPr>
          <w:rFonts w:ascii="Times New Roman" w:eastAsia="Times New Roman" w:hAnsi="Times New Roman" w:cs="Times New Roman"/>
          <w:iCs/>
          <w:u w:val="single"/>
          <w:lang w:eastAsia="lt-LT" w:bidi="lt-LT"/>
        </w:rPr>
        <w:t xml:space="preserve"> ILD)</w:t>
      </w:r>
    </w:p>
    <w:p w14:paraId="7C8DE6EB" w14:textId="61BC5C9C"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1,3 % pacientų, vartojusių gefitinibą, pasireiškė intersticinė plaučių liga (ILD), kuri gali prasidėti ūmiai. Kai kuriais atvejais ši liga lėmė mirtį (žr. 4.8 skyrių). Pasunkėjus kvėpavimo sutrikimams (pvz., dusuliui, kosuliui ir karščiavimui), reikia nutraukti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vartojimą ir nedelsiant ištirti pacientą. Jeigu IPL diagnozė pasitvirtina, reikia visam laikui nutraukti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vartojimą ir atitinkamai gydyti pacientą.</w:t>
      </w:r>
    </w:p>
    <w:p w14:paraId="6AE0B46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497627D7"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Japonijoje atliktas farmakoepidemiologinis atvejų kontrolės tyrimas. Į jį įtraukti 3159 NLPV sirgę pacientai, kuriems taikytas gydymas gefitinibu arba chemoterapija. Šiuos pacientus stebėjus iki 12 savaičių, identifikuoti tokie ILD rizikos veiksniai (nepriklausomai nuo, ar pacientui taikytas gydymas gefitinibu, ar chemoterapija): rūkymas, pasunkėjusi kasdienė veikla (PS ≥ 2), kompiuterinės tomografijos būdu nustatytas sumažėjęs normalus plautis (≤ 50 %), neseniai (mažiau kaip prieš 6 mėn.) diagnozuotas NSCLC (</w:t>
      </w:r>
      <w:r w:rsidRPr="003744F7">
        <w:rPr>
          <w:rFonts w:ascii="Times New Roman" w:eastAsia="Times New Roman" w:hAnsi="Times New Roman" w:cs="Times New Roman"/>
          <w:iCs/>
          <w:noProof/>
          <w:lang w:eastAsia="lt-LT" w:bidi="lt-LT"/>
        </w:rPr>
        <w:t>angl.</w:t>
      </w:r>
      <w:r w:rsidRPr="003744F7">
        <w:rPr>
          <w:rFonts w:ascii="Times New Roman" w:eastAsia="Times New Roman" w:hAnsi="Times New Roman" w:cs="Times New Roman"/>
          <w:i/>
          <w:iCs/>
          <w:noProof/>
          <w:lang w:eastAsia="lt-LT" w:bidi="lt-LT"/>
        </w:rPr>
        <w:t xml:space="preserve"> </w:t>
      </w:r>
      <w:r w:rsidRPr="003744F7">
        <w:rPr>
          <w:rFonts w:ascii="Times New Roman" w:eastAsia="Times New Roman" w:hAnsi="Times New Roman" w:cs="Times New Roman"/>
          <w:i/>
          <w:szCs w:val="20"/>
          <w:lang w:eastAsia="lt-LT" w:bidi="lt-LT"/>
        </w:rPr>
        <w:t>Non-small cell lung cancer</w:t>
      </w:r>
      <w:r w:rsidRPr="003744F7">
        <w:rPr>
          <w:rFonts w:ascii="Times New Roman" w:eastAsia="Times New Roman" w:hAnsi="Times New Roman" w:cs="Times New Roman"/>
          <w:noProof/>
          <w:lang w:eastAsia="lt-LT" w:bidi="lt-LT"/>
        </w:rPr>
        <w:t>)</w:t>
      </w:r>
      <w:r w:rsidRPr="003744F7">
        <w:rPr>
          <w:rFonts w:ascii="Times New Roman" w:eastAsia="Times New Roman" w:hAnsi="Times New Roman" w:cs="Times New Roman"/>
          <w:lang w:eastAsia="lt-LT" w:bidi="lt-LT"/>
        </w:rPr>
        <w:t xml:space="preserve">, iki gydymo buvusi IPL, vyresnis (≥ 55 metai) amžius ir gretutinė širdies liga. IPL rizikos padidėjimas vartojant gefitinibą (palyginus su chemoterapija) buvo ypač ryškus per pirmąsias 4 gydymo savaites (koreguotas šansų santykis – 3,8; 95 % PI – 1,9-7,7), vėliau santykinė rizika buvo mažesnė (koreguotas šansų santykis – 2,5; 95 % PI – 1,1-5,8). ILD susirgusių pacientų mirties riziką gefitinibo ir chemoterapijos grupėse didino šie rizikos veiksniai: rūkymas, </w:t>
      </w:r>
      <w:r w:rsidRPr="003744F7">
        <w:rPr>
          <w:rFonts w:ascii="Times New Roman" w:eastAsia="Times New Roman" w:hAnsi="Times New Roman" w:cs="Times New Roman"/>
          <w:lang w:eastAsia="lt-LT" w:bidi="lt-LT"/>
        </w:rPr>
        <w:lastRenderedPageBreak/>
        <w:t>kompiuterinės tomografijos būdu nustatytas sumažėjęs normalus plautis (≤ 50 %), iki gydymo buvusi intersticinė plaučių liga, vyresnis (≥ 65 metai) amžius ir ekstensyvios sukibimo su pleura sritys (≥ 50 %).</w:t>
      </w:r>
    </w:p>
    <w:p w14:paraId="54E33B25"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2C60E4B1"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iCs/>
          <w:u w:val="single"/>
          <w:lang w:eastAsia="lt-LT" w:bidi="lt-LT"/>
        </w:rPr>
      </w:pPr>
      <w:r w:rsidRPr="003744F7">
        <w:rPr>
          <w:rFonts w:ascii="Times New Roman" w:eastAsia="Times New Roman" w:hAnsi="Times New Roman" w:cs="Times New Roman"/>
          <w:iCs/>
          <w:u w:val="single"/>
          <w:lang w:eastAsia="lt-LT" w:bidi="lt-LT"/>
        </w:rPr>
        <w:t>Hepatotoksinis poveikis ir kepenų funkcijos sutrikimas</w:t>
      </w:r>
    </w:p>
    <w:p w14:paraId="1C322382"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Stebėta kepenų funkcijos tyrimų anomalijų (alanino aminotransferazės, aspartato aminotransferazės aktyvumo ir bilirubino koncentracijos padidėjimas), kurios nedažnais atvejais pasireiškė hepatitu (žr. 4.8 skyrių). Gauta pavienių pranešimų apie kepenų nepakankamumą, kuris kai kuriais atvejais nulėmė mirtį. Dėl to rekomenduojama periodiškai tirti kepenų funkciją. Nustačius lengvo arba vidutinio laipsnio kepenų funkcijos sutrikimą, gefitinibo vartojama atsargiai. Jei šis padidėjimas sunkaus laipsnio, svarstytinas vaistinio preparato vartojimo nutraukimo tikslingumas.</w:t>
      </w:r>
    </w:p>
    <w:p w14:paraId="4A88F776"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038A3D6B"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Nustatyta, kad kai kepenų funkcija sutrikusi dėl cirozės, plazmoje susidaro didesnė gefitinibo koncentracija (žr. 5.2 skyrių).</w:t>
      </w:r>
    </w:p>
    <w:p w14:paraId="6962D34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0F50982D"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iCs/>
          <w:u w:val="single"/>
          <w:lang w:eastAsia="lt-LT" w:bidi="lt-LT"/>
        </w:rPr>
      </w:pPr>
      <w:r w:rsidRPr="003744F7">
        <w:rPr>
          <w:rFonts w:ascii="Times New Roman" w:eastAsia="Times New Roman" w:hAnsi="Times New Roman" w:cs="Times New Roman"/>
          <w:iCs/>
          <w:u w:val="single"/>
          <w:lang w:eastAsia="lt-LT" w:bidi="lt-LT"/>
        </w:rPr>
        <w:t>Sąveika su kitais vaistiniais preparatais</w:t>
      </w:r>
    </w:p>
    <w:p w14:paraId="21EAA51B"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CYP3A4 induktoriai gali pagreitinti gefitinibo metabolizmą ir sumažinti jo koncentraciją plazmoje. Vartojami kartu, CYP3A4 induktoriai (pvz., fenitoinas, karbamazepinas, rifampicinas, barbitūratai ar augaliniai preparatai, kurių sudėtyje yra jonažolės, </w:t>
      </w:r>
      <w:r w:rsidRPr="003744F7">
        <w:rPr>
          <w:rFonts w:ascii="Times New Roman" w:eastAsia="Times New Roman" w:hAnsi="Times New Roman" w:cs="Times New Roman"/>
          <w:i/>
          <w:iCs/>
          <w:lang w:eastAsia="lt-LT" w:bidi="lt-LT"/>
        </w:rPr>
        <w:t>Hypericum perforatum</w:t>
      </w:r>
      <w:r w:rsidRPr="003744F7">
        <w:rPr>
          <w:rFonts w:ascii="Times New Roman" w:eastAsia="Times New Roman" w:hAnsi="Times New Roman" w:cs="Times New Roman"/>
          <w:lang w:eastAsia="lt-LT" w:bidi="lt-LT"/>
        </w:rPr>
        <w:t>) gali sumažinti gefitinibo veiksmingumą, todėl kartu yra nevartotini (žr. 4.5 skyrių).</w:t>
      </w:r>
    </w:p>
    <w:p w14:paraId="41CCBD7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668D9B6E"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Pavieniams pacientams, turintiems lėto CYP2D6 metabolizavimo genotipą, stipriai CYP3A4 slopinantys vaistiniai preparatai gali sukelti gefitinibo koncentracijos plazmoje padidėjimą. Pacientą, pradedantį vartoti CYP3A4 inhibitorių, reikia atidžiai stebėti dėl galimų gefitinibo nepageidaujamų reakcijų (žr. 4.5 skyrių).</w:t>
      </w:r>
    </w:p>
    <w:p w14:paraId="6190A7F2"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0587D8B7"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Kai kuriems varfariną kartu su gefitinibu vartojusiems pacientams padidėjo tarptautinis normalizuotas santykis (TNS) ir (arba) nustatyta kraujavimo reiškinių (žr. 4.5 skyrių). Jei pacientas kartu vartoja varfariną ir gefitinibą, reikia reguliariai tirti, ar nepakito protrombino laikas (PL) arba TNS.</w:t>
      </w:r>
    </w:p>
    <w:p w14:paraId="4791AA3D"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3A3CC41F"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Vaistiniai preparatai, sukeliantys reikšmingą ilgalaikį skrandžio pH padidėjimą (pvz., protonų siurblio inhibitoriai ir H2 antagonistai), gali sumažinti gefitinibo biologinį prieinamumą bei koncentraciją plazmoje ir dėl to – jo veiksmingumą. Panašų poveikį gali sukelti ir antacidiniai vaistiniai preparatai, jeigu jie geriami reguliariai ir laiko tarpas nuo jų iki gefitinibo vartojimo yra trumpas (žr. 4.5 ir 5.2 skyrius).</w:t>
      </w:r>
    </w:p>
    <w:p w14:paraId="483CAA8F"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5A680CDC"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II fazės klinikinių tyrimų, kurių metu gefitinibas vartotas kartu su vinorelbinu, duomenimis, gefitinibas gali sustiprinti neutropeniją sukeliantį vinorelbino poveikį.</w:t>
      </w:r>
    </w:p>
    <w:p w14:paraId="693710BD"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p>
    <w:p w14:paraId="008A142E" w14:textId="77777777" w:rsidR="003744F7" w:rsidRPr="003744F7" w:rsidRDefault="003744F7" w:rsidP="003744F7">
      <w:pPr>
        <w:autoSpaceDE w:val="0"/>
        <w:autoSpaceDN w:val="0"/>
        <w:adjustRightInd w:val="0"/>
        <w:spacing w:after="0" w:line="240" w:lineRule="auto"/>
        <w:rPr>
          <w:rFonts w:ascii="Times New Roman" w:hAnsi="Times New Roman" w:cs="Times New Roman"/>
          <w:iCs/>
          <w:u w:val="single"/>
        </w:rPr>
      </w:pPr>
      <w:r w:rsidRPr="003744F7">
        <w:rPr>
          <w:rFonts w:ascii="Times New Roman" w:hAnsi="Times New Roman" w:cs="Times New Roman"/>
          <w:iCs/>
          <w:u w:val="single"/>
        </w:rPr>
        <w:t>Kitos atsargumo priemonės</w:t>
      </w:r>
    </w:p>
    <w:p w14:paraId="4C34E34E"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Pacientui reikia patarti nedelsiant kreiptis į gydytoją pasireiškus stipriam ar nepraeinančiam viduriavimui, pykinimui, vėmimui arba anoreksijai (šie sutrikimai netiesiogiai gali sukelti dehidraciją). Šiuos simptomus reikia koreguoti atsižvelgiant į klinikinę būtinybę (žr. 4.8 skyrių).</w:t>
      </w:r>
    </w:p>
    <w:p w14:paraId="240102D4"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p>
    <w:p w14:paraId="55D635A3"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Pasireiškus keratitą galimai rodančių požymių ir simptomų (šių ūminių ar pasunkėjusių sutrikimų: akies uždegimas, ašarojimas, jautrumas šviesai, neryškus matymas, akies skausmas ir / ar akies paraudimas), pacientą reikia skubiai nukreipti oftalmologijos specialistui.</w:t>
      </w:r>
    </w:p>
    <w:p w14:paraId="15D49804"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p>
    <w:p w14:paraId="17D89737"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Patvirtinus opinio keratito diagnozę, reikia laikinai nutraukti gefitinibo vartojimą. Jeigu simptomai nepraeina arba atsinaujina pradėjus vėl vartoti gefitinibo, reikia apsvarstyti šio vaistinio preparato vartojimo nutraukimo visam laikui tikslingumą.</w:t>
      </w:r>
    </w:p>
    <w:p w14:paraId="6B2DD093"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p>
    <w:p w14:paraId="57A78F10"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I/II fazės tyrimo metu gefitinibu ir spinduliais gydant 45 vaikus, kuriems naujai diagnozuota smegenų kamieno glioma arba ne visai išpjauta supratentorinė piktybinė glioma, užfiksuoti 4 kraujavimo centrinėje nervų sistemoje (CNS) atvejai, iš kurių vienas lėmė mirtį. Dar vienas kraujavimo CNS atvejis aprašytas ependimoma sirgusiam vaikui, vartojusiam tik gefitinibą. Didesnio kraujavimo į smegenis pavojaus gefitinibą vartojantiems NSCLC sergantiems suaugusiems pacientams nenustatyta.</w:t>
      </w:r>
    </w:p>
    <w:p w14:paraId="522835CC"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p>
    <w:p w14:paraId="6BA4BCE8"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lastRenderedPageBreak/>
        <w:t>Gauta pranešimų apie vartojant gefitinibo įvykusią virškinimo trakto perforaciją. Dauguma atvejų ji</w:t>
      </w:r>
    </w:p>
    <w:p w14:paraId="29EFFC68"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pasireiškė esant kitų žinomų rizikos veiksnių (pvz., steroidų ar nesteroidinių vaistinių preparatų nuo</w:t>
      </w:r>
    </w:p>
    <w:p w14:paraId="76B2D973"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uždegimo vartojimas kartu, buvusi ar esama virškinimo trakto opa, amžius, rūkymas, metastazės žarnų</w:t>
      </w:r>
    </w:p>
    <w:p w14:paraId="464D0F68"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perforacijos vietose).</w:t>
      </w:r>
    </w:p>
    <w:p w14:paraId="01D2121A" w14:textId="77777777" w:rsidR="000C39B0" w:rsidRPr="003744F7" w:rsidRDefault="000C39B0" w:rsidP="000C39B0">
      <w:pPr>
        <w:tabs>
          <w:tab w:val="left" w:pos="567"/>
        </w:tabs>
        <w:spacing w:after="0" w:line="240" w:lineRule="auto"/>
        <w:outlineLvl w:val="0"/>
        <w:rPr>
          <w:rFonts w:ascii="Times New Roman" w:eastAsia="Times New Roman" w:hAnsi="Times New Roman" w:cs="Times New Roman"/>
          <w:lang w:eastAsia="lt-LT" w:bidi="lt-LT"/>
        </w:rPr>
      </w:pPr>
    </w:p>
    <w:p w14:paraId="730D1AD3" w14:textId="77777777" w:rsidR="000C39B0" w:rsidRPr="003744F7" w:rsidRDefault="000C39B0" w:rsidP="000C39B0">
      <w:pPr>
        <w:autoSpaceDE w:val="0"/>
        <w:autoSpaceDN w:val="0"/>
        <w:adjustRightInd w:val="0"/>
        <w:spacing w:after="0" w:line="240" w:lineRule="auto"/>
        <w:rPr>
          <w:rFonts w:ascii="Times New Roman" w:hAnsi="Times New Roman" w:cs="Times New Roman"/>
          <w:iCs/>
          <w:u w:val="single"/>
        </w:rPr>
      </w:pPr>
      <w:r w:rsidRPr="003744F7">
        <w:rPr>
          <w:rFonts w:ascii="Times New Roman" w:hAnsi="Times New Roman" w:cs="Times New Roman"/>
          <w:iCs/>
          <w:u w:val="single"/>
        </w:rPr>
        <w:t>Laktozė</w:t>
      </w:r>
    </w:p>
    <w:p w14:paraId="58CB1760" w14:textId="77777777" w:rsidR="000C39B0" w:rsidRPr="003744F7" w:rsidRDefault="000C39B0" w:rsidP="000C39B0">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 xml:space="preserve">Gefitinib </w:t>
      </w:r>
      <w:r>
        <w:rPr>
          <w:rFonts w:ascii="Times New Roman" w:hAnsi="Times New Roman" w:cs="Times New Roman"/>
        </w:rPr>
        <w:t>Zentiva</w:t>
      </w:r>
      <w:r w:rsidRPr="003744F7">
        <w:rPr>
          <w:rFonts w:ascii="Times New Roman" w:hAnsi="Times New Roman" w:cs="Times New Roman"/>
        </w:rPr>
        <w:t xml:space="preserve"> sudėtyje yra laktozės. Šio vaistinio preparato negalima skirti pacientams, kuriems nustatytas retas paveldimas sutrikimas – galaktozės netoleravimas, visiškas laktazės stygius arba gliukozės ir galaktozės malabsorbcija.</w:t>
      </w:r>
    </w:p>
    <w:p w14:paraId="1554E1B9"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p>
    <w:p w14:paraId="746440FC" w14:textId="77777777" w:rsidR="003744F7" w:rsidRPr="003744F7" w:rsidRDefault="003744F7" w:rsidP="003744F7">
      <w:pPr>
        <w:autoSpaceDE w:val="0"/>
        <w:autoSpaceDN w:val="0"/>
        <w:adjustRightInd w:val="0"/>
        <w:spacing w:after="0" w:line="240" w:lineRule="auto"/>
        <w:rPr>
          <w:rFonts w:ascii="Times New Roman" w:hAnsi="Times New Roman" w:cs="Times New Roman"/>
          <w:iCs/>
          <w:u w:val="single"/>
        </w:rPr>
      </w:pPr>
      <w:r w:rsidRPr="003744F7">
        <w:rPr>
          <w:rFonts w:ascii="Times New Roman" w:hAnsi="Times New Roman" w:cs="Times New Roman"/>
          <w:iCs/>
          <w:u w:val="single"/>
        </w:rPr>
        <w:t>Natris</w:t>
      </w:r>
    </w:p>
    <w:p w14:paraId="451DE807"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hAnsi="Times New Roman" w:cs="Times New Roman"/>
        </w:rPr>
        <w:t>Vienoje šio vaistinio preparato dozėje yra mažiau kaip 1 mmol (23 mg) natrio, t.y. jis beveik neturi reikšmės.</w:t>
      </w:r>
    </w:p>
    <w:p w14:paraId="275B1E5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lang w:eastAsia="lt-LT" w:bidi="lt-LT"/>
        </w:rPr>
      </w:pPr>
    </w:p>
    <w:p w14:paraId="6DA812F2"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Sąveika su kitais vaistiniais preparatais ir kitokia sąveika</w:t>
      </w:r>
    </w:p>
    <w:p w14:paraId="63EBCD37"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682CA832"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Gefitinibą metabolizuoja citochromo P450 izofermentai CYP3A4 (daugiausia) ir CYP2D6.</w:t>
      </w:r>
    </w:p>
    <w:p w14:paraId="143D719D"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143C59A6" w14:textId="77777777" w:rsidR="003744F7" w:rsidRPr="003744F7" w:rsidRDefault="003744F7" w:rsidP="003744F7">
      <w:pPr>
        <w:tabs>
          <w:tab w:val="left" w:pos="567"/>
        </w:tabs>
        <w:spacing w:after="0" w:line="240" w:lineRule="auto"/>
        <w:rPr>
          <w:rFonts w:ascii="Times New Roman" w:eastAsia="Times New Roman" w:hAnsi="Times New Roman" w:cs="Times New Roman"/>
          <w:iCs/>
          <w:u w:val="single"/>
          <w:lang w:eastAsia="lt-LT" w:bidi="lt-LT"/>
        </w:rPr>
      </w:pPr>
      <w:r w:rsidRPr="003744F7">
        <w:rPr>
          <w:rFonts w:ascii="Times New Roman" w:eastAsia="Times New Roman" w:hAnsi="Times New Roman" w:cs="Times New Roman"/>
          <w:iCs/>
          <w:u w:val="single"/>
          <w:lang w:eastAsia="lt-LT" w:bidi="lt-LT"/>
        </w:rPr>
        <w:t>Veikliosios medžiagos, kurios gali padidinti gefitinibo koncentraciją plazmoje</w:t>
      </w:r>
    </w:p>
    <w:p w14:paraId="6A47DEF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Tyrimų </w:t>
      </w:r>
      <w:r w:rsidRPr="003744F7">
        <w:rPr>
          <w:rFonts w:ascii="Times New Roman" w:eastAsia="Times New Roman" w:hAnsi="Times New Roman" w:cs="Times New Roman"/>
          <w:i/>
          <w:iCs/>
          <w:lang w:eastAsia="lt-LT" w:bidi="lt-LT"/>
        </w:rPr>
        <w:t xml:space="preserve">in vitro </w:t>
      </w:r>
      <w:r w:rsidRPr="003744F7">
        <w:rPr>
          <w:rFonts w:ascii="Times New Roman" w:eastAsia="Times New Roman" w:hAnsi="Times New Roman" w:cs="Times New Roman"/>
          <w:lang w:eastAsia="lt-LT" w:bidi="lt-LT"/>
        </w:rPr>
        <w:t>duomenimis, gefitinibas yra p-glikoproteino (Pgp) substratas. Turimi duomenys nerodo, kad</w:t>
      </w:r>
      <w:r w:rsidRPr="003744F7">
        <w:rPr>
          <w:rFonts w:ascii="Times New Roman" w:eastAsia="Times New Roman" w:hAnsi="Times New Roman" w:cs="Times New Roman"/>
          <w:iCs/>
          <w:lang w:eastAsia="lt-LT" w:bidi="lt-LT"/>
        </w:rPr>
        <w:t xml:space="preserve"> </w:t>
      </w:r>
      <w:r w:rsidRPr="003744F7">
        <w:rPr>
          <w:rFonts w:ascii="Times New Roman" w:eastAsia="Times New Roman" w:hAnsi="Times New Roman" w:cs="Times New Roman"/>
          <w:lang w:eastAsia="lt-LT" w:bidi="lt-LT"/>
        </w:rPr>
        <w:t xml:space="preserve">ši </w:t>
      </w:r>
      <w:r w:rsidRPr="003744F7">
        <w:rPr>
          <w:rFonts w:ascii="Times New Roman" w:eastAsia="Times New Roman" w:hAnsi="Times New Roman" w:cs="Times New Roman"/>
          <w:i/>
          <w:iCs/>
          <w:lang w:eastAsia="lt-LT" w:bidi="lt-LT"/>
        </w:rPr>
        <w:t xml:space="preserve">in vitro </w:t>
      </w:r>
      <w:r w:rsidRPr="003744F7">
        <w:rPr>
          <w:rFonts w:ascii="Times New Roman" w:eastAsia="Times New Roman" w:hAnsi="Times New Roman" w:cs="Times New Roman"/>
          <w:lang w:eastAsia="lt-LT" w:bidi="lt-LT"/>
        </w:rPr>
        <w:t>nustatyta savybė turėtų klinikinės reikšmės.</w:t>
      </w:r>
    </w:p>
    <w:p w14:paraId="6241834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0655CA3B" w14:textId="77777777" w:rsidR="003744F7" w:rsidRPr="003744F7" w:rsidRDefault="003744F7" w:rsidP="003744F7">
      <w:pPr>
        <w:tabs>
          <w:tab w:val="left" w:pos="567"/>
        </w:tabs>
        <w:spacing w:after="0" w:line="240" w:lineRule="auto"/>
        <w:rPr>
          <w:rFonts w:ascii="Times New Roman" w:eastAsia="Times New Roman" w:hAnsi="Times New Roman" w:cs="Times New Roman"/>
          <w:iCs/>
          <w:lang w:eastAsia="lt-LT" w:bidi="lt-LT"/>
        </w:rPr>
      </w:pPr>
      <w:r w:rsidRPr="003744F7">
        <w:rPr>
          <w:rFonts w:ascii="Times New Roman" w:eastAsia="Times New Roman" w:hAnsi="Times New Roman" w:cs="Times New Roman"/>
          <w:iCs/>
          <w:lang w:eastAsia="lt-LT" w:bidi="lt-LT"/>
        </w:rPr>
        <w:t>Medžiagos, slopinančios CYP3A4, gali mažinti gefitinibo klirensą. Kartu vartojant vaistinius preparatus, kurie stipriai slopina CYP3A4 (pvz., ketokonazolą, pozakonazolą, vorikonazolą, proteazės inhibitorius, klaritromiciną, telitromiciną), gali padidėti gefitinibo koncentracija plazmoje. Šis padidėjimas gali būti kliniškai reikšmingas, kadangi gefitinibo nepageidaujamos reakcijos yra susijusios su jo doze ir ekspozicija. Atskiriems pacientams, turintiems CYP2D6 lėto metabolizavimo genotipą, šis padidėjimas gali būti ryškesnis. Prieš tai vartotas itrakonazolas, kuris stipriai slopina CYP3A4, sveikiems savanoriams sukėlė gefitinibo vidutinio AUC padidėjimą 80 %. Jeigu kartu tenka vartoti vaistinius preparatus, kurie stipriai slopina CYP3A4, pacientą reikia atidžiai stebėti dėl galimų gefitinibo nepageidaujamų reakcijų.</w:t>
      </w:r>
    </w:p>
    <w:p w14:paraId="243BFCF2" w14:textId="77777777" w:rsidR="003744F7" w:rsidRPr="003744F7" w:rsidRDefault="003744F7" w:rsidP="003744F7">
      <w:pPr>
        <w:tabs>
          <w:tab w:val="left" w:pos="567"/>
        </w:tabs>
        <w:spacing w:after="0" w:line="240" w:lineRule="auto"/>
        <w:rPr>
          <w:rFonts w:ascii="Times New Roman" w:eastAsia="Times New Roman" w:hAnsi="Times New Roman" w:cs="Times New Roman"/>
          <w:iCs/>
          <w:lang w:eastAsia="lt-LT" w:bidi="lt-LT"/>
        </w:rPr>
      </w:pPr>
    </w:p>
    <w:p w14:paraId="2C639CA4" w14:textId="77777777" w:rsidR="003744F7" w:rsidRPr="003744F7" w:rsidRDefault="003744F7" w:rsidP="003744F7">
      <w:pPr>
        <w:tabs>
          <w:tab w:val="left" w:pos="567"/>
        </w:tabs>
        <w:spacing w:after="0" w:line="240" w:lineRule="auto"/>
        <w:rPr>
          <w:rFonts w:ascii="Times New Roman" w:eastAsia="Times New Roman" w:hAnsi="Times New Roman" w:cs="Times New Roman"/>
          <w:iCs/>
          <w:lang w:eastAsia="lt-LT" w:bidi="lt-LT"/>
        </w:rPr>
      </w:pPr>
      <w:r w:rsidRPr="003744F7">
        <w:rPr>
          <w:rFonts w:ascii="Times New Roman" w:eastAsia="Times New Roman" w:hAnsi="Times New Roman" w:cs="Times New Roman"/>
          <w:iCs/>
          <w:lang w:eastAsia="lt-LT" w:bidi="lt-LT"/>
        </w:rPr>
        <w:t>Duomenų apie CYP2D6 inhibitorių vartojimą kartu nėra, tačiau vaistiniai preparatai, kurie stipriai slopina šį fermentą, galėtų sukelti maždaug dvigubą gefitinibo koncentracijos ekstensyvių CYP2D6 metabolizuotojų plazmoje padidėjimą (žr. 5.2 skyrių). Pacientą, pradėjusį kartu vartoti stipriai CYP2D6 slopinantį vaistinį preparatą, reikia atidžiai stebėti dėl galimų nepageidaujamų reakcijų.</w:t>
      </w:r>
    </w:p>
    <w:p w14:paraId="047D196C" w14:textId="77777777" w:rsidR="003744F7" w:rsidRPr="003744F7" w:rsidRDefault="003744F7" w:rsidP="003744F7">
      <w:pPr>
        <w:tabs>
          <w:tab w:val="left" w:pos="567"/>
        </w:tabs>
        <w:spacing w:after="0" w:line="240" w:lineRule="auto"/>
        <w:rPr>
          <w:rFonts w:ascii="Times New Roman" w:eastAsia="Times New Roman" w:hAnsi="Times New Roman" w:cs="Times New Roman"/>
          <w:iCs/>
          <w:lang w:eastAsia="lt-LT" w:bidi="lt-LT"/>
        </w:rPr>
      </w:pPr>
    </w:p>
    <w:p w14:paraId="4E44EF8B" w14:textId="77777777" w:rsidR="003744F7" w:rsidRPr="003744F7" w:rsidRDefault="003744F7" w:rsidP="003744F7">
      <w:pPr>
        <w:tabs>
          <w:tab w:val="left" w:pos="567"/>
        </w:tabs>
        <w:spacing w:after="0" w:line="240" w:lineRule="auto"/>
        <w:rPr>
          <w:rFonts w:ascii="Times New Roman" w:eastAsia="Times New Roman" w:hAnsi="Times New Roman" w:cs="Times New Roman"/>
          <w:iCs/>
          <w:u w:val="single"/>
          <w:lang w:eastAsia="lt-LT" w:bidi="lt-LT"/>
        </w:rPr>
      </w:pPr>
      <w:r w:rsidRPr="003744F7">
        <w:rPr>
          <w:rFonts w:ascii="Times New Roman" w:eastAsia="Times New Roman" w:hAnsi="Times New Roman" w:cs="Times New Roman"/>
          <w:iCs/>
          <w:u w:val="single"/>
          <w:lang w:eastAsia="lt-LT" w:bidi="lt-LT"/>
        </w:rPr>
        <w:t>Veikliosios medžiagos, kurios gali sumažinti gefitinibo koncentraciją plazmoje</w:t>
      </w:r>
    </w:p>
    <w:p w14:paraId="45A680E3" w14:textId="77777777" w:rsidR="003744F7" w:rsidRPr="003744F7" w:rsidRDefault="003744F7" w:rsidP="003744F7">
      <w:pPr>
        <w:tabs>
          <w:tab w:val="left" w:pos="567"/>
        </w:tabs>
        <w:spacing w:after="0" w:line="240" w:lineRule="auto"/>
        <w:rPr>
          <w:rFonts w:ascii="Times New Roman" w:eastAsia="Times New Roman" w:hAnsi="Times New Roman" w:cs="Times New Roman"/>
          <w:iCs/>
          <w:lang w:eastAsia="lt-LT" w:bidi="lt-LT"/>
        </w:rPr>
      </w:pPr>
      <w:r w:rsidRPr="003744F7">
        <w:rPr>
          <w:rFonts w:ascii="Times New Roman" w:eastAsia="Times New Roman" w:hAnsi="Times New Roman" w:cs="Times New Roman"/>
          <w:iCs/>
          <w:lang w:eastAsia="lt-LT" w:bidi="lt-LT"/>
        </w:rPr>
        <w:t xml:space="preserve">Medžiagos, didinančios CYP3A4 aktyvumą, gali pagreitinti gefitinibo metabolizmą, sumažinti jo koncentraciją plazmoje ir tokiu būdu sumažinti veiksmingumą. Stipriai CYP3A4 indukuojančių vaistinių preparatų (pvz., fenitoino, karbamazepino, rifampicino, barbitūratų ir jonažolės, </w:t>
      </w:r>
      <w:r w:rsidRPr="003744F7">
        <w:rPr>
          <w:rFonts w:ascii="Times New Roman" w:eastAsia="Times New Roman" w:hAnsi="Times New Roman" w:cs="Times New Roman"/>
          <w:i/>
          <w:iCs/>
          <w:lang w:eastAsia="lt-LT" w:bidi="lt-LT"/>
        </w:rPr>
        <w:t>Hypericum perforatum</w:t>
      </w:r>
      <w:r w:rsidRPr="003744F7">
        <w:rPr>
          <w:rFonts w:ascii="Times New Roman" w:eastAsia="Times New Roman" w:hAnsi="Times New Roman" w:cs="Times New Roman"/>
          <w:iCs/>
          <w:lang w:eastAsia="lt-LT" w:bidi="lt-LT"/>
        </w:rPr>
        <w:t>) reikia kartu neskirti. Sveikiems savanoriams prieš tai vartojus rifampiciną, kuris stipriai indukuoja CYP3A4, gefitinibo vidutinis AUC sumažėjo 83 % (žr. 4.4 skyrių).</w:t>
      </w:r>
    </w:p>
    <w:p w14:paraId="1FAB52B1" w14:textId="77777777" w:rsidR="003744F7" w:rsidRPr="003744F7" w:rsidRDefault="003744F7" w:rsidP="003744F7">
      <w:pPr>
        <w:tabs>
          <w:tab w:val="left" w:pos="567"/>
        </w:tabs>
        <w:spacing w:after="0" w:line="240" w:lineRule="auto"/>
        <w:rPr>
          <w:rFonts w:ascii="Times New Roman" w:eastAsia="Times New Roman" w:hAnsi="Times New Roman" w:cs="Times New Roman"/>
          <w:iCs/>
          <w:lang w:eastAsia="lt-LT" w:bidi="lt-LT"/>
        </w:rPr>
      </w:pPr>
    </w:p>
    <w:p w14:paraId="0A901C0F" w14:textId="77777777" w:rsidR="003744F7" w:rsidRPr="003744F7" w:rsidRDefault="003744F7" w:rsidP="003744F7">
      <w:pPr>
        <w:tabs>
          <w:tab w:val="left" w:pos="567"/>
        </w:tabs>
        <w:spacing w:after="0" w:line="240" w:lineRule="auto"/>
        <w:rPr>
          <w:rFonts w:ascii="Times New Roman" w:eastAsia="Times New Roman" w:hAnsi="Times New Roman" w:cs="Times New Roman"/>
          <w:iCs/>
          <w:lang w:eastAsia="lt-LT" w:bidi="lt-LT"/>
        </w:rPr>
      </w:pPr>
      <w:r w:rsidRPr="003744F7">
        <w:rPr>
          <w:rFonts w:ascii="Times New Roman" w:eastAsia="Times New Roman" w:hAnsi="Times New Roman" w:cs="Times New Roman"/>
          <w:iCs/>
          <w:lang w:eastAsia="lt-LT" w:bidi="lt-LT"/>
        </w:rPr>
        <w:t>Medžiagos, kurios sukelia reikšmingą nuolatinį skrandžio pH padidėjimą, gali sumažinti gefitinibo koncentraciją plazmoje ir tokiu būdu sumažinti gefitinibo veiksmingumą. Didelės trumpai veikiančių antacidinių vaistinių preparatų dozės gali sukelti panašų poveikį, jeigu geriamos reguliariai ir laiko tarpas nuo jų iki gefitinibo vartojimo yra trumpas. Kartu vartojant ranitidino dozę, kuri sukėlė nuolatinį skrandžio pH padidėjimą iki 5 ar daugiau, gefitinibo vidutinis AUC sveikiems savanoriams sumažėjo 47 % (žr. 4.4 ir 5.2 skyrius).</w:t>
      </w:r>
    </w:p>
    <w:p w14:paraId="55911110" w14:textId="77777777" w:rsidR="003744F7" w:rsidRPr="003744F7" w:rsidRDefault="003744F7" w:rsidP="003744F7">
      <w:pPr>
        <w:tabs>
          <w:tab w:val="left" w:pos="567"/>
        </w:tabs>
        <w:spacing w:after="0" w:line="240" w:lineRule="auto"/>
        <w:rPr>
          <w:rFonts w:ascii="Times New Roman" w:eastAsia="Times New Roman" w:hAnsi="Times New Roman" w:cs="Times New Roman"/>
          <w:iCs/>
          <w:lang w:eastAsia="lt-LT" w:bidi="lt-LT"/>
        </w:rPr>
      </w:pPr>
    </w:p>
    <w:p w14:paraId="394873B2" w14:textId="77777777" w:rsidR="003744F7" w:rsidRPr="003744F7" w:rsidRDefault="003744F7" w:rsidP="003744F7">
      <w:pPr>
        <w:autoSpaceDE w:val="0"/>
        <w:autoSpaceDN w:val="0"/>
        <w:adjustRightInd w:val="0"/>
        <w:spacing w:after="0" w:line="240" w:lineRule="auto"/>
        <w:rPr>
          <w:rFonts w:ascii="Times New Roman" w:hAnsi="Times New Roman" w:cs="Times New Roman"/>
          <w:iCs/>
          <w:u w:val="single"/>
        </w:rPr>
      </w:pPr>
      <w:r w:rsidRPr="003744F7">
        <w:rPr>
          <w:rFonts w:ascii="Times New Roman" w:hAnsi="Times New Roman" w:cs="Times New Roman"/>
          <w:iCs/>
          <w:u w:val="single"/>
        </w:rPr>
        <w:t>Veikliosios medžiagos, kurių koncentraciją plazmoje gali įtakoti gefitinibas</w:t>
      </w:r>
    </w:p>
    <w:p w14:paraId="2B8B482F"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 xml:space="preserve">Tyrimai </w:t>
      </w:r>
      <w:r w:rsidRPr="003744F7">
        <w:rPr>
          <w:rFonts w:ascii="Times New Roman" w:hAnsi="Times New Roman" w:cs="Times New Roman"/>
          <w:i/>
          <w:iCs/>
        </w:rPr>
        <w:t xml:space="preserve">in vitro </w:t>
      </w:r>
      <w:r w:rsidRPr="003744F7">
        <w:rPr>
          <w:rFonts w:ascii="Times New Roman" w:hAnsi="Times New Roman" w:cs="Times New Roman"/>
        </w:rPr>
        <w:t>parodė, kad gefitinibo savybė slopinti CYP2D6 yra nedidelė. Klinikinių tyrimų metu pacientai vartojo gefitinibą kartu su CYP2D6 substratu metoprololiu – tai lėmė nedidelį (35 %) metoprololio ekspozicijos padidėjimą. Tokio laipsnio padidėjimas galėtų būti reikšmingas tiems CYP2D6 substratams, kurių terapinė platuma siaura. Svarstant CYP2D6 substratų, kurių terapinė platuma siaura, vartojimo kartu su gefitinibu galimybę, reikia apsvarstyti CYP2D6 substrato dozės koregavimo tikslingumą.</w:t>
      </w:r>
    </w:p>
    <w:p w14:paraId="195D08B8"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p>
    <w:p w14:paraId="212445ED"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i/>
          <w:iCs/>
        </w:rPr>
        <w:t xml:space="preserve">In vitro </w:t>
      </w:r>
      <w:r w:rsidRPr="003744F7">
        <w:rPr>
          <w:rFonts w:ascii="Times New Roman" w:hAnsi="Times New Roman" w:cs="Times New Roman"/>
        </w:rPr>
        <w:t>gefitinibas slopina pernešantį baltymą BCRP, tačiau šio slopinimo klinikinė reikšmė nežinoma.</w:t>
      </w:r>
    </w:p>
    <w:p w14:paraId="079B48BA"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p>
    <w:p w14:paraId="6B41C0D0"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u w:val="single"/>
        </w:rPr>
        <w:t>Kita galima sąveika</w:t>
      </w:r>
    </w:p>
    <w:p w14:paraId="548EE312"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Kai kuriems pacientams, kartu vartojusiems varfariną, stebėtas TNS padidėjimas ir (arba) kraujavimo reiškinių (žr. 4.4 skyrių).</w:t>
      </w:r>
    </w:p>
    <w:p w14:paraId="08AA1EF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01724253"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lang w:eastAsia="lt-LT" w:bidi="lt-LT"/>
        </w:rPr>
        <w:t>Vaisingumas, nėštumo ir žindymo laikotarpis</w:t>
      </w:r>
    </w:p>
    <w:p w14:paraId="176708CD"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66C95F1D" w14:textId="77777777" w:rsidR="003744F7" w:rsidRPr="003744F7" w:rsidRDefault="003744F7" w:rsidP="003744F7">
      <w:pPr>
        <w:tabs>
          <w:tab w:val="left" w:pos="567"/>
        </w:tabs>
        <w:spacing w:after="0" w:line="240" w:lineRule="auto"/>
        <w:rPr>
          <w:rFonts w:ascii="Times New Roman" w:eastAsia="Times New Roman" w:hAnsi="Times New Roman" w:cs="Times New Roman"/>
          <w:bCs/>
          <w:u w:val="single"/>
          <w:lang w:eastAsia="lt-LT" w:bidi="lt-LT"/>
        </w:rPr>
      </w:pPr>
      <w:r w:rsidRPr="003744F7">
        <w:rPr>
          <w:rFonts w:ascii="Times New Roman" w:eastAsia="Times New Roman" w:hAnsi="Times New Roman" w:cs="Times New Roman"/>
          <w:bCs/>
          <w:u w:val="single"/>
          <w:lang w:eastAsia="lt-LT" w:bidi="lt-LT"/>
        </w:rPr>
        <w:t>Vaisingos moterys</w:t>
      </w:r>
    </w:p>
    <w:p w14:paraId="5652BB2E"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Vaisingoms moterims reikia patarti, kad gydymo laikotarpiu nepastotų.</w:t>
      </w:r>
    </w:p>
    <w:p w14:paraId="3EE3BB90"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419F53B6" w14:textId="77777777" w:rsidR="003744F7" w:rsidRPr="003744F7" w:rsidRDefault="003744F7" w:rsidP="003744F7">
      <w:pPr>
        <w:tabs>
          <w:tab w:val="left" w:pos="567"/>
        </w:tabs>
        <w:spacing w:after="0" w:line="240" w:lineRule="auto"/>
        <w:rPr>
          <w:rFonts w:ascii="Times New Roman" w:eastAsia="Times New Roman" w:hAnsi="Times New Roman" w:cs="Times New Roman"/>
          <w:bCs/>
          <w:u w:val="single"/>
          <w:lang w:eastAsia="lt-LT" w:bidi="lt-LT"/>
        </w:rPr>
      </w:pPr>
      <w:r w:rsidRPr="003744F7">
        <w:rPr>
          <w:rFonts w:ascii="Times New Roman" w:eastAsia="Times New Roman" w:hAnsi="Times New Roman" w:cs="Times New Roman"/>
          <w:bCs/>
          <w:u w:val="single"/>
          <w:lang w:eastAsia="lt-LT" w:bidi="lt-LT"/>
        </w:rPr>
        <w:t>Nėštumas</w:t>
      </w:r>
    </w:p>
    <w:p w14:paraId="185B4323"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Gefitinibo vartojimo nėščioms moterims duomenų nėra. Tyrimai su gyvūnais parodė toksinį poveikį reprodukcijai (žr. 5.3 skyrių). Galimas pavojus žmonėms nežinomas. Nėštumo laikotarpiu gefitinibo vartoti negalima, išskyrus neabejotinai būtinus atvejus.</w:t>
      </w:r>
    </w:p>
    <w:p w14:paraId="002B5D47"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1AA60BD1" w14:textId="77777777" w:rsidR="003744F7" w:rsidRPr="003744F7" w:rsidRDefault="003744F7" w:rsidP="003744F7">
      <w:pPr>
        <w:tabs>
          <w:tab w:val="left" w:pos="567"/>
        </w:tabs>
        <w:spacing w:after="0" w:line="240" w:lineRule="auto"/>
        <w:rPr>
          <w:rFonts w:ascii="Times New Roman" w:eastAsia="Times New Roman" w:hAnsi="Times New Roman" w:cs="Times New Roman"/>
          <w:bCs/>
          <w:u w:val="single"/>
          <w:lang w:eastAsia="lt-LT" w:bidi="lt-LT"/>
        </w:rPr>
      </w:pPr>
      <w:r w:rsidRPr="003744F7">
        <w:rPr>
          <w:rFonts w:ascii="Times New Roman" w:eastAsia="Times New Roman" w:hAnsi="Times New Roman" w:cs="Times New Roman"/>
          <w:bCs/>
          <w:u w:val="single"/>
          <w:lang w:eastAsia="lt-LT" w:bidi="lt-LT"/>
        </w:rPr>
        <w:t>Žindymas</w:t>
      </w:r>
    </w:p>
    <w:p w14:paraId="6F200C0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Ar gefitinibo išskiriama į moters pieną, nežinoma. Gefitinibo ir jo metabolitų kaupiasi žiurkių piene laktacijos metu (žr. 5.3 skyrių). Žindymo laikotarpiu gefitinibo vartoti negalima, todėl šio vaistinio preparato vartojimo laikotarpiu žindymą reikia nutraukti (žr. 4.3 skyrių).</w:t>
      </w:r>
    </w:p>
    <w:p w14:paraId="3B7AF644" w14:textId="77777777" w:rsidR="003744F7" w:rsidRPr="003744F7" w:rsidRDefault="003744F7" w:rsidP="003744F7">
      <w:pPr>
        <w:tabs>
          <w:tab w:val="left" w:pos="567"/>
        </w:tabs>
        <w:spacing w:after="0" w:line="240" w:lineRule="auto"/>
        <w:rPr>
          <w:rFonts w:ascii="Times New Roman" w:eastAsia="Times New Roman" w:hAnsi="Times New Roman" w:cs="Times New Roman"/>
          <w:i/>
          <w:noProof/>
          <w:lang w:eastAsia="lt-LT" w:bidi="lt-LT"/>
        </w:rPr>
      </w:pPr>
    </w:p>
    <w:p w14:paraId="77466CE3"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Poveikis gebėjimui vairuoti ir valdyti mechanizmus</w:t>
      </w:r>
    </w:p>
    <w:p w14:paraId="63CC26AA"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29F43EA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Vartojant gefitinibo, buvo astenijos atvejų. Jai pasireiškus, vairuoti ir valdyti mechanizmus būtina atsargiai.</w:t>
      </w:r>
    </w:p>
    <w:p w14:paraId="1A150A14"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4306095"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Nepageidaujamas poveikis</w:t>
      </w:r>
    </w:p>
    <w:p w14:paraId="3EF5FA43" w14:textId="77777777" w:rsidR="003744F7" w:rsidRPr="003744F7" w:rsidRDefault="003744F7" w:rsidP="003744F7">
      <w:pPr>
        <w:keepNext/>
        <w:tabs>
          <w:tab w:val="left" w:pos="567"/>
        </w:tabs>
        <w:autoSpaceDE w:val="0"/>
        <w:autoSpaceDN w:val="0"/>
        <w:adjustRightInd w:val="0"/>
        <w:spacing w:after="0" w:line="240" w:lineRule="auto"/>
        <w:jc w:val="both"/>
        <w:rPr>
          <w:rFonts w:ascii="Times New Roman" w:eastAsia="Times New Roman" w:hAnsi="Times New Roman" w:cs="Times New Roman"/>
          <w:noProof/>
          <w:lang w:eastAsia="lt-LT" w:bidi="lt-LT"/>
        </w:rPr>
      </w:pPr>
    </w:p>
    <w:p w14:paraId="7D8EB6C6"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u w:val="single"/>
          <w:lang w:eastAsia="lt-LT" w:bidi="lt-LT"/>
        </w:rPr>
      </w:pPr>
      <w:r w:rsidRPr="003744F7">
        <w:rPr>
          <w:rFonts w:ascii="Times New Roman" w:eastAsia="Times New Roman" w:hAnsi="Times New Roman" w:cs="Times New Roman"/>
          <w:u w:val="single"/>
          <w:lang w:eastAsia="lt-LT" w:bidi="lt-LT"/>
        </w:rPr>
        <w:t>Saugumo duomenų santrauka</w:t>
      </w:r>
    </w:p>
    <w:p w14:paraId="6706D359"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ISEL, INTEREST ir IPASS III fazės klinikinių tyrimų bendrais duomenimis (gefitinibą vartojo 2462 pacientai), dažniausios nepageidaujamos reakcijos į vaistinį preparatą (NRV), pasireiškusios daugiau kaip 20 % pacientų, buvo viduriavimas ir odos reakcijos (išbėrimas, spuogai, sausa oda ir niežėjimas). Dažniausiai NRV pasireiškia pirmąjį gydymo mėnesį ir būna laikinos. Maždaug 8 % pacientų pasireiškė sunki NRV (3-4 laipsnio pagal bendruosius toksiškumo kriterijus, BTK). Maždaug 3 % pacientų šio vaistinio preparato vartojimą nutraukė dėl NRV.</w:t>
      </w:r>
    </w:p>
    <w:p w14:paraId="0BE6DC45"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p>
    <w:p w14:paraId="329CFBDD"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1,3 % pacientų pasireiškė intersticinė plaučių liga (IPL). Dažnai ji būdavo sunki (3-4 BTK laipsnio), gauta pranešimų ir apie mirties atvejus.</w:t>
      </w:r>
    </w:p>
    <w:p w14:paraId="4B771AFC"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p>
    <w:p w14:paraId="33531D40"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u w:val="single"/>
          <w:lang w:eastAsia="lt-LT" w:bidi="lt-LT"/>
        </w:rPr>
      </w:pPr>
      <w:r w:rsidRPr="003744F7">
        <w:rPr>
          <w:rFonts w:ascii="Times New Roman" w:eastAsia="Times New Roman" w:hAnsi="Times New Roman" w:cs="Times New Roman"/>
          <w:u w:val="single"/>
          <w:lang w:eastAsia="lt-LT" w:bidi="lt-LT"/>
        </w:rPr>
        <w:t>Nepageidaujamų reakcijų santrauka lentelėje</w:t>
      </w:r>
    </w:p>
    <w:p w14:paraId="1695E2B7"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1 lentelėje pateikiami saugumo duomenys yra pagrįsti gefitinibo klinikinio kūrimo programa ir jį užregistravus sukaupta patirtimi. Nepageidaujamos reakcijos 1 lentelėje suskirstytos į dažnio kategorijas kiek įmanoma pagal panašių nepageidaujamų reiškinių pranešimų dažnį bendroje ISEL, INTEREST ir IPASS III fazės klinikinių tyrimų duomenų bazėje (gefitinibą vartojo 2462 pacientai). </w:t>
      </w:r>
    </w:p>
    <w:p w14:paraId="0F273E61"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p>
    <w:p w14:paraId="6F90D60B" w14:textId="4ADA9849"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Nepageidaujamo poveikio dažnis apibūdinamas taip: labai dažna</w:t>
      </w:r>
      <w:r w:rsidR="00D36B10">
        <w:rPr>
          <w:rFonts w:ascii="Times New Roman" w:eastAsia="Times New Roman" w:hAnsi="Times New Roman" w:cs="Times New Roman"/>
          <w:lang w:eastAsia="lt-LT" w:bidi="lt-LT"/>
        </w:rPr>
        <w:t>s</w:t>
      </w:r>
      <w:r w:rsidRPr="003744F7">
        <w:rPr>
          <w:rFonts w:ascii="Times New Roman" w:eastAsia="Times New Roman" w:hAnsi="Times New Roman" w:cs="Times New Roman"/>
          <w:lang w:eastAsia="lt-LT" w:bidi="lt-LT"/>
        </w:rPr>
        <w:t xml:space="preserve"> (≥ 1/10), dažna</w:t>
      </w:r>
      <w:r w:rsidR="00D36B10">
        <w:rPr>
          <w:rFonts w:ascii="Times New Roman" w:eastAsia="Times New Roman" w:hAnsi="Times New Roman" w:cs="Times New Roman"/>
          <w:lang w:eastAsia="lt-LT" w:bidi="lt-LT"/>
        </w:rPr>
        <w:t>s</w:t>
      </w:r>
      <w:r w:rsidRPr="003744F7">
        <w:rPr>
          <w:rFonts w:ascii="Times New Roman" w:eastAsia="Times New Roman" w:hAnsi="Times New Roman" w:cs="Times New Roman"/>
          <w:lang w:eastAsia="lt-LT" w:bidi="lt-LT"/>
        </w:rPr>
        <w:t xml:space="preserve"> (nuo ≥ 1/100 iki &lt; 1/10), nedažna</w:t>
      </w:r>
      <w:r w:rsidR="00D36B10">
        <w:rPr>
          <w:rFonts w:ascii="Times New Roman" w:eastAsia="Times New Roman" w:hAnsi="Times New Roman" w:cs="Times New Roman"/>
          <w:lang w:eastAsia="lt-LT" w:bidi="lt-LT"/>
        </w:rPr>
        <w:t>s</w:t>
      </w:r>
      <w:r w:rsidRPr="003744F7">
        <w:rPr>
          <w:rFonts w:ascii="Times New Roman" w:eastAsia="Times New Roman" w:hAnsi="Times New Roman" w:cs="Times New Roman"/>
          <w:lang w:eastAsia="lt-LT" w:bidi="lt-LT"/>
        </w:rPr>
        <w:t xml:space="preserve"> (nuo ≥ 1/1000 iki &lt; 1/100), reta</w:t>
      </w:r>
      <w:r w:rsidR="00D36B10">
        <w:rPr>
          <w:rFonts w:ascii="Times New Roman" w:eastAsia="Times New Roman" w:hAnsi="Times New Roman" w:cs="Times New Roman"/>
          <w:lang w:eastAsia="lt-LT" w:bidi="lt-LT"/>
        </w:rPr>
        <w:t>s</w:t>
      </w:r>
      <w:r w:rsidRPr="003744F7">
        <w:rPr>
          <w:rFonts w:ascii="Times New Roman" w:eastAsia="Times New Roman" w:hAnsi="Times New Roman" w:cs="Times New Roman"/>
          <w:lang w:eastAsia="lt-LT" w:bidi="lt-LT"/>
        </w:rPr>
        <w:t xml:space="preserve"> (nuo ≥ 1/10000 iki &lt; 1/1000), labai reta</w:t>
      </w:r>
      <w:r w:rsidR="00D36B10">
        <w:rPr>
          <w:rFonts w:ascii="Times New Roman" w:eastAsia="Times New Roman" w:hAnsi="Times New Roman" w:cs="Times New Roman"/>
          <w:lang w:eastAsia="lt-LT" w:bidi="lt-LT"/>
        </w:rPr>
        <w:t>s</w:t>
      </w:r>
      <w:r w:rsidRPr="003744F7">
        <w:rPr>
          <w:rFonts w:ascii="Times New Roman" w:eastAsia="Times New Roman" w:hAnsi="Times New Roman" w:cs="Times New Roman"/>
          <w:lang w:eastAsia="lt-LT" w:bidi="lt-LT"/>
        </w:rPr>
        <w:t xml:space="preserve"> (&lt; 1/10000), nežinomas (negali būti </w:t>
      </w:r>
      <w:r w:rsidR="00AF0750">
        <w:rPr>
          <w:rFonts w:ascii="Times New Roman" w:eastAsia="Times New Roman" w:hAnsi="Times New Roman" w:cs="Times New Roman"/>
          <w:lang w:eastAsia="lt-LT" w:bidi="lt-LT"/>
        </w:rPr>
        <w:t>apskaičiuotas</w:t>
      </w:r>
      <w:r w:rsidRPr="003744F7">
        <w:rPr>
          <w:rFonts w:ascii="Times New Roman" w:eastAsia="Times New Roman" w:hAnsi="Times New Roman" w:cs="Times New Roman"/>
          <w:lang w:eastAsia="lt-LT" w:bidi="lt-LT"/>
        </w:rPr>
        <w:t xml:space="preserve"> pagal turimus duomenis).</w:t>
      </w:r>
    </w:p>
    <w:p w14:paraId="227056CA"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p>
    <w:p w14:paraId="4ABE4159"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Kiekvienoje dažnio grupėje nepageidaujamas poveikis pateikiamas mažėjančio sunkumo tvarka.</w:t>
      </w:r>
    </w:p>
    <w:p w14:paraId="7FDDD57C" w14:textId="77777777" w:rsidR="003744F7" w:rsidRPr="003744F7" w:rsidRDefault="003744F7" w:rsidP="003744F7">
      <w:pPr>
        <w:tabs>
          <w:tab w:val="left" w:pos="567"/>
        </w:tabs>
        <w:autoSpaceDE w:val="0"/>
        <w:autoSpaceDN w:val="0"/>
        <w:adjustRightInd w:val="0"/>
        <w:spacing w:after="0" w:line="240" w:lineRule="auto"/>
        <w:jc w:val="both"/>
        <w:rPr>
          <w:rFonts w:ascii="Times New Roman" w:eastAsia="Times New Roman" w:hAnsi="Times New Roman" w:cs="Times New Roman"/>
          <w:b/>
          <w:lang w:eastAsia="lt-LT" w:bidi="lt-LT"/>
        </w:rPr>
      </w:pPr>
    </w:p>
    <w:p w14:paraId="7C53F44C"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
          <w:bCs/>
          <w:lang w:eastAsia="lt-LT" w:bidi="lt-LT"/>
        </w:rPr>
      </w:pPr>
      <w:r w:rsidRPr="003744F7">
        <w:rPr>
          <w:rFonts w:ascii="Times New Roman" w:eastAsia="Times New Roman" w:hAnsi="Times New Roman" w:cs="Times New Roman"/>
          <w:b/>
          <w:bCs/>
          <w:lang w:eastAsia="lt-LT" w:bidi="lt-LT"/>
        </w:rPr>
        <w:t>1 lentelė. Nepageidaujamos reakcijos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357"/>
        <w:gridCol w:w="5103"/>
      </w:tblGrid>
      <w:tr w:rsidR="003744F7" w:rsidRPr="003744F7" w14:paraId="372A43EA" w14:textId="77777777" w:rsidTr="003F49E5">
        <w:tc>
          <w:tcPr>
            <w:tcW w:w="9101" w:type="dxa"/>
            <w:gridSpan w:val="3"/>
            <w:shd w:val="clear" w:color="auto" w:fill="auto"/>
          </w:tcPr>
          <w:p w14:paraId="3BD00A5C" w14:textId="77777777" w:rsidR="003744F7" w:rsidRPr="003744F7" w:rsidRDefault="003744F7" w:rsidP="003744F7">
            <w:pPr>
              <w:tabs>
                <w:tab w:val="left" w:pos="567"/>
              </w:tabs>
              <w:spacing w:after="0" w:line="240" w:lineRule="auto"/>
              <w:rPr>
                <w:rFonts w:ascii="Times New Roman" w:eastAsia="Times New Roman" w:hAnsi="Times New Roman" w:cs="Times New Roman"/>
                <w:b/>
                <w:lang w:eastAsia="lt-LT" w:bidi="lt-LT"/>
              </w:rPr>
            </w:pPr>
            <w:r w:rsidRPr="003744F7">
              <w:rPr>
                <w:rFonts w:ascii="Times New Roman" w:eastAsia="Times New Roman" w:hAnsi="Times New Roman" w:cs="Times New Roman"/>
                <w:b/>
                <w:bCs/>
                <w:lang w:eastAsia="lt-LT" w:bidi="lt-LT"/>
              </w:rPr>
              <w:t>Nepageidaujamos reakcijos pagal organų sistemų klases ir dažnį</w:t>
            </w:r>
          </w:p>
        </w:tc>
      </w:tr>
      <w:tr w:rsidR="003744F7" w:rsidRPr="003744F7" w14:paraId="46488AA0" w14:textId="77777777" w:rsidTr="003F49E5">
        <w:tc>
          <w:tcPr>
            <w:tcW w:w="2641" w:type="dxa"/>
            <w:shd w:val="clear" w:color="auto" w:fill="auto"/>
          </w:tcPr>
          <w:p w14:paraId="6B7C2F5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Metabolizmo ir mitybos sutrikimai</w:t>
            </w:r>
          </w:p>
        </w:tc>
        <w:tc>
          <w:tcPr>
            <w:tcW w:w="1357" w:type="dxa"/>
            <w:shd w:val="clear" w:color="auto" w:fill="auto"/>
          </w:tcPr>
          <w:p w14:paraId="1630F373" w14:textId="3F10F745"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Labai dažn</w:t>
            </w:r>
            <w:r w:rsidR="00D36B10">
              <w:rPr>
                <w:rFonts w:ascii="Times New Roman" w:eastAsia="Times New Roman" w:hAnsi="Times New Roman" w:cs="Times New Roman"/>
                <w:lang w:eastAsia="lt-LT" w:bidi="lt-LT"/>
              </w:rPr>
              <w:t>as</w:t>
            </w:r>
          </w:p>
        </w:tc>
        <w:tc>
          <w:tcPr>
            <w:tcW w:w="5103" w:type="dxa"/>
            <w:shd w:val="clear" w:color="auto" w:fill="auto"/>
          </w:tcPr>
          <w:p w14:paraId="6EF84A5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Anoreksija, lengva arba vidutinė (BTK 1 ar 2 laipsnio). </w:t>
            </w:r>
          </w:p>
        </w:tc>
      </w:tr>
      <w:tr w:rsidR="003744F7" w:rsidRPr="003744F7" w14:paraId="13D29684" w14:textId="77777777" w:rsidTr="003F49E5">
        <w:tc>
          <w:tcPr>
            <w:tcW w:w="2641" w:type="dxa"/>
            <w:vMerge w:val="restart"/>
            <w:shd w:val="clear" w:color="auto" w:fill="auto"/>
          </w:tcPr>
          <w:p w14:paraId="67FAFDC1"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lastRenderedPageBreak/>
              <w:t>Akių sutrikimai</w:t>
            </w:r>
          </w:p>
        </w:tc>
        <w:tc>
          <w:tcPr>
            <w:tcW w:w="1357" w:type="dxa"/>
            <w:shd w:val="clear" w:color="auto" w:fill="auto"/>
          </w:tcPr>
          <w:p w14:paraId="22E5C8F4" w14:textId="08EAE83D"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Dažn</w:t>
            </w:r>
            <w:r w:rsidR="00D36B10">
              <w:rPr>
                <w:rFonts w:ascii="Times New Roman" w:eastAsia="Times New Roman" w:hAnsi="Times New Roman" w:cs="Times New Roman"/>
                <w:lang w:eastAsia="lt-LT" w:bidi="lt-LT"/>
              </w:rPr>
              <w:t>as</w:t>
            </w:r>
          </w:p>
        </w:tc>
        <w:tc>
          <w:tcPr>
            <w:tcW w:w="5103" w:type="dxa"/>
            <w:shd w:val="clear" w:color="auto" w:fill="auto"/>
          </w:tcPr>
          <w:p w14:paraId="645B0B6F"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Konjunktyvitas, blefaritas, sausa akis *, dažniausiai lengvi (BTK 1 laipsnio).</w:t>
            </w:r>
          </w:p>
        </w:tc>
      </w:tr>
      <w:tr w:rsidR="003744F7" w:rsidRPr="003744F7" w14:paraId="640437BD" w14:textId="77777777" w:rsidTr="003F49E5">
        <w:tc>
          <w:tcPr>
            <w:tcW w:w="2641" w:type="dxa"/>
            <w:vMerge/>
            <w:shd w:val="clear" w:color="auto" w:fill="auto"/>
          </w:tcPr>
          <w:p w14:paraId="10E4FCB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3BC03CF1" w14:textId="36DC1B4A"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Nedažn</w:t>
            </w:r>
            <w:r w:rsidR="00D36B10">
              <w:rPr>
                <w:rFonts w:ascii="Times New Roman" w:eastAsia="Times New Roman" w:hAnsi="Times New Roman" w:cs="Times New Roman"/>
                <w:lang w:eastAsia="lt-LT" w:bidi="lt-LT"/>
              </w:rPr>
              <w:t>as</w:t>
            </w:r>
          </w:p>
        </w:tc>
        <w:tc>
          <w:tcPr>
            <w:tcW w:w="5103" w:type="dxa"/>
            <w:shd w:val="clear" w:color="auto" w:fill="auto"/>
          </w:tcPr>
          <w:p w14:paraId="58EECD6E"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Ragenos erozija (laikina, kartais susijusi su nenormaliu blakstienų augimu).</w:t>
            </w:r>
          </w:p>
          <w:p w14:paraId="5C4BD3A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Keratitas (0,12 %).</w:t>
            </w:r>
          </w:p>
        </w:tc>
      </w:tr>
      <w:tr w:rsidR="003744F7" w:rsidRPr="003744F7" w14:paraId="79B5F1B5" w14:textId="77777777" w:rsidTr="003F49E5">
        <w:tc>
          <w:tcPr>
            <w:tcW w:w="2641" w:type="dxa"/>
            <w:shd w:val="clear" w:color="auto" w:fill="auto"/>
          </w:tcPr>
          <w:p w14:paraId="10DB27BA"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Kraujagyslių sutrikimai</w:t>
            </w:r>
          </w:p>
        </w:tc>
        <w:tc>
          <w:tcPr>
            <w:tcW w:w="1357" w:type="dxa"/>
            <w:shd w:val="clear" w:color="auto" w:fill="auto"/>
          </w:tcPr>
          <w:p w14:paraId="428FCAC9" w14:textId="350FC963"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Dažn</w:t>
            </w:r>
            <w:r w:rsidR="00D36B10">
              <w:rPr>
                <w:rFonts w:ascii="Times New Roman" w:eastAsia="Times New Roman" w:hAnsi="Times New Roman" w:cs="Times New Roman"/>
                <w:lang w:eastAsia="lt-LT" w:bidi="lt-LT"/>
              </w:rPr>
              <w:t>as</w:t>
            </w:r>
          </w:p>
        </w:tc>
        <w:tc>
          <w:tcPr>
            <w:tcW w:w="5103" w:type="dxa"/>
            <w:shd w:val="clear" w:color="auto" w:fill="auto"/>
          </w:tcPr>
          <w:p w14:paraId="21634E0C"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Kraujavimas: epistaksė ir hematurija.</w:t>
            </w:r>
          </w:p>
        </w:tc>
      </w:tr>
      <w:tr w:rsidR="003744F7" w:rsidRPr="003744F7" w14:paraId="5AD6C575" w14:textId="77777777" w:rsidTr="003F49E5">
        <w:tc>
          <w:tcPr>
            <w:tcW w:w="2641" w:type="dxa"/>
            <w:shd w:val="clear" w:color="auto" w:fill="auto"/>
          </w:tcPr>
          <w:p w14:paraId="5406944E"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Kvėpavimo sistemos, krūtinės ląstos ir tarpusienio sutrikimai</w:t>
            </w:r>
          </w:p>
        </w:tc>
        <w:tc>
          <w:tcPr>
            <w:tcW w:w="1357" w:type="dxa"/>
            <w:shd w:val="clear" w:color="auto" w:fill="auto"/>
          </w:tcPr>
          <w:p w14:paraId="1B744F60" w14:textId="39ADBD32"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Dažn</w:t>
            </w:r>
            <w:r w:rsidR="00D36B10">
              <w:rPr>
                <w:rFonts w:ascii="Times New Roman" w:eastAsia="Times New Roman" w:hAnsi="Times New Roman" w:cs="Times New Roman"/>
                <w:lang w:eastAsia="lt-LT" w:bidi="lt-LT"/>
              </w:rPr>
              <w:t>as</w:t>
            </w:r>
          </w:p>
        </w:tc>
        <w:tc>
          <w:tcPr>
            <w:tcW w:w="5103" w:type="dxa"/>
            <w:shd w:val="clear" w:color="auto" w:fill="auto"/>
          </w:tcPr>
          <w:p w14:paraId="5815E3F3"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Intersticinė plaučių liga (1,3 %), dažnai sunki (BTK 3-4 laipsnio), gauta pranešimų ir apie mirties atvejus.</w:t>
            </w:r>
          </w:p>
        </w:tc>
      </w:tr>
      <w:tr w:rsidR="003744F7" w:rsidRPr="003744F7" w14:paraId="6B5FD79F" w14:textId="77777777" w:rsidTr="003F49E5">
        <w:tc>
          <w:tcPr>
            <w:tcW w:w="2641" w:type="dxa"/>
            <w:vMerge w:val="restart"/>
            <w:shd w:val="clear" w:color="auto" w:fill="auto"/>
          </w:tcPr>
          <w:p w14:paraId="7C61EDB8"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Virškinimo trakto sutrikimai</w:t>
            </w:r>
          </w:p>
        </w:tc>
        <w:tc>
          <w:tcPr>
            <w:tcW w:w="1357" w:type="dxa"/>
            <w:shd w:val="clear" w:color="auto" w:fill="auto"/>
          </w:tcPr>
          <w:p w14:paraId="53E9B257" w14:textId="59400606"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Labai dažn</w:t>
            </w:r>
            <w:r w:rsidR="00D36B10">
              <w:rPr>
                <w:rFonts w:ascii="Times New Roman" w:eastAsia="Times New Roman" w:hAnsi="Times New Roman" w:cs="Times New Roman"/>
                <w:lang w:eastAsia="lt-LT" w:bidi="lt-LT"/>
              </w:rPr>
              <w:t>as</w:t>
            </w:r>
          </w:p>
        </w:tc>
        <w:tc>
          <w:tcPr>
            <w:tcW w:w="5103" w:type="dxa"/>
            <w:shd w:val="clear" w:color="auto" w:fill="auto"/>
          </w:tcPr>
          <w:p w14:paraId="476B8F3E"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Viduriavimas, dažniausiai lengvas arba vidutinis (BTK 1 ar 2 laipsnio).</w:t>
            </w:r>
          </w:p>
          <w:p w14:paraId="04631CFC"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Vėmimas, dažniausiai lengvas arba vidutinis (BTK 1 ar 2 laipsnio).</w:t>
            </w:r>
          </w:p>
          <w:p w14:paraId="695BB2C1"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hAnsi="Times New Roman" w:cs="Times New Roman"/>
              </w:rPr>
              <w:t>Pykinimas, dažniausiai lengvas (BTK 1 laipsnio).</w:t>
            </w:r>
          </w:p>
          <w:p w14:paraId="7DE593B1"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hAnsi="Times New Roman" w:cs="Times New Roman"/>
              </w:rPr>
              <w:t>Stomatitas, dažniausiai lengvas (BTK 1 laipsnio).</w:t>
            </w:r>
          </w:p>
        </w:tc>
      </w:tr>
      <w:tr w:rsidR="003744F7" w:rsidRPr="003744F7" w14:paraId="5B8C6852" w14:textId="77777777" w:rsidTr="003F49E5">
        <w:tc>
          <w:tcPr>
            <w:tcW w:w="2641" w:type="dxa"/>
            <w:vMerge/>
            <w:shd w:val="clear" w:color="auto" w:fill="auto"/>
          </w:tcPr>
          <w:p w14:paraId="56DFE55F"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666F5C07" w14:textId="0833EC60"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Dažn</w:t>
            </w:r>
            <w:r w:rsidR="00D36B10">
              <w:rPr>
                <w:rFonts w:ascii="Times New Roman" w:eastAsia="Times New Roman" w:hAnsi="Times New Roman" w:cs="Times New Roman"/>
                <w:lang w:eastAsia="lt-LT" w:bidi="lt-LT"/>
              </w:rPr>
              <w:t>as</w:t>
            </w:r>
          </w:p>
        </w:tc>
        <w:tc>
          <w:tcPr>
            <w:tcW w:w="5103" w:type="dxa"/>
            <w:shd w:val="clear" w:color="auto" w:fill="auto"/>
          </w:tcPr>
          <w:p w14:paraId="592A75AC"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Dehidracija dėl viduriavimo, pykinimo, vėmimo arba anoreksijos.</w:t>
            </w:r>
          </w:p>
          <w:p w14:paraId="4CF12E5C"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Burnos sausumas *, dažniausiai lengvas (BTK 1 laipsnio).</w:t>
            </w:r>
          </w:p>
        </w:tc>
      </w:tr>
      <w:tr w:rsidR="003744F7" w:rsidRPr="003744F7" w14:paraId="36AC543A" w14:textId="77777777" w:rsidTr="003F49E5">
        <w:tc>
          <w:tcPr>
            <w:tcW w:w="2641" w:type="dxa"/>
            <w:vMerge/>
            <w:shd w:val="clear" w:color="auto" w:fill="auto"/>
          </w:tcPr>
          <w:p w14:paraId="348AF70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52333D80" w14:textId="4AFFCA55"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Nedažn</w:t>
            </w:r>
            <w:r w:rsidR="00D36B10">
              <w:rPr>
                <w:rFonts w:ascii="Times New Roman" w:eastAsia="Times New Roman" w:hAnsi="Times New Roman" w:cs="Times New Roman"/>
                <w:lang w:eastAsia="lt-LT" w:bidi="lt-LT"/>
              </w:rPr>
              <w:t>as</w:t>
            </w:r>
          </w:p>
        </w:tc>
        <w:tc>
          <w:tcPr>
            <w:tcW w:w="5103" w:type="dxa"/>
            <w:shd w:val="clear" w:color="auto" w:fill="auto"/>
          </w:tcPr>
          <w:p w14:paraId="12CB4AA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Pankreatitas.</w:t>
            </w:r>
          </w:p>
          <w:p w14:paraId="1BFC3C91"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Virškinimo trakto perforacija.</w:t>
            </w:r>
          </w:p>
        </w:tc>
      </w:tr>
      <w:tr w:rsidR="003744F7" w:rsidRPr="003744F7" w14:paraId="115A3DF4" w14:textId="77777777" w:rsidTr="003F49E5">
        <w:tc>
          <w:tcPr>
            <w:tcW w:w="2641" w:type="dxa"/>
            <w:vMerge w:val="restart"/>
            <w:shd w:val="clear" w:color="auto" w:fill="auto"/>
          </w:tcPr>
          <w:p w14:paraId="0C280ED7"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Kepenų ir tulžies sistemos sutrikimai</w:t>
            </w:r>
          </w:p>
        </w:tc>
        <w:tc>
          <w:tcPr>
            <w:tcW w:w="1357" w:type="dxa"/>
            <w:shd w:val="clear" w:color="auto" w:fill="auto"/>
          </w:tcPr>
          <w:p w14:paraId="77CDF271" w14:textId="52020634"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Labai dažn</w:t>
            </w:r>
            <w:r w:rsidR="00D36B10">
              <w:rPr>
                <w:rFonts w:ascii="Times New Roman" w:eastAsia="Times New Roman" w:hAnsi="Times New Roman" w:cs="Times New Roman"/>
                <w:lang w:eastAsia="lt-LT" w:bidi="lt-LT"/>
              </w:rPr>
              <w:t>as</w:t>
            </w:r>
          </w:p>
        </w:tc>
        <w:tc>
          <w:tcPr>
            <w:tcW w:w="5103" w:type="dxa"/>
            <w:shd w:val="clear" w:color="auto" w:fill="auto"/>
          </w:tcPr>
          <w:p w14:paraId="32DADCED"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Alaninaminotransferazės aktyvumo padidėjimas, dažniausiai lengvo arba vidutinio laipsnio.</w:t>
            </w:r>
          </w:p>
        </w:tc>
      </w:tr>
      <w:tr w:rsidR="003744F7" w:rsidRPr="003744F7" w14:paraId="2D74D72A" w14:textId="77777777" w:rsidTr="003F49E5">
        <w:tc>
          <w:tcPr>
            <w:tcW w:w="2641" w:type="dxa"/>
            <w:vMerge/>
            <w:shd w:val="clear" w:color="auto" w:fill="auto"/>
          </w:tcPr>
          <w:p w14:paraId="4E07628D"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0C5C9BCF" w14:textId="32B4E53D"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Dažn</w:t>
            </w:r>
            <w:r w:rsidR="00D36B10">
              <w:rPr>
                <w:rFonts w:ascii="Times New Roman" w:eastAsia="Times New Roman" w:hAnsi="Times New Roman" w:cs="Times New Roman"/>
                <w:lang w:eastAsia="lt-LT" w:bidi="lt-LT"/>
              </w:rPr>
              <w:t>as</w:t>
            </w:r>
          </w:p>
        </w:tc>
        <w:tc>
          <w:tcPr>
            <w:tcW w:w="5103" w:type="dxa"/>
            <w:shd w:val="clear" w:color="auto" w:fill="auto"/>
          </w:tcPr>
          <w:p w14:paraId="57D20CD8"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Aspartataminotransferazės aktyvumo padidėjimas, dažniausiai lengvo arba vidutinio laipsnio.</w:t>
            </w:r>
          </w:p>
          <w:p w14:paraId="3043A099"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Bendro bilirubino koncentracijos padidėjimas, dažniausiai lengvo arba vidutinio laipsnio.</w:t>
            </w:r>
          </w:p>
        </w:tc>
      </w:tr>
      <w:tr w:rsidR="003744F7" w:rsidRPr="003744F7" w14:paraId="6B0B22CC" w14:textId="77777777" w:rsidTr="003F49E5">
        <w:tc>
          <w:tcPr>
            <w:tcW w:w="2641" w:type="dxa"/>
            <w:vMerge/>
            <w:shd w:val="clear" w:color="auto" w:fill="auto"/>
          </w:tcPr>
          <w:p w14:paraId="766F27F8"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215D3A66" w14:textId="60CB21A9"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Nedažn</w:t>
            </w:r>
            <w:r w:rsidR="00D36B10">
              <w:rPr>
                <w:rFonts w:ascii="Times New Roman" w:eastAsia="Times New Roman" w:hAnsi="Times New Roman" w:cs="Times New Roman"/>
                <w:lang w:eastAsia="lt-LT" w:bidi="lt-LT"/>
              </w:rPr>
              <w:t>as</w:t>
            </w:r>
          </w:p>
        </w:tc>
        <w:tc>
          <w:tcPr>
            <w:tcW w:w="5103" w:type="dxa"/>
            <w:shd w:val="clear" w:color="auto" w:fill="auto"/>
          </w:tcPr>
          <w:p w14:paraId="109624B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Hepatitas **</w:t>
            </w:r>
          </w:p>
        </w:tc>
      </w:tr>
      <w:tr w:rsidR="003744F7" w:rsidRPr="003744F7" w14:paraId="77E70F1B" w14:textId="77777777" w:rsidTr="003F49E5">
        <w:tc>
          <w:tcPr>
            <w:tcW w:w="2641" w:type="dxa"/>
            <w:vMerge w:val="restart"/>
            <w:shd w:val="clear" w:color="auto" w:fill="auto"/>
          </w:tcPr>
          <w:p w14:paraId="2542CD4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Odos ir poodinio audinio sutrikimai</w:t>
            </w:r>
          </w:p>
        </w:tc>
        <w:tc>
          <w:tcPr>
            <w:tcW w:w="1357" w:type="dxa"/>
            <w:shd w:val="clear" w:color="auto" w:fill="auto"/>
          </w:tcPr>
          <w:p w14:paraId="0ECA805A" w14:textId="6BD73BB1"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Labai dažn</w:t>
            </w:r>
            <w:r w:rsidR="00D36B10">
              <w:rPr>
                <w:rFonts w:ascii="Times New Roman" w:eastAsia="Times New Roman" w:hAnsi="Times New Roman" w:cs="Times New Roman"/>
                <w:lang w:eastAsia="lt-LT" w:bidi="lt-LT"/>
              </w:rPr>
              <w:t>as</w:t>
            </w:r>
          </w:p>
        </w:tc>
        <w:tc>
          <w:tcPr>
            <w:tcW w:w="5103" w:type="dxa"/>
            <w:shd w:val="clear" w:color="auto" w:fill="auto"/>
          </w:tcPr>
          <w:p w14:paraId="09AAC8D3"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Odos reakcijos, dažniausiai lengvos arba vidutinės (BTK 1 ar 2 laipsnio): išbėrimas pūlinėliais, kartais niežtinčiais, esant sausai odai, įskaitant odos plyšius, su eriteminiu pagrindu.</w:t>
            </w:r>
          </w:p>
        </w:tc>
      </w:tr>
      <w:tr w:rsidR="003744F7" w:rsidRPr="003744F7" w14:paraId="7B072F78" w14:textId="77777777" w:rsidTr="003F49E5">
        <w:tc>
          <w:tcPr>
            <w:tcW w:w="2641" w:type="dxa"/>
            <w:vMerge/>
            <w:shd w:val="clear" w:color="auto" w:fill="auto"/>
          </w:tcPr>
          <w:p w14:paraId="763B7172"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617C1F51" w14:textId="3B19D356"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Dažn</w:t>
            </w:r>
            <w:r w:rsidR="00D36B10">
              <w:rPr>
                <w:rFonts w:ascii="Times New Roman" w:eastAsia="Times New Roman" w:hAnsi="Times New Roman" w:cs="Times New Roman"/>
                <w:lang w:eastAsia="lt-LT" w:bidi="lt-LT"/>
              </w:rPr>
              <w:t>as</w:t>
            </w:r>
          </w:p>
        </w:tc>
        <w:tc>
          <w:tcPr>
            <w:tcW w:w="5103" w:type="dxa"/>
            <w:shd w:val="clear" w:color="auto" w:fill="auto"/>
          </w:tcPr>
          <w:p w14:paraId="71CA5ED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Nagų sutrikimai.</w:t>
            </w:r>
          </w:p>
          <w:p w14:paraId="7BA50D9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Alopecija.</w:t>
            </w:r>
          </w:p>
          <w:p w14:paraId="0607F9CF"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Alerginės reakcijos (1,1 %), įskaitant angioedemą ir dilgėlinę.</w:t>
            </w:r>
          </w:p>
        </w:tc>
      </w:tr>
      <w:tr w:rsidR="000C39B0" w:rsidRPr="003744F7" w14:paraId="025124A1" w14:textId="77777777" w:rsidTr="003F49E5">
        <w:tc>
          <w:tcPr>
            <w:tcW w:w="2641" w:type="dxa"/>
            <w:vMerge/>
            <w:shd w:val="clear" w:color="auto" w:fill="auto"/>
          </w:tcPr>
          <w:p w14:paraId="5A0CF7E7" w14:textId="77777777" w:rsidR="000C39B0" w:rsidRPr="003744F7" w:rsidRDefault="000C39B0"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3E8F44F7" w14:textId="68CD6295" w:rsidR="000C39B0" w:rsidRPr="003744F7" w:rsidRDefault="000C39B0" w:rsidP="003744F7">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Nedažn</w:t>
            </w:r>
            <w:r w:rsidR="00D36B10">
              <w:rPr>
                <w:rFonts w:ascii="Times New Roman" w:eastAsia="Times New Roman" w:hAnsi="Times New Roman" w:cs="Times New Roman"/>
                <w:lang w:eastAsia="lt-LT" w:bidi="lt-LT"/>
              </w:rPr>
              <w:t>as</w:t>
            </w:r>
          </w:p>
        </w:tc>
        <w:tc>
          <w:tcPr>
            <w:tcW w:w="5103" w:type="dxa"/>
            <w:shd w:val="clear" w:color="auto" w:fill="auto"/>
          </w:tcPr>
          <w:p w14:paraId="19558EBA" w14:textId="170DDF04" w:rsidR="000C39B0" w:rsidRPr="003744F7" w:rsidRDefault="000C39B0" w:rsidP="003744F7">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P</w:t>
            </w:r>
            <w:r w:rsidRPr="000C39B0">
              <w:rPr>
                <w:rFonts w:ascii="Times New Roman" w:eastAsia="Times New Roman" w:hAnsi="Times New Roman" w:cs="Times New Roman"/>
                <w:lang w:eastAsia="lt-LT" w:bidi="lt-LT"/>
              </w:rPr>
              <w:t>laštakų ir pėdų eritrodizestezijos sindromas</w:t>
            </w:r>
          </w:p>
        </w:tc>
      </w:tr>
      <w:tr w:rsidR="003744F7" w:rsidRPr="003744F7" w14:paraId="51513053" w14:textId="77777777" w:rsidTr="003F49E5">
        <w:tc>
          <w:tcPr>
            <w:tcW w:w="2641" w:type="dxa"/>
            <w:vMerge/>
            <w:shd w:val="clear" w:color="auto" w:fill="auto"/>
          </w:tcPr>
          <w:p w14:paraId="5DB5146A"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06DD103C" w14:textId="2A4BCDE4"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Ret</w:t>
            </w:r>
            <w:r w:rsidR="00D36B10">
              <w:rPr>
                <w:rFonts w:ascii="Times New Roman" w:eastAsia="Times New Roman" w:hAnsi="Times New Roman" w:cs="Times New Roman"/>
                <w:lang w:eastAsia="lt-LT" w:bidi="lt-LT"/>
              </w:rPr>
              <w:t>as</w:t>
            </w:r>
          </w:p>
        </w:tc>
        <w:tc>
          <w:tcPr>
            <w:tcW w:w="5103" w:type="dxa"/>
            <w:shd w:val="clear" w:color="auto" w:fill="auto"/>
          </w:tcPr>
          <w:p w14:paraId="69C48C9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Pūslinės būklės: toksinė epidermio nekrolizė, </w:t>
            </w:r>
            <w:r w:rsidRPr="003744F7">
              <w:rPr>
                <w:rFonts w:ascii="Times New Roman" w:eastAsia="Times New Roman" w:hAnsi="Times New Roman" w:cs="Times New Roman"/>
                <w:i/>
                <w:iCs/>
                <w:lang w:eastAsia="lt-LT" w:bidi="lt-LT"/>
              </w:rPr>
              <w:t xml:space="preserve">Stevens-Johnson </w:t>
            </w:r>
            <w:r w:rsidRPr="003744F7">
              <w:rPr>
                <w:rFonts w:ascii="Times New Roman" w:eastAsia="Times New Roman" w:hAnsi="Times New Roman" w:cs="Times New Roman"/>
                <w:lang w:eastAsia="lt-LT" w:bidi="lt-LT"/>
              </w:rPr>
              <w:t>sindromas ir daugiaformė eritema.</w:t>
            </w:r>
          </w:p>
          <w:p w14:paraId="34523893"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Odos vaskulitas.</w:t>
            </w:r>
          </w:p>
        </w:tc>
      </w:tr>
      <w:tr w:rsidR="003744F7" w:rsidRPr="003744F7" w14:paraId="09D4ACEC" w14:textId="77777777" w:rsidTr="003F49E5">
        <w:tc>
          <w:tcPr>
            <w:tcW w:w="2641" w:type="dxa"/>
            <w:vMerge w:val="restart"/>
            <w:shd w:val="clear" w:color="auto" w:fill="auto"/>
          </w:tcPr>
          <w:p w14:paraId="32B7C09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Inkstų ir šlapimo takų sutrikimai</w:t>
            </w:r>
          </w:p>
        </w:tc>
        <w:tc>
          <w:tcPr>
            <w:tcW w:w="1357" w:type="dxa"/>
            <w:shd w:val="clear" w:color="auto" w:fill="auto"/>
          </w:tcPr>
          <w:p w14:paraId="4E640B90" w14:textId="39265C8D"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Dažn</w:t>
            </w:r>
            <w:r w:rsidR="00D36B10">
              <w:rPr>
                <w:rFonts w:ascii="Times New Roman" w:eastAsia="Times New Roman" w:hAnsi="Times New Roman" w:cs="Times New Roman"/>
                <w:lang w:eastAsia="lt-LT" w:bidi="lt-LT"/>
              </w:rPr>
              <w:t>as</w:t>
            </w:r>
          </w:p>
        </w:tc>
        <w:tc>
          <w:tcPr>
            <w:tcW w:w="5103" w:type="dxa"/>
            <w:shd w:val="clear" w:color="auto" w:fill="auto"/>
          </w:tcPr>
          <w:p w14:paraId="6F1C81AE"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Nesimptominis laboratorinis kreatinino koncentracijos kraujyje padidėjimas.</w:t>
            </w:r>
          </w:p>
          <w:p w14:paraId="33A7DF68"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Proteinurija.</w:t>
            </w:r>
          </w:p>
          <w:p w14:paraId="4A326189"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Cistitas.</w:t>
            </w:r>
          </w:p>
        </w:tc>
      </w:tr>
      <w:tr w:rsidR="003744F7" w:rsidRPr="003744F7" w14:paraId="663B3F89" w14:textId="77777777" w:rsidTr="003F49E5">
        <w:tc>
          <w:tcPr>
            <w:tcW w:w="2641" w:type="dxa"/>
            <w:vMerge/>
            <w:shd w:val="clear" w:color="auto" w:fill="auto"/>
          </w:tcPr>
          <w:p w14:paraId="3EFA9FA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2FCB427A" w14:textId="0FB953F5"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Ret</w:t>
            </w:r>
            <w:r w:rsidR="00D36B10">
              <w:rPr>
                <w:rFonts w:ascii="Times New Roman" w:eastAsia="Times New Roman" w:hAnsi="Times New Roman" w:cs="Times New Roman"/>
                <w:lang w:eastAsia="lt-LT" w:bidi="lt-LT"/>
              </w:rPr>
              <w:t>as</w:t>
            </w:r>
          </w:p>
        </w:tc>
        <w:tc>
          <w:tcPr>
            <w:tcW w:w="5103" w:type="dxa"/>
            <w:shd w:val="clear" w:color="auto" w:fill="auto"/>
          </w:tcPr>
          <w:p w14:paraId="23C20B61"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Hemoraginis cistitas.</w:t>
            </w:r>
          </w:p>
        </w:tc>
      </w:tr>
      <w:tr w:rsidR="003744F7" w:rsidRPr="003744F7" w14:paraId="382197FF" w14:textId="77777777" w:rsidTr="003F49E5">
        <w:tc>
          <w:tcPr>
            <w:tcW w:w="2641" w:type="dxa"/>
            <w:vMerge w:val="restart"/>
            <w:shd w:val="clear" w:color="auto" w:fill="auto"/>
          </w:tcPr>
          <w:p w14:paraId="0A01468F"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Bendrieji sutrikimai ir vartojimo vietos pažeidimai</w:t>
            </w:r>
          </w:p>
        </w:tc>
        <w:tc>
          <w:tcPr>
            <w:tcW w:w="1357" w:type="dxa"/>
            <w:shd w:val="clear" w:color="auto" w:fill="auto"/>
          </w:tcPr>
          <w:p w14:paraId="6DFCA2FB" w14:textId="53D6A376"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Labai dažn</w:t>
            </w:r>
            <w:r w:rsidR="00D36B10">
              <w:rPr>
                <w:rFonts w:ascii="Times New Roman" w:eastAsia="Times New Roman" w:hAnsi="Times New Roman" w:cs="Times New Roman"/>
                <w:lang w:eastAsia="lt-LT" w:bidi="lt-LT"/>
              </w:rPr>
              <w:t>as</w:t>
            </w:r>
          </w:p>
        </w:tc>
        <w:tc>
          <w:tcPr>
            <w:tcW w:w="5103" w:type="dxa"/>
            <w:shd w:val="clear" w:color="auto" w:fill="auto"/>
          </w:tcPr>
          <w:p w14:paraId="1005588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Astenija, dažniausiai lengva (BTK 1 laipsnio).</w:t>
            </w:r>
          </w:p>
        </w:tc>
      </w:tr>
      <w:tr w:rsidR="003744F7" w:rsidRPr="003744F7" w14:paraId="00723973" w14:textId="77777777" w:rsidTr="003F49E5">
        <w:tc>
          <w:tcPr>
            <w:tcW w:w="2641" w:type="dxa"/>
            <w:vMerge/>
            <w:shd w:val="clear" w:color="auto" w:fill="auto"/>
          </w:tcPr>
          <w:p w14:paraId="7BD0D58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tc>
        <w:tc>
          <w:tcPr>
            <w:tcW w:w="1357" w:type="dxa"/>
            <w:shd w:val="clear" w:color="auto" w:fill="auto"/>
          </w:tcPr>
          <w:p w14:paraId="159C3EE3" w14:textId="6C49CE51"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Dažn</w:t>
            </w:r>
            <w:r w:rsidR="00D36B10">
              <w:rPr>
                <w:rFonts w:ascii="Times New Roman" w:eastAsia="Times New Roman" w:hAnsi="Times New Roman" w:cs="Times New Roman"/>
                <w:lang w:eastAsia="lt-LT" w:bidi="lt-LT"/>
              </w:rPr>
              <w:t>as</w:t>
            </w:r>
          </w:p>
        </w:tc>
        <w:tc>
          <w:tcPr>
            <w:tcW w:w="5103" w:type="dxa"/>
            <w:shd w:val="clear" w:color="auto" w:fill="auto"/>
          </w:tcPr>
          <w:p w14:paraId="26254FC7"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Karščiavimas.</w:t>
            </w:r>
          </w:p>
        </w:tc>
      </w:tr>
    </w:tbl>
    <w:p w14:paraId="39128E13"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sz w:val="20"/>
          <w:szCs w:val="20"/>
          <w:lang w:eastAsia="lt-LT" w:bidi="lt-LT"/>
        </w:rPr>
      </w:pPr>
      <w:r w:rsidRPr="003744F7">
        <w:rPr>
          <w:rFonts w:ascii="Times New Roman" w:eastAsia="Times New Roman" w:hAnsi="Times New Roman" w:cs="Times New Roman"/>
          <w:bCs/>
          <w:sz w:val="20"/>
          <w:szCs w:val="20"/>
          <w:lang w:eastAsia="lt-LT" w:bidi="lt-LT"/>
        </w:rPr>
        <w:t>Į apskaičiuotą su laboratorinėmis anomalijomis susijusių nepageidaujamų reakcijų į vaistą dažnį įtraukti atvejai, kai atitinkami laboratoriniai rodikliai, palyginus su buvusiais iki gydymo, pablogėjo bent 2 BTK laipsniais.</w:t>
      </w:r>
    </w:p>
    <w:p w14:paraId="17E14992"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sz w:val="20"/>
          <w:szCs w:val="20"/>
          <w:lang w:eastAsia="lt-LT" w:bidi="lt-LT"/>
        </w:rPr>
      </w:pPr>
      <w:r w:rsidRPr="003744F7">
        <w:rPr>
          <w:rFonts w:ascii="Times New Roman" w:eastAsia="Times New Roman" w:hAnsi="Times New Roman" w:cs="Times New Roman"/>
          <w:bCs/>
          <w:sz w:val="20"/>
          <w:szCs w:val="20"/>
          <w:lang w:eastAsia="lt-LT" w:bidi="lt-LT"/>
        </w:rPr>
        <w:t>* Ši nepageidaujama reakcija gali pasireikšti kartu su kitomis sausmės būklėmis (ypač odos reakcijomis), pastebėtomis vartojant gefitinibą.</w:t>
      </w:r>
    </w:p>
    <w:p w14:paraId="38D01CBD"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sz w:val="20"/>
          <w:szCs w:val="20"/>
          <w:lang w:eastAsia="lt-LT" w:bidi="lt-LT"/>
        </w:rPr>
      </w:pPr>
      <w:r w:rsidRPr="003744F7">
        <w:rPr>
          <w:rFonts w:ascii="Times New Roman" w:eastAsia="Times New Roman" w:hAnsi="Times New Roman" w:cs="Times New Roman"/>
          <w:bCs/>
          <w:sz w:val="20"/>
          <w:szCs w:val="20"/>
          <w:lang w:eastAsia="lt-LT" w:bidi="lt-LT"/>
        </w:rPr>
        <w:t>** Įskaitant pavienius pranešimus apie kepenų nepakankamumą, kuris kai kuriais atvejais nulėmė mirtį.</w:t>
      </w:r>
    </w:p>
    <w:p w14:paraId="22EB4911"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sz w:val="20"/>
          <w:szCs w:val="20"/>
          <w:lang w:eastAsia="lt-LT" w:bidi="lt-LT"/>
        </w:rPr>
      </w:pPr>
    </w:p>
    <w:p w14:paraId="375ED2D0"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i/>
          <w:iCs/>
          <w:lang w:eastAsia="lt-LT" w:bidi="lt-LT"/>
        </w:rPr>
      </w:pPr>
      <w:r w:rsidRPr="003744F7">
        <w:rPr>
          <w:rFonts w:ascii="Times New Roman" w:eastAsia="Times New Roman" w:hAnsi="Times New Roman" w:cs="Times New Roman"/>
          <w:bCs/>
          <w:i/>
          <w:iCs/>
          <w:lang w:eastAsia="lt-LT" w:bidi="lt-LT"/>
        </w:rPr>
        <w:t>Intersticinė plaučių liga (angl. Interstitial lung disease, ILD)</w:t>
      </w:r>
    </w:p>
    <w:p w14:paraId="4BCA53E6"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lang w:eastAsia="lt-LT" w:bidi="lt-LT"/>
        </w:rPr>
      </w:pPr>
      <w:r w:rsidRPr="003744F7">
        <w:rPr>
          <w:rFonts w:ascii="Times New Roman" w:eastAsia="Times New Roman" w:hAnsi="Times New Roman" w:cs="Times New Roman"/>
          <w:bCs/>
          <w:lang w:eastAsia="lt-LT" w:bidi="lt-LT"/>
        </w:rPr>
        <w:t>INTEREST tyrimo metu ILD tipo reiškinių patyrė 1,4 % (10) gefitinibo grupės ir 1,1 % (8) docetakselio grupės pacientų. Vienu atveju IPL tipo reiškinys baigėsi mirtimi (mirė gefitinibą vartojęs pacientas).</w:t>
      </w:r>
    </w:p>
    <w:p w14:paraId="2C016C55"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lang w:eastAsia="lt-LT" w:bidi="lt-LT"/>
        </w:rPr>
      </w:pPr>
    </w:p>
    <w:p w14:paraId="4DA5C12F"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lang w:eastAsia="lt-LT" w:bidi="lt-LT"/>
        </w:rPr>
      </w:pPr>
      <w:r w:rsidRPr="003744F7">
        <w:rPr>
          <w:rFonts w:ascii="Times New Roman" w:eastAsia="Times New Roman" w:hAnsi="Times New Roman" w:cs="Times New Roman"/>
          <w:bCs/>
          <w:lang w:eastAsia="lt-LT" w:bidi="lt-LT"/>
        </w:rPr>
        <w:t>ISEL tyrimo metu intersticinės plaučių ligos tipo reiškinių dažnis bendroje populiacijoje buvo maždaug po 1 % abejose gydymo grupėse. Dauguma atvejų intersticinės plaučių ligos tipo reiškinių užfiksuota Azijos rasės pacientams, jų dažnis Azijos rasės pacientams vartojant gefitinibą buvo 3 %, vartojant ir placebą – 4 %. Vienu atveju intersticinės plaučių ligos tipo reiškinys baigėsi mirtimi (mirė placebą vartojęs pacientas).</w:t>
      </w:r>
    </w:p>
    <w:p w14:paraId="6AF10CC7"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lang w:eastAsia="lt-LT" w:bidi="lt-LT"/>
        </w:rPr>
      </w:pPr>
    </w:p>
    <w:p w14:paraId="3C840CEE"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lang w:eastAsia="lt-LT" w:bidi="lt-LT"/>
        </w:rPr>
      </w:pPr>
      <w:r w:rsidRPr="003744F7">
        <w:rPr>
          <w:rFonts w:ascii="Times New Roman" w:eastAsia="Times New Roman" w:hAnsi="Times New Roman" w:cs="Times New Roman"/>
          <w:bCs/>
          <w:lang w:eastAsia="lt-LT" w:bidi="lt-LT"/>
        </w:rPr>
        <w:t>Japonijoje atlikto poregistracinio stebėjimo tyrimo, kuriame dalyvavo 3350 pacientai, metu gauta pranešimų apie 5,8 % gefitinibą vartojusių pacientų pasireiškusius intersticinės plaučių ligos tipo reiškinius. 38,6 % intersticinės plaučių ligos tipo reiškinių baigėsi mirtimi.</w:t>
      </w:r>
    </w:p>
    <w:p w14:paraId="30F0C9D3"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lang w:eastAsia="lt-LT" w:bidi="lt-LT"/>
        </w:rPr>
      </w:pPr>
    </w:p>
    <w:p w14:paraId="207B6272"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Cs/>
          <w:lang w:eastAsia="lt-LT" w:bidi="lt-LT"/>
        </w:rPr>
      </w:pPr>
      <w:r w:rsidRPr="003744F7">
        <w:rPr>
          <w:rFonts w:ascii="Times New Roman" w:eastAsia="Times New Roman" w:hAnsi="Times New Roman" w:cs="Times New Roman"/>
          <w:bCs/>
          <w:lang w:eastAsia="lt-LT" w:bidi="lt-LT"/>
        </w:rPr>
        <w:t>Azijoje atlikto III fazės atviro klinikinio tyrimo (IPASS) metu lyginant gefitinibo ir chemoterapijos dviem vaistiniais preparatais (karboplatinos ir paklitakselio deriniu) poveikį atrinktų 1217 pacientų, sergančių progresavusiu nesmulkiųjų ląstelių plaučių vėžiu, pirmo pasirinkimo gydymui, intersticinės plaučių ligos tipo reiškinių dažnis gefitinibo grupėje buvo 2,6 %, o karboplatinos ir paklitakselio derinio grupėje – 1,4 %.</w:t>
      </w:r>
    </w:p>
    <w:p w14:paraId="387C6B22"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b/>
          <w:bCs/>
          <w:lang w:eastAsia="lt-LT" w:bidi="lt-LT"/>
        </w:rPr>
      </w:pPr>
    </w:p>
    <w:p w14:paraId="1826C847" w14:textId="77777777" w:rsidR="003744F7" w:rsidRPr="00AF0750" w:rsidRDefault="003744F7" w:rsidP="003744F7">
      <w:pPr>
        <w:tabs>
          <w:tab w:val="left" w:pos="567"/>
        </w:tabs>
        <w:autoSpaceDE w:val="0"/>
        <w:autoSpaceDN w:val="0"/>
        <w:snapToGrid w:val="0"/>
        <w:spacing w:after="0" w:line="260" w:lineRule="exact"/>
        <w:jc w:val="both"/>
        <w:rPr>
          <w:rFonts w:ascii="Times New Roman" w:eastAsia="Calibri" w:hAnsi="Times New Roman" w:cs="Times New Roman"/>
          <w:u w:val="single"/>
          <w:lang w:eastAsia="lt-LT" w:bidi="lt-LT"/>
        </w:rPr>
      </w:pPr>
      <w:r w:rsidRPr="00AF0750">
        <w:rPr>
          <w:rFonts w:ascii="Times New Roman" w:eastAsia="Calibri" w:hAnsi="Times New Roman" w:cs="Times New Roman"/>
          <w:u w:val="single"/>
          <w:lang w:eastAsia="lt-LT" w:bidi="lt-LT"/>
        </w:rPr>
        <w:t>Pranešimas apie įtariamas nepageidaujamas reakcijas</w:t>
      </w:r>
    </w:p>
    <w:p w14:paraId="22DE05DD" w14:textId="4B907617" w:rsidR="003744F7" w:rsidRPr="00AF0750" w:rsidRDefault="003744F7" w:rsidP="003744F7">
      <w:pPr>
        <w:tabs>
          <w:tab w:val="left" w:pos="567"/>
        </w:tabs>
        <w:spacing w:after="0" w:line="240" w:lineRule="auto"/>
        <w:rPr>
          <w:rFonts w:ascii="Times New Roman" w:eastAsia="Calibri" w:hAnsi="Times New Roman" w:cs="Times New Roman"/>
          <w:lang w:eastAsia="lt-LT" w:bidi="lt-LT"/>
        </w:rPr>
      </w:pPr>
      <w:r w:rsidRPr="00D61050">
        <w:rPr>
          <w:rFonts w:ascii="Times New Roman" w:eastAsia="Calibri" w:hAnsi="Times New Roman" w:cs="Times New Roman"/>
          <w:lang w:eastAsia="lt-LT" w:bidi="lt-LT"/>
        </w:rPr>
        <w:t xml:space="preserve">Svarbu pranešti apie įtariamas nepageidaujamas reakcijas, pastebėtas po vaistinio preparato registracijos, nes tai leidžia nuolat stebėti vaistinio preparato naudos ir rizikos santykį. Sveikatos priežiūros </w:t>
      </w:r>
      <w:r w:rsidR="00AF0750" w:rsidRPr="00AF0750">
        <w:rPr>
          <w:rFonts w:ascii="Times New Roman" w:eastAsia="Calibri" w:hAnsi="Times New Roman" w:cs="Times New Roman"/>
          <w:lang w:eastAsia="lt-LT" w:bidi="lt-LT"/>
        </w:rPr>
        <w:t xml:space="preserve">ar farmacijos </w:t>
      </w:r>
      <w:r w:rsidRPr="00AF0750">
        <w:rPr>
          <w:rFonts w:ascii="Times New Roman" w:eastAsia="Calibri" w:hAnsi="Times New Roman" w:cs="Times New Roman"/>
          <w:lang w:eastAsia="lt-LT" w:bidi="lt-LT"/>
        </w:rPr>
        <w:t xml:space="preserve">specialistai turi pranešti apie bet kokias įtariamas nepageidaujamas reakcijas, </w:t>
      </w:r>
      <w:r w:rsidR="00AF0750" w:rsidRPr="00AF0750">
        <w:rPr>
          <w:rFonts w:ascii="Times New Roman" w:eastAsia="Calibri" w:hAnsi="Times New Roman" w:cs="Times New Roman"/>
          <w:lang w:eastAsia="lt-LT" w:bidi="lt-LT"/>
        </w:rPr>
        <w:t xml:space="preserve">tiesiogiai </w:t>
      </w:r>
      <w:r w:rsidRPr="00AF0750">
        <w:rPr>
          <w:rFonts w:ascii="Times New Roman" w:eastAsia="Calibri" w:hAnsi="Times New Roman" w:cs="Times New Roman"/>
          <w:lang w:eastAsia="lt-LT" w:bidi="lt-LT"/>
        </w:rPr>
        <w:t xml:space="preserve">užpildę </w:t>
      </w:r>
      <w:r w:rsidR="00AF0750" w:rsidRPr="00AF0750">
        <w:rPr>
          <w:rFonts w:ascii="Times New Roman" w:eastAsia="Calibri" w:hAnsi="Times New Roman" w:cs="Times New Roman"/>
          <w:lang w:eastAsia="lt-LT" w:bidi="lt-LT"/>
        </w:rPr>
        <w:t xml:space="preserve">pranešimo formą </w:t>
      </w:r>
      <w:r w:rsidRPr="00AF0750">
        <w:rPr>
          <w:rFonts w:ascii="Times New Roman" w:eastAsia="Calibri" w:hAnsi="Times New Roman" w:cs="Times New Roman"/>
          <w:lang w:eastAsia="lt-LT" w:bidi="lt-LT"/>
        </w:rPr>
        <w:t>internet</w:t>
      </w:r>
      <w:r w:rsidR="00AF0750" w:rsidRPr="00AF0750">
        <w:rPr>
          <w:rFonts w:ascii="Times New Roman" w:eastAsia="Calibri" w:hAnsi="Times New Roman" w:cs="Times New Roman"/>
          <w:lang w:eastAsia="lt-LT" w:bidi="lt-LT"/>
        </w:rPr>
        <w:t xml:space="preserve">u </w:t>
      </w:r>
      <w:r w:rsidR="00AF0750" w:rsidRPr="00C93C79">
        <w:rPr>
          <w:rFonts w:ascii="Times New Roman" w:hAnsi="Times New Roman" w:cs="Times New Roman"/>
          <w:szCs w:val="24"/>
        </w:rPr>
        <w:t xml:space="preserve">Tarnybos Vaistinių preparatų informacinėje sistemoje </w:t>
      </w:r>
      <w:r w:rsidR="00AF0750" w:rsidRPr="00C93C79">
        <w:rPr>
          <w:rFonts w:ascii="Times New Roman" w:hAnsi="Times New Roman" w:cs="Times New Roman"/>
          <w:color w:val="0000FF"/>
          <w:szCs w:val="24"/>
          <w:u w:val="single"/>
        </w:rPr>
        <w:t>https://vapris.vvkt.lt/vvkt-web/public/nrvSpecialist</w:t>
      </w:r>
      <w:r w:rsidR="00AF0750" w:rsidRPr="00C93C79">
        <w:rPr>
          <w:rFonts w:ascii="Times New Roman" w:hAnsi="Times New Roman" w:cs="Times New Roman"/>
          <w:szCs w:val="24"/>
        </w:rPr>
        <w:t xml:space="preserve"> arba užpildę Sveikatos priežiūros ar farmacijos specialisto pranešimo apie įtariamą nepageidaujamą reakciją (ĮNR) formą, kuri skelbiama </w:t>
      </w:r>
      <w:r w:rsidR="00AF0750" w:rsidRPr="00C93C79">
        <w:rPr>
          <w:rFonts w:ascii="Times New Roman" w:hAnsi="Times New Roman" w:cs="Times New Roman"/>
          <w:color w:val="0000FF"/>
          <w:szCs w:val="24"/>
          <w:u w:val="single"/>
        </w:rPr>
        <w:t>https://www.vvkt.lt/index.php?1399030386</w:t>
      </w:r>
      <w:r w:rsidR="00AF0750" w:rsidRPr="00C93C79">
        <w:rPr>
          <w:rFonts w:ascii="Times New Roman" w:hAnsi="Times New Roman" w:cs="Times New Roman"/>
          <w:szCs w:val="24"/>
        </w:rPr>
        <w:t>, ir atsiųsti elektroniniu paštu (adresu</w:t>
      </w:r>
      <w:r w:rsidR="00AF0750">
        <w:rPr>
          <w:rFonts w:ascii="Times New Roman" w:hAnsi="Times New Roman" w:cs="Times New Roman"/>
          <w:szCs w:val="24"/>
        </w:rPr>
        <w:t xml:space="preserve"> </w:t>
      </w:r>
      <w:r w:rsidR="00AF0750" w:rsidRPr="00C93C79">
        <w:rPr>
          <w:rFonts w:ascii="Times New Roman" w:hAnsi="Times New Roman" w:cs="Times New Roman"/>
          <w:szCs w:val="24"/>
        </w:rPr>
        <w:t>NepageidaujamaR@vvkt.lt).</w:t>
      </w:r>
      <w:r w:rsidR="00AF0750" w:rsidRPr="00C93C79" w:rsidDel="00AF0750">
        <w:rPr>
          <w:rFonts w:ascii="Times New Roman" w:hAnsi="Times New Roman" w:cs="Times New Roman"/>
        </w:rPr>
        <w:t xml:space="preserve"> </w:t>
      </w:r>
    </w:p>
    <w:p w14:paraId="3A93C05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147516D"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Perdozavimas</w:t>
      </w:r>
    </w:p>
    <w:p w14:paraId="380BB1C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33B08181" w14:textId="77777777" w:rsidR="003744F7" w:rsidRPr="003744F7" w:rsidRDefault="003744F7" w:rsidP="003744F7">
      <w:pPr>
        <w:autoSpaceDE w:val="0"/>
        <w:autoSpaceDN w:val="0"/>
        <w:adjustRightInd w:val="0"/>
        <w:spacing w:after="0" w:line="240" w:lineRule="auto"/>
        <w:rPr>
          <w:rFonts w:ascii="Times New Roman" w:hAnsi="Times New Roman" w:cs="Times New Roman"/>
        </w:rPr>
      </w:pPr>
      <w:r w:rsidRPr="003744F7">
        <w:rPr>
          <w:rFonts w:ascii="Times New Roman" w:hAnsi="Times New Roman" w:cs="Times New Roman"/>
        </w:rPr>
        <w:t>Specifinio gydymo perdozuotam gefitinibui nėra. Vis dėlto I fazės klinikinių tyrimų metu nedaugelis pacientų vartojo iki 1000 mg gefitinibo per parą. Kai kurios nepageidaujamos reakcijos (ypač viduriavimas ir odos išbėrimas) jiems buvo dažnesnės ir sunkesnės. Su perdozavimu susijusias nepageidaujamas reakcijas reikia koreguoti simptomiškai (ypač svarbu tinkamai, atsižvelgiant į klinikinę būtinybę, stabdyti sunkų viduriavimą). Vieno tyrimo metu nedaug pacientų vartojo po 1500 -3500 mg kas savaitę. Šio tyrimo metu didinant dozę gefitinibo ekspozicija nedidėjo, o dauguma nepageidaujamų reiškinių buvo lengvo ar vidutinio sunkumo ir atitiko žinomą gefitinibo saugumo pobūdį.</w:t>
      </w:r>
    </w:p>
    <w:p w14:paraId="1564F3A7" w14:textId="77777777" w:rsidR="003744F7" w:rsidRPr="003744F7" w:rsidRDefault="003744F7" w:rsidP="003744F7">
      <w:pPr>
        <w:tabs>
          <w:tab w:val="left" w:pos="567"/>
        </w:tabs>
        <w:spacing w:after="0" w:line="240" w:lineRule="auto"/>
        <w:rPr>
          <w:rFonts w:ascii="Times New Roman" w:hAnsi="Times New Roman" w:cs="Times New Roman"/>
        </w:rPr>
      </w:pPr>
    </w:p>
    <w:p w14:paraId="5CE41393"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34CFDA4D" w14:textId="77777777" w:rsidR="003744F7" w:rsidRPr="003744F7" w:rsidRDefault="003744F7" w:rsidP="003744F7">
      <w:pPr>
        <w:keepNext/>
        <w:numPr>
          <w:ilvl w:val="0"/>
          <w:numId w:val="25"/>
        </w:numPr>
        <w:tabs>
          <w:tab w:val="left" w:pos="567"/>
        </w:tabs>
        <w:suppressAutoHyphen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FARMAKOLOGINĖS SAVYBĖS</w:t>
      </w:r>
    </w:p>
    <w:p w14:paraId="24F68508"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p>
    <w:p w14:paraId="205A3B35"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Farmakodinaminės savybės</w:t>
      </w:r>
    </w:p>
    <w:p w14:paraId="409E15AE"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p>
    <w:p w14:paraId="0BB27B3F" w14:textId="000F1BD0" w:rsidR="003744F7" w:rsidRPr="003744F7" w:rsidRDefault="003744F7" w:rsidP="003744F7">
      <w:p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Farmakoterapinė grupė – </w:t>
      </w:r>
      <w:r w:rsidRPr="003744F7">
        <w:rPr>
          <w:rFonts w:ascii="Times New Roman" w:hAnsi="Times New Roman" w:cs="Times New Roman"/>
        </w:rPr>
        <w:t>vaistiniai preparatai nuo vėžio, proteinkinazės inhibitoriai, ATC kodas –</w:t>
      </w:r>
      <w:r w:rsidR="000C39B0">
        <w:rPr>
          <w:rFonts w:ascii="Times New Roman" w:hAnsi="Times New Roman" w:cs="Times New Roman"/>
        </w:rPr>
        <w:t>L0</w:t>
      </w:r>
      <w:r w:rsidR="000C39B0" w:rsidRPr="00C93C79">
        <w:rPr>
          <w:rFonts w:ascii="Times New Roman" w:hAnsi="Times New Roman" w:cs="Times New Roman"/>
        </w:rPr>
        <w:t>1EB0</w:t>
      </w:r>
      <w:r w:rsidR="000C39B0">
        <w:rPr>
          <w:rFonts w:ascii="Times New Roman" w:hAnsi="Times New Roman" w:cs="Times New Roman"/>
        </w:rPr>
        <w:t>1</w:t>
      </w:r>
      <w:r w:rsidRPr="003744F7">
        <w:rPr>
          <w:rFonts w:ascii="Times New Roman" w:eastAsia="Times New Roman" w:hAnsi="Times New Roman" w:cs="Times New Roman"/>
          <w:lang w:eastAsia="lt-LT" w:bidi="lt-LT"/>
        </w:rPr>
        <w:t>.</w:t>
      </w:r>
    </w:p>
    <w:p w14:paraId="592EDADB"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758EDB85"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u w:val="single"/>
          <w:lang w:eastAsia="lt-LT" w:bidi="lt-LT"/>
        </w:rPr>
      </w:pPr>
      <w:r w:rsidRPr="003744F7">
        <w:rPr>
          <w:rFonts w:ascii="Times New Roman" w:eastAsia="Times New Roman" w:hAnsi="Times New Roman" w:cs="Times New Roman"/>
          <w:iCs/>
          <w:u w:val="single"/>
          <w:lang w:eastAsia="lt-LT" w:bidi="lt-LT"/>
        </w:rPr>
        <w:t>Veikimo mechanizmas ir farmakodinaminis poveikis</w:t>
      </w:r>
    </w:p>
    <w:p w14:paraId="048886F7"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Nustatyta, kad epiderminis augimo faktorius (angl. </w:t>
      </w:r>
      <w:r w:rsidRPr="003744F7">
        <w:rPr>
          <w:rFonts w:ascii="Times New Roman" w:eastAsia="Times New Roman" w:hAnsi="Times New Roman" w:cs="Times New Roman"/>
          <w:i/>
          <w:lang w:eastAsia="lt-LT" w:bidi="lt-LT"/>
        </w:rPr>
        <w:t>Epidermal growth factor</w:t>
      </w:r>
      <w:r w:rsidRPr="003744F7">
        <w:rPr>
          <w:rFonts w:ascii="Times New Roman" w:eastAsia="Times New Roman" w:hAnsi="Times New Roman" w:cs="Times New Roman"/>
          <w:lang w:eastAsia="lt-LT" w:bidi="lt-LT"/>
        </w:rPr>
        <w:t>, EGF) ir jo receptorius (EGFR [HER1; ErbB1]) atlieka esminį vaidmenį vykstant normalių ir vėžinių ląstelių augimui ir proliferacijai. EGFR aktyvinanti mutacija vėžio ląstelėje yra svarbus veiksnys, skatinantis naviko ląstelių augimą, blokuojantis apoptozę, didinantis angiogeninių faktorių gamybą ir palengvinantis metastazavimo procesą.</w:t>
      </w:r>
    </w:p>
    <w:p w14:paraId="04AE58C6"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2F904965"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Gefitinibas yra mažos molekulės selektyvus epiderminio augimo faktoriaus receptorių tirozinkinazės inhibitorius, veiksmingas gydyti pacientams, kurių navikai turi EGFR tirozinkinazės domeną aktyvinančių mutacijų, nepriklausomai nuo gydymo pasirinkimo (pirmojo ar antrojo). Klinikai reikšmingo poveikio EGFR mutacijų neturinčiais navikais sergantiems pacientams nenustatyta.</w:t>
      </w:r>
    </w:p>
    <w:p w14:paraId="4D5C7AA3"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6FD99BF9"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lastRenderedPageBreak/>
        <w:t>Turimi tvirti atsako duomenys, pagrindžiantys jautrumą gefitinibui, kai yra dažnų EGFR aktyvinančių mutacijų (egzono 19 delecija arba L858R), pvz., neprogresuojant ligai išgyvento laikotarpio HR</w:t>
      </w:r>
      <w:r w:rsidRPr="003744F7">
        <w:rPr>
          <w:rFonts w:ascii="Times New Roman" w:eastAsia="Times New Roman" w:hAnsi="Times New Roman" w:cs="Times New Roman"/>
          <w:bCs/>
          <w:iCs/>
          <w:sz w:val="20"/>
          <w:szCs w:val="20"/>
          <w:lang w:eastAsia="lt-LT" w:bidi="lt-LT"/>
        </w:rPr>
        <w:t xml:space="preserve"> (angl. </w:t>
      </w:r>
      <w:r w:rsidRPr="003744F7">
        <w:rPr>
          <w:rFonts w:ascii="Times New Roman" w:eastAsia="Times New Roman" w:hAnsi="Times New Roman" w:cs="Times New Roman"/>
          <w:bCs/>
          <w:i/>
          <w:iCs/>
          <w:sz w:val="20"/>
          <w:szCs w:val="20"/>
          <w:lang w:eastAsia="lt-LT" w:bidi="lt-LT"/>
        </w:rPr>
        <w:t>Hazard ratio</w:t>
      </w:r>
      <w:r w:rsidRPr="003744F7">
        <w:rPr>
          <w:rFonts w:ascii="Times New Roman" w:eastAsia="Times New Roman" w:hAnsi="Times New Roman" w:cs="Times New Roman"/>
          <w:bCs/>
          <w:iCs/>
          <w:sz w:val="20"/>
          <w:szCs w:val="20"/>
          <w:lang w:eastAsia="lt-LT" w:bidi="lt-LT"/>
        </w:rPr>
        <w:t xml:space="preserve">, rizikos santykis) </w:t>
      </w:r>
      <w:r w:rsidRPr="003744F7">
        <w:rPr>
          <w:rFonts w:ascii="Times New Roman" w:eastAsia="Times New Roman" w:hAnsi="Times New Roman" w:cs="Times New Roman"/>
          <w:lang w:eastAsia="lt-LT" w:bidi="lt-LT"/>
        </w:rPr>
        <w:t xml:space="preserve"> (95 % PI), palyginus gefitinibo ir dvigubos chemoterapijos, grupes yra 0,489 (0,336, 0,710) (WJTOG3405). Pacientams, kurių navikai turi retesnių mutacijų, atsako į gefitinibą duomenų yra mažiau. Turimi duomenys rodo, kad G719X, L861Q ir S7681 mutacijos didina jautrumą, o vien T790M ar vien egzono 20 intarpai – lemia atsparumą.</w:t>
      </w:r>
    </w:p>
    <w:p w14:paraId="0A419AB8"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11D930AE"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
          <w:iCs/>
          <w:lang w:eastAsia="lt-LT" w:bidi="lt-LT"/>
        </w:rPr>
      </w:pPr>
      <w:r w:rsidRPr="003744F7">
        <w:rPr>
          <w:rFonts w:ascii="Times New Roman" w:eastAsia="Times New Roman" w:hAnsi="Times New Roman" w:cs="Times New Roman"/>
          <w:i/>
          <w:iCs/>
          <w:lang w:eastAsia="lt-LT" w:bidi="lt-LT"/>
        </w:rPr>
        <w:t>Atsparumas</w:t>
      </w:r>
    </w:p>
    <w:p w14:paraId="542D40A7" w14:textId="77777777" w:rsidR="003744F7" w:rsidRPr="003744F7" w:rsidRDefault="003744F7" w:rsidP="003744F7">
      <w:pPr>
        <w:numPr>
          <w:ilvl w:val="12"/>
          <w:numId w:val="0"/>
        </w:numPr>
        <w:tabs>
          <w:tab w:val="left" w:pos="567"/>
        </w:tabs>
        <w:spacing w:after="0" w:line="240" w:lineRule="auto"/>
        <w:ind w:right="-2"/>
        <w:rPr>
          <w:rFonts w:ascii="Times New Roman" w:hAnsi="Times New Roman" w:cs="Times New Roman"/>
        </w:rPr>
      </w:pPr>
      <w:r w:rsidRPr="003744F7">
        <w:rPr>
          <w:rFonts w:ascii="Times New Roman" w:eastAsia="Times New Roman" w:hAnsi="Times New Roman" w:cs="Times New Roman"/>
          <w:lang w:eastAsia="lt-LT" w:bidi="lt-LT"/>
        </w:rPr>
        <w:t xml:space="preserve">Dauguma atvejų NSCLC, turintis jautrumą didinančių EGFR kinazės mutacijų, ilgainiui tampa atsparus gefitinibui. Laikotarpio iki ligos progresavimo mediana yra 1 metai. Maždaug 60 % atvejų atsparumas būna susijęs su antrine T790M mutacija, kurios turintiems navikams gydyti kitos eilės </w:t>
      </w:r>
      <w:r w:rsidRPr="003744F7">
        <w:rPr>
          <w:rFonts w:ascii="Times New Roman" w:hAnsi="Times New Roman" w:cs="Times New Roman"/>
        </w:rPr>
        <w:t>vaistinis preparatas turėtų būti į T790M nutaikytas EGFR tirozinkinazės inhibitorius. Kiti galimi atsparumo</w:t>
      </w:r>
      <w:r w:rsidRPr="003744F7">
        <w:rPr>
          <w:rFonts w:ascii="Times New Roman" w:eastAsia="Times New Roman" w:hAnsi="Times New Roman" w:cs="Times New Roman"/>
          <w:lang w:eastAsia="lt-LT" w:bidi="lt-LT"/>
        </w:rPr>
        <w:t xml:space="preserve"> </w:t>
      </w:r>
      <w:r w:rsidRPr="003744F7">
        <w:rPr>
          <w:rFonts w:ascii="Times New Roman" w:hAnsi="Times New Roman" w:cs="Times New Roman"/>
        </w:rPr>
        <w:t>mechanizmai, užfiksuoti gydant EGFR signalą blokuojančiais vaistiniais preparatais, yra signalo perdavimas</w:t>
      </w:r>
      <w:r w:rsidRPr="003744F7">
        <w:rPr>
          <w:rFonts w:ascii="Times New Roman" w:eastAsia="Times New Roman" w:hAnsi="Times New Roman" w:cs="Times New Roman"/>
          <w:lang w:eastAsia="lt-LT" w:bidi="lt-LT"/>
        </w:rPr>
        <w:t xml:space="preserve"> </w:t>
      </w:r>
      <w:r w:rsidRPr="003744F7">
        <w:rPr>
          <w:rFonts w:ascii="Times New Roman" w:hAnsi="Times New Roman" w:cs="Times New Roman"/>
        </w:rPr>
        <w:t>kitais būdais, pvz., per HER2, MET geno amplifikacija ir PIK3CA mutacijos. Be to, 5-10 % atvejų plaučių</w:t>
      </w:r>
      <w:r w:rsidRPr="003744F7">
        <w:rPr>
          <w:rFonts w:ascii="Times New Roman" w:eastAsia="Times New Roman" w:hAnsi="Times New Roman" w:cs="Times New Roman"/>
          <w:lang w:eastAsia="lt-LT" w:bidi="lt-LT"/>
        </w:rPr>
        <w:t xml:space="preserve"> </w:t>
      </w:r>
      <w:r w:rsidRPr="003744F7">
        <w:rPr>
          <w:rFonts w:ascii="Times New Roman" w:hAnsi="Times New Roman" w:cs="Times New Roman"/>
        </w:rPr>
        <w:t>vėžio fenotipas pasikeičia į smulkialąstelinį.</w:t>
      </w:r>
    </w:p>
    <w:p w14:paraId="67161E68" w14:textId="77777777" w:rsidR="003744F7" w:rsidRPr="003744F7" w:rsidRDefault="003744F7" w:rsidP="003744F7">
      <w:pPr>
        <w:numPr>
          <w:ilvl w:val="12"/>
          <w:numId w:val="0"/>
        </w:numPr>
        <w:tabs>
          <w:tab w:val="left" w:pos="567"/>
        </w:tabs>
        <w:spacing w:after="0" w:line="240" w:lineRule="auto"/>
        <w:ind w:right="-2"/>
        <w:rPr>
          <w:rFonts w:ascii="Times New Roman" w:hAnsi="Times New Roman" w:cs="Times New Roman"/>
        </w:rPr>
      </w:pPr>
    </w:p>
    <w:p w14:paraId="56997085"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
          <w:iCs/>
          <w:lang w:eastAsia="lt-LT" w:bidi="lt-LT"/>
        </w:rPr>
      </w:pPr>
      <w:r w:rsidRPr="003744F7">
        <w:rPr>
          <w:rFonts w:ascii="Times New Roman" w:eastAsia="Times New Roman" w:hAnsi="Times New Roman" w:cs="Times New Roman"/>
          <w:i/>
          <w:iCs/>
          <w:lang w:eastAsia="lt-LT" w:bidi="lt-LT"/>
        </w:rPr>
        <w:t>Cirkuliuojanti navikinė DNR (cnDNR)</w:t>
      </w:r>
    </w:p>
    <w:p w14:paraId="577E7801"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IFUM tyrimo metu vertinta navikų ir plazmos cnDNR mėginių mutacijų būklė rinkiniu </w:t>
      </w:r>
      <w:r w:rsidRPr="003744F7">
        <w:rPr>
          <w:rFonts w:ascii="Times New Roman" w:eastAsia="Times New Roman" w:hAnsi="Times New Roman" w:cs="Times New Roman"/>
          <w:i/>
          <w:iCs/>
          <w:lang w:eastAsia="lt-LT" w:bidi="lt-LT"/>
        </w:rPr>
        <w:t xml:space="preserve">Therascreen EGFR RGQ PCR kit </w:t>
      </w:r>
      <w:r w:rsidRPr="003744F7">
        <w:rPr>
          <w:rFonts w:ascii="Times New Roman" w:eastAsia="Times New Roman" w:hAnsi="Times New Roman" w:cs="Times New Roman"/>
          <w:lang w:eastAsia="lt-LT" w:bidi="lt-LT"/>
        </w:rPr>
        <w:t>(Qiagen). 652 iš 1060 ištirtų pacientų pavyko įvertinti abu (cnDNR ir naviko) mėginius.</w:t>
      </w:r>
      <w:r w:rsidRPr="003744F7">
        <w:rPr>
          <w:rFonts w:ascii="Times New Roman" w:eastAsia="Times New Roman" w:hAnsi="Times New Roman" w:cs="Times New Roman"/>
          <w:i/>
          <w:iCs/>
          <w:lang w:eastAsia="lt-LT" w:bidi="lt-LT"/>
        </w:rPr>
        <w:t xml:space="preserve"> </w:t>
      </w:r>
      <w:r w:rsidRPr="003744F7">
        <w:rPr>
          <w:rFonts w:ascii="Times New Roman" w:eastAsia="Times New Roman" w:hAnsi="Times New Roman" w:cs="Times New Roman"/>
          <w:lang w:eastAsia="lt-LT" w:bidi="lt-LT"/>
        </w:rPr>
        <w:t xml:space="preserve">Pacientams, kuriems nustatytos abi (naviko ir cnDNR) mutacijos, objektyvaus atsako dažnis (angl. </w:t>
      </w:r>
      <w:r w:rsidRPr="003744F7">
        <w:rPr>
          <w:rFonts w:ascii="Times New Roman" w:eastAsia="Times New Roman" w:hAnsi="Times New Roman" w:cs="Times New Roman"/>
          <w:i/>
          <w:iCs/>
          <w:lang w:eastAsia="lt-LT" w:bidi="lt-LT"/>
        </w:rPr>
        <w:t>Objective response rate</w:t>
      </w:r>
      <w:r w:rsidRPr="003744F7">
        <w:rPr>
          <w:rFonts w:ascii="Times New Roman" w:eastAsia="Times New Roman" w:hAnsi="Times New Roman" w:cs="Times New Roman"/>
          <w:lang w:eastAsia="lt-LT" w:bidi="lt-LT"/>
        </w:rPr>
        <w:t>, ORR) buvo 77 % (95 % PI 66-86 %), o kuriems nustatyta tik naviko mutacija – 60 % (95 %</w:t>
      </w:r>
      <w:r w:rsidRPr="003744F7">
        <w:rPr>
          <w:rFonts w:ascii="Times New Roman" w:eastAsia="Times New Roman" w:hAnsi="Times New Roman" w:cs="Times New Roman"/>
          <w:i/>
          <w:iCs/>
          <w:lang w:eastAsia="lt-LT" w:bidi="lt-LT"/>
        </w:rPr>
        <w:t xml:space="preserve"> </w:t>
      </w:r>
      <w:r w:rsidRPr="003744F7">
        <w:rPr>
          <w:rFonts w:ascii="Times New Roman" w:eastAsia="Times New Roman" w:hAnsi="Times New Roman" w:cs="Times New Roman"/>
          <w:lang w:eastAsia="lt-LT" w:bidi="lt-LT"/>
        </w:rPr>
        <w:t>PI – 44-74 %).</w:t>
      </w:r>
    </w:p>
    <w:p w14:paraId="29CEA877"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7821987F"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2 lentelė. Visų ištirtų pacientų, kurių abu mėginius pavyko įvertinti, pradinės navikų ir cnDNR mutacijų būklės duomenų santrauka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678"/>
        <w:gridCol w:w="2026"/>
        <w:gridCol w:w="993"/>
      </w:tblGrid>
      <w:tr w:rsidR="003744F7" w:rsidRPr="003744F7" w14:paraId="790ED59B" w14:textId="77777777" w:rsidTr="003F49E5">
        <w:tc>
          <w:tcPr>
            <w:tcW w:w="1276" w:type="dxa"/>
            <w:shd w:val="clear" w:color="auto" w:fill="auto"/>
          </w:tcPr>
          <w:p w14:paraId="3BE433FA"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Matas</w:t>
            </w:r>
          </w:p>
        </w:tc>
        <w:tc>
          <w:tcPr>
            <w:tcW w:w="4678" w:type="dxa"/>
            <w:shd w:val="clear" w:color="auto" w:fill="auto"/>
          </w:tcPr>
          <w:p w14:paraId="3CAAD0C4"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Definicija</w:t>
            </w:r>
          </w:p>
        </w:tc>
        <w:tc>
          <w:tcPr>
            <w:tcW w:w="2026" w:type="dxa"/>
            <w:shd w:val="clear" w:color="auto" w:fill="auto"/>
          </w:tcPr>
          <w:p w14:paraId="0017CBF8" w14:textId="77777777" w:rsidR="003744F7" w:rsidRPr="003744F7" w:rsidRDefault="003744F7" w:rsidP="003744F7">
            <w:pPr>
              <w:tabs>
                <w:tab w:val="left" w:pos="567"/>
              </w:tabs>
              <w:autoSpaceDE w:val="0"/>
              <w:autoSpaceDN w:val="0"/>
              <w:adjustRightInd w:val="0"/>
              <w:spacing w:after="0" w:line="240" w:lineRule="auto"/>
              <w:jc w:val="center"/>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Dažnis IFUM duomenimis,</w:t>
            </w:r>
          </w:p>
          <w:p w14:paraId="2BF897A0" w14:textId="77777777" w:rsidR="003744F7" w:rsidRPr="003744F7" w:rsidRDefault="003744F7" w:rsidP="003744F7">
            <w:pPr>
              <w:tabs>
                <w:tab w:val="left" w:pos="567"/>
              </w:tabs>
              <w:autoSpaceDE w:val="0"/>
              <w:autoSpaceDN w:val="0"/>
              <w:adjustRightInd w:val="0"/>
              <w:spacing w:after="0" w:line="240" w:lineRule="auto"/>
              <w:jc w:val="center"/>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(PI)</w:t>
            </w:r>
          </w:p>
        </w:tc>
        <w:tc>
          <w:tcPr>
            <w:tcW w:w="993" w:type="dxa"/>
            <w:shd w:val="clear" w:color="auto" w:fill="auto"/>
          </w:tcPr>
          <w:p w14:paraId="7ADDA73F" w14:textId="77777777" w:rsidR="003744F7" w:rsidRPr="003744F7" w:rsidRDefault="003744F7" w:rsidP="003744F7">
            <w:pPr>
              <w:tabs>
                <w:tab w:val="left" w:pos="567"/>
              </w:tabs>
              <w:autoSpaceDE w:val="0"/>
              <w:autoSpaceDN w:val="0"/>
              <w:adjustRightInd w:val="0"/>
              <w:spacing w:after="0" w:line="240" w:lineRule="auto"/>
              <w:jc w:val="center"/>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IFUM</w:t>
            </w:r>
          </w:p>
          <w:p w14:paraId="2466065D" w14:textId="77777777" w:rsidR="003744F7" w:rsidRPr="003744F7" w:rsidRDefault="003744F7" w:rsidP="003744F7">
            <w:pPr>
              <w:tabs>
                <w:tab w:val="left" w:pos="567"/>
              </w:tabs>
              <w:autoSpaceDE w:val="0"/>
              <w:autoSpaceDN w:val="0"/>
              <w:adjustRightInd w:val="0"/>
              <w:spacing w:after="0" w:line="240" w:lineRule="auto"/>
              <w:jc w:val="center"/>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w:t>
            </w:r>
          </w:p>
        </w:tc>
      </w:tr>
      <w:tr w:rsidR="003744F7" w:rsidRPr="003744F7" w14:paraId="77760C9A" w14:textId="77777777" w:rsidTr="003F49E5">
        <w:tc>
          <w:tcPr>
            <w:tcW w:w="1276" w:type="dxa"/>
            <w:shd w:val="clear" w:color="auto" w:fill="auto"/>
          </w:tcPr>
          <w:p w14:paraId="49258183"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Jautrumas </w:t>
            </w:r>
          </w:p>
        </w:tc>
        <w:tc>
          <w:tcPr>
            <w:tcW w:w="4678" w:type="dxa"/>
            <w:shd w:val="clear" w:color="auto" w:fill="auto"/>
          </w:tcPr>
          <w:p w14:paraId="3EE64F23"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Navikų M+ dalis, kai cnDNR rodė M+</w:t>
            </w:r>
          </w:p>
        </w:tc>
        <w:tc>
          <w:tcPr>
            <w:tcW w:w="2026" w:type="dxa"/>
            <w:shd w:val="clear" w:color="auto" w:fill="auto"/>
            <w:vAlign w:val="center"/>
          </w:tcPr>
          <w:p w14:paraId="2476D5AC" w14:textId="5EAAAAAA" w:rsidR="003744F7" w:rsidRPr="003744F7" w:rsidRDefault="003744F7" w:rsidP="003744F7">
            <w:pPr>
              <w:tabs>
                <w:tab w:val="left" w:pos="567"/>
              </w:tabs>
              <w:autoSpaceDE w:val="0"/>
              <w:autoSpaceDN w:val="0"/>
              <w:adjustRightInd w:val="0"/>
              <w:spacing w:after="0" w:line="240" w:lineRule="auto"/>
              <w:jc w:val="center"/>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65,7 (55,8</w:t>
            </w:r>
            <w:r w:rsidR="00D36B10">
              <w:rPr>
                <w:rFonts w:ascii="Times New Roman" w:eastAsia="Times New Roman" w:hAnsi="Times New Roman" w:cs="Times New Roman"/>
                <w:lang w:eastAsia="lt-LT" w:bidi="lt-LT"/>
              </w:rPr>
              <w:t xml:space="preserve"> iki</w:t>
            </w:r>
            <w:r w:rsidRPr="003744F7">
              <w:rPr>
                <w:rFonts w:ascii="Times New Roman" w:eastAsia="Times New Roman" w:hAnsi="Times New Roman" w:cs="Times New Roman"/>
                <w:lang w:eastAsia="lt-LT" w:bidi="lt-LT"/>
              </w:rPr>
              <w:t xml:space="preserve"> 74,7)</w:t>
            </w:r>
          </w:p>
        </w:tc>
        <w:tc>
          <w:tcPr>
            <w:tcW w:w="993" w:type="dxa"/>
            <w:shd w:val="clear" w:color="auto" w:fill="auto"/>
            <w:vAlign w:val="center"/>
          </w:tcPr>
          <w:p w14:paraId="7DEFE6CC" w14:textId="77777777" w:rsidR="003744F7" w:rsidRPr="003744F7" w:rsidRDefault="003744F7" w:rsidP="003744F7">
            <w:pPr>
              <w:tabs>
                <w:tab w:val="left" w:pos="567"/>
              </w:tabs>
              <w:autoSpaceDE w:val="0"/>
              <w:autoSpaceDN w:val="0"/>
              <w:adjustRightInd w:val="0"/>
              <w:spacing w:after="0" w:line="240" w:lineRule="auto"/>
              <w:jc w:val="center"/>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105</w:t>
            </w:r>
          </w:p>
        </w:tc>
      </w:tr>
      <w:tr w:rsidR="003744F7" w:rsidRPr="003744F7" w14:paraId="1E1032F4" w14:textId="77777777" w:rsidTr="003F49E5">
        <w:tc>
          <w:tcPr>
            <w:tcW w:w="1276" w:type="dxa"/>
            <w:shd w:val="clear" w:color="auto" w:fill="auto"/>
          </w:tcPr>
          <w:p w14:paraId="06CE70C0"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Specifiškumas</w:t>
            </w:r>
          </w:p>
        </w:tc>
        <w:tc>
          <w:tcPr>
            <w:tcW w:w="4678" w:type="dxa"/>
            <w:shd w:val="clear" w:color="auto" w:fill="auto"/>
          </w:tcPr>
          <w:p w14:paraId="38C83285"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Navikų M- dalis, kai cnDNR rodė M-</w:t>
            </w:r>
          </w:p>
        </w:tc>
        <w:tc>
          <w:tcPr>
            <w:tcW w:w="2026" w:type="dxa"/>
            <w:shd w:val="clear" w:color="auto" w:fill="auto"/>
            <w:vAlign w:val="center"/>
          </w:tcPr>
          <w:p w14:paraId="7346D7B4" w14:textId="54622D20" w:rsidR="003744F7" w:rsidRPr="003744F7" w:rsidRDefault="003744F7" w:rsidP="00D36B10">
            <w:pPr>
              <w:tabs>
                <w:tab w:val="left" w:pos="567"/>
              </w:tabs>
              <w:autoSpaceDE w:val="0"/>
              <w:autoSpaceDN w:val="0"/>
              <w:adjustRightInd w:val="0"/>
              <w:spacing w:after="0" w:line="240" w:lineRule="auto"/>
              <w:jc w:val="center"/>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99,8 (99,0</w:t>
            </w:r>
            <w:r w:rsidR="00D36B10">
              <w:rPr>
                <w:rFonts w:ascii="Times New Roman" w:eastAsia="Times New Roman" w:hAnsi="Times New Roman" w:cs="Times New Roman"/>
                <w:lang w:eastAsia="lt-LT" w:bidi="lt-LT"/>
              </w:rPr>
              <w:t xml:space="preserve"> iki</w:t>
            </w:r>
            <w:r w:rsidRPr="003744F7">
              <w:rPr>
                <w:rFonts w:ascii="Times New Roman" w:eastAsia="Times New Roman" w:hAnsi="Times New Roman" w:cs="Times New Roman"/>
                <w:lang w:eastAsia="lt-LT" w:bidi="lt-LT"/>
              </w:rPr>
              <w:t xml:space="preserve"> 100,0)</w:t>
            </w:r>
          </w:p>
        </w:tc>
        <w:tc>
          <w:tcPr>
            <w:tcW w:w="993" w:type="dxa"/>
            <w:shd w:val="clear" w:color="auto" w:fill="auto"/>
            <w:vAlign w:val="center"/>
          </w:tcPr>
          <w:p w14:paraId="7FCE07DA" w14:textId="77777777" w:rsidR="003744F7" w:rsidRPr="003744F7" w:rsidRDefault="003744F7" w:rsidP="003744F7">
            <w:pPr>
              <w:tabs>
                <w:tab w:val="left" w:pos="567"/>
              </w:tabs>
              <w:autoSpaceDE w:val="0"/>
              <w:autoSpaceDN w:val="0"/>
              <w:adjustRightInd w:val="0"/>
              <w:spacing w:after="0" w:line="240" w:lineRule="auto"/>
              <w:jc w:val="center"/>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547</w:t>
            </w:r>
          </w:p>
        </w:tc>
      </w:tr>
    </w:tbl>
    <w:p w14:paraId="6E7F7EBF"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Cs/>
          <w:iCs/>
          <w:lang w:eastAsia="lt-LT" w:bidi="lt-LT"/>
        </w:rPr>
      </w:pPr>
    </w:p>
    <w:p w14:paraId="2C2E69DD"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 xml:space="preserve">Šie duomenys atitinka gautus IPASS tyrimo metu atlikus iš anksto numatytą japonų pogrupio žvalgomąją analizę (Goto 2012). Jo metu rinkiniu </w:t>
      </w:r>
      <w:r w:rsidRPr="003744F7">
        <w:rPr>
          <w:rFonts w:ascii="Times New Roman" w:eastAsia="Times New Roman" w:hAnsi="Times New Roman" w:cs="Times New Roman"/>
          <w:bCs/>
          <w:i/>
          <w:iCs/>
          <w:lang w:eastAsia="lt-LT" w:bidi="lt-LT"/>
        </w:rPr>
        <w:t xml:space="preserve">EGFR Mutation Test Kit </w:t>
      </w:r>
      <w:r w:rsidRPr="003744F7">
        <w:rPr>
          <w:rFonts w:ascii="Times New Roman" w:eastAsia="Times New Roman" w:hAnsi="Times New Roman" w:cs="Times New Roman"/>
          <w:bCs/>
          <w:iCs/>
          <w:lang w:eastAsia="lt-LT" w:bidi="lt-LT"/>
        </w:rPr>
        <w:t>(DxS) ištyrus iš serumo (ne plazmos) gautos cnDNR EGFR mutacijas (N = 86), jautrumas buvo 43,1 %, o specifiškumas – 100 %.</w:t>
      </w:r>
    </w:p>
    <w:p w14:paraId="0B9FFC29"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Cs/>
          <w:iCs/>
          <w:lang w:eastAsia="lt-LT" w:bidi="lt-LT"/>
        </w:rPr>
      </w:pPr>
    </w:p>
    <w:p w14:paraId="13995F34"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Cs/>
          <w:iCs/>
          <w:u w:val="single"/>
          <w:lang w:eastAsia="lt-LT" w:bidi="lt-LT"/>
        </w:rPr>
      </w:pPr>
      <w:r w:rsidRPr="003744F7">
        <w:rPr>
          <w:rFonts w:ascii="Times New Roman" w:eastAsia="Times New Roman" w:hAnsi="Times New Roman" w:cs="Times New Roman"/>
          <w:bCs/>
          <w:iCs/>
          <w:u w:val="single"/>
          <w:lang w:eastAsia="lt-LT" w:bidi="lt-LT"/>
        </w:rPr>
        <w:t>Klinikinis veiksmingumas ir saugumas</w:t>
      </w:r>
    </w:p>
    <w:p w14:paraId="7DE60B1B"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Cs/>
          <w:i/>
          <w:iCs/>
          <w:lang w:eastAsia="lt-LT" w:bidi="lt-LT"/>
        </w:rPr>
      </w:pPr>
      <w:r w:rsidRPr="003744F7">
        <w:rPr>
          <w:rFonts w:ascii="Times New Roman" w:eastAsia="Times New Roman" w:hAnsi="Times New Roman" w:cs="Times New Roman"/>
          <w:bCs/>
          <w:i/>
          <w:iCs/>
          <w:lang w:eastAsia="lt-LT" w:bidi="lt-LT"/>
        </w:rPr>
        <w:t>Pirmojo pasirinkimo gydymas</w:t>
      </w:r>
    </w:p>
    <w:p w14:paraId="7D44F401"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Atsitiktinės atrankos III fazės pirmojo pasirinkimo gydymo IPASS tyrime dalyvavo pacientai Azijoje</w:t>
      </w:r>
      <w:r w:rsidRPr="003744F7">
        <w:rPr>
          <w:rFonts w:ascii="Times New Roman" w:eastAsia="Times New Roman" w:hAnsi="Times New Roman" w:cs="Times New Roman"/>
          <w:bCs/>
          <w:iCs/>
          <w:vertAlign w:val="superscript"/>
          <w:lang w:eastAsia="lt-LT" w:bidi="lt-LT"/>
        </w:rPr>
        <w:t>1</w:t>
      </w:r>
      <w:r w:rsidRPr="003744F7">
        <w:rPr>
          <w:rFonts w:ascii="Times New Roman" w:eastAsia="Times New Roman" w:hAnsi="Times New Roman" w:cs="Times New Roman"/>
          <w:bCs/>
          <w:iCs/>
          <w:lang w:eastAsia="lt-LT" w:bidi="lt-LT"/>
        </w:rPr>
        <w:t>, sirgę progresavusiu (IIIB arba IV stadijos) adenokarcinomos histologinės struktūros NSCLC. Šie pacientai anksčiau rūkė nedaug (mažiau kaip 10 pakelių per metus, metė rūkyti prieš daugiau kaip 15 metų) arba nerūkė (žr. 3 lentelę).</w:t>
      </w:r>
    </w:p>
    <w:p w14:paraId="5951CB77"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Cs/>
          <w:iCs/>
          <w:lang w:eastAsia="lt-LT" w:bidi="lt-LT"/>
        </w:rPr>
      </w:pPr>
    </w:p>
    <w:p w14:paraId="31F76CDF"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vertAlign w:val="superscript"/>
          <w:lang w:eastAsia="lt-LT" w:bidi="lt-LT"/>
        </w:rPr>
        <w:t>1</w:t>
      </w:r>
      <w:r w:rsidRPr="003744F7">
        <w:rPr>
          <w:rFonts w:ascii="Times New Roman" w:eastAsia="Times New Roman" w:hAnsi="Times New Roman" w:cs="Times New Roman"/>
          <w:bCs/>
          <w:iCs/>
          <w:lang w:eastAsia="lt-LT" w:bidi="lt-LT"/>
        </w:rPr>
        <w:t xml:space="preserve"> Kinija, Honkongas, Indonezija, Japonija, Malaizija, Filipinai, Singapūras, Taivanas ir Tailandas.</w:t>
      </w:r>
    </w:p>
    <w:p w14:paraId="7C187C47"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Cs/>
          <w:iCs/>
          <w:lang w:eastAsia="lt-LT" w:bidi="lt-LT"/>
        </w:rPr>
      </w:pPr>
    </w:p>
    <w:p w14:paraId="5264A4C1"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3 lentelė. IPASS tyrimo metu nustatyti gefitinibo veiksmingumo rodikliai plg. su karboplatinos ir paklitakselio deriniu</w:t>
      </w: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8"/>
        <w:gridCol w:w="2035"/>
        <w:gridCol w:w="2694"/>
        <w:gridCol w:w="2585"/>
      </w:tblGrid>
      <w:tr w:rsidR="003744F7" w:rsidRPr="003744F7" w14:paraId="546013F6" w14:textId="77777777" w:rsidTr="003F49E5">
        <w:trPr>
          <w:tblHeader/>
        </w:trPr>
        <w:tc>
          <w:tcPr>
            <w:tcW w:w="1843" w:type="dxa"/>
            <w:tcBorders>
              <w:top w:val="single" w:sz="12" w:space="0" w:color="auto"/>
              <w:left w:val="nil"/>
              <w:bottom w:val="single" w:sz="12" w:space="0" w:color="auto"/>
              <w:right w:val="nil"/>
            </w:tcBorders>
            <w:shd w:val="clear" w:color="auto" w:fill="auto"/>
          </w:tcPr>
          <w:p w14:paraId="7A116EC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Populiacija</w:t>
            </w:r>
          </w:p>
        </w:tc>
        <w:tc>
          <w:tcPr>
            <w:tcW w:w="658" w:type="dxa"/>
            <w:tcBorders>
              <w:top w:val="single" w:sz="12" w:space="0" w:color="auto"/>
              <w:left w:val="nil"/>
              <w:bottom w:val="single" w:sz="12" w:space="0" w:color="auto"/>
              <w:right w:val="nil"/>
            </w:tcBorders>
            <w:shd w:val="clear" w:color="auto" w:fill="auto"/>
          </w:tcPr>
          <w:p w14:paraId="09D3D35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N</w:t>
            </w:r>
          </w:p>
        </w:tc>
        <w:tc>
          <w:tcPr>
            <w:tcW w:w="2035" w:type="dxa"/>
            <w:tcBorders>
              <w:top w:val="single" w:sz="12" w:space="0" w:color="auto"/>
              <w:left w:val="nil"/>
              <w:bottom w:val="single" w:sz="12" w:space="0" w:color="auto"/>
              <w:right w:val="nil"/>
            </w:tcBorders>
            <w:shd w:val="clear" w:color="auto" w:fill="auto"/>
          </w:tcPr>
          <w:p w14:paraId="1E604F0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Objektyvaus atsako dažnis ir skirtumo tarp gydymo grupių 95 % PI </w:t>
            </w:r>
            <w:r w:rsidRPr="003744F7">
              <w:rPr>
                <w:rFonts w:ascii="Times New Roman" w:eastAsia="Times New Roman" w:hAnsi="Times New Roman" w:cs="Times New Roman"/>
                <w:b/>
                <w:bCs/>
                <w:iCs/>
                <w:vertAlign w:val="superscript"/>
                <w:lang w:eastAsia="lt-LT" w:bidi="lt-LT"/>
              </w:rPr>
              <w:t>a</w:t>
            </w:r>
          </w:p>
        </w:tc>
        <w:tc>
          <w:tcPr>
            <w:tcW w:w="2694" w:type="dxa"/>
            <w:tcBorders>
              <w:top w:val="single" w:sz="12" w:space="0" w:color="auto"/>
              <w:left w:val="nil"/>
              <w:bottom w:val="single" w:sz="12" w:space="0" w:color="auto"/>
              <w:right w:val="nil"/>
            </w:tcBorders>
            <w:shd w:val="clear" w:color="auto" w:fill="auto"/>
          </w:tcPr>
          <w:p w14:paraId="6FC5B5B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Pagrindinis rodiklis – neprogresuojant ligai išgyvento laikotarpio trukmė </w:t>
            </w:r>
            <w:r w:rsidRPr="003744F7">
              <w:rPr>
                <w:rFonts w:ascii="Times New Roman" w:eastAsia="Times New Roman" w:hAnsi="Times New Roman" w:cs="Times New Roman"/>
                <w:b/>
                <w:bCs/>
                <w:iCs/>
                <w:vertAlign w:val="superscript"/>
                <w:lang w:eastAsia="lt-LT" w:bidi="lt-LT"/>
              </w:rPr>
              <w:t>a, b</w:t>
            </w:r>
          </w:p>
        </w:tc>
        <w:tc>
          <w:tcPr>
            <w:tcW w:w="2585" w:type="dxa"/>
            <w:tcBorders>
              <w:top w:val="single" w:sz="12" w:space="0" w:color="auto"/>
              <w:left w:val="nil"/>
              <w:bottom w:val="single" w:sz="12" w:space="0" w:color="auto"/>
              <w:right w:val="nil"/>
            </w:tcBorders>
            <w:shd w:val="clear" w:color="auto" w:fill="auto"/>
          </w:tcPr>
          <w:p w14:paraId="0ED9CB7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Bendras išgyvenimas </w:t>
            </w:r>
            <w:r w:rsidRPr="003744F7">
              <w:rPr>
                <w:rFonts w:ascii="Times New Roman" w:eastAsia="Times New Roman" w:hAnsi="Times New Roman" w:cs="Times New Roman"/>
                <w:b/>
                <w:bCs/>
                <w:iCs/>
                <w:vertAlign w:val="superscript"/>
                <w:lang w:eastAsia="lt-LT" w:bidi="lt-LT"/>
              </w:rPr>
              <w:t>a, b</w:t>
            </w:r>
          </w:p>
        </w:tc>
      </w:tr>
      <w:tr w:rsidR="003744F7" w:rsidRPr="003744F7" w14:paraId="20EA0045" w14:textId="77777777" w:rsidTr="003F49E5">
        <w:tc>
          <w:tcPr>
            <w:tcW w:w="1843" w:type="dxa"/>
            <w:tcBorders>
              <w:top w:val="single" w:sz="12" w:space="0" w:color="auto"/>
              <w:left w:val="nil"/>
              <w:bottom w:val="single" w:sz="4" w:space="0" w:color="auto"/>
              <w:right w:val="nil"/>
            </w:tcBorders>
            <w:shd w:val="clear" w:color="auto" w:fill="auto"/>
          </w:tcPr>
          <w:p w14:paraId="04EA9BE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Iš viso</w:t>
            </w:r>
          </w:p>
        </w:tc>
        <w:tc>
          <w:tcPr>
            <w:tcW w:w="658" w:type="dxa"/>
            <w:tcBorders>
              <w:top w:val="single" w:sz="12" w:space="0" w:color="auto"/>
              <w:left w:val="nil"/>
              <w:bottom w:val="single" w:sz="4" w:space="0" w:color="auto"/>
              <w:right w:val="nil"/>
            </w:tcBorders>
            <w:shd w:val="clear" w:color="auto" w:fill="auto"/>
          </w:tcPr>
          <w:p w14:paraId="376B0CF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1217</w:t>
            </w:r>
          </w:p>
        </w:tc>
        <w:tc>
          <w:tcPr>
            <w:tcW w:w="2035" w:type="dxa"/>
            <w:tcBorders>
              <w:top w:val="single" w:sz="12" w:space="0" w:color="auto"/>
              <w:left w:val="nil"/>
              <w:bottom w:val="single" w:sz="4" w:space="0" w:color="auto"/>
              <w:right w:val="nil"/>
            </w:tcBorders>
            <w:shd w:val="clear" w:color="auto" w:fill="auto"/>
          </w:tcPr>
          <w:p w14:paraId="20DC12E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43,0 % plg. 32,2 %</w:t>
            </w:r>
          </w:p>
          <w:p w14:paraId="35CD045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[5,3 %, 16,1 %]</w:t>
            </w:r>
          </w:p>
        </w:tc>
        <w:tc>
          <w:tcPr>
            <w:tcW w:w="2694" w:type="dxa"/>
            <w:tcBorders>
              <w:top w:val="single" w:sz="12" w:space="0" w:color="auto"/>
              <w:left w:val="nil"/>
              <w:bottom w:val="single" w:sz="4" w:space="0" w:color="auto"/>
              <w:right w:val="nil"/>
            </w:tcBorders>
            <w:shd w:val="clear" w:color="auto" w:fill="auto"/>
          </w:tcPr>
          <w:p w14:paraId="152CB68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0,74</w:t>
            </w:r>
          </w:p>
          <w:p w14:paraId="6F633DF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[0,65-0,85]</w:t>
            </w:r>
          </w:p>
          <w:p w14:paraId="4D4D46A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5,7 mėn. plg. 5,8 mėn.</w:t>
            </w:r>
          </w:p>
          <w:p w14:paraId="289B924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p&lt;0,0001</w:t>
            </w:r>
          </w:p>
        </w:tc>
        <w:tc>
          <w:tcPr>
            <w:tcW w:w="2585" w:type="dxa"/>
            <w:tcBorders>
              <w:top w:val="single" w:sz="12" w:space="0" w:color="auto"/>
              <w:left w:val="nil"/>
              <w:bottom w:val="single" w:sz="4" w:space="0" w:color="auto"/>
              <w:right w:val="nil"/>
            </w:tcBorders>
            <w:shd w:val="clear" w:color="auto" w:fill="auto"/>
          </w:tcPr>
          <w:p w14:paraId="7347E7C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0,90</w:t>
            </w:r>
          </w:p>
          <w:p w14:paraId="28931D9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[0,79-1,02]</w:t>
            </w:r>
          </w:p>
          <w:p w14:paraId="2EE356D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18,8 mėn. plg. 17,4 mėn.</w:t>
            </w:r>
          </w:p>
          <w:p w14:paraId="628845C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p=0,1087</w:t>
            </w:r>
          </w:p>
        </w:tc>
      </w:tr>
      <w:tr w:rsidR="003744F7" w:rsidRPr="003744F7" w14:paraId="7CD93016" w14:textId="77777777" w:rsidTr="003F49E5">
        <w:tc>
          <w:tcPr>
            <w:tcW w:w="1843" w:type="dxa"/>
            <w:tcBorders>
              <w:left w:val="nil"/>
              <w:right w:val="nil"/>
            </w:tcBorders>
            <w:shd w:val="clear" w:color="auto" w:fill="auto"/>
          </w:tcPr>
          <w:p w14:paraId="4C191F2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EGFR</w:t>
            </w:r>
          </w:p>
          <w:p w14:paraId="7ACCC49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lastRenderedPageBreak/>
              <w:t>mutacijoms teigiami</w:t>
            </w:r>
          </w:p>
        </w:tc>
        <w:tc>
          <w:tcPr>
            <w:tcW w:w="658" w:type="dxa"/>
            <w:tcBorders>
              <w:left w:val="nil"/>
              <w:right w:val="nil"/>
            </w:tcBorders>
            <w:shd w:val="clear" w:color="auto" w:fill="auto"/>
          </w:tcPr>
          <w:p w14:paraId="1C9F32F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lastRenderedPageBreak/>
              <w:t>261</w:t>
            </w:r>
          </w:p>
        </w:tc>
        <w:tc>
          <w:tcPr>
            <w:tcW w:w="2035" w:type="dxa"/>
            <w:tcBorders>
              <w:left w:val="nil"/>
              <w:right w:val="nil"/>
            </w:tcBorders>
            <w:shd w:val="clear" w:color="auto" w:fill="auto"/>
          </w:tcPr>
          <w:p w14:paraId="2272301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71,2 % plg. 47,3 %</w:t>
            </w:r>
          </w:p>
          <w:p w14:paraId="11AB31A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[12,0 %, 34,9 %]</w:t>
            </w:r>
          </w:p>
        </w:tc>
        <w:tc>
          <w:tcPr>
            <w:tcW w:w="2694" w:type="dxa"/>
            <w:tcBorders>
              <w:left w:val="nil"/>
              <w:right w:val="nil"/>
            </w:tcBorders>
            <w:shd w:val="clear" w:color="auto" w:fill="auto"/>
          </w:tcPr>
          <w:p w14:paraId="6F9CAAF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0,48</w:t>
            </w:r>
          </w:p>
          <w:p w14:paraId="68576A4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[0,36-0,64]</w:t>
            </w:r>
          </w:p>
          <w:p w14:paraId="7C95B1A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lastRenderedPageBreak/>
              <w:t>9,5 mėn. plg.6,3 mėn.</w:t>
            </w:r>
          </w:p>
          <w:p w14:paraId="15CD884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p&lt;0.0001</w:t>
            </w:r>
          </w:p>
        </w:tc>
        <w:tc>
          <w:tcPr>
            <w:tcW w:w="2585" w:type="dxa"/>
            <w:tcBorders>
              <w:left w:val="nil"/>
              <w:right w:val="nil"/>
            </w:tcBorders>
            <w:shd w:val="clear" w:color="auto" w:fill="auto"/>
          </w:tcPr>
          <w:p w14:paraId="08F0A97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lastRenderedPageBreak/>
              <w:t>HR 1,00</w:t>
            </w:r>
          </w:p>
          <w:p w14:paraId="13A0EB4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[0,76-1,33]</w:t>
            </w:r>
          </w:p>
          <w:p w14:paraId="1F6EE87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lastRenderedPageBreak/>
              <w:t>21,6 mėn. plg. 21,9 mėn.</w:t>
            </w:r>
          </w:p>
        </w:tc>
      </w:tr>
      <w:tr w:rsidR="003744F7" w:rsidRPr="003744F7" w14:paraId="4E204F98" w14:textId="77777777" w:rsidTr="003F49E5">
        <w:tc>
          <w:tcPr>
            <w:tcW w:w="1843" w:type="dxa"/>
            <w:tcBorders>
              <w:left w:val="nil"/>
              <w:bottom w:val="single" w:sz="4" w:space="0" w:color="auto"/>
              <w:right w:val="nil"/>
            </w:tcBorders>
            <w:shd w:val="clear" w:color="auto" w:fill="auto"/>
          </w:tcPr>
          <w:p w14:paraId="3316BCC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lastRenderedPageBreak/>
              <w:t>EGFR</w:t>
            </w:r>
          </w:p>
          <w:p w14:paraId="0A559AE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mutacijoms neigiami</w:t>
            </w:r>
          </w:p>
        </w:tc>
        <w:tc>
          <w:tcPr>
            <w:tcW w:w="658" w:type="dxa"/>
            <w:tcBorders>
              <w:left w:val="nil"/>
              <w:bottom w:val="single" w:sz="4" w:space="0" w:color="auto"/>
              <w:right w:val="nil"/>
            </w:tcBorders>
            <w:shd w:val="clear" w:color="auto" w:fill="auto"/>
          </w:tcPr>
          <w:p w14:paraId="1123692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176</w:t>
            </w:r>
          </w:p>
        </w:tc>
        <w:tc>
          <w:tcPr>
            <w:tcW w:w="2035" w:type="dxa"/>
            <w:tcBorders>
              <w:left w:val="nil"/>
              <w:bottom w:val="single" w:sz="4" w:space="0" w:color="auto"/>
              <w:right w:val="nil"/>
            </w:tcBorders>
            <w:shd w:val="clear" w:color="auto" w:fill="auto"/>
          </w:tcPr>
          <w:p w14:paraId="1684E41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1,1 % plg. 23,5 %</w:t>
            </w:r>
          </w:p>
          <w:p w14:paraId="032F1CA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[-32,5 %, -13,3 %]</w:t>
            </w:r>
          </w:p>
        </w:tc>
        <w:tc>
          <w:tcPr>
            <w:tcW w:w="2694" w:type="dxa"/>
            <w:tcBorders>
              <w:left w:val="nil"/>
              <w:bottom w:val="single" w:sz="4" w:space="0" w:color="auto"/>
              <w:right w:val="nil"/>
            </w:tcBorders>
            <w:shd w:val="clear" w:color="auto" w:fill="auto"/>
          </w:tcPr>
          <w:p w14:paraId="416BD5E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2,85</w:t>
            </w:r>
          </w:p>
          <w:p w14:paraId="60FA4D4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[2,05-3,98]</w:t>
            </w:r>
          </w:p>
          <w:p w14:paraId="7D734A0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1,5 mėn. plg. 5,5 mėn.</w:t>
            </w:r>
          </w:p>
          <w:p w14:paraId="4AECA37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p&lt;0.0001</w:t>
            </w:r>
          </w:p>
        </w:tc>
        <w:tc>
          <w:tcPr>
            <w:tcW w:w="2585" w:type="dxa"/>
            <w:tcBorders>
              <w:left w:val="nil"/>
              <w:bottom w:val="single" w:sz="4" w:space="0" w:color="auto"/>
              <w:right w:val="nil"/>
            </w:tcBorders>
            <w:shd w:val="clear" w:color="auto" w:fill="auto"/>
          </w:tcPr>
          <w:p w14:paraId="73482F3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1,18</w:t>
            </w:r>
          </w:p>
          <w:p w14:paraId="334793F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[0,86-1,63]</w:t>
            </w:r>
          </w:p>
          <w:p w14:paraId="5C05307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11,2 mėn. plg. 12,7 mėn.</w:t>
            </w:r>
          </w:p>
        </w:tc>
      </w:tr>
      <w:tr w:rsidR="003744F7" w:rsidRPr="003744F7" w14:paraId="294B7B73" w14:textId="77777777" w:rsidTr="003F49E5">
        <w:tc>
          <w:tcPr>
            <w:tcW w:w="1843" w:type="dxa"/>
            <w:tcBorders>
              <w:left w:val="nil"/>
              <w:bottom w:val="single" w:sz="12" w:space="0" w:color="auto"/>
              <w:right w:val="nil"/>
            </w:tcBorders>
            <w:shd w:val="clear" w:color="auto" w:fill="auto"/>
          </w:tcPr>
          <w:p w14:paraId="489A4D5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EGFR</w:t>
            </w:r>
          </w:p>
          <w:p w14:paraId="6294E0C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mutacijoms nežinomi</w:t>
            </w:r>
          </w:p>
        </w:tc>
        <w:tc>
          <w:tcPr>
            <w:tcW w:w="658" w:type="dxa"/>
            <w:tcBorders>
              <w:left w:val="nil"/>
              <w:bottom w:val="single" w:sz="12" w:space="0" w:color="auto"/>
              <w:right w:val="nil"/>
            </w:tcBorders>
            <w:shd w:val="clear" w:color="auto" w:fill="auto"/>
          </w:tcPr>
          <w:p w14:paraId="047F657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780</w:t>
            </w:r>
          </w:p>
        </w:tc>
        <w:tc>
          <w:tcPr>
            <w:tcW w:w="2035" w:type="dxa"/>
            <w:tcBorders>
              <w:left w:val="nil"/>
              <w:bottom w:val="single" w:sz="12" w:space="0" w:color="auto"/>
              <w:right w:val="nil"/>
            </w:tcBorders>
            <w:shd w:val="clear" w:color="auto" w:fill="auto"/>
          </w:tcPr>
          <w:p w14:paraId="266565A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43,3 % plg. 29,2 %</w:t>
            </w:r>
          </w:p>
          <w:p w14:paraId="1AF940B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[7,3 %, 20,6 %]</w:t>
            </w:r>
          </w:p>
        </w:tc>
        <w:tc>
          <w:tcPr>
            <w:tcW w:w="2694" w:type="dxa"/>
            <w:tcBorders>
              <w:left w:val="nil"/>
              <w:bottom w:val="single" w:sz="12" w:space="0" w:color="auto"/>
              <w:right w:val="nil"/>
            </w:tcBorders>
            <w:shd w:val="clear" w:color="auto" w:fill="auto"/>
          </w:tcPr>
          <w:p w14:paraId="6735454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0,68</w:t>
            </w:r>
          </w:p>
          <w:p w14:paraId="01B0DFD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[0,58-0,81]</w:t>
            </w:r>
          </w:p>
          <w:p w14:paraId="7986E88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6.6 mėn. plg. 5,8 mėn.</w:t>
            </w:r>
          </w:p>
          <w:p w14:paraId="4794800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p&lt;0.0001</w:t>
            </w:r>
          </w:p>
        </w:tc>
        <w:tc>
          <w:tcPr>
            <w:tcW w:w="2585" w:type="dxa"/>
            <w:tcBorders>
              <w:left w:val="nil"/>
              <w:bottom w:val="single" w:sz="12" w:space="0" w:color="auto"/>
              <w:right w:val="nil"/>
            </w:tcBorders>
            <w:shd w:val="clear" w:color="auto" w:fill="auto"/>
          </w:tcPr>
          <w:p w14:paraId="27017C3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0,82</w:t>
            </w:r>
          </w:p>
          <w:p w14:paraId="7F072FB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[0,70-0,96]</w:t>
            </w:r>
          </w:p>
          <w:p w14:paraId="51BF0C6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18,9 mėn. plg. 17,2 mėn.</w:t>
            </w:r>
          </w:p>
        </w:tc>
      </w:tr>
    </w:tbl>
    <w:p w14:paraId="4FCBAED0"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szCs w:val="20"/>
          <w:lang w:eastAsia="lt-LT" w:bidi="lt-LT"/>
        </w:rPr>
      </w:pPr>
      <w:r w:rsidRPr="003744F7">
        <w:rPr>
          <w:rFonts w:ascii="Times New Roman" w:eastAsia="Times New Roman" w:hAnsi="Times New Roman" w:cs="Times New Roman"/>
          <w:bCs/>
          <w:iCs/>
          <w:sz w:val="20"/>
          <w:szCs w:val="20"/>
          <w:vertAlign w:val="superscript"/>
          <w:lang w:eastAsia="lt-LT" w:bidi="lt-LT"/>
        </w:rPr>
        <w:t>a</w:t>
      </w:r>
      <w:r w:rsidRPr="003744F7">
        <w:rPr>
          <w:rFonts w:ascii="Times New Roman" w:eastAsia="Times New Roman" w:hAnsi="Times New Roman" w:cs="Times New Roman"/>
          <w:bCs/>
          <w:iCs/>
          <w:sz w:val="20"/>
          <w:szCs w:val="20"/>
          <w:lang w:eastAsia="lt-LT" w:bidi="lt-LT"/>
        </w:rPr>
        <w:tab/>
        <w:t xml:space="preserve">Pateikiami duomenys palyginus su karboplatinos ir paklitakselio deriniu. </w:t>
      </w:r>
    </w:p>
    <w:p w14:paraId="53FE38B4"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szCs w:val="20"/>
          <w:lang w:eastAsia="lt-LT" w:bidi="lt-LT"/>
        </w:rPr>
      </w:pPr>
      <w:r w:rsidRPr="003744F7">
        <w:rPr>
          <w:rFonts w:ascii="Times New Roman" w:eastAsia="Times New Roman" w:hAnsi="Times New Roman" w:cs="Times New Roman"/>
          <w:bCs/>
          <w:iCs/>
          <w:sz w:val="20"/>
          <w:szCs w:val="20"/>
          <w:vertAlign w:val="superscript"/>
          <w:lang w:eastAsia="lt-LT" w:bidi="lt-LT"/>
        </w:rPr>
        <w:t>b</w:t>
      </w:r>
      <w:r w:rsidRPr="003744F7">
        <w:rPr>
          <w:rFonts w:ascii="Times New Roman" w:eastAsia="Times New Roman" w:hAnsi="Times New Roman" w:cs="Times New Roman"/>
          <w:bCs/>
          <w:iCs/>
          <w:sz w:val="20"/>
          <w:szCs w:val="20"/>
          <w:lang w:eastAsia="lt-LT" w:bidi="lt-LT"/>
        </w:rPr>
        <w:tab/>
        <w:t xml:space="preserve">“m” yra mediana mėnesiais.  Skaičiai laužtiniuose skliaustuose – </w:t>
      </w:r>
      <w:r w:rsidRPr="003744F7">
        <w:rPr>
          <w:rFonts w:ascii="Times New Roman" w:eastAsia="Times New Roman" w:hAnsi="Times New Roman" w:cs="Times New Roman"/>
          <w:bCs/>
          <w:iCs/>
          <w:lang w:eastAsia="lt-LT" w:bidi="lt-LT"/>
        </w:rPr>
        <w:t xml:space="preserve">HR </w:t>
      </w:r>
      <w:r w:rsidRPr="003744F7">
        <w:rPr>
          <w:rFonts w:ascii="Times New Roman" w:eastAsia="Times New Roman" w:hAnsi="Times New Roman" w:cs="Times New Roman"/>
          <w:bCs/>
          <w:iCs/>
          <w:sz w:val="20"/>
          <w:szCs w:val="20"/>
          <w:lang w:eastAsia="lt-LT" w:bidi="lt-LT"/>
        </w:rPr>
        <w:t xml:space="preserve">95 % pasikliautinieji intervalai. </w:t>
      </w:r>
    </w:p>
    <w:p w14:paraId="5AD234BF"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szCs w:val="20"/>
          <w:lang w:eastAsia="lt-LT" w:bidi="lt-LT"/>
        </w:rPr>
      </w:pPr>
      <w:r w:rsidRPr="003744F7">
        <w:rPr>
          <w:rFonts w:ascii="Times New Roman" w:eastAsia="Times New Roman" w:hAnsi="Times New Roman" w:cs="Times New Roman"/>
          <w:bCs/>
          <w:iCs/>
          <w:sz w:val="20"/>
          <w:szCs w:val="20"/>
          <w:lang w:eastAsia="lt-LT" w:bidi="lt-LT"/>
        </w:rPr>
        <w:t>N</w:t>
      </w:r>
      <w:r w:rsidRPr="003744F7">
        <w:rPr>
          <w:rFonts w:ascii="Times New Roman" w:eastAsia="Times New Roman" w:hAnsi="Times New Roman" w:cs="Times New Roman"/>
          <w:bCs/>
          <w:iCs/>
          <w:sz w:val="20"/>
          <w:szCs w:val="20"/>
          <w:lang w:eastAsia="lt-LT" w:bidi="lt-LT"/>
        </w:rPr>
        <w:tab/>
        <w:t>Atsitiktinai parinktų pacientų skaičius.</w:t>
      </w:r>
    </w:p>
    <w:p w14:paraId="4D3E57AE"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szCs w:val="20"/>
          <w:lang w:eastAsia="lt-LT" w:bidi="lt-LT"/>
        </w:rPr>
      </w:pPr>
      <w:r w:rsidRPr="003744F7">
        <w:rPr>
          <w:rFonts w:ascii="Times New Roman" w:eastAsia="Times New Roman" w:hAnsi="Times New Roman" w:cs="Times New Roman"/>
          <w:bCs/>
          <w:iCs/>
          <w:lang w:eastAsia="lt-LT" w:bidi="lt-LT"/>
        </w:rPr>
        <w:t>HR</w:t>
      </w:r>
      <w:r w:rsidRPr="003744F7">
        <w:rPr>
          <w:rFonts w:ascii="Times New Roman" w:eastAsia="Times New Roman" w:hAnsi="Times New Roman" w:cs="Times New Roman"/>
          <w:bCs/>
          <w:iCs/>
          <w:sz w:val="20"/>
          <w:szCs w:val="20"/>
          <w:lang w:eastAsia="lt-LT" w:bidi="lt-LT"/>
        </w:rPr>
        <w:tab/>
        <w:t xml:space="preserve">Rizikos santykis (angl. </w:t>
      </w:r>
      <w:r w:rsidRPr="003744F7">
        <w:rPr>
          <w:rFonts w:ascii="Times New Roman" w:eastAsia="Times New Roman" w:hAnsi="Times New Roman" w:cs="Times New Roman"/>
          <w:bCs/>
          <w:i/>
          <w:iCs/>
          <w:sz w:val="20"/>
          <w:szCs w:val="20"/>
          <w:lang w:eastAsia="lt-LT" w:bidi="lt-LT"/>
        </w:rPr>
        <w:t>Hazard ratio</w:t>
      </w:r>
      <w:r w:rsidRPr="003744F7">
        <w:rPr>
          <w:rFonts w:ascii="Times New Roman" w:eastAsia="Times New Roman" w:hAnsi="Times New Roman" w:cs="Times New Roman"/>
          <w:bCs/>
          <w:iCs/>
          <w:sz w:val="20"/>
          <w:szCs w:val="20"/>
          <w:lang w:eastAsia="lt-LT" w:bidi="lt-LT"/>
        </w:rPr>
        <w:t>, rizikos santykis &lt; 1 rodo palankesnį gefitinibo poveikį).</w:t>
      </w:r>
    </w:p>
    <w:p w14:paraId="6BB6954F"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lang w:eastAsia="lt-LT" w:bidi="lt-LT"/>
        </w:rPr>
      </w:pPr>
    </w:p>
    <w:p w14:paraId="568AF581"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lang w:eastAsia="lt-LT" w:bidi="lt-LT"/>
        </w:rPr>
      </w:pPr>
      <w:r w:rsidRPr="003744F7">
        <w:rPr>
          <w:rFonts w:ascii="Times New Roman" w:eastAsia="Times New Roman" w:hAnsi="Times New Roman" w:cs="Times New Roman"/>
          <w:iCs/>
          <w:noProof/>
          <w:lang w:eastAsia="lt-LT" w:bidi="lt-LT"/>
        </w:rPr>
        <w:t>Gyvenimo kokybės rodikliai priklausė nuo EGFR mutacijų būklės. Gyvenimo kokybė ir plaučių vėžio simptomai pagerėjo reikšmingai daugiau gefitinibą negu karboplatinos ir paklitakselio derinį vartojusių pacientų, kurių EGFR mutacijų tyrimo duomenys buvo teigiami (žr. 4 lentelę).</w:t>
      </w:r>
    </w:p>
    <w:p w14:paraId="2BF92ECE"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lang w:eastAsia="lt-LT" w:bidi="lt-LT"/>
        </w:rPr>
      </w:pPr>
    </w:p>
    <w:p w14:paraId="11855F9E"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
          <w:bCs/>
          <w:iCs/>
          <w:noProof/>
          <w:lang w:eastAsia="lt-LT" w:bidi="lt-LT"/>
        </w:rPr>
      </w:pPr>
      <w:r w:rsidRPr="003744F7">
        <w:rPr>
          <w:rFonts w:ascii="Times New Roman" w:eastAsia="Times New Roman" w:hAnsi="Times New Roman" w:cs="Times New Roman"/>
          <w:b/>
          <w:bCs/>
          <w:iCs/>
          <w:noProof/>
          <w:lang w:eastAsia="lt-LT" w:bidi="lt-LT"/>
        </w:rPr>
        <w:t>4 lentelė. IPASS tyrimo metu nustatyti gefitinibo poveikio gyvenimo kokybei (plg. su karboplatinos ir paklitakselio deriniu) rodikliai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92"/>
        <w:gridCol w:w="2977"/>
        <w:gridCol w:w="2977"/>
      </w:tblGrid>
      <w:tr w:rsidR="003744F7" w:rsidRPr="003744F7" w14:paraId="6178CED7" w14:textId="77777777" w:rsidTr="003F49E5">
        <w:tc>
          <w:tcPr>
            <w:tcW w:w="2127" w:type="dxa"/>
            <w:tcBorders>
              <w:top w:val="single" w:sz="12" w:space="0" w:color="auto"/>
              <w:left w:val="nil"/>
              <w:bottom w:val="single" w:sz="12" w:space="0" w:color="auto"/>
              <w:right w:val="nil"/>
            </w:tcBorders>
            <w:shd w:val="clear" w:color="auto" w:fill="auto"/>
          </w:tcPr>
          <w:p w14:paraId="44B1EE8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Populiacija</w:t>
            </w:r>
          </w:p>
        </w:tc>
        <w:tc>
          <w:tcPr>
            <w:tcW w:w="992" w:type="dxa"/>
            <w:tcBorders>
              <w:top w:val="single" w:sz="12" w:space="0" w:color="auto"/>
              <w:left w:val="nil"/>
              <w:bottom w:val="single" w:sz="12" w:space="0" w:color="auto"/>
              <w:right w:val="nil"/>
            </w:tcBorders>
            <w:shd w:val="clear" w:color="auto" w:fill="auto"/>
          </w:tcPr>
          <w:p w14:paraId="791807A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N</w:t>
            </w:r>
          </w:p>
        </w:tc>
        <w:tc>
          <w:tcPr>
            <w:tcW w:w="2977" w:type="dxa"/>
            <w:tcBorders>
              <w:top w:val="single" w:sz="12" w:space="0" w:color="auto"/>
              <w:left w:val="nil"/>
              <w:bottom w:val="single" w:sz="12" w:space="0" w:color="auto"/>
              <w:right w:val="nil"/>
            </w:tcBorders>
            <w:shd w:val="clear" w:color="auto" w:fill="auto"/>
          </w:tcPr>
          <w:p w14:paraId="29EB943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FACT-L QoL pagerėjimo dažnis </w:t>
            </w:r>
            <w:r w:rsidRPr="003744F7">
              <w:rPr>
                <w:rFonts w:ascii="Times New Roman" w:eastAsia="Times New Roman" w:hAnsi="Times New Roman" w:cs="Times New Roman"/>
                <w:b/>
                <w:bCs/>
                <w:iCs/>
                <w:vertAlign w:val="superscript"/>
                <w:lang w:eastAsia="lt-LT" w:bidi="lt-LT"/>
              </w:rPr>
              <w:t>a</w:t>
            </w:r>
            <w:r w:rsidRPr="003744F7">
              <w:rPr>
                <w:rFonts w:ascii="Times New Roman" w:eastAsia="Times New Roman" w:hAnsi="Times New Roman" w:cs="Times New Roman"/>
                <w:b/>
                <w:bCs/>
                <w:iCs/>
                <w:lang w:eastAsia="lt-LT" w:bidi="lt-LT"/>
              </w:rPr>
              <w:t xml:space="preserve"> %</w:t>
            </w:r>
          </w:p>
        </w:tc>
        <w:tc>
          <w:tcPr>
            <w:tcW w:w="2977" w:type="dxa"/>
            <w:tcBorders>
              <w:top w:val="single" w:sz="12" w:space="0" w:color="auto"/>
              <w:left w:val="nil"/>
              <w:bottom w:val="single" w:sz="12" w:space="0" w:color="auto"/>
              <w:right w:val="nil"/>
            </w:tcBorders>
            <w:shd w:val="clear" w:color="auto" w:fill="auto"/>
          </w:tcPr>
          <w:p w14:paraId="4DA22BD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LCS simptomų palengvėjimo dažnis </w:t>
            </w:r>
            <w:r w:rsidRPr="003744F7">
              <w:rPr>
                <w:rFonts w:ascii="Times New Roman" w:eastAsia="Times New Roman" w:hAnsi="Times New Roman" w:cs="Times New Roman"/>
                <w:b/>
                <w:bCs/>
                <w:iCs/>
                <w:vertAlign w:val="superscript"/>
                <w:lang w:eastAsia="lt-LT" w:bidi="lt-LT"/>
              </w:rPr>
              <w:t>a</w:t>
            </w:r>
            <w:r w:rsidRPr="003744F7">
              <w:rPr>
                <w:rFonts w:ascii="Times New Roman" w:eastAsia="Times New Roman" w:hAnsi="Times New Roman" w:cs="Times New Roman"/>
                <w:b/>
                <w:bCs/>
                <w:iCs/>
                <w:lang w:eastAsia="lt-LT" w:bidi="lt-LT"/>
              </w:rPr>
              <w:t xml:space="preserve"> %</w:t>
            </w:r>
          </w:p>
        </w:tc>
      </w:tr>
      <w:tr w:rsidR="003744F7" w:rsidRPr="003744F7" w14:paraId="4FDFE393" w14:textId="77777777" w:rsidTr="003F49E5">
        <w:tc>
          <w:tcPr>
            <w:tcW w:w="2127" w:type="dxa"/>
            <w:tcBorders>
              <w:top w:val="single" w:sz="12" w:space="0" w:color="auto"/>
              <w:left w:val="nil"/>
              <w:bottom w:val="single" w:sz="4" w:space="0" w:color="auto"/>
              <w:right w:val="nil"/>
            </w:tcBorders>
            <w:shd w:val="clear" w:color="auto" w:fill="auto"/>
          </w:tcPr>
          <w:p w14:paraId="72A3F1F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Iš viso</w:t>
            </w:r>
          </w:p>
        </w:tc>
        <w:tc>
          <w:tcPr>
            <w:tcW w:w="992" w:type="dxa"/>
            <w:tcBorders>
              <w:top w:val="single" w:sz="12" w:space="0" w:color="auto"/>
              <w:left w:val="nil"/>
              <w:bottom w:val="single" w:sz="4" w:space="0" w:color="auto"/>
              <w:right w:val="nil"/>
            </w:tcBorders>
            <w:shd w:val="clear" w:color="auto" w:fill="auto"/>
          </w:tcPr>
          <w:p w14:paraId="16872F4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1151</w:t>
            </w:r>
          </w:p>
        </w:tc>
        <w:tc>
          <w:tcPr>
            <w:tcW w:w="2977" w:type="dxa"/>
            <w:tcBorders>
              <w:top w:val="single" w:sz="12" w:space="0" w:color="auto"/>
              <w:left w:val="nil"/>
              <w:bottom w:val="single" w:sz="4" w:space="0" w:color="auto"/>
              <w:right w:val="nil"/>
            </w:tcBorders>
            <w:shd w:val="clear" w:color="auto" w:fill="auto"/>
          </w:tcPr>
          <w:p w14:paraId="5B2CC13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(48,0 % plg. 40,8 %)</w:t>
            </w:r>
          </w:p>
          <w:p w14:paraId="5EFDCE7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p=0,0148</w:t>
            </w:r>
          </w:p>
        </w:tc>
        <w:tc>
          <w:tcPr>
            <w:tcW w:w="2977" w:type="dxa"/>
            <w:tcBorders>
              <w:top w:val="single" w:sz="12" w:space="0" w:color="auto"/>
              <w:left w:val="nil"/>
              <w:bottom w:val="single" w:sz="4" w:space="0" w:color="auto"/>
              <w:right w:val="nil"/>
            </w:tcBorders>
            <w:shd w:val="clear" w:color="auto" w:fill="auto"/>
          </w:tcPr>
          <w:p w14:paraId="49E7C4B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(51,5 % plg. 48,5 %)</w:t>
            </w:r>
          </w:p>
          <w:p w14:paraId="5B726D8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p=0,3037</w:t>
            </w:r>
          </w:p>
        </w:tc>
      </w:tr>
      <w:tr w:rsidR="003744F7" w:rsidRPr="003744F7" w14:paraId="1AD9296C" w14:textId="77777777" w:rsidTr="003F49E5">
        <w:tc>
          <w:tcPr>
            <w:tcW w:w="2127" w:type="dxa"/>
            <w:tcBorders>
              <w:left w:val="nil"/>
              <w:bottom w:val="single" w:sz="4" w:space="0" w:color="auto"/>
              <w:right w:val="nil"/>
            </w:tcBorders>
            <w:shd w:val="clear" w:color="auto" w:fill="auto"/>
          </w:tcPr>
          <w:p w14:paraId="5B2A65F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EGFR</w:t>
            </w:r>
          </w:p>
          <w:p w14:paraId="04961C8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mutacijoms teigiami</w:t>
            </w:r>
          </w:p>
        </w:tc>
        <w:tc>
          <w:tcPr>
            <w:tcW w:w="992" w:type="dxa"/>
            <w:tcBorders>
              <w:left w:val="nil"/>
              <w:bottom w:val="single" w:sz="4" w:space="0" w:color="auto"/>
              <w:right w:val="nil"/>
            </w:tcBorders>
            <w:shd w:val="clear" w:color="auto" w:fill="auto"/>
          </w:tcPr>
          <w:p w14:paraId="0DD14D8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259</w:t>
            </w:r>
          </w:p>
        </w:tc>
        <w:tc>
          <w:tcPr>
            <w:tcW w:w="2977" w:type="dxa"/>
            <w:tcBorders>
              <w:left w:val="nil"/>
              <w:bottom w:val="single" w:sz="4" w:space="0" w:color="auto"/>
              <w:right w:val="nil"/>
            </w:tcBorders>
            <w:shd w:val="clear" w:color="auto" w:fill="auto"/>
          </w:tcPr>
          <w:p w14:paraId="3198B9E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(70,2 % plg. 44,5 %)</w:t>
            </w:r>
          </w:p>
          <w:p w14:paraId="4B213FD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p&lt;0.0001</w:t>
            </w:r>
          </w:p>
        </w:tc>
        <w:tc>
          <w:tcPr>
            <w:tcW w:w="2977" w:type="dxa"/>
            <w:tcBorders>
              <w:left w:val="nil"/>
              <w:bottom w:val="single" w:sz="4" w:space="0" w:color="auto"/>
              <w:right w:val="nil"/>
            </w:tcBorders>
            <w:shd w:val="clear" w:color="auto" w:fill="auto"/>
          </w:tcPr>
          <w:p w14:paraId="559B024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(75,6 % plg. 53,9 %)</w:t>
            </w:r>
          </w:p>
          <w:p w14:paraId="36B3629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p=0,0003</w:t>
            </w:r>
          </w:p>
        </w:tc>
      </w:tr>
      <w:tr w:rsidR="003744F7" w:rsidRPr="003744F7" w14:paraId="3F175B30" w14:textId="77777777" w:rsidTr="003F49E5">
        <w:tc>
          <w:tcPr>
            <w:tcW w:w="2127" w:type="dxa"/>
            <w:tcBorders>
              <w:left w:val="nil"/>
              <w:bottom w:val="single" w:sz="12" w:space="0" w:color="auto"/>
              <w:right w:val="nil"/>
            </w:tcBorders>
            <w:shd w:val="clear" w:color="auto" w:fill="auto"/>
          </w:tcPr>
          <w:p w14:paraId="1816D86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EGFR</w:t>
            </w:r>
          </w:p>
          <w:p w14:paraId="3F7965F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mutacijoms teigiami</w:t>
            </w:r>
          </w:p>
        </w:tc>
        <w:tc>
          <w:tcPr>
            <w:tcW w:w="992" w:type="dxa"/>
            <w:tcBorders>
              <w:left w:val="nil"/>
              <w:bottom w:val="single" w:sz="12" w:space="0" w:color="auto"/>
              <w:right w:val="nil"/>
            </w:tcBorders>
            <w:shd w:val="clear" w:color="auto" w:fill="auto"/>
          </w:tcPr>
          <w:p w14:paraId="2F48F66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169</w:t>
            </w:r>
          </w:p>
        </w:tc>
        <w:tc>
          <w:tcPr>
            <w:tcW w:w="2977" w:type="dxa"/>
            <w:tcBorders>
              <w:left w:val="nil"/>
              <w:bottom w:val="single" w:sz="12" w:space="0" w:color="auto"/>
              <w:right w:val="nil"/>
            </w:tcBorders>
            <w:shd w:val="clear" w:color="auto" w:fill="auto"/>
          </w:tcPr>
          <w:p w14:paraId="1D212F6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(14,6 % plg. 36,3 %)</w:t>
            </w:r>
          </w:p>
          <w:p w14:paraId="1D232F9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p=0,0021</w:t>
            </w:r>
          </w:p>
        </w:tc>
        <w:tc>
          <w:tcPr>
            <w:tcW w:w="2977" w:type="dxa"/>
            <w:tcBorders>
              <w:left w:val="nil"/>
              <w:bottom w:val="single" w:sz="12" w:space="0" w:color="auto"/>
              <w:right w:val="nil"/>
            </w:tcBorders>
            <w:shd w:val="clear" w:color="auto" w:fill="auto"/>
          </w:tcPr>
          <w:p w14:paraId="69E4C8A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(20,2 % plg. 47,5 %)</w:t>
            </w:r>
          </w:p>
          <w:p w14:paraId="08F1CB7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p=0,0002</w:t>
            </w:r>
          </w:p>
        </w:tc>
      </w:tr>
    </w:tbl>
    <w:p w14:paraId="7E121ACC"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sz w:val="20"/>
          <w:szCs w:val="20"/>
          <w:lang w:eastAsia="lt-LT" w:bidi="lt-LT"/>
        </w:rPr>
      </w:pPr>
      <w:r w:rsidRPr="003744F7">
        <w:rPr>
          <w:rFonts w:ascii="Times New Roman" w:eastAsia="Times New Roman" w:hAnsi="Times New Roman" w:cs="Times New Roman"/>
          <w:iCs/>
          <w:noProof/>
          <w:sz w:val="20"/>
          <w:szCs w:val="20"/>
          <w:lang w:eastAsia="lt-LT" w:bidi="lt-LT"/>
        </w:rPr>
        <w:t>Tyrimo rodiklių indekso duomenys atitiko FACT-L ir LCS duomenis</w:t>
      </w:r>
    </w:p>
    <w:p w14:paraId="179B0690"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sz w:val="20"/>
          <w:szCs w:val="20"/>
          <w:lang w:eastAsia="lt-LT" w:bidi="lt-LT"/>
        </w:rPr>
      </w:pPr>
      <w:r w:rsidRPr="003744F7">
        <w:rPr>
          <w:rFonts w:ascii="Times New Roman" w:eastAsia="Times New Roman" w:hAnsi="Times New Roman" w:cs="Times New Roman"/>
          <w:iCs/>
          <w:noProof/>
          <w:sz w:val="20"/>
          <w:szCs w:val="20"/>
          <w:vertAlign w:val="superscript"/>
          <w:lang w:eastAsia="lt-LT" w:bidi="lt-LT"/>
        </w:rPr>
        <w:t>a</w:t>
      </w:r>
      <w:r w:rsidRPr="003744F7">
        <w:rPr>
          <w:rFonts w:ascii="Times New Roman" w:eastAsia="Times New Roman" w:hAnsi="Times New Roman" w:cs="Times New Roman"/>
          <w:iCs/>
          <w:noProof/>
          <w:sz w:val="20"/>
          <w:szCs w:val="20"/>
          <w:lang w:eastAsia="lt-LT" w:bidi="lt-LT"/>
        </w:rPr>
        <w:tab/>
      </w:r>
      <w:r w:rsidRPr="003744F7">
        <w:rPr>
          <w:rFonts w:ascii="Times New Roman" w:eastAsia="Times New Roman" w:hAnsi="Times New Roman" w:cs="Times New Roman"/>
          <w:iCs/>
          <w:noProof/>
          <w:sz w:val="20"/>
          <w:szCs w:val="20"/>
          <w:lang w:eastAsia="lt-LT" w:bidi="lt-LT"/>
        </w:rPr>
        <w:tab/>
        <w:t>Pateikiami gefatinibo duomenys palyginus su karboplatinos ir paklitakselio deriniu</w:t>
      </w:r>
    </w:p>
    <w:p w14:paraId="31577EEE"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sz w:val="20"/>
          <w:szCs w:val="20"/>
          <w:lang w:eastAsia="lt-LT" w:bidi="lt-LT"/>
        </w:rPr>
      </w:pPr>
      <w:r w:rsidRPr="003744F7">
        <w:rPr>
          <w:rFonts w:ascii="Times New Roman" w:eastAsia="Times New Roman" w:hAnsi="Times New Roman" w:cs="Times New Roman"/>
          <w:iCs/>
          <w:noProof/>
          <w:sz w:val="20"/>
          <w:szCs w:val="20"/>
          <w:lang w:eastAsia="lt-LT" w:bidi="lt-LT"/>
        </w:rPr>
        <w:t xml:space="preserve">N </w:t>
      </w:r>
      <w:r w:rsidRPr="003744F7">
        <w:rPr>
          <w:rFonts w:ascii="Times New Roman" w:eastAsia="Times New Roman" w:hAnsi="Times New Roman" w:cs="Times New Roman"/>
          <w:iCs/>
          <w:noProof/>
          <w:sz w:val="20"/>
          <w:szCs w:val="20"/>
          <w:lang w:eastAsia="lt-LT" w:bidi="lt-LT"/>
        </w:rPr>
        <w:tab/>
      </w:r>
      <w:r w:rsidRPr="003744F7">
        <w:rPr>
          <w:rFonts w:ascii="Times New Roman" w:eastAsia="Times New Roman" w:hAnsi="Times New Roman" w:cs="Times New Roman"/>
          <w:iCs/>
          <w:noProof/>
          <w:sz w:val="20"/>
          <w:szCs w:val="20"/>
          <w:lang w:eastAsia="lt-LT" w:bidi="lt-LT"/>
        </w:rPr>
        <w:tab/>
        <w:t>Pacientų, kurių gyvenimo kokybės analizę buvo galima atlikti, skaičius</w:t>
      </w:r>
    </w:p>
    <w:p w14:paraId="04AD4848"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sz w:val="20"/>
          <w:szCs w:val="20"/>
          <w:lang w:eastAsia="lt-LT" w:bidi="lt-LT"/>
        </w:rPr>
      </w:pPr>
      <w:r w:rsidRPr="003744F7">
        <w:rPr>
          <w:rFonts w:ascii="Times New Roman" w:eastAsia="Times New Roman" w:hAnsi="Times New Roman" w:cs="Times New Roman"/>
          <w:iCs/>
          <w:noProof/>
          <w:sz w:val="20"/>
          <w:szCs w:val="20"/>
          <w:lang w:eastAsia="lt-LT" w:bidi="lt-LT"/>
        </w:rPr>
        <w:t xml:space="preserve">QoL </w:t>
      </w:r>
      <w:r w:rsidRPr="003744F7">
        <w:rPr>
          <w:rFonts w:ascii="Times New Roman" w:eastAsia="Times New Roman" w:hAnsi="Times New Roman" w:cs="Times New Roman"/>
          <w:iCs/>
          <w:noProof/>
          <w:sz w:val="20"/>
          <w:szCs w:val="20"/>
          <w:lang w:eastAsia="lt-LT" w:bidi="lt-LT"/>
        </w:rPr>
        <w:tab/>
      </w:r>
      <w:r w:rsidRPr="003744F7">
        <w:rPr>
          <w:rFonts w:ascii="Times New Roman" w:eastAsia="Times New Roman" w:hAnsi="Times New Roman" w:cs="Times New Roman"/>
          <w:iCs/>
          <w:noProof/>
          <w:sz w:val="20"/>
          <w:szCs w:val="20"/>
          <w:lang w:eastAsia="lt-LT" w:bidi="lt-LT"/>
        </w:rPr>
        <w:tab/>
        <w:t xml:space="preserve">Gyvenimo kokybė (angl. </w:t>
      </w:r>
      <w:r w:rsidRPr="003744F7">
        <w:rPr>
          <w:rFonts w:ascii="Times New Roman" w:eastAsia="Times New Roman" w:hAnsi="Times New Roman" w:cs="Times New Roman"/>
          <w:i/>
          <w:iCs/>
          <w:noProof/>
          <w:sz w:val="20"/>
          <w:szCs w:val="20"/>
          <w:lang w:eastAsia="lt-LT" w:bidi="lt-LT"/>
        </w:rPr>
        <w:t>Quality of life</w:t>
      </w:r>
      <w:r w:rsidRPr="003744F7">
        <w:rPr>
          <w:rFonts w:ascii="Times New Roman" w:eastAsia="Times New Roman" w:hAnsi="Times New Roman" w:cs="Times New Roman"/>
          <w:iCs/>
          <w:noProof/>
          <w:sz w:val="20"/>
          <w:szCs w:val="20"/>
          <w:lang w:eastAsia="lt-LT" w:bidi="lt-LT"/>
        </w:rPr>
        <w:t>)</w:t>
      </w:r>
    </w:p>
    <w:p w14:paraId="06BAA124"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sz w:val="20"/>
          <w:szCs w:val="20"/>
          <w:lang w:eastAsia="lt-LT" w:bidi="lt-LT"/>
        </w:rPr>
      </w:pPr>
      <w:r w:rsidRPr="003744F7">
        <w:rPr>
          <w:rFonts w:ascii="Times New Roman" w:eastAsia="Times New Roman" w:hAnsi="Times New Roman" w:cs="Times New Roman"/>
          <w:iCs/>
          <w:noProof/>
          <w:sz w:val="20"/>
          <w:szCs w:val="20"/>
          <w:lang w:eastAsia="lt-LT" w:bidi="lt-LT"/>
        </w:rPr>
        <w:t xml:space="preserve">FACT-L Funkcinis (plaučių) vėžio gydymo vertinimas (angl. </w:t>
      </w:r>
      <w:r w:rsidRPr="003744F7">
        <w:rPr>
          <w:rFonts w:ascii="Times New Roman" w:eastAsia="Times New Roman" w:hAnsi="Times New Roman" w:cs="Times New Roman"/>
          <w:i/>
          <w:iCs/>
          <w:noProof/>
          <w:sz w:val="20"/>
          <w:szCs w:val="20"/>
          <w:lang w:eastAsia="lt-LT" w:bidi="lt-LT"/>
        </w:rPr>
        <w:t>Functional assessment of cancer therapy – lung</w:t>
      </w:r>
      <w:r w:rsidRPr="003744F7">
        <w:rPr>
          <w:rFonts w:ascii="Times New Roman" w:eastAsia="Times New Roman" w:hAnsi="Times New Roman" w:cs="Times New Roman"/>
          <w:iCs/>
          <w:noProof/>
          <w:sz w:val="20"/>
          <w:szCs w:val="20"/>
          <w:lang w:eastAsia="lt-LT" w:bidi="lt-LT"/>
        </w:rPr>
        <w:t>)</w:t>
      </w:r>
    </w:p>
    <w:p w14:paraId="40C49149"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sz w:val="20"/>
          <w:szCs w:val="20"/>
          <w:lang w:eastAsia="lt-LT" w:bidi="lt-LT"/>
        </w:rPr>
      </w:pPr>
      <w:r w:rsidRPr="003744F7">
        <w:rPr>
          <w:rFonts w:ascii="Times New Roman" w:eastAsia="Times New Roman" w:hAnsi="Times New Roman" w:cs="Times New Roman"/>
          <w:iCs/>
          <w:noProof/>
          <w:sz w:val="20"/>
          <w:szCs w:val="20"/>
          <w:lang w:eastAsia="lt-LT" w:bidi="lt-LT"/>
        </w:rPr>
        <w:t xml:space="preserve">LCS </w:t>
      </w:r>
      <w:r w:rsidRPr="003744F7">
        <w:rPr>
          <w:rFonts w:ascii="Times New Roman" w:eastAsia="Times New Roman" w:hAnsi="Times New Roman" w:cs="Times New Roman"/>
          <w:iCs/>
          <w:noProof/>
          <w:sz w:val="20"/>
          <w:szCs w:val="20"/>
          <w:lang w:eastAsia="lt-LT" w:bidi="lt-LT"/>
        </w:rPr>
        <w:tab/>
      </w:r>
      <w:r w:rsidRPr="003744F7">
        <w:rPr>
          <w:rFonts w:ascii="Times New Roman" w:eastAsia="Times New Roman" w:hAnsi="Times New Roman" w:cs="Times New Roman"/>
          <w:iCs/>
          <w:noProof/>
          <w:sz w:val="20"/>
          <w:szCs w:val="20"/>
          <w:lang w:eastAsia="lt-LT" w:bidi="lt-LT"/>
        </w:rPr>
        <w:tab/>
        <w:t xml:space="preserve">Plaučių vėžio subskalė (angl. </w:t>
      </w:r>
      <w:r w:rsidRPr="003744F7">
        <w:rPr>
          <w:rFonts w:ascii="Times New Roman" w:eastAsia="Times New Roman" w:hAnsi="Times New Roman" w:cs="Times New Roman"/>
          <w:i/>
          <w:iCs/>
          <w:noProof/>
          <w:sz w:val="20"/>
          <w:szCs w:val="20"/>
          <w:lang w:eastAsia="lt-LT" w:bidi="lt-LT"/>
        </w:rPr>
        <w:t>Lung cancer subscale</w:t>
      </w:r>
      <w:r w:rsidRPr="003744F7">
        <w:rPr>
          <w:rFonts w:ascii="Times New Roman" w:eastAsia="Times New Roman" w:hAnsi="Times New Roman" w:cs="Times New Roman"/>
          <w:iCs/>
          <w:noProof/>
          <w:sz w:val="20"/>
          <w:szCs w:val="20"/>
          <w:lang w:eastAsia="lt-LT" w:bidi="lt-LT"/>
        </w:rPr>
        <w:t>)</w:t>
      </w:r>
    </w:p>
    <w:p w14:paraId="500661A1"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sz w:val="20"/>
          <w:szCs w:val="20"/>
          <w:lang w:eastAsia="lt-LT" w:bidi="lt-LT"/>
        </w:rPr>
      </w:pPr>
    </w:p>
    <w:p w14:paraId="1FDC3B9A"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lang w:eastAsia="lt-LT" w:bidi="lt-LT"/>
        </w:rPr>
      </w:pPr>
      <w:r w:rsidRPr="003744F7">
        <w:rPr>
          <w:rFonts w:ascii="Times New Roman" w:eastAsia="Times New Roman" w:hAnsi="Times New Roman" w:cs="Times New Roman"/>
          <w:iCs/>
          <w:noProof/>
          <w:lang w:eastAsia="lt-LT" w:bidi="lt-LT"/>
        </w:rPr>
        <w:t xml:space="preserve">IPASS tyrimas parodė palankesnį gefatinibo negu karboplatinos ir paklitakselio derinio poveikį anksčiau negydytų pacientų, sergančių lokaliai progresavusiu ar metastazavusiu NSCLC, kurių navikas turi EGFR tirozino kinazę aktyvinančių mutacijų, neprogresuojant ligai išgyventam laikotarpiui (angl. </w:t>
      </w:r>
      <w:r w:rsidRPr="003744F7">
        <w:rPr>
          <w:rFonts w:ascii="Times New Roman" w:eastAsia="Times New Roman" w:hAnsi="Times New Roman" w:cs="Times New Roman"/>
          <w:i/>
          <w:iCs/>
          <w:noProof/>
          <w:lang w:eastAsia="lt-LT" w:bidi="lt-LT"/>
        </w:rPr>
        <w:t>Progression-free survival,</w:t>
      </w:r>
      <w:r w:rsidRPr="003744F7">
        <w:rPr>
          <w:rFonts w:ascii="Times New Roman" w:eastAsia="Times New Roman" w:hAnsi="Times New Roman" w:cs="Times New Roman"/>
          <w:iCs/>
          <w:noProof/>
          <w:lang w:eastAsia="lt-LT" w:bidi="lt-LT"/>
        </w:rPr>
        <w:t xml:space="preserve"> PFS), bendram atsako dažniui (ORR angl. </w:t>
      </w:r>
      <w:r w:rsidRPr="003744F7">
        <w:rPr>
          <w:rFonts w:ascii="Times New Roman" w:eastAsia="Times New Roman" w:hAnsi="Times New Roman" w:cs="Times New Roman"/>
          <w:i/>
          <w:iCs/>
          <w:noProof/>
          <w:lang w:eastAsia="lt-LT" w:bidi="lt-LT"/>
        </w:rPr>
        <w:t>Overall response rate</w:t>
      </w:r>
      <w:r w:rsidRPr="003744F7">
        <w:rPr>
          <w:rFonts w:ascii="Times New Roman" w:eastAsia="Times New Roman" w:hAnsi="Times New Roman" w:cs="Times New Roman"/>
          <w:iCs/>
          <w:noProof/>
          <w:lang w:eastAsia="lt-LT" w:bidi="lt-LT"/>
        </w:rPr>
        <w:t>), gyvenimo kokybei (QoL) ir simptomų palengvėjimui, o reikšmingo bendro išgyvento laikotarpio skirtumo neparodė.</w:t>
      </w:r>
    </w:p>
    <w:p w14:paraId="5EE73BD0"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lang w:eastAsia="lt-LT" w:bidi="lt-LT"/>
        </w:rPr>
      </w:pPr>
    </w:p>
    <w:p w14:paraId="67EE9598"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
          <w:iCs/>
          <w:noProof/>
          <w:lang w:eastAsia="lt-LT" w:bidi="lt-LT"/>
        </w:rPr>
      </w:pPr>
      <w:r w:rsidRPr="003744F7">
        <w:rPr>
          <w:rFonts w:ascii="Times New Roman" w:eastAsia="Times New Roman" w:hAnsi="Times New Roman" w:cs="Times New Roman"/>
          <w:i/>
          <w:iCs/>
          <w:noProof/>
          <w:lang w:eastAsia="lt-LT" w:bidi="lt-LT"/>
        </w:rPr>
        <w:t>Iki tol gydyti pacientai</w:t>
      </w:r>
    </w:p>
    <w:p w14:paraId="46EDCBCC"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lang w:eastAsia="lt-LT" w:bidi="lt-LT"/>
        </w:rPr>
      </w:pPr>
      <w:r w:rsidRPr="003744F7">
        <w:rPr>
          <w:rFonts w:ascii="Times New Roman" w:eastAsia="Times New Roman" w:hAnsi="Times New Roman" w:cs="Times New Roman"/>
          <w:iCs/>
          <w:noProof/>
          <w:lang w:eastAsia="lt-LT" w:bidi="lt-LT"/>
        </w:rPr>
        <w:t>Atsitiktinės atrankos III fazės INTEREST tyrime dalyvavo lokaliai progresavusiu arba metastazavusiu nesmulkiųjų ląstelių plaučių vėžiu sirgę pacientai po chemoterapijos, kurios pagrindinis vaistinis preparatas buvo platinos preparatas. Bendroje populiacijoje statistikai reikšmingo gefitinibo ir docetakselio (75 mg/m</w:t>
      </w:r>
      <w:r w:rsidRPr="003744F7">
        <w:rPr>
          <w:rFonts w:ascii="Times New Roman" w:eastAsia="Times New Roman" w:hAnsi="Times New Roman" w:cs="Times New Roman"/>
          <w:iCs/>
          <w:noProof/>
          <w:vertAlign w:val="superscript"/>
          <w:lang w:eastAsia="lt-LT" w:bidi="lt-LT"/>
        </w:rPr>
        <w:t>2</w:t>
      </w:r>
      <w:r w:rsidRPr="003744F7">
        <w:rPr>
          <w:rFonts w:ascii="Times New Roman" w:eastAsia="Times New Roman" w:hAnsi="Times New Roman" w:cs="Times New Roman"/>
          <w:iCs/>
          <w:noProof/>
          <w:lang w:eastAsia="lt-LT" w:bidi="lt-LT"/>
        </w:rPr>
        <w:t>) poveikio bendram išgyvenimui, neprogresuojant ligai išgyvento laikotarpio trukmei ir jų sukelto objektyvaus atsako dažnio skirtumo nenustatyta (žr. 5 lentelę).</w:t>
      </w:r>
    </w:p>
    <w:p w14:paraId="2BB03A4F" w14:textId="77777777" w:rsidR="003744F7" w:rsidRPr="003744F7" w:rsidRDefault="003744F7" w:rsidP="003744F7">
      <w:pPr>
        <w:tabs>
          <w:tab w:val="left" w:pos="567"/>
        </w:tabs>
        <w:spacing w:after="0" w:line="240" w:lineRule="auto"/>
        <w:rPr>
          <w:rFonts w:ascii="Times New Roman" w:eastAsia="Times New Roman" w:hAnsi="Times New Roman" w:cs="Times New Roman"/>
          <w:bCs/>
          <w:iCs/>
          <w:lang w:eastAsia="lt-LT" w:bidi="lt-LT"/>
        </w:rPr>
      </w:pPr>
    </w:p>
    <w:p w14:paraId="22B9C371"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lastRenderedPageBreak/>
        <w:t xml:space="preserve">5 lentelė. INTEREST tyrimo metu nustatyti gefitinibo veiksmingumo rodikliai plg. su docetakseliu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8"/>
        <w:gridCol w:w="2035"/>
        <w:gridCol w:w="2694"/>
        <w:gridCol w:w="1842"/>
      </w:tblGrid>
      <w:tr w:rsidR="003744F7" w:rsidRPr="003744F7" w14:paraId="4CB22993" w14:textId="77777777" w:rsidTr="003F49E5">
        <w:tc>
          <w:tcPr>
            <w:tcW w:w="1843" w:type="dxa"/>
            <w:tcBorders>
              <w:top w:val="single" w:sz="12" w:space="0" w:color="auto"/>
              <w:left w:val="nil"/>
              <w:bottom w:val="single" w:sz="12" w:space="0" w:color="auto"/>
              <w:right w:val="nil"/>
            </w:tcBorders>
            <w:shd w:val="clear" w:color="auto" w:fill="auto"/>
          </w:tcPr>
          <w:p w14:paraId="4B8B7841"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Populiacija</w:t>
            </w:r>
          </w:p>
        </w:tc>
        <w:tc>
          <w:tcPr>
            <w:tcW w:w="658" w:type="dxa"/>
            <w:tcBorders>
              <w:top w:val="single" w:sz="12" w:space="0" w:color="auto"/>
              <w:left w:val="nil"/>
              <w:bottom w:val="single" w:sz="12" w:space="0" w:color="auto"/>
              <w:right w:val="nil"/>
            </w:tcBorders>
            <w:shd w:val="clear" w:color="auto" w:fill="auto"/>
          </w:tcPr>
          <w:p w14:paraId="409123EA"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N</w:t>
            </w:r>
          </w:p>
        </w:tc>
        <w:tc>
          <w:tcPr>
            <w:tcW w:w="2035" w:type="dxa"/>
            <w:tcBorders>
              <w:top w:val="single" w:sz="12" w:space="0" w:color="auto"/>
              <w:left w:val="nil"/>
              <w:bottom w:val="single" w:sz="12" w:space="0" w:color="auto"/>
              <w:right w:val="nil"/>
            </w:tcBorders>
            <w:shd w:val="clear" w:color="auto" w:fill="auto"/>
          </w:tcPr>
          <w:p w14:paraId="1B1B9ABB"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Objektyvaus atsako dažnis ir skirtumo tarp gydymo grupių 95% PI </w:t>
            </w:r>
            <w:r w:rsidRPr="003744F7">
              <w:rPr>
                <w:rFonts w:ascii="Times New Roman" w:eastAsia="Times New Roman" w:hAnsi="Times New Roman" w:cs="Times New Roman"/>
                <w:b/>
                <w:bCs/>
                <w:iCs/>
                <w:vertAlign w:val="superscript"/>
                <w:lang w:eastAsia="lt-LT" w:bidi="lt-LT"/>
              </w:rPr>
              <w:t>a</w:t>
            </w:r>
          </w:p>
        </w:tc>
        <w:tc>
          <w:tcPr>
            <w:tcW w:w="2694" w:type="dxa"/>
            <w:tcBorders>
              <w:top w:val="single" w:sz="12" w:space="0" w:color="auto"/>
              <w:left w:val="nil"/>
              <w:bottom w:val="single" w:sz="12" w:space="0" w:color="auto"/>
              <w:right w:val="nil"/>
            </w:tcBorders>
            <w:shd w:val="clear" w:color="auto" w:fill="auto"/>
          </w:tcPr>
          <w:p w14:paraId="0D0BBFCB"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Neprogresuojant ligai išgyvento laikotarpio trukmė </w:t>
            </w:r>
            <w:r w:rsidRPr="003744F7">
              <w:rPr>
                <w:rFonts w:ascii="Times New Roman" w:eastAsia="Times New Roman" w:hAnsi="Times New Roman" w:cs="Times New Roman"/>
                <w:b/>
                <w:bCs/>
                <w:iCs/>
                <w:vertAlign w:val="superscript"/>
                <w:lang w:eastAsia="lt-LT" w:bidi="lt-LT"/>
              </w:rPr>
              <w:t>a, b</w:t>
            </w:r>
          </w:p>
        </w:tc>
        <w:tc>
          <w:tcPr>
            <w:tcW w:w="1842" w:type="dxa"/>
            <w:tcBorders>
              <w:top w:val="single" w:sz="12" w:space="0" w:color="auto"/>
              <w:left w:val="nil"/>
              <w:bottom w:val="single" w:sz="12" w:space="0" w:color="auto"/>
              <w:right w:val="nil"/>
            </w:tcBorders>
            <w:shd w:val="clear" w:color="auto" w:fill="auto"/>
          </w:tcPr>
          <w:p w14:paraId="16C989A4"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Pagrindinis rodiklis - bendras išgyvenimas </w:t>
            </w:r>
            <w:r w:rsidRPr="003744F7">
              <w:rPr>
                <w:rFonts w:ascii="Times New Roman" w:eastAsia="Times New Roman" w:hAnsi="Times New Roman" w:cs="Times New Roman"/>
                <w:b/>
                <w:bCs/>
                <w:iCs/>
                <w:vertAlign w:val="superscript"/>
                <w:lang w:eastAsia="lt-LT" w:bidi="lt-LT"/>
              </w:rPr>
              <w:t>a, b</w:t>
            </w:r>
          </w:p>
        </w:tc>
      </w:tr>
      <w:tr w:rsidR="003744F7" w:rsidRPr="003744F7" w14:paraId="107DFE96" w14:textId="77777777" w:rsidTr="003F49E5">
        <w:tc>
          <w:tcPr>
            <w:tcW w:w="1843" w:type="dxa"/>
            <w:tcBorders>
              <w:top w:val="single" w:sz="12" w:space="0" w:color="auto"/>
              <w:left w:val="nil"/>
              <w:bottom w:val="single" w:sz="4" w:space="0" w:color="auto"/>
              <w:right w:val="nil"/>
            </w:tcBorders>
            <w:shd w:val="clear" w:color="auto" w:fill="auto"/>
          </w:tcPr>
          <w:p w14:paraId="69F1D3CD"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Iš viso</w:t>
            </w:r>
          </w:p>
        </w:tc>
        <w:tc>
          <w:tcPr>
            <w:tcW w:w="658" w:type="dxa"/>
            <w:tcBorders>
              <w:top w:val="single" w:sz="12" w:space="0" w:color="auto"/>
              <w:left w:val="nil"/>
              <w:bottom w:val="single" w:sz="4" w:space="0" w:color="auto"/>
              <w:right w:val="nil"/>
            </w:tcBorders>
            <w:shd w:val="clear" w:color="auto" w:fill="auto"/>
          </w:tcPr>
          <w:p w14:paraId="7D5752C9"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1466</w:t>
            </w:r>
          </w:p>
        </w:tc>
        <w:tc>
          <w:tcPr>
            <w:tcW w:w="2035" w:type="dxa"/>
            <w:tcBorders>
              <w:top w:val="single" w:sz="12" w:space="0" w:color="auto"/>
              <w:left w:val="nil"/>
              <w:bottom w:val="single" w:sz="4" w:space="0" w:color="auto"/>
              <w:right w:val="nil"/>
            </w:tcBorders>
            <w:shd w:val="clear" w:color="auto" w:fill="auto"/>
          </w:tcPr>
          <w:p w14:paraId="1A0FD7C4"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9,1 % plg. 7,6 %</w:t>
            </w:r>
          </w:p>
          <w:p w14:paraId="6CD53FA9"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[-1,5 %, 4,5 %]</w:t>
            </w:r>
          </w:p>
        </w:tc>
        <w:tc>
          <w:tcPr>
            <w:tcW w:w="2694" w:type="dxa"/>
            <w:tcBorders>
              <w:top w:val="single" w:sz="12" w:space="0" w:color="auto"/>
              <w:left w:val="nil"/>
              <w:bottom w:val="single" w:sz="4" w:space="0" w:color="auto"/>
              <w:right w:val="nil"/>
            </w:tcBorders>
            <w:shd w:val="clear" w:color="auto" w:fill="auto"/>
          </w:tcPr>
          <w:p w14:paraId="4BF81ED8"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1,04</w:t>
            </w:r>
          </w:p>
          <w:p w14:paraId="08C42667"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[0,93, 1,18]</w:t>
            </w:r>
          </w:p>
          <w:p w14:paraId="68020067"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2,2 mėn. plg. 2,7 mėn.</w:t>
            </w:r>
          </w:p>
          <w:p w14:paraId="2FD65818"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p=0,4658</w:t>
            </w:r>
          </w:p>
        </w:tc>
        <w:tc>
          <w:tcPr>
            <w:tcW w:w="1842" w:type="dxa"/>
            <w:tcBorders>
              <w:top w:val="single" w:sz="12" w:space="0" w:color="auto"/>
              <w:left w:val="nil"/>
              <w:bottom w:val="single" w:sz="4" w:space="0" w:color="auto"/>
              <w:right w:val="nil"/>
            </w:tcBorders>
            <w:shd w:val="clear" w:color="auto" w:fill="auto"/>
          </w:tcPr>
          <w:p w14:paraId="4CFE610B"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1,020</w:t>
            </w:r>
          </w:p>
          <w:p w14:paraId="55DDB20B"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[0,905, 1,150]</w:t>
            </w:r>
          </w:p>
          <w:p w14:paraId="3504420A"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7,6 mėn. plg. 8,0 mėn.</w:t>
            </w:r>
          </w:p>
          <w:p w14:paraId="7F663EA3"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p=0,7332</w:t>
            </w:r>
          </w:p>
        </w:tc>
      </w:tr>
      <w:tr w:rsidR="003744F7" w:rsidRPr="003744F7" w14:paraId="5A1EAE33" w14:textId="77777777" w:rsidTr="003F49E5">
        <w:tc>
          <w:tcPr>
            <w:tcW w:w="1843" w:type="dxa"/>
            <w:tcBorders>
              <w:left w:val="nil"/>
              <w:right w:val="nil"/>
            </w:tcBorders>
            <w:shd w:val="clear" w:color="auto" w:fill="auto"/>
          </w:tcPr>
          <w:p w14:paraId="4C9C6E4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EGFR</w:t>
            </w:r>
          </w:p>
          <w:p w14:paraId="283F4C9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mutacijoms teigiami</w:t>
            </w:r>
          </w:p>
        </w:tc>
        <w:tc>
          <w:tcPr>
            <w:tcW w:w="658" w:type="dxa"/>
            <w:tcBorders>
              <w:left w:val="nil"/>
              <w:right w:val="nil"/>
            </w:tcBorders>
            <w:shd w:val="clear" w:color="auto" w:fill="auto"/>
          </w:tcPr>
          <w:p w14:paraId="1F6A42E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44</w:t>
            </w:r>
          </w:p>
        </w:tc>
        <w:tc>
          <w:tcPr>
            <w:tcW w:w="2035" w:type="dxa"/>
            <w:tcBorders>
              <w:left w:val="nil"/>
              <w:right w:val="nil"/>
            </w:tcBorders>
            <w:shd w:val="clear" w:color="auto" w:fill="auto"/>
          </w:tcPr>
          <w:p w14:paraId="4A95700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42,1% plg.21,1%</w:t>
            </w:r>
          </w:p>
          <w:p w14:paraId="61F7D41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[-8,2 %, 46,0 %]</w:t>
            </w:r>
          </w:p>
        </w:tc>
        <w:tc>
          <w:tcPr>
            <w:tcW w:w="2694" w:type="dxa"/>
            <w:tcBorders>
              <w:left w:val="nil"/>
              <w:right w:val="nil"/>
            </w:tcBorders>
            <w:shd w:val="clear" w:color="auto" w:fill="auto"/>
          </w:tcPr>
          <w:p w14:paraId="7B9194B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0,16</w:t>
            </w:r>
          </w:p>
          <w:p w14:paraId="1B02CFB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[0,05, 0,49]</w:t>
            </w:r>
          </w:p>
          <w:p w14:paraId="55E7E2A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7,0 mėn. plg. 4,1 mėn.</w:t>
            </w:r>
          </w:p>
          <w:p w14:paraId="3BEF9AA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p=0,0012</w:t>
            </w:r>
          </w:p>
        </w:tc>
        <w:tc>
          <w:tcPr>
            <w:tcW w:w="1842" w:type="dxa"/>
            <w:tcBorders>
              <w:left w:val="nil"/>
              <w:right w:val="nil"/>
            </w:tcBorders>
            <w:shd w:val="clear" w:color="auto" w:fill="auto"/>
          </w:tcPr>
          <w:p w14:paraId="720BEA8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0,83</w:t>
            </w:r>
          </w:p>
          <w:p w14:paraId="4E31274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[0,41, 1,67]</w:t>
            </w:r>
          </w:p>
          <w:p w14:paraId="4EBD319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14,2 mėn. plg.16,6 mėn.</w:t>
            </w:r>
          </w:p>
          <w:p w14:paraId="4B24B41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p=0,6043</w:t>
            </w:r>
          </w:p>
        </w:tc>
      </w:tr>
      <w:tr w:rsidR="003744F7" w:rsidRPr="003744F7" w14:paraId="153CE282" w14:textId="77777777" w:rsidTr="003F49E5">
        <w:tc>
          <w:tcPr>
            <w:tcW w:w="1843" w:type="dxa"/>
            <w:tcBorders>
              <w:left w:val="nil"/>
              <w:right w:val="nil"/>
            </w:tcBorders>
            <w:shd w:val="clear" w:color="auto" w:fill="auto"/>
          </w:tcPr>
          <w:p w14:paraId="660DC96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EGFR</w:t>
            </w:r>
          </w:p>
          <w:p w14:paraId="39F5077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mutacijoms neigiami</w:t>
            </w:r>
          </w:p>
        </w:tc>
        <w:tc>
          <w:tcPr>
            <w:tcW w:w="658" w:type="dxa"/>
            <w:tcBorders>
              <w:left w:val="nil"/>
              <w:right w:val="nil"/>
            </w:tcBorders>
            <w:shd w:val="clear" w:color="auto" w:fill="auto"/>
          </w:tcPr>
          <w:p w14:paraId="082CCBF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253</w:t>
            </w:r>
          </w:p>
        </w:tc>
        <w:tc>
          <w:tcPr>
            <w:tcW w:w="2035" w:type="dxa"/>
            <w:tcBorders>
              <w:left w:val="nil"/>
              <w:right w:val="nil"/>
            </w:tcBorders>
            <w:shd w:val="clear" w:color="auto" w:fill="auto"/>
          </w:tcPr>
          <w:p w14:paraId="39993A6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6,6 % plg.9,8 %</w:t>
            </w:r>
          </w:p>
          <w:p w14:paraId="4662C82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[-10,5 %, 4,4 %]</w:t>
            </w:r>
          </w:p>
        </w:tc>
        <w:tc>
          <w:tcPr>
            <w:tcW w:w="2694" w:type="dxa"/>
            <w:tcBorders>
              <w:left w:val="nil"/>
              <w:right w:val="nil"/>
            </w:tcBorders>
            <w:shd w:val="clear" w:color="auto" w:fill="auto"/>
          </w:tcPr>
          <w:p w14:paraId="56A468B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1,24</w:t>
            </w:r>
          </w:p>
          <w:p w14:paraId="7C52F0D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[0,94, 1,64]</w:t>
            </w:r>
          </w:p>
          <w:p w14:paraId="14EDCA8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1,7 mėn. plg. 2,6 mėn.</w:t>
            </w:r>
          </w:p>
          <w:p w14:paraId="017EC0C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p=0,1353</w:t>
            </w:r>
          </w:p>
        </w:tc>
        <w:tc>
          <w:tcPr>
            <w:tcW w:w="1842" w:type="dxa"/>
            <w:tcBorders>
              <w:left w:val="nil"/>
              <w:right w:val="nil"/>
            </w:tcBorders>
            <w:shd w:val="clear" w:color="auto" w:fill="auto"/>
          </w:tcPr>
          <w:p w14:paraId="76B7880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1,02</w:t>
            </w:r>
          </w:p>
          <w:p w14:paraId="79EA9C0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[0,78, 1,33]</w:t>
            </w:r>
          </w:p>
          <w:p w14:paraId="386FDCE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6,4 mėn. plg. 6,0 mėn.</w:t>
            </w:r>
          </w:p>
          <w:p w14:paraId="367A849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p=0,9131</w:t>
            </w:r>
          </w:p>
        </w:tc>
      </w:tr>
      <w:tr w:rsidR="003744F7" w:rsidRPr="003744F7" w14:paraId="6D34645C" w14:textId="77777777" w:rsidTr="003F49E5">
        <w:tc>
          <w:tcPr>
            <w:tcW w:w="1843" w:type="dxa"/>
            <w:tcBorders>
              <w:left w:val="nil"/>
              <w:bottom w:val="single" w:sz="4" w:space="0" w:color="auto"/>
              <w:right w:val="nil"/>
            </w:tcBorders>
            <w:shd w:val="clear" w:color="auto" w:fill="auto"/>
          </w:tcPr>
          <w:p w14:paraId="5BCA464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 xml:space="preserve">Azijiečiai </w:t>
            </w:r>
            <w:r w:rsidRPr="003744F7">
              <w:rPr>
                <w:rFonts w:ascii="Times New Roman" w:eastAsia="Times New Roman" w:hAnsi="Times New Roman" w:cs="Times New Roman"/>
                <w:bCs/>
                <w:iCs/>
                <w:vertAlign w:val="superscript"/>
                <w:lang w:eastAsia="lt-LT" w:bidi="lt-LT"/>
              </w:rPr>
              <w:t>c</w:t>
            </w:r>
          </w:p>
        </w:tc>
        <w:tc>
          <w:tcPr>
            <w:tcW w:w="658" w:type="dxa"/>
            <w:tcBorders>
              <w:left w:val="nil"/>
              <w:bottom w:val="single" w:sz="4" w:space="0" w:color="auto"/>
              <w:right w:val="nil"/>
            </w:tcBorders>
            <w:shd w:val="clear" w:color="auto" w:fill="auto"/>
          </w:tcPr>
          <w:p w14:paraId="79F7F73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323</w:t>
            </w:r>
          </w:p>
        </w:tc>
        <w:tc>
          <w:tcPr>
            <w:tcW w:w="2035" w:type="dxa"/>
            <w:tcBorders>
              <w:left w:val="nil"/>
              <w:bottom w:val="single" w:sz="4" w:space="0" w:color="auto"/>
              <w:right w:val="nil"/>
            </w:tcBorders>
            <w:shd w:val="clear" w:color="auto" w:fill="auto"/>
          </w:tcPr>
          <w:p w14:paraId="38D349B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19,7 % plg. 8,7 %</w:t>
            </w:r>
          </w:p>
          <w:p w14:paraId="1CBF40B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[3,1%, 19,2 %]</w:t>
            </w:r>
          </w:p>
        </w:tc>
        <w:tc>
          <w:tcPr>
            <w:tcW w:w="2694" w:type="dxa"/>
            <w:tcBorders>
              <w:left w:val="nil"/>
              <w:bottom w:val="single" w:sz="4" w:space="0" w:color="auto"/>
              <w:right w:val="nil"/>
            </w:tcBorders>
            <w:shd w:val="clear" w:color="auto" w:fill="auto"/>
          </w:tcPr>
          <w:p w14:paraId="702209B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0,83</w:t>
            </w:r>
          </w:p>
          <w:p w14:paraId="64DB808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[0,64, 1,08]</w:t>
            </w:r>
          </w:p>
          <w:p w14:paraId="53DEAD2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2,9 mėn. plg. 2,8 mėn.</w:t>
            </w:r>
          </w:p>
          <w:p w14:paraId="20A5C9E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p=0,1746</w:t>
            </w:r>
          </w:p>
        </w:tc>
        <w:tc>
          <w:tcPr>
            <w:tcW w:w="1842" w:type="dxa"/>
            <w:tcBorders>
              <w:left w:val="nil"/>
              <w:bottom w:val="single" w:sz="4" w:space="0" w:color="auto"/>
              <w:right w:val="nil"/>
            </w:tcBorders>
            <w:shd w:val="clear" w:color="auto" w:fill="auto"/>
          </w:tcPr>
          <w:p w14:paraId="133E50E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1,04</w:t>
            </w:r>
          </w:p>
          <w:p w14:paraId="58B235B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[0,80, 1,35]</w:t>
            </w:r>
          </w:p>
          <w:p w14:paraId="47C35CC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10,4 mėn. plg. 12,2 mėn.</w:t>
            </w:r>
          </w:p>
          <w:p w14:paraId="2CCA6FE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p=0,7711</w:t>
            </w:r>
          </w:p>
        </w:tc>
      </w:tr>
      <w:tr w:rsidR="003744F7" w:rsidRPr="003744F7" w14:paraId="4B8B5F66" w14:textId="77777777" w:rsidTr="003F49E5">
        <w:tc>
          <w:tcPr>
            <w:tcW w:w="1843" w:type="dxa"/>
            <w:tcBorders>
              <w:left w:val="nil"/>
              <w:bottom w:val="single" w:sz="12" w:space="0" w:color="auto"/>
              <w:right w:val="nil"/>
            </w:tcBorders>
            <w:shd w:val="clear" w:color="auto" w:fill="auto"/>
          </w:tcPr>
          <w:p w14:paraId="0DFAFD0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Ne azijiečiai</w:t>
            </w:r>
          </w:p>
        </w:tc>
        <w:tc>
          <w:tcPr>
            <w:tcW w:w="658" w:type="dxa"/>
            <w:tcBorders>
              <w:left w:val="nil"/>
              <w:bottom w:val="single" w:sz="12" w:space="0" w:color="auto"/>
              <w:right w:val="nil"/>
            </w:tcBorders>
            <w:shd w:val="clear" w:color="auto" w:fill="auto"/>
          </w:tcPr>
          <w:p w14:paraId="70C9ED0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1143</w:t>
            </w:r>
          </w:p>
        </w:tc>
        <w:tc>
          <w:tcPr>
            <w:tcW w:w="2035" w:type="dxa"/>
            <w:tcBorders>
              <w:left w:val="nil"/>
              <w:bottom w:val="single" w:sz="12" w:space="0" w:color="auto"/>
              <w:right w:val="nil"/>
            </w:tcBorders>
            <w:shd w:val="clear" w:color="auto" w:fill="auto"/>
          </w:tcPr>
          <w:p w14:paraId="0D98011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6,2 % plg. 7,3 %</w:t>
            </w:r>
          </w:p>
          <w:p w14:paraId="1B6D87A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[-4,3 %, 2,0 %]</w:t>
            </w:r>
          </w:p>
        </w:tc>
        <w:tc>
          <w:tcPr>
            <w:tcW w:w="2694" w:type="dxa"/>
            <w:tcBorders>
              <w:left w:val="nil"/>
              <w:bottom w:val="single" w:sz="12" w:space="0" w:color="auto"/>
              <w:right w:val="nil"/>
            </w:tcBorders>
            <w:shd w:val="clear" w:color="auto" w:fill="auto"/>
          </w:tcPr>
          <w:p w14:paraId="53FAA88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1,12</w:t>
            </w:r>
          </w:p>
          <w:p w14:paraId="5221059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[0,98, 1,28]</w:t>
            </w:r>
          </w:p>
          <w:p w14:paraId="57E10A1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2,0 mėn. plg. 2,7 mėn.</w:t>
            </w:r>
          </w:p>
          <w:p w14:paraId="6F4CD4B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p=0,1041</w:t>
            </w:r>
          </w:p>
        </w:tc>
        <w:tc>
          <w:tcPr>
            <w:tcW w:w="1842" w:type="dxa"/>
            <w:tcBorders>
              <w:left w:val="nil"/>
              <w:bottom w:val="single" w:sz="12" w:space="0" w:color="auto"/>
              <w:right w:val="nil"/>
            </w:tcBorders>
            <w:shd w:val="clear" w:color="auto" w:fill="auto"/>
          </w:tcPr>
          <w:p w14:paraId="718971C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1,01</w:t>
            </w:r>
          </w:p>
          <w:p w14:paraId="40DFD97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[0,89, 1,14]</w:t>
            </w:r>
          </w:p>
          <w:p w14:paraId="66A62D7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6,9 mėn. plg. 6,9 mėn.</w:t>
            </w:r>
          </w:p>
          <w:p w14:paraId="102A8DB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p=0,9259</w:t>
            </w:r>
          </w:p>
        </w:tc>
      </w:tr>
    </w:tbl>
    <w:p w14:paraId="3CD7B58E"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lang w:eastAsia="lt-LT" w:bidi="lt-LT"/>
        </w:rPr>
      </w:pPr>
      <w:r w:rsidRPr="003744F7">
        <w:rPr>
          <w:rFonts w:ascii="Times New Roman" w:eastAsia="Times New Roman" w:hAnsi="Times New Roman" w:cs="Times New Roman"/>
          <w:bCs/>
          <w:iCs/>
          <w:sz w:val="20"/>
          <w:vertAlign w:val="superscript"/>
          <w:lang w:eastAsia="lt-LT" w:bidi="lt-LT"/>
        </w:rPr>
        <w:t>a</w:t>
      </w:r>
      <w:r w:rsidRPr="003744F7">
        <w:rPr>
          <w:rFonts w:ascii="Times New Roman" w:eastAsia="Times New Roman" w:hAnsi="Times New Roman" w:cs="Times New Roman"/>
          <w:bCs/>
          <w:iCs/>
          <w:sz w:val="20"/>
          <w:vertAlign w:val="superscript"/>
          <w:lang w:eastAsia="lt-LT" w:bidi="lt-LT"/>
        </w:rPr>
        <w:tab/>
      </w:r>
      <w:r w:rsidRPr="003744F7">
        <w:rPr>
          <w:rFonts w:ascii="Times New Roman" w:eastAsia="Times New Roman" w:hAnsi="Times New Roman" w:cs="Times New Roman"/>
          <w:bCs/>
          <w:iCs/>
          <w:sz w:val="20"/>
          <w:lang w:eastAsia="lt-LT" w:bidi="lt-LT"/>
        </w:rPr>
        <w:t>Pateikiami gefitinibo duomenys palyginus su docetakseliu.</w:t>
      </w:r>
    </w:p>
    <w:p w14:paraId="3A5CD8D6" w14:textId="77777777" w:rsidR="003744F7" w:rsidRPr="003744F7" w:rsidRDefault="003744F7" w:rsidP="003744F7">
      <w:pPr>
        <w:tabs>
          <w:tab w:val="left" w:pos="567"/>
        </w:tabs>
        <w:spacing w:after="0" w:line="240" w:lineRule="auto"/>
        <w:ind w:left="567" w:hanging="567"/>
        <w:rPr>
          <w:rFonts w:ascii="Times New Roman" w:eastAsia="Times New Roman" w:hAnsi="Times New Roman" w:cs="Times New Roman"/>
          <w:bCs/>
          <w:iCs/>
          <w:sz w:val="20"/>
          <w:szCs w:val="20"/>
          <w:lang w:eastAsia="lt-LT" w:bidi="lt-LT"/>
        </w:rPr>
      </w:pPr>
      <w:r w:rsidRPr="003744F7">
        <w:rPr>
          <w:rFonts w:ascii="Times New Roman" w:eastAsia="Times New Roman" w:hAnsi="Times New Roman" w:cs="Times New Roman"/>
          <w:bCs/>
          <w:iCs/>
          <w:sz w:val="20"/>
          <w:vertAlign w:val="superscript"/>
          <w:lang w:eastAsia="lt-LT" w:bidi="lt-LT"/>
        </w:rPr>
        <w:t>b</w:t>
      </w:r>
      <w:r w:rsidRPr="003744F7">
        <w:rPr>
          <w:rFonts w:ascii="Times New Roman" w:eastAsia="Times New Roman" w:hAnsi="Times New Roman" w:cs="Times New Roman"/>
          <w:bCs/>
          <w:iCs/>
          <w:sz w:val="20"/>
          <w:vertAlign w:val="superscript"/>
          <w:lang w:eastAsia="lt-LT" w:bidi="lt-LT"/>
        </w:rPr>
        <w:tab/>
      </w:r>
      <w:r w:rsidRPr="003744F7">
        <w:rPr>
          <w:rFonts w:ascii="Times New Roman" w:eastAsia="Times New Roman" w:hAnsi="Times New Roman" w:cs="Times New Roman"/>
          <w:bCs/>
          <w:iCs/>
          <w:sz w:val="20"/>
          <w:szCs w:val="20"/>
          <w:lang w:eastAsia="lt-LT" w:bidi="lt-LT"/>
        </w:rPr>
        <w:t xml:space="preserve">“m” yra mediana mėnesiais. Skaičiai laužtiniuose skliaustuose – bendro išgyvenimo bendroje populiacijoje HR 96 % pasikliautinieji intervalai ir HR 95 % pasikliautinieji intervalai kitais atvejais. </w:t>
      </w:r>
    </w:p>
    <w:p w14:paraId="16F751D3"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lang w:eastAsia="lt-LT" w:bidi="lt-LT"/>
        </w:rPr>
      </w:pPr>
      <w:r w:rsidRPr="003744F7">
        <w:rPr>
          <w:rFonts w:ascii="Times New Roman" w:eastAsia="Times New Roman" w:hAnsi="Times New Roman" w:cs="Times New Roman"/>
          <w:bCs/>
          <w:iCs/>
          <w:sz w:val="20"/>
          <w:vertAlign w:val="superscript"/>
          <w:lang w:eastAsia="lt-LT" w:bidi="lt-LT"/>
        </w:rPr>
        <w:t>c</w:t>
      </w:r>
      <w:r w:rsidRPr="003744F7">
        <w:rPr>
          <w:rFonts w:ascii="Times New Roman" w:eastAsia="Times New Roman" w:hAnsi="Times New Roman" w:cs="Times New Roman"/>
          <w:bCs/>
          <w:iCs/>
          <w:sz w:val="20"/>
          <w:vertAlign w:val="superscript"/>
          <w:lang w:eastAsia="lt-LT" w:bidi="lt-LT"/>
        </w:rPr>
        <w:tab/>
      </w:r>
      <w:r w:rsidRPr="003744F7">
        <w:rPr>
          <w:rFonts w:ascii="Times New Roman" w:eastAsia="Times New Roman" w:hAnsi="Times New Roman" w:cs="Times New Roman"/>
          <w:bCs/>
          <w:iCs/>
          <w:sz w:val="20"/>
          <w:lang w:eastAsia="lt-LT" w:bidi="lt-LT"/>
        </w:rPr>
        <w:t>Visas pasikliautinasis intervalas – žemiau 1,154 ne blogesnio poveikio ribos.</w:t>
      </w:r>
    </w:p>
    <w:p w14:paraId="290ADB74"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szCs w:val="20"/>
          <w:lang w:eastAsia="lt-LT" w:bidi="lt-LT"/>
        </w:rPr>
      </w:pPr>
      <w:r w:rsidRPr="003744F7">
        <w:rPr>
          <w:rFonts w:ascii="Times New Roman" w:eastAsia="Times New Roman" w:hAnsi="Times New Roman" w:cs="Times New Roman"/>
          <w:bCs/>
          <w:iCs/>
          <w:sz w:val="20"/>
          <w:lang w:eastAsia="lt-LT" w:bidi="lt-LT"/>
        </w:rPr>
        <w:t>N</w:t>
      </w:r>
      <w:r w:rsidRPr="003744F7">
        <w:rPr>
          <w:rFonts w:ascii="Times New Roman" w:eastAsia="Times New Roman" w:hAnsi="Times New Roman" w:cs="Times New Roman"/>
          <w:bCs/>
          <w:iCs/>
          <w:sz w:val="20"/>
          <w:lang w:eastAsia="lt-LT" w:bidi="lt-LT"/>
        </w:rPr>
        <w:tab/>
      </w:r>
      <w:r w:rsidRPr="003744F7">
        <w:rPr>
          <w:rFonts w:ascii="Times New Roman" w:eastAsia="Times New Roman" w:hAnsi="Times New Roman" w:cs="Times New Roman"/>
          <w:bCs/>
          <w:iCs/>
          <w:sz w:val="20"/>
          <w:szCs w:val="20"/>
          <w:lang w:eastAsia="lt-LT" w:bidi="lt-LT"/>
        </w:rPr>
        <w:t>Atsitiktinai parinktų pacientų skaičius.</w:t>
      </w:r>
    </w:p>
    <w:p w14:paraId="2091B5C7" w14:textId="77777777" w:rsidR="003744F7" w:rsidRPr="003744F7" w:rsidRDefault="003744F7" w:rsidP="003744F7">
      <w:pPr>
        <w:tabs>
          <w:tab w:val="left" w:pos="567"/>
        </w:tabs>
        <w:spacing w:after="0" w:line="240" w:lineRule="auto"/>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sz w:val="20"/>
          <w:lang w:eastAsia="lt-LT" w:bidi="lt-LT"/>
        </w:rPr>
        <w:t>HR</w:t>
      </w:r>
      <w:r w:rsidRPr="003744F7">
        <w:rPr>
          <w:rFonts w:ascii="Times New Roman" w:eastAsia="Times New Roman" w:hAnsi="Times New Roman" w:cs="Times New Roman"/>
          <w:bCs/>
          <w:iCs/>
          <w:sz w:val="20"/>
          <w:lang w:eastAsia="lt-LT" w:bidi="lt-LT"/>
        </w:rPr>
        <w:tab/>
      </w:r>
      <w:r w:rsidRPr="003744F7">
        <w:rPr>
          <w:rFonts w:ascii="Times New Roman" w:eastAsia="Times New Roman" w:hAnsi="Times New Roman" w:cs="Times New Roman"/>
          <w:bCs/>
          <w:iCs/>
          <w:sz w:val="20"/>
          <w:szCs w:val="20"/>
          <w:lang w:eastAsia="lt-LT" w:bidi="lt-LT"/>
        </w:rPr>
        <w:t>Rizikos santykis (HR &lt; 1 rodo palankesnį gefitinibo poveikį).</w:t>
      </w:r>
      <w:r w:rsidRPr="003744F7">
        <w:rPr>
          <w:rFonts w:ascii="Times New Roman" w:eastAsia="Times New Roman" w:hAnsi="Times New Roman" w:cs="Times New Roman"/>
          <w:bCs/>
          <w:iCs/>
          <w:lang w:eastAsia="lt-LT" w:bidi="lt-LT"/>
        </w:rPr>
        <w:t xml:space="preserve"> </w:t>
      </w:r>
    </w:p>
    <w:p w14:paraId="10F75575"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
          <w:bCs/>
          <w:iCs/>
          <w:lang w:eastAsia="lt-LT" w:bidi="lt-LT"/>
        </w:rPr>
      </w:pPr>
    </w:p>
    <w:p w14:paraId="7B962BE3"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1 ir 2 pav. Veiksmingumo rodikliai ne Azijos rasės pacientų pogrupiuose INTEREST tyrimo metu (N – atsitiktinai parinktų pacientų skaičius)</w:t>
      </w:r>
    </w:p>
    <w:p w14:paraId="4B1EA11F"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
          <w:bCs/>
          <w:iCs/>
          <w:lang w:eastAsia="lt-LT" w:bidi="lt-LT"/>
        </w:rPr>
      </w:pPr>
    </w:p>
    <w:p w14:paraId="7117ED43"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noProof/>
          <w:lang w:eastAsia="lt-LT"/>
        </w:rPr>
        <w:drawing>
          <wp:inline distT="0" distB="0" distL="0" distR="0" wp14:anchorId="77571394" wp14:editId="62971D6F">
            <wp:extent cx="5760085" cy="3594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av..jpg"/>
                    <pic:cNvPicPr/>
                  </pic:nvPicPr>
                  <pic:blipFill>
                    <a:blip r:embed="rId7">
                      <a:extLst>
                        <a:ext uri="{28A0092B-C50C-407E-A947-70E740481C1C}">
                          <a14:useLocalDpi xmlns:a14="http://schemas.microsoft.com/office/drawing/2010/main" val="0"/>
                        </a:ext>
                      </a:extLst>
                    </a:blip>
                    <a:stretch>
                      <a:fillRect/>
                    </a:stretch>
                  </pic:blipFill>
                  <pic:spPr>
                    <a:xfrm>
                      <a:off x="0" y="0"/>
                      <a:ext cx="5760085" cy="3594100"/>
                    </a:xfrm>
                    <a:prstGeom prst="rect">
                      <a:avLst/>
                    </a:prstGeom>
                  </pic:spPr>
                </pic:pic>
              </a:graphicData>
            </a:graphic>
          </wp:inline>
        </w:drawing>
      </w:r>
    </w:p>
    <w:p w14:paraId="3DF61CB9"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Cs/>
          <w:iCs/>
          <w:lang w:eastAsia="lt-LT" w:bidi="lt-LT"/>
        </w:rPr>
      </w:pPr>
    </w:p>
    <w:p w14:paraId="25B8C8F0"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noProof/>
          <w:lang w:eastAsia="lt-LT"/>
        </w:rPr>
        <w:drawing>
          <wp:inline distT="0" distB="0" distL="0" distR="0" wp14:anchorId="5A511127" wp14:editId="730BD93C">
            <wp:extent cx="6297283" cy="3694647"/>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pav..jpg"/>
                    <pic:cNvPicPr/>
                  </pic:nvPicPr>
                  <pic:blipFill>
                    <a:blip r:embed="rId8">
                      <a:extLst>
                        <a:ext uri="{28A0092B-C50C-407E-A947-70E740481C1C}">
                          <a14:useLocalDpi xmlns:a14="http://schemas.microsoft.com/office/drawing/2010/main" val="0"/>
                        </a:ext>
                      </a:extLst>
                    </a:blip>
                    <a:stretch>
                      <a:fillRect/>
                    </a:stretch>
                  </pic:blipFill>
                  <pic:spPr>
                    <a:xfrm>
                      <a:off x="0" y="0"/>
                      <a:ext cx="6304111" cy="3698653"/>
                    </a:xfrm>
                    <a:prstGeom prst="rect">
                      <a:avLst/>
                    </a:prstGeom>
                  </pic:spPr>
                </pic:pic>
              </a:graphicData>
            </a:graphic>
          </wp:inline>
        </w:drawing>
      </w:r>
    </w:p>
    <w:p w14:paraId="3D016FF6" w14:textId="77777777" w:rsidR="003744F7" w:rsidRPr="003744F7" w:rsidRDefault="003744F7" w:rsidP="003744F7">
      <w:pPr>
        <w:tabs>
          <w:tab w:val="left" w:pos="567"/>
        </w:tabs>
        <w:spacing w:after="0" w:line="240" w:lineRule="auto"/>
        <w:rPr>
          <w:rFonts w:ascii="Times New Roman" w:eastAsia="Times New Roman" w:hAnsi="Times New Roman" w:cs="Times New Roman"/>
          <w:bCs/>
          <w:iCs/>
          <w:lang w:eastAsia="lt-LT" w:bidi="lt-LT"/>
        </w:rPr>
      </w:pPr>
    </w:p>
    <w:p w14:paraId="7B3102DC" w14:textId="77777777" w:rsidR="003744F7" w:rsidRPr="003744F7" w:rsidRDefault="003744F7" w:rsidP="003744F7">
      <w:pPr>
        <w:tabs>
          <w:tab w:val="left" w:pos="567"/>
        </w:tabs>
        <w:spacing w:after="0" w:line="240" w:lineRule="auto"/>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Atsitiktinės atrankos III fazės ISEL tyrime dalyvavo progresavusiu nesmulkiųjų ląstelių plaučių vėžiu sergantys pacientai, kuriems iki tol taikyta chemoterapija viena arba dviem schemomis, iš kurių paskutinei buvo refraktoriški arba jos netoleravo. Gefitinibo ir geriausio palaikomojo gydymo poveikis buvo lyginamas su placebo ir geriausio palaikomojo gydymo poveikiu. Bendros populiacijos išgyvenimo pailgėjimo gefitinibas nesukėlė. Išgyvenimo rodikliai skyrėsi priklausomai nuo to, ar pacientai buvo rūkę, ir rasės (žr. 6 lentelę).</w:t>
      </w:r>
    </w:p>
    <w:p w14:paraId="2247B19A" w14:textId="77777777" w:rsidR="003744F7" w:rsidRPr="003744F7" w:rsidRDefault="003744F7" w:rsidP="003744F7">
      <w:pPr>
        <w:tabs>
          <w:tab w:val="left" w:pos="567"/>
        </w:tabs>
        <w:spacing w:after="0" w:line="240" w:lineRule="auto"/>
        <w:rPr>
          <w:rFonts w:ascii="Times New Roman" w:eastAsia="Times New Roman" w:hAnsi="Times New Roman" w:cs="Times New Roman"/>
          <w:bCs/>
          <w:iCs/>
          <w:highlight w:val="cyan"/>
          <w:lang w:eastAsia="lt-LT" w:bidi="lt-LT"/>
        </w:rPr>
      </w:pPr>
    </w:p>
    <w:p w14:paraId="33752834"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6 lentelė. ISEL tyrimo metu nustatyti gefitinibo veiksmingumo rodikliai plg. su placebu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8"/>
        <w:gridCol w:w="2603"/>
        <w:gridCol w:w="2126"/>
        <w:gridCol w:w="1842"/>
      </w:tblGrid>
      <w:tr w:rsidR="003744F7" w:rsidRPr="003744F7" w14:paraId="6C5BEFB7" w14:textId="77777777" w:rsidTr="003F49E5">
        <w:tc>
          <w:tcPr>
            <w:tcW w:w="1843" w:type="dxa"/>
            <w:tcBorders>
              <w:top w:val="single" w:sz="12" w:space="0" w:color="auto"/>
              <w:left w:val="nil"/>
              <w:bottom w:val="single" w:sz="12" w:space="0" w:color="auto"/>
              <w:right w:val="nil"/>
            </w:tcBorders>
            <w:shd w:val="clear" w:color="auto" w:fill="auto"/>
          </w:tcPr>
          <w:p w14:paraId="309422C4"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Populiacija</w:t>
            </w:r>
          </w:p>
        </w:tc>
        <w:tc>
          <w:tcPr>
            <w:tcW w:w="658" w:type="dxa"/>
            <w:tcBorders>
              <w:top w:val="single" w:sz="12" w:space="0" w:color="auto"/>
              <w:left w:val="nil"/>
              <w:bottom w:val="single" w:sz="12" w:space="0" w:color="auto"/>
              <w:right w:val="nil"/>
            </w:tcBorders>
            <w:shd w:val="clear" w:color="auto" w:fill="auto"/>
          </w:tcPr>
          <w:p w14:paraId="3E0684CE"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N</w:t>
            </w:r>
          </w:p>
        </w:tc>
        <w:tc>
          <w:tcPr>
            <w:tcW w:w="2603" w:type="dxa"/>
            <w:tcBorders>
              <w:top w:val="single" w:sz="12" w:space="0" w:color="auto"/>
              <w:left w:val="nil"/>
              <w:bottom w:val="single" w:sz="12" w:space="0" w:color="auto"/>
              <w:right w:val="nil"/>
            </w:tcBorders>
            <w:shd w:val="clear" w:color="auto" w:fill="auto"/>
          </w:tcPr>
          <w:p w14:paraId="1B21B73E"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Objektyvaus atsako dažnis ir skirtumo tarp gydymo grupių 95 % PI </w:t>
            </w:r>
            <w:r w:rsidRPr="003744F7">
              <w:rPr>
                <w:rFonts w:ascii="Times New Roman" w:eastAsia="Times New Roman" w:hAnsi="Times New Roman" w:cs="Times New Roman"/>
                <w:b/>
                <w:bCs/>
                <w:iCs/>
                <w:vertAlign w:val="superscript"/>
                <w:lang w:eastAsia="lt-LT" w:bidi="lt-LT"/>
              </w:rPr>
              <w:t>a</w:t>
            </w:r>
          </w:p>
        </w:tc>
        <w:tc>
          <w:tcPr>
            <w:tcW w:w="2126" w:type="dxa"/>
            <w:tcBorders>
              <w:top w:val="single" w:sz="12" w:space="0" w:color="auto"/>
              <w:left w:val="nil"/>
              <w:bottom w:val="single" w:sz="12" w:space="0" w:color="auto"/>
              <w:right w:val="nil"/>
            </w:tcBorders>
            <w:shd w:val="clear" w:color="auto" w:fill="auto"/>
          </w:tcPr>
          <w:p w14:paraId="777F8848"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Laikotarpio, per kurį gydymas pasidarė neveiksmingas, trukmė </w:t>
            </w:r>
            <w:r w:rsidRPr="003744F7">
              <w:rPr>
                <w:rFonts w:ascii="Times New Roman" w:eastAsia="Times New Roman" w:hAnsi="Times New Roman" w:cs="Times New Roman"/>
                <w:b/>
                <w:bCs/>
                <w:iCs/>
                <w:vertAlign w:val="superscript"/>
                <w:lang w:eastAsia="lt-LT" w:bidi="lt-LT"/>
              </w:rPr>
              <w:t>a, b</w:t>
            </w:r>
          </w:p>
        </w:tc>
        <w:tc>
          <w:tcPr>
            <w:tcW w:w="1842" w:type="dxa"/>
            <w:tcBorders>
              <w:top w:val="single" w:sz="12" w:space="0" w:color="auto"/>
              <w:left w:val="nil"/>
              <w:bottom w:val="single" w:sz="12" w:space="0" w:color="auto"/>
              <w:right w:val="nil"/>
            </w:tcBorders>
            <w:shd w:val="clear" w:color="auto" w:fill="auto"/>
          </w:tcPr>
          <w:p w14:paraId="729C2C49"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Pagrindinis rodiklis – bendras išgyvenimas</w:t>
            </w:r>
            <w:r w:rsidRPr="003744F7">
              <w:rPr>
                <w:rFonts w:ascii="Times New Roman" w:eastAsia="Times New Roman" w:hAnsi="Times New Roman" w:cs="Times New Roman"/>
                <w:b/>
                <w:bCs/>
                <w:iCs/>
                <w:vertAlign w:val="superscript"/>
                <w:lang w:eastAsia="lt-LT" w:bidi="lt-LT"/>
              </w:rPr>
              <w:t xml:space="preserve"> a, b, c</w:t>
            </w:r>
          </w:p>
        </w:tc>
      </w:tr>
      <w:tr w:rsidR="003744F7" w:rsidRPr="003744F7" w14:paraId="647C5ADD" w14:textId="77777777" w:rsidTr="003F49E5">
        <w:tc>
          <w:tcPr>
            <w:tcW w:w="1843" w:type="dxa"/>
            <w:tcBorders>
              <w:top w:val="single" w:sz="12" w:space="0" w:color="auto"/>
              <w:left w:val="nil"/>
              <w:bottom w:val="single" w:sz="4" w:space="0" w:color="auto"/>
              <w:right w:val="nil"/>
            </w:tcBorders>
            <w:shd w:val="clear" w:color="auto" w:fill="auto"/>
          </w:tcPr>
          <w:p w14:paraId="1E0841C8"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Iš viso</w:t>
            </w:r>
          </w:p>
        </w:tc>
        <w:tc>
          <w:tcPr>
            <w:tcW w:w="658" w:type="dxa"/>
            <w:tcBorders>
              <w:top w:val="single" w:sz="12" w:space="0" w:color="auto"/>
              <w:left w:val="nil"/>
              <w:bottom w:val="single" w:sz="4" w:space="0" w:color="auto"/>
              <w:right w:val="nil"/>
            </w:tcBorders>
            <w:shd w:val="clear" w:color="auto" w:fill="auto"/>
          </w:tcPr>
          <w:p w14:paraId="3DD06AB3"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1692</w:t>
            </w:r>
          </w:p>
        </w:tc>
        <w:tc>
          <w:tcPr>
            <w:tcW w:w="2603" w:type="dxa"/>
            <w:tcBorders>
              <w:top w:val="single" w:sz="12" w:space="0" w:color="auto"/>
              <w:left w:val="nil"/>
              <w:bottom w:val="single" w:sz="4" w:space="0" w:color="auto"/>
              <w:right w:val="nil"/>
            </w:tcBorders>
            <w:shd w:val="clear" w:color="auto" w:fill="auto"/>
          </w:tcPr>
          <w:p w14:paraId="7F9A3515"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8,0 % plg. 1,3 %</w:t>
            </w:r>
          </w:p>
          <w:p w14:paraId="59F36196"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[4,7 %, 8,8 %]</w:t>
            </w:r>
          </w:p>
        </w:tc>
        <w:tc>
          <w:tcPr>
            <w:tcW w:w="2126" w:type="dxa"/>
            <w:tcBorders>
              <w:top w:val="single" w:sz="12" w:space="0" w:color="auto"/>
              <w:left w:val="nil"/>
              <w:bottom w:val="single" w:sz="4" w:space="0" w:color="auto"/>
              <w:right w:val="nil"/>
            </w:tcBorders>
            <w:shd w:val="clear" w:color="auto" w:fill="auto"/>
          </w:tcPr>
          <w:p w14:paraId="68F3942D"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0,82</w:t>
            </w:r>
          </w:p>
          <w:p w14:paraId="638876A2"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[0,73, 0,92]</w:t>
            </w:r>
          </w:p>
          <w:p w14:paraId="053C2176"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3,0 mėn. plg. 2,6 mėn.</w:t>
            </w:r>
          </w:p>
          <w:p w14:paraId="6EDC61F6"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p=0,0006</w:t>
            </w:r>
          </w:p>
        </w:tc>
        <w:tc>
          <w:tcPr>
            <w:tcW w:w="1842" w:type="dxa"/>
            <w:tcBorders>
              <w:top w:val="single" w:sz="12" w:space="0" w:color="auto"/>
              <w:left w:val="nil"/>
              <w:bottom w:val="single" w:sz="4" w:space="0" w:color="auto"/>
              <w:right w:val="nil"/>
            </w:tcBorders>
            <w:shd w:val="clear" w:color="auto" w:fill="auto"/>
          </w:tcPr>
          <w:p w14:paraId="17A7201E"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0,89</w:t>
            </w:r>
          </w:p>
          <w:p w14:paraId="0187DB38"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[0,77, 1,02]</w:t>
            </w:r>
          </w:p>
          <w:p w14:paraId="53F1AF49"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5,6 mėn. plg. 5,1 mėn.</w:t>
            </w:r>
          </w:p>
          <w:p w14:paraId="79DE6958"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p=0,0871</w:t>
            </w:r>
          </w:p>
        </w:tc>
      </w:tr>
      <w:tr w:rsidR="003744F7" w:rsidRPr="003744F7" w14:paraId="1DB22C9F" w14:textId="77777777" w:rsidTr="003F49E5">
        <w:tc>
          <w:tcPr>
            <w:tcW w:w="1843" w:type="dxa"/>
            <w:tcBorders>
              <w:left w:val="nil"/>
              <w:right w:val="nil"/>
            </w:tcBorders>
            <w:shd w:val="clear" w:color="auto" w:fill="auto"/>
          </w:tcPr>
          <w:p w14:paraId="11B6C0E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EGFR</w:t>
            </w:r>
          </w:p>
          <w:p w14:paraId="2B1337F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mutacijoms teigiami</w:t>
            </w:r>
          </w:p>
        </w:tc>
        <w:tc>
          <w:tcPr>
            <w:tcW w:w="658" w:type="dxa"/>
            <w:tcBorders>
              <w:left w:val="nil"/>
              <w:right w:val="nil"/>
            </w:tcBorders>
            <w:shd w:val="clear" w:color="auto" w:fill="auto"/>
          </w:tcPr>
          <w:p w14:paraId="1B577EC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26</w:t>
            </w:r>
          </w:p>
        </w:tc>
        <w:tc>
          <w:tcPr>
            <w:tcW w:w="2603" w:type="dxa"/>
            <w:tcBorders>
              <w:left w:val="nil"/>
              <w:right w:val="nil"/>
            </w:tcBorders>
            <w:shd w:val="clear" w:color="auto" w:fill="auto"/>
          </w:tcPr>
          <w:p w14:paraId="06A6CBD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37,5 % plg. 0 %</w:t>
            </w:r>
          </w:p>
          <w:p w14:paraId="47E7D2F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[-15,1 %, 61,4 %]</w:t>
            </w:r>
          </w:p>
        </w:tc>
        <w:tc>
          <w:tcPr>
            <w:tcW w:w="2126" w:type="dxa"/>
            <w:tcBorders>
              <w:left w:val="nil"/>
              <w:right w:val="nil"/>
            </w:tcBorders>
            <w:shd w:val="clear" w:color="auto" w:fill="auto"/>
          </w:tcPr>
          <w:p w14:paraId="2396683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0,79</w:t>
            </w:r>
          </w:p>
          <w:p w14:paraId="5C27D45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[0,20, 3,12]</w:t>
            </w:r>
          </w:p>
          <w:p w14:paraId="7F095AA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10,8 mėn. plg. 3,8 mėn.</w:t>
            </w:r>
          </w:p>
          <w:p w14:paraId="24E7A51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p=0,7382</w:t>
            </w:r>
          </w:p>
        </w:tc>
        <w:tc>
          <w:tcPr>
            <w:tcW w:w="1842" w:type="dxa"/>
            <w:tcBorders>
              <w:left w:val="nil"/>
              <w:right w:val="nil"/>
            </w:tcBorders>
            <w:shd w:val="clear" w:color="auto" w:fill="auto"/>
          </w:tcPr>
          <w:p w14:paraId="65B536E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NC</w:t>
            </w:r>
          </w:p>
          <w:p w14:paraId="740803B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p>
          <w:p w14:paraId="7282C45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NR plg. 4.3 mėn.</w:t>
            </w:r>
          </w:p>
        </w:tc>
      </w:tr>
      <w:tr w:rsidR="003744F7" w:rsidRPr="003744F7" w14:paraId="0DD75E2E" w14:textId="77777777" w:rsidTr="003F49E5">
        <w:tc>
          <w:tcPr>
            <w:tcW w:w="1843" w:type="dxa"/>
            <w:tcBorders>
              <w:left w:val="nil"/>
              <w:right w:val="nil"/>
            </w:tcBorders>
            <w:shd w:val="clear" w:color="auto" w:fill="auto"/>
          </w:tcPr>
          <w:p w14:paraId="5766977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EGFR</w:t>
            </w:r>
          </w:p>
          <w:p w14:paraId="15CDA9E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mutacijoms neigiami</w:t>
            </w:r>
          </w:p>
        </w:tc>
        <w:tc>
          <w:tcPr>
            <w:tcW w:w="658" w:type="dxa"/>
            <w:tcBorders>
              <w:left w:val="nil"/>
              <w:right w:val="nil"/>
            </w:tcBorders>
            <w:shd w:val="clear" w:color="auto" w:fill="auto"/>
          </w:tcPr>
          <w:p w14:paraId="0DFC4F4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189</w:t>
            </w:r>
          </w:p>
        </w:tc>
        <w:tc>
          <w:tcPr>
            <w:tcW w:w="2603" w:type="dxa"/>
            <w:tcBorders>
              <w:left w:val="nil"/>
              <w:right w:val="nil"/>
            </w:tcBorders>
            <w:shd w:val="clear" w:color="auto" w:fill="auto"/>
          </w:tcPr>
          <w:p w14:paraId="23790A8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2,6 % plg. 0 %</w:t>
            </w:r>
          </w:p>
          <w:p w14:paraId="7596242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[-5,6 %, 7,3 %]</w:t>
            </w:r>
          </w:p>
        </w:tc>
        <w:tc>
          <w:tcPr>
            <w:tcW w:w="2126" w:type="dxa"/>
            <w:tcBorders>
              <w:left w:val="nil"/>
              <w:right w:val="nil"/>
            </w:tcBorders>
            <w:shd w:val="clear" w:color="auto" w:fill="auto"/>
          </w:tcPr>
          <w:p w14:paraId="1BF4D13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1,10</w:t>
            </w:r>
          </w:p>
          <w:p w14:paraId="1A0B12E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[0,78, 1,56]</w:t>
            </w:r>
          </w:p>
          <w:p w14:paraId="35E125A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2,0 mėn. plg. 2,6 mėn.</w:t>
            </w:r>
          </w:p>
          <w:p w14:paraId="196E233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p=0,5771</w:t>
            </w:r>
          </w:p>
        </w:tc>
        <w:tc>
          <w:tcPr>
            <w:tcW w:w="1842" w:type="dxa"/>
            <w:tcBorders>
              <w:left w:val="nil"/>
              <w:right w:val="nil"/>
            </w:tcBorders>
            <w:shd w:val="clear" w:color="auto" w:fill="auto"/>
          </w:tcPr>
          <w:p w14:paraId="314949D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1,16</w:t>
            </w:r>
          </w:p>
          <w:p w14:paraId="63A1E58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[0,79, 1,72]</w:t>
            </w:r>
          </w:p>
          <w:p w14:paraId="54EEC5D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3,7 mėn. plg. 5,9 mėn.</w:t>
            </w:r>
          </w:p>
          <w:p w14:paraId="67283DC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p=0,4449</w:t>
            </w:r>
          </w:p>
        </w:tc>
      </w:tr>
      <w:tr w:rsidR="003744F7" w:rsidRPr="003744F7" w14:paraId="115CAB9B" w14:textId="77777777" w:rsidTr="003F49E5">
        <w:tc>
          <w:tcPr>
            <w:tcW w:w="1843" w:type="dxa"/>
            <w:tcBorders>
              <w:left w:val="nil"/>
              <w:right w:val="nil"/>
            </w:tcBorders>
            <w:shd w:val="clear" w:color="auto" w:fill="auto"/>
          </w:tcPr>
          <w:p w14:paraId="1A44BE7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Nerūkę</w:t>
            </w:r>
          </w:p>
        </w:tc>
        <w:tc>
          <w:tcPr>
            <w:tcW w:w="658" w:type="dxa"/>
            <w:tcBorders>
              <w:left w:val="nil"/>
              <w:right w:val="nil"/>
            </w:tcBorders>
            <w:shd w:val="clear" w:color="auto" w:fill="auto"/>
          </w:tcPr>
          <w:p w14:paraId="5A4C889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375</w:t>
            </w:r>
          </w:p>
        </w:tc>
        <w:tc>
          <w:tcPr>
            <w:tcW w:w="2603" w:type="dxa"/>
            <w:tcBorders>
              <w:left w:val="nil"/>
              <w:right w:val="nil"/>
            </w:tcBorders>
            <w:shd w:val="clear" w:color="auto" w:fill="auto"/>
          </w:tcPr>
          <w:p w14:paraId="4520F82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18,1 % plg. 0 %</w:t>
            </w:r>
          </w:p>
          <w:p w14:paraId="1CDBB35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[12,3 %, 24,0 %]</w:t>
            </w:r>
          </w:p>
        </w:tc>
        <w:tc>
          <w:tcPr>
            <w:tcW w:w="2126" w:type="dxa"/>
            <w:tcBorders>
              <w:left w:val="nil"/>
              <w:right w:val="nil"/>
            </w:tcBorders>
            <w:shd w:val="clear" w:color="auto" w:fill="auto"/>
          </w:tcPr>
          <w:p w14:paraId="337C415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0,55</w:t>
            </w:r>
          </w:p>
          <w:p w14:paraId="40E4531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[0,42, 0,72]</w:t>
            </w:r>
          </w:p>
          <w:p w14:paraId="12539B8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5,6 mėn. plg. 2,8 mėn.</w:t>
            </w:r>
          </w:p>
          <w:p w14:paraId="2C834B0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p&lt;0,0001</w:t>
            </w:r>
          </w:p>
        </w:tc>
        <w:tc>
          <w:tcPr>
            <w:tcW w:w="1842" w:type="dxa"/>
            <w:tcBorders>
              <w:left w:val="nil"/>
              <w:right w:val="nil"/>
            </w:tcBorders>
            <w:shd w:val="clear" w:color="auto" w:fill="auto"/>
          </w:tcPr>
          <w:p w14:paraId="43E277C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0,67</w:t>
            </w:r>
          </w:p>
          <w:p w14:paraId="621AE40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[0,49, 0,92]</w:t>
            </w:r>
          </w:p>
          <w:p w14:paraId="3CAA408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8,9 mėn. plg. 6,1 mėn.</w:t>
            </w:r>
          </w:p>
          <w:p w14:paraId="6A7B258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p=0,0124</w:t>
            </w:r>
          </w:p>
        </w:tc>
      </w:tr>
      <w:tr w:rsidR="003744F7" w:rsidRPr="003744F7" w14:paraId="14675A65" w14:textId="77777777" w:rsidTr="003F49E5">
        <w:tc>
          <w:tcPr>
            <w:tcW w:w="1843" w:type="dxa"/>
            <w:tcBorders>
              <w:left w:val="nil"/>
              <w:right w:val="nil"/>
            </w:tcBorders>
            <w:shd w:val="clear" w:color="auto" w:fill="auto"/>
          </w:tcPr>
          <w:p w14:paraId="2B3005D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Rūkę</w:t>
            </w:r>
          </w:p>
        </w:tc>
        <w:tc>
          <w:tcPr>
            <w:tcW w:w="658" w:type="dxa"/>
            <w:tcBorders>
              <w:left w:val="nil"/>
              <w:right w:val="nil"/>
            </w:tcBorders>
            <w:shd w:val="clear" w:color="auto" w:fill="auto"/>
          </w:tcPr>
          <w:p w14:paraId="6C5BF8B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1317</w:t>
            </w:r>
          </w:p>
        </w:tc>
        <w:tc>
          <w:tcPr>
            <w:tcW w:w="2603" w:type="dxa"/>
            <w:tcBorders>
              <w:left w:val="nil"/>
              <w:right w:val="nil"/>
            </w:tcBorders>
            <w:shd w:val="clear" w:color="auto" w:fill="auto"/>
          </w:tcPr>
          <w:p w14:paraId="1F6183D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5,3 % plg. 1,6 %</w:t>
            </w:r>
          </w:p>
          <w:p w14:paraId="7B0C60A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[1,4 %, 5,7 %]</w:t>
            </w:r>
          </w:p>
        </w:tc>
        <w:tc>
          <w:tcPr>
            <w:tcW w:w="2126" w:type="dxa"/>
            <w:tcBorders>
              <w:left w:val="nil"/>
              <w:right w:val="nil"/>
            </w:tcBorders>
            <w:shd w:val="clear" w:color="auto" w:fill="auto"/>
          </w:tcPr>
          <w:p w14:paraId="24E5607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0,89</w:t>
            </w:r>
          </w:p>
          <w:p w14:paraId="0EB318F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[0,78, 1,01]</w:t>
            </w:r>
          </w:p>
          <w:p w14:paraId="07D0894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2,7 mėn. plg. 2,6 mėn.</w:t>
            </w:r>
          </w:p>
          <w:p w14:paraId="662E42D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p=0,0707</w:t>
            </w:r>
          </w:p>
        </w:tc>
        <w:tc>
          <w:tcPr>
            <w:tcW w:w="1842" w:type="dxa"/>
            <w:tcBorders>
              <w:left w:val="nil"/>
              <w:right w:val="nil"/>
            </w:tcBorders>
            <w:shd w:val="clear" w:color="auto" w:fill="auto"/>
          </w:tcPr>
          <w:p w14:paraId="17C68C0B"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0,92</w:t>
            </w:r>
          </w:p>
          <w:p w14:paraId="36F7515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[0,79, 1,06]</w:t>
            </w:r>
          </w:p>
          <w:p w14:paraId="48F8848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5,0 mėn. plg. 4,9 mėn.</w:t>
            </w:r>
          </w:p>
          <w:p w14:paraId="0100BD3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p=0,2420</w:t>
            </w:r>
          </w:p>
        </w:tc>
      </w:tr>
      <w:tr w:rsidR="003744F7" w:rsidRPr="003744F7" w14:paraId="4B95DB55" w14:textId="77777777" w:rsidTr="003F49E5">
        <w:tc>
          <w:tcPr>
            <w:tcW w:w="1843" w:type="dxa"/>
            <w:tcBorders>
              <w:left w:val="nil"/>
              <w:bottom w:val="single" w:sz="4" w:space="0" w:color="auto"/>
              <w:right w:val="nil"/>
            </w:tcBorders>
            <w:shd w:val="clear" w:color="auto" w:fill="auto"/>
          </w:tcPr>
          <w:p w14:paraId="5C039AC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 xml:space="preserve">Azijiečiai </w:t>
            </w:r>
            <w:r w:rsidRPr="003744F7">
              <w:rPr>
                <w:rFonts w:ascii="Times New Roman" w:eastAsia="Times New Roman" w:hAnsi="Times New Roman" w:cs="Times New Roman"/>
                <w:bCs/>
                <w:iCs/>
                <w:vertAlign w:val="superscript"/>
                <w:lang w:eastAsia="lt-LT" w:bidi="lt-LT"/>
              </w:rPr>
              <w:t>d</w:t>
            </w:r>
          </w:p>
        </w:tc>
        <w:tc>
          <w:tcPr>
            <w:tcW w:w="658" w:type="dxa"/>
            <w:tcBorders>
              <w:left w:val="nil"/>
              <w:bottom w:val="single" w:sz="4" w:space="0" w:color="auto"/>
              <w:right w:val="nil"/>
            </w:tcBorders>
            <w:shd w:val="clear" w:color="auto" w:fill="auto"/>
          </w:tcPr>
          <w:p w14:paraId="115496BA"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342</w:t>
            </w:r>
          </w:p>
        </w:tc>
        <w:tc>
          <w:tcPr>
            <w:tcW w:w="2603" w:type="dxa"/>
            <w:tcBorders>
              <w:left w:val="nil"/>
              <w:bottom w:val="single" w:sz="4" w:space="0" w:color="auto"/>
              <w:right w:val="nil"/>
            </w:tcBorders>
            <w:shd w:val="clear" w:color="auto" w:fill="auto"/>
          </w:tcPr>
          <w:p w14:paraId="752706A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12,4 % plg. 2,1 %</w:t>
            </w:r>
          </w:p>
          <w:p w14:paraId="75363D0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[4,0 %, 15,8 %]</w:t>
            </w:r>
          </w:p>
        </w:tc>
        <w:tc>
          <w:tcPr>
            <w:tcW w:w="2126" w:type="dxa"/>
            <w:tcBorders>
              <w:left w:val="nil"/>
              <w:bottom w:val="single" w:sz="4" w:space="0" w:color="auto"/>
              <w:right w:val="nil"/>
            </w:tcBorders>
            <w:shd w:val="clear" w:color="auto" w:fill="auto"/>
          </w:tcPr>
          <w:p w14:paraId="3CCF4C9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0,69</w:t>
            </w:r>
          </w:p>
          <w:p w14:paraId="77B9449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[0,52, 0,91]</w:t>
            </w:r>
          </w:p>
          <w:p w14:paraId="198966F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4,4 mėn. plg. 2,2 mėn.</w:t>
            </w:r>
          </w:p>
          <w:p w14:paraId="473FF35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p=0,0084</w:t>
            </w:r>
          </w:p>
        </w:tc>
        <w:tc>
          <w:tcPr>
            <w:tcW w:w="1842" w:type="dxa"/>
            <w:tcBorders>
              <w:left w:val="nil"/>
              <w:bottom w:val="single" w:sz="4" w:space="0" w:color="auto"/>
              <w:right w:val="nil"/>
            </w:tcBorders>
            <w:shd w:val="clear" w:color="auto" w:fill="auto"/>
          </w:tcPr>
          <w:p w14:paraId="7B68044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0,66</w:t>
            </w:r>
          </w:p>
          <w:p w14:paraId="6078512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[0,48, 0,91]</w:t>
            </w:r>
          </w:p>
          <w:p w14:paraId="02CD7A9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9,5 mėn. plg. 5,5 mėn.</w:t>
            </w:r>
          </w:p>
          <w:p w14:paraId="1FE5BD2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p=0,0100</w:t>
            </w:r>
          </w:p>
        </w:tc>
      </w:tr>
      <w:tr w:rsidR="003744F7" w:rsidRPr="003744F7" w14:paraId="62595C4B" w14:textId="77777777" w:rsidTr="003F49E5">
        <w:tc>
          <w:tcPr>
            <w:tcW w:w="1843" w:type="dxa"/>
            <w:tcBorders>
              <w:left w:val="nil"/>
              <w:bottom w:val="single" w:sz="12" w:space="0" w:color="auto"/>
              <w:right w:val="nil"/>
            </w:tcBorders>
            <w:shd w:val="clear" w:color="auto" w:fill="auto"/>
          </w:tcPr>
          <w:p w14:paraId="4F0C20C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Ne azijiečiai</w:t>
            </w:r>
          </w:p>
        </w:tc>
        <w:tc>
          <w:tcPr>
            <w:tcW w:w="658" w:type="dxa"/>
            <w:tcBorders>
              <w:left w:val="nil"/>
              <w:bottom w:val="single" w:sz="12" w:space="0" w:color="auto"/>
              <w:right w:val="nil"/>
            </w:tcBorders>
            <w:shd w:val="clear" w:color="auto" w:fill="auto"/>
          </w:tcPr>
          <w:p w14:paraId="1F521E0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1350</w:t>
            </w:r>
          </w:p>
        </w:tc>
        <w:tc>
          <w:tcPr>
            <w:tcW w:w="2603" w:type="dxa"/>
            <w:tcBorders>
              <w:left w:val="nil"/>
              <w:bottom w:val="single" w:sz="12" w:space="0" w:color="auto"/>
              <w:right w:val="nil"/>
            </w:tcBorders>
            <w:shd w:val="clear" w:color="auto" w:fill="auto"/>
          </w:tcPr>
          <w:p w14:paraId="2C57B58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6,8 % plg. 1,0 %</w:t>
            </w:r>
          </w:p>
          <w:p w14:paraId="3BDD0AD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[3,5 %, 7,9 %]</w:t>
            </w:r>
          </w:p>
        </w:tc>
        <w:tc>
          <w:tcPr>
            <w:tcW w:w="2126" w:type="dxa"/>
            <w:tcBorders>
              <w:left w:val="nil"/>
              <w:bottom w:val="single" w:sz="12" w:space="0" w:color="auto"/>
              <w:right w:val="nil"/>
            </w:tcBorders>
            <w:shd w:val="clear" w:color="auto" w:fill="auto"/>
          </w:tcPr>
          <w:p w14:paraId="29F49B91"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0,86</w:t>
            </w:r>
          </w:p>
          <w:p w14:paraId="2800C08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[0,76, 0,98]</w:t>
            </w:r>
          </w:p>
          <w:p w14:paraId="3FE6AD0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2,9 mėn. plg. 2,7 mėn.</w:t>
            </w:r>
          </w:p>
          <w:p w14:paraId="0F88789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p=0,0197</w:t>
            </w:r>
          </w:p>
        </w:tc>
        <w:tc>
          <w:tcPr>
            <w:tcW w:w="1842" w:type="dxa"/>
            <w:tcBorders>
              <w:left w:val="nil"/>
              <w:bottom w:val="single" w:sz="12" w:space="0" w:color="auto"/>
              <w:right w:val="nil"/>
            </w:tcBorders>
            <w:shd w:val="clear" w:color="auto" w:fill="auto"/>
          </w:tcPr>
          <w:p w14:paraId="01867E7E"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HR 0,92</w:t>
            </w:r>
          </w:p>
          <w:p w14:paraId="1FAF482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[0,80, 1,07]</w:t>
            </w:r>
          </w:p>
          <w:p w14:paraId="226F78E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5,2 mėn. plg. 5,1 mėn.</w:t>
            </w:r>
          </w:p>
          <w:p w14:paraId="297E0382"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p=0,2942</w:t>
            </w:r>
          </w:p>
        </w:tc>
      </w:tr>
    </w:tbl>
    <w:p w14:paraId="19368513"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lang w:eastAsia="lt-LT" w:bidi="lt-LT"/>
        </w:rPr>
      </w:pPr>
      <w:r w:rsidRPr="003744F7">
        <w:rPr>
          <w:rFonts w:ascii="Times New Roman" w:eastAsia="Times New Roman" w:hAnsi="Times New Roman" w:cs="Times New Roman"/>
          <w:bCs/>
          <w:iCs/>
          <w:sz w:val="20"/>
          <w:vertAlign w:val="superscript"/>
          <w:lang w:eastAsia="lt-LT" w:bidi="lt-LT"/>
        </w:rPr>
        <w:t>a</w:t>
      </w:r>
      <w:r w:rsidRPr="003744F7">
        <w:rPr>
          <w:rFonts w:ascii="Times New Roman" w:eastAsia="Times New Roman" w:hAnsi="Times New Roman" w:cs="Times New Roman"/>
          <w:bCs/>
          <w:iCs/>
          <w:sz w:val="20"/>
          <w:vertAlign w:val="superscript"/>
          <w:lang w:eastAsia="lt-LT" w:bidi="lt-LT"/>
        </w:rPr>
        <w:tab/>
      </w:r>
      <w:r w:rsidRPr="003744F7">
        <w:rPr>
          <w:rFonts w:ascii="Times New Roman" w:eastAsia="Times New Roman" w:hAnsi="Times New Roman" w:cs="Times New Roman"/>
          <w:bCs/>
          <w:iCs/>
          <w:sz w:val="20"/>
          <w:lang w:eastAsia="lt-LT" w:bidi="lt-LT"/>
        </w:rPr>
        <w:t>Pateikiami gefitinibo duomenys</w:t>
      </w:r>
      <w:r w:rsidRPr="003744F7">
        <w:rPr>
          <w:rFonts w:ascii="Times New Roman" w:eastAsia="Times New Roman" w:hAnsi="Times New Roman" w:cs="Times New Roman"/>
          <w:bCs/>
          <w:iCs/>
          <w:sz w:val="20"/>
          <w:vertAlign w:val="superscript"/>
          <w:lang w:eastAsia="lt-LT" w:bidi="lt-LT"/>
        </w:rPr>
        <w:t xml:space="preserve"> </w:t>
      </w:r>
      <w:r w:rsidRPr="003744F7">
        <w:rPr>
          <w:rFonts w:ascii="Times New Roman" w:eastAsia="Times New Roman" w:hAnsi="Times New Roman" w:cs="Times New Roman"/>
          <w:bCs/>
          <w:iCs/>
          <w:sz w:val="20"/>
          <w:lang w:eastAsia="lt-LT" w:bidi="lt-LT"/>
        </w:rPr>
        <w:t>palyginus su placebu.</w:t>
      </w:r>
    </w:p>
    <w:p w14:paraId="5B9BE133"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highlight w:val="cyan"/>
          <w:lang w:eastAsia="lt-LT" w:bidi="lt-LT"/>
        </w:rPr>
      </w:pPr>
      <w:r w:rsidRPr="003744F7">
        <w:rPr>
          <w:rFonts w:ascii="Times New Roman" w:eastAsia="Times New Roman" w:hAnsi="Times New Roman" w:cs="Times New Roman"/>
          <w:bCs/>
          <w:iCs/>
          <w:sz w:val="20"/>
          <w:vertAlign w:val="superscript"/>
          <w:lang w:eastAsia="lt-LT" w:bidi="lt-LT"/>
        </w:rPr>
        <w:t>b</w:t>
      </w:r>
      <w:r w:rsidRPr="003744F7">
        <w:rPr>
          <w:rFonts w:ascii="Times New Roman" w:eastAsia="Times New Roman" w:hAnsi="Times New Roman" w:cs="Times New Roman"/>
          <w:bCs/>
          <w:iCs/>
          <w:sz w:val="20"/>
          <w:lang w:eastAsia="lt-LT" w:bidi="lt-LT"/>
        </w:rPr>
        <w:tab/>
      </w:r>
      <w:r w:rsidRPr="003744F7">
        <w:rPr>
          <w:rFonts w:ascii="Times New Roman" w:eastAsia="Times New Roman" w:hAnsi="Times New Roman" w:cs="Times New Roman"/>
          <w:bCs/>
          <w:iCs/>
          <w:sz w:val="20"/>
          <w:szCs w:val="20"/>
          <w:lang w:eastAsia="lt-LT" w:bidi="lt-LT"/>
        </w:rPr>
        <w:t xml:space="preserve">“m” yra mediana mėnesiais. Skaičiai laužtiniuose skliaustuose – HR 95 % pasikliautinieji intervalai. </w:t>
      </w:r>
    </w:p>
    <w:p w14:paraId="061B3D52"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highlight w:val="cyan"/>
          <w:lang w:eastAsia="lt-LT" w:bidi="lt-LT"/>
        </w:rPr>
      </w:pPr>
      <w:r w:rsidRPr="003744F7">
        <w:rPr>
          <w:rFonts w:ascii="Times New Roman" w:eastAsia="Times New Roman" w:hAnsi="Times New Roman" w:cs="Times New Roman"/>
          <w:bCs/>
          <w:iCs/>
          <w:sz w:val="20"/>
          <w:vertAlign w:val="superscript"/>
          <w:lang w:eastAsia="lt-LT" w:bidi="lt-LT"/>
        </w:rPr>
        <w:t>c</w:t>
      </w:r>
      <w:r w:rsidRPr="003744F7">
        <w:rPr>
          <w:rFonts w:ascii="Times New Roman" w:eastAsia="Times New Roman" w:hAnsi="Times New Roman" w:cs="Times New Roman"/>
          <w:bCs/>
          <w:iCs/>
          <w:sz w:val="20"/>
          <w:lang w:eastAsia="lt-LT" w:bidi="lt-LT"/>
        </w:rPr>
        <w:tab/>
        <w:t xml:space="preserve">Stratifikuotas log-rank testas bendram išgyvenimui, kitais atvejais – cox proporcinės rizikos modelis. </w:t>
      </w:r>
    </w:p>
    <w:p w14:paraId="5E0C1375" w14:textId="77777777" w:rsidR="003744F7" w:rsidRPr="003744F7" w:rsidRDefault="003744F7" w:rsidP="003744F7">
      <w:pPr>
        <w:tabs>
          <w:tab w:val="left" w:pos="567"/>
        </w:tabs>
        <w:spacing w:after="0" w:line="240" w:lineRule="auto"/>
        <w:ind w:left="567" w:hanging="567"/>
        <w:rPr>
          <w:rFonts w:ascii="Times New Roman" w:eastAsia="Times New Roman" w:hAnsi="Times New Roman" w:cs="Times New Roman"/>
          <w:bCs/>
          <w:iCs/>
          <w:sz w:val="20"/>
          <w:lang w:eastAsia="lt-LT" w:bidi="lt-LT"/>
        </w:rPr>
      </w:pPr>
      <w:r w:rsidRPr="003744F7">
        <w:rPr>
          <w:rFonts w:ascii="Times New Roman" w:eastAsia="Times New Roman" w:hAnsi="Times New Roman" w:cs="Times New Roman"/>
          <w:bCs/>
          <w:iCs/>
          <w:sz w:val="20"/>
          <w:vertAlign w:val="superscript"/>
          <w:lang w:eastAsia="lt-LT" w:bidi="lt-LT"/>
        </w:rPr>
        <w:t>d</w:t>
      </w:r>
      <w:r w:rsidRPr="003744F7">
        <w:rPr>
          <w:rFonts w:ascii="Times New Roman" w:eastAsia="Times New Roman" w:hAnsi="Times New Roman" w:cs="Times New Roman"/>
          <w:bCs/>
          <w:iCs/>
          <w:sz w:val="20"/>
          <w:lang w:eastAsia="lt-LT" w:bidi="lt-LT"/>
        </w:rPr>
        <w:tab/>
        <w:t>Į azijiečių rasės pacientų grupę neįtraukti kilę iš Indijos; buvo įtraukiama pagal pacientų rasę nepriklausomai nuo gimimo vietos.</w:t>
      </w:r>
    </w:p>
    <w:p w14:paraId="105350D7"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lang w:eastAsia="lt-LT" w:bidi="lt-LT"/>
        </w:rPr>
      </w:pPr>
      <w:r w:rsidRPr="003744F7">
        <w:rPr>
          <w:rFonts w:ascii="Times New Roman" w:eastAsia="Times New Roman" w:hAnsi="Times New Roman" w:cs="Times New Roman"/>
          <w:bCs/>
          <w:iCs/>
          <w:sz w:val="20"/>
          <w:lang w:eastAsia="lt-LT" w:bidi="lt-LT"/>
        </w:rPr>
        <w:t>N</w:t>
      </w:r>
      <w:r w:rsidRPr="003744F7">
        <w:rPr>
          <w:rFonts w:ascii="Times New Roman" w:eastAsia="Times New Roman" w:hAnsi="Times New Roman" w:cs="Times New Roman"/>
          <w:bCs/>
          <w:iCs/>
          <w:sz w:val="20"/>
          <w:lang w:eastAsia="lt-LT" w:bidi="lt-LT"/>
        </w:rPr>
        <w:tab/>
        <w:t>Atsitiktinai parinktų pacientų skaičius.</w:t>
      </w:r>
    </w:p>
    <w:p w14:paraId="6750F9B5"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lang w:eastAsia="lt-LT" w:bidi="lt-LT"/>
        </w:rPr>
      </w:pPr>
      <w:r w:rsidRPr="003744F7">
        <w:rPr>
          <w:rFonts w:ascii="Times New Roman" w:eastAsia="Times New Roman" w:hAnsi="Times New Roman" w:cs="Times New Roman"/>
          <w:bCs/>
          <w:iCs/>
          <w:sz w:val="20"/>
          <w:lang w:eastAsia="lt-LT" w:bidi="lt-LT"/>
        </w:rPr>
        <w:t>NC</w:t>
      </w:r>
      <w:r w:rsidRPr="003744F7">
        <w:rPr>
          <w:rFonts w:ascii="Times New Roman" w:eastAsia="Times New Roman" w:hAnsi="Times New Roman" w:cs="Times New Roman"/>
          <w:bCs/>
          <w:iCs/>
          <w:sz w:val="20"/>
          <w:lang w:eastAsia="lt-LT" w:bidi="lt-LT"/>
        </w:rPr>
        <w:tab/>
        <w:t>Neapskaičiuota (bendro išgyvenamumo HR skaičiavimui reiškinių skaičius buvo per mažas).</w:t>
      </w:r>
    </w:p>
    <w:p w14:paraId="28887809"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lang w:eastAsia="lt-LT" w:bidi="lt-LT"/>
        </w:rPr>
      </w:pPr>
      <w:r w:rsidRPr="003744F7">
        <w:rPr>
          <w:rFonts w:ascii="Times New Roman" w:eastAsia="Times New Roman" w:hAnsi="Times New Roman" w:cs="Times New Roman"/>
          <w:bCs/>
          <w:iCs/>
          <w:sz w:val="20"/>
          <w:lang w:eastAsia="lt-LT" w:bidi="lt-LT"/>
        </w:rPr>
        <w:t>NR</w:t>
      </w:r>
      <w:r w:rsidRPr="003744F7">
        <w:rPr>
          <w:rFonts w:ascii="Times New Roman" w:eastAsia="Times New Roman" w:hAnsi="Times New Roman" w:cs="Times New Roman"/>
          <w:bCs/>
          <w:iCs/>
          <w:sz w:val="20"/>
          <w:lang w:eastAsia="lt-LT" w:bidi="lt-LT"/>
        </w:rPr>
        <w:tab/>
        <w:t>Nepasiektas.</w:t>
      </w:r>
    </w:p>
    <w:p w14:paraId="1671BE99"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lang w:eastAsia="lt-LT" w:bidi="lt-LT"/>
        </w:rPr>
      </w:pPr>
      <w:r w:rsidRPr="003744F7">
        <w:rPr>
          <w:rFonts w:ascii="Times New Roman" w:eastAsia="Times New Roman" w:hAnsi="Times New Roman" w:cs="Times New Roman"/>
          <w:bCs/>
          <w:iCs/>
          <w:sz w:val="20"/>
          <w:lang w:eastAsia="lt-LT" w:bidi="lt-LT"/>
        </w:rPr>
        <w:t>HR</w:t>
      </w:r>
      <w:r w:rsidRPr="003744F7">
        <w:rPr>
          <w:rFonts w:ascii="Times New Roman" w:eastAsia="Times New Roman" w:hAnsi="Times New Roman" w:cs="Times New Roman"/>
          <w:bCs/>
          <w:iCs/>
          <w:sz w:val="20"/>
          <w:lang w:eastAsia="lt-LT" w:bidi="lt-LT"/>
        </w:rPr>
        <w:tab/>
        <w:t>Rizikos santykis (rizikos santykis &lt;1 rodo palankesnį gefitinibo poveikį).</w:t>
      </w:r>
    </w:p>
    <w:p w14:paraId="24A9B871" w14:textId="77777777" w:rsidR="003744F7" w:rsidRPr="003744F7" w:rsidRDefault="003744F7" w:rsidP="003744F7">
      <w:pPr>
        <w:tabs>
          <w:tab w:val="left" w:pos="567"/>
        </w:tabs>
        <w:spacing w:after="0" w:line="240" w:lineRule="auto"/>
        <w:rPr>
          <w:rFonts w:ascii="Times New Roman" w:eastAsia="Times New Roman" w:hAnsi="Times New Roman" w:cs="Times New Roman"/>
          <w:bCs/>
          <w:iCs/>
          <w:highlight w:val="cyan"/>
          <w:lang w:eastAsia="lt-LT" w:bidi="lt-LT"/>
        </w:rPr>
      </w:pPr>
    </w:p>
    <w:p w14:paraId="1E159E1F" w14:textId="77777777" w:rsidR="003744F7" w:rsidRPr="003744F7" w:rsidRDefault="003744F7" w:rsidP="003744F7">
      <w:pPr>
        <w:tabs>
          <w:tab w:val="left" w:pos="567"/>
        </w:tabs>
        <w:spacing w:after="0" w:line="240" w:lineRule="auto"/>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Daugelyje centrų atliktas vienos grupės IFUM tyrimas siekiant patvirtinti panašų gefitinibo poveikį europidų (baltaodžių) ir azijiečių rasės pacientams. Šiame tyrime dalyvavo 106 europidų rasės pacientai, kurie sirgo nesmulkiųjų ląstelių plaučių vėžiu, turėjusiu EGFR aktyvinančių ar įjautrinančių mutacijų. Tyrėjo vertinimu, bendras atsako dažnis (ORR) buvo 70 %, o neprogresuojant ligai išgyvento laikotarpio (PFS) mediana - 9,7 mėn. Šie duomenys yra panašūs į gautus IPASS tyrimo metu.</w:t>
      </w:r>
    </w:p>
    <w:p w14:paraId="3E5FC149" w14:textId="77777777" w:rsidR="003744F7" w:rsidRPr="003744F7" w:rsidRDefault="003744F7" w:rsidP="003744F7">
      <w:pPr>
        <w:tabs>
          <w:tab w:val="left" w:pos="567"/>
        </w:tabs>
        <w:spacing w:after="0" w:line="240" w:lineRule="auto"/>
        <w:rPr>
          <w:rFonts w:ascii="Times New Roman" w:eastAsia="Times New Roman" w:hAnsi="Times New Roman" w:cs="Times New Roman"/>
          <w:bCs/>
          <w:iCs/>
          <w:lang w:eastAsia="lt-LT" w:bidi="lt-LT"/>
        </w:rPr>
      </w:pPr>
    </w:p>
    <w:p w14:paraId="7A86E5EF" w14:textId="77777777" w:rsidR="003744F7" w:rsidRPr="003744F7" w:rsidRDefault="003744F7" w:rsidP="003744F7">
      <w:pPr>
        <w:tabs>
          <w:tab w:val="left" w:pos="567"/>
        </w:tabs>
        <w:spacing w:after="0" w:line="240" w:lineRule="auto"/>
        <w:rPr>
          <w:rFonts w:ascii="Times New Roman" w:eastAsia="Times New Roman" w:hAnsi="Times New Roman" w:cs="Times New Roman"/>
          <w:bCs/>
          <w:i/>
          <w:iCs/>
          <w:lang w:eastAsia="lt-LT" w:bidi="lt-LT"/>
        </w:rPr>
      </w:pPr>
      <w:r w:rsidRPr="003744F7">
        <w:rPr>
          <w:rFonts w:ascii="Times New Roman" w:eastAsia="Times New Roman" w:hAnsi="Times New Roman" w:cs="Times New Roman"/>
          <w:bCs/>
          <w:i/>
          <w:iCs/>
          <w:lang w:eastAsia="lt-LT" w:bidi="lt-LT"/>
        </w:rPr>
        <w:t>EGFR mutacijų būklė ir klinikinės ypatybės</w:t>
      </w:r>
    </w:p>
    <w:p w14:paraId="242FE88E" w14:textId="77777777" w:rsidR="003744F7" w:rsidRPr="003744F7" w:rsidRDefault="003744F7" w:rsidP="003744F7">
      <w:pPr>
        <w:tabs>
          <w:tab w:val="left" w:pos="567"/>
        </w:tabs>
        <w:spacing w:after="0" w:line="240" w:lineRule="auto"/>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Gefitinibo tyrimuose* dalyvavusių 786 europidų rasės pacientų duomenų multivariacinė analizė parodė, kad tam tikros klinikinės ypatybės (nerūkymas, adenokarcinomos histologinė struktūra ir moteriška lytis) yra nepriklausomi veiksniai, leidžiantys prognozuoti teigiamą EGFR mutacijų būklę (žr. 7 lentelę). Azijos rasės pacientų navikų mutacijų būklė taip pat dažniau buvo EGFR teigiama.</w:t>
      </w:r>
    </w:p>
    <w:p w14:paraId="5CF94442" w14:textId="77777777" w:rsidR="003744F7" w:rsidRPr="003744F7" w:rsidRDefault="003744F7" w:rsidP="003744F7">
      <w:pPr>
        <w:tabs>
          <w:tab w:val="left" w:pos="567"/>
        </w:tabs>
        <w:spacing w:after="0" w:line="240" w:lineRule="auto"/>
        <w:rPr>
          <w:rFonts w:ascii="Times New Roman" w:eastAsia="Times New Roman" w:hAnsi="Times New Roman" w:cs="Times New Roman"/>
          <w:bCs/>
          <w:iCs/>
          <w:highlight w:val="cyan"/>
          <w:lang w:eastAsia="lt-LT" w:bidi="lt-LT"/>
        </w:rPr>
      </w:pPr>
    </w:p>
    <w:p w14:paraId="61BC8C6A" w14:textId="77777777" w:rsidR="003744F7" w:rsidRPr="003744F7" w:rsidRDefault="003744F7" w:rsidP="003744F7">
      <w:pPr>
        <w:keepNext/>
        <w:tabs>
          <w:tab w:val="left" w:pos="567"/>
        </w:tabs>
        <w:spacing w:after="0" w:line="240" w:lineRule="auto"/>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 xml:space="preserve">7 lentelė. Multivariacinė logistinės regresijos analizės santrauka veiksniams, kurie leistų nepriklausomai prognozuoti EGFR mutacijų buvimą 786 europidų rasės pacientams, identifikuoti *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93"/>
        <w:gridCol w:w="2409"/>
        <w:gridCol w:w="3828"/>
      </w:tblGrid>
      <w:tr w:rsidR="003744F7" w:rsidRPr="003744F7" w14:paraId="0F439748" w14:textId="77777777" w:rsidTr="003F49E5">
        <w:tc>
          <w:tcPr>
            <w:tcW w:w="1843" w:type="dxa"/>
            <w:tcBorders>
              <w:top w:val="single" w:sz="12" w:space="0" w:color="auto"/>
              <w:left w:val="nil"/>
              <w:bottom w:val="single" w:sz="12" w:space="0" w:color="auto"/>
              <w:right w:val="nil"/>
            </w:tcBorders>
            <w:shd w:val="clear" w:color="auto" w:fill="auto"/>
          </w:tcPr>
          <w:p w14:paraId="1963A2B1"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EGFR mutacijos buvimo numatymo veiksnys</w:t>
            </w:r>
          </w:p>
        </w:tc>
        <w:tc>
          <w:tcPr>
            <w:tcW w:w="993" w:type="dxa"/>
            <w:tcBorders>
              <w:top w:val="single" w:sz="12" w:space="0" w:color="auto"/>
              <w:left w:val="nil"/>
              <w:bottom w:val="single" w:sz="12" w:space="0" w:color="auto"/>
              <w:right w:val="nil"/>
            </w:tcBorders>
            <w:shd w:val="clear" w:color="auto" w:fill="auto"/>
          </w:tcPr>
          <w:p w14:paraId="1E650E29"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p reikšmė</w:t>
            </w:r>
          </w:p>
        </w:tc>
        <w:tc>
          <w:tcPr>
            <w:tcW w:w="2409" w:type="dxa"/>
            <w:tcBorders>
              <w:top w:val="single" w:sz="12" w:space="0" w:color="auto"/>
              <w:left w:val="nil"/>
              <w:bottom w:val="single" w:sz="12" w:space="0" w:color="auto"/>
              <w:right w:val="nil"/>
            </w:tcBorders>
            <w:shd w:val="clear" w:color="auto" w:fill="auto"/>
          </w:tcPr>
          <w:p w14:paraId="25DCF4AB"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EGFR mutacijų šansų reikšmės</w:t>
            </w:r>
          </w:p>
        </w:tc>
        <w:tc>
          <w:tcPr>
            <w:tcW w:w="3828" w:type="dxa"/>
            <w:tcBorders>
              <w:top w:val="single" w:sz="12" w:space="0" w:color="auto"/>
              <w:left w:val="nil"/>
              <w:bottom w:val="single" w:sz="12" w:space="0" w:color="auto"/>
              <w:right w:val="nil"/>
            </w:tcBorders>
            <w:shd w:val="clear" w:color="auto" w:fill="auto"/>
          </w:tcPr>
          <w:p w14:paraId="28A2F952" w14:textId="77777777" w:rsidR="003744F7" w:rsidRPr="003744F7" w:rsidRDefault="003744F7" w:rsidP="003744F7">
            <w:pPr>
              <w:keepNext/>
              <w:tabs>
                <w:tab w:val="left" w:pos="567"/>
              </w:tabs>
              <w:spacing w:after="0" w:line="240" w:lineRule="auto"/>
              <w:jc w:val="center"/>
              <w:rPr>
                <w:rFonts w:ascii="Times New Roman" w:eastAsia="Times New Roman" w:hAnsi="Times New Roman" w:cs="Times New Roman"/>
                <w:b/>
                <w:bCs/>
                <w:iCs/>
                <w:lang w:eastAsia="lt-LT" w:bidi="lt-LT"/>
              </w:rPr>
            </w:pPr>
            <w:r w:rsidRPr="003744F7">
              <w:rPr>
                <w:rFonts w:ascii="Times New Roman" w:eastAsia="Times New Roman" w:hAnsi="Times New Roman" w:cs="Times New Roman"/>
                <w:b/>
                <w:bCs/>
                <w:iCs/>
                <w:lang w:eastAsia="lt-LT" w:bidi="lt-LT"/>
              </w:rPr>
              <w:t>Teigiama prognozinė reikšmė (9,5 % bendros populiacijos yra EGFR mutacijoms teigiami, M+)</w:t>
            </w:r>
          </w:p>
        </w:tc>
      </w:tr>
      <w:tr w:rsidR="003744F7" w:rsidRPr="003744F7" w14:paraId="622C10F8" w14:textId="77777777" w:rsidTr="003F49E5">
        <w:tc>
          <w:tcPr>
            <w:tcW w:w="1843" w:type="dxa"/>
            <w:tcBorders>
              <w:top w:val="single" w:sz="12" w:space="0" w:color="auto"/>
              <w:left w:val="nil"/>
              <w:bottom w:val="single" w:sz="4" w:space="0" w:color="auto"/>
              <w:right w:val="nil"/>
            </w:tcBorders>
            <w:shd w:val="clear" w:color="auto" w:fill="auto"/>
          </w:tcPr>
          <w:p w14:paraId="2F0F6C7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Ar pacientas rūko</w:t>
            </w:r>
          </w:p>
        </w:tc>
        <w:tc>
          <w:tcPr>
            <w:tcW w:w="993" w:type="dxa"/>
            <w:tcBorders>
              <w:top w:val="single" w:sz="12" w:space="0" w:color="auto"/>
              <w:left w:val="nil"/>
              <w:bottom w:val="single" w:sz="4" w:space="0" w:color="auto"/>
              <w:right w:val="nil"/>
            </w:tcBorders>
            <w:shd w:val="clear" w:color="auto" w:fill="auto"/>
          </w:tcPr>
          <w:p w14:paraId="7DC1CE4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&lt;0,0001</w:t>
            </w:r>
          </w:p>
        </w:tc>
        <w:tc>
          <w:tcPr>
            <w:tcW w:w="2409" w:type="dxa"/>
            <w:tcBorders>
              <w:top w:val="single" w:sz="12" w:space="0" w:color="auto"/>
              <w:left w:val="nil"/>
              <w:bottom w:val="single" w:sz="4" w:space="0" w:color="auto"/>
              <w:right w:val="nil"/>
            </w:tcBorders>
            <w:shd w:val="clear" w:color="auto" w:fill="auto"/>
          </w:tcPr>
          <w:p w14:paraId="0F125B1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6,5 karto dažniau nerūkiusiems nei rūkiusiems</w:t>
            </w:r>
          </w:p>
        </w:tc>
        <w:tc>
          <w:tcPr>
            <w:tcW w:w="3828" w:type="dxa"/>
            <w:tcBorders>
              <w:top w:val="single" w:sz="12" w:space="0" w:color="auto"/>
              <w:left w:val="nil"/>
              <w:bottom w:val="single" w:sz="4" w:space="0" w:color="auto"/>
              <w:right w:val="nil"/>
            </w:tcBorders>
            <w:shd w:val="clear" w:color="auto" w:fill="auto"/>
          </w:tcPr>
          <w:p w14:paraId="4E3D8CA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28/70 (40 %) nerūkiusių yra M+</w:t>
            </w:r>
          </w:p>
          <w:p w14:paraId="2A49897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47/716 (7 %) rūkiusių M+</w:t>
            </w:r>
          </w:p>
        </w:tc>
      </w:tr>
      <w:tr w:rsidR="003744F7" w:rsidRPr="003744F7" w14:paraId="3C235644" w14:textId="77777777" w:rsidTr="003F49E5">
        <w:tc>
          <w:tcPr>
            <w:tcW w:w="1843" w:type="dxa"/>
            <w:tcBorders>
              <w:left w:val="nil"/>
              <w:bottom w:val="single" w:sz="2" w:space="0" w:color="auto"/>
              <w:right w:val="nil"/>
            </w:tcBorders>
            <w:shd w:val="clear" w:color="auto" w:fill="auto"/>
          </w:tcPr>
          <w:p w14:paraId="4F93D967"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Histologinė struktūra</w:t>
            </w:r>
          </w:p>
        </w:tc>
        <w:tc>
          <w:tcPr>
            <w:tcW w:w="993" w:type="dxa"/>
            <w:tcBorders>
              <w:left w:val="nil"/>
              <w:bottom w:val="single" w:sz="2" w:space="0" w:color="auto"/>
              <w:right w:val="nil"/>
            </w:tcBorders>
            <w:shd w:val="clear" w:color="auto" w:fill="auto"/>
          </w:tcPr>
          <w:p w14:paraId="7608200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&lt;0,0001</w:t>
            </w:r>
          </w:p>
        </w:tc>
        <w:tc>
          <w:tcPr>
            <w:tcW w:w="2409" w:type="dxa"/>
            <w:tcBorders>
              <w:left w:val="nil"/>
              <w:bottom w:val="single" w:sz="2" w:space="0" w:color="auto"/>
              <w:right w:val="nil"/>
            </w:tcBorders>
            <w:shd w:val="clear" w:color="auto" w:fill="auto"/>
          </w:tcPr>
          <w:p w14:paraId="30C2988C"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4,4 karto dažniau esant adenokarcinomai nei ne adenokarcinomai</w:t>
            </w:r>
          </w:p>
          <w:p w14:paraId="3462F63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p>
        </w:tc>
        <w:tc>
          <w:tcPr>
            <w:tcW w:w="3828" w:type="dxa"/>
            <w:tcBorders>
              <w:left w:val="nil"/>
              <w:bottom w:val="single" w:sz="2" w:space="0" w:color="auto"/>
              <w:right w:val="nil"/>
            </w:tcBorders>
            <w:shd w:val="clear" w:color="auto" w:fill="auto"/>
          </w:tcPr>
          <w:p w14:paraId="538CA77F"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63/396 (16 %) pacientų, kuriems nustatyta adenokarcinomos histologinė struktūra, yra M+</w:t>
            </w:r>
          </w:p>
          <w:p w14:paraId="5602953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12/390 (3 %) pacientų, kuriems nustatyta ne adenokarcinomos histologinė struktūra, yra M+</w:t>
            </w:r>
          </w:p>
        </w:tc>
      </w:tr>
      <w:tr w:rsidR="003744F7" w:rsidRPr="003744F7" w14:paraId="79633174" w14:textId="77777777" w:rsidTr="003F49E5">
        <w:tc>
          <w:tcPr>
            <w:tcW w:w="1843" w:type="dxa"/>
            <w:tcBorders>
              <w:top w:val="single" w:sz="2" w:space="0" w:color="auto"/>
              <w:left w:val="nil"/>
              <w:bottom w:val="single" w:sz="12" w:space="0" w:color="auto"/>
              <w:right w:val="nil"/>
            </w:tcBorders>
            <w:shd w:val="clear" w:color="auto" w:fill="auto"/>
          </w:tcPr>
          <w:p w14:paraId="32B14F23"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Lytis</w:t>
            </w:r>
          </w:p>
        </w:tc>
        <w:tc>
          <w:tcPr>
            <w:tcW w:w="993" w:type="dxa"/>
            <w:tcBorders>
              <w:top w:val="single" w:sz="2" w:space="0" w:color="auto"/>
              <w:left w:val="nil"/>
              <w:bottom w:val="single" w:sz="12" w:space="0" w:color="auto"/>
              <w:right w:val="nil"/>
            </w:tcBorders>
            <w:shd w:val="clear" w:color="auto" w:fill="auto"/>
          </w:tcPr>
          <w:p w14:paraId="5735C2C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0,0397</w:t>
            </w:r>
          </w:p>
        </w:tc>
        <w:tc>
          <w:tcPr>
            <w:tcW w:w="2409" w:type="dxa"/>
            <w:tcBorders>
              <w:top w:val="single" w:sz="2" w:space="0" w:color="auto"/>
              <w:left w:val="nil"/>
              <w:bottom w:val="single" w:sz="12" w:space="0" w:color="auto"/>
              <w:right w:val="nil"/>
            </w:tcBorders>
            <w:shd w:val="clear" w:color="auto" w:fill="auto"/>
          </w:tcPr>
          <w:p w14:paraId="447E8764"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1,7 karto dažniau moterims, nei vyrams</w:t>
            </w:r>
          </w:p>
        </w:tc>
        <w:tc>
          <w:tcPr>
            <w:tcW w:w="3828" w:type="dxa"/>
            <w:tcBorders>
              <w:top w:val="single" w:sz="2" w:space="0" w:color="auto"/>
              <w:left w:val="nil"/>
              <w:bottom w:val="single" w:sz="12" w:space="0" w:color="auto"/>
              <w:right w:val="nil"/>
            </w:tcBorders>
            <w:shd w:val="clear" w:color="auto" w:fill="auto"/>
          </w:tcPr>
          <w:p w14:paraId="451CD029"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40/235 (17%) moterų yra M+</w:t>
            </w:r>
          </w:p>
          <w:p w14:paraId="7D6A7DA5"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Cs/>
                <w:iCs/>
                <w:lang w:eastAsia="lt-LT" w:bidi="lt-LT"/>
              </w:rPr>
            </w:pPr>
            <w:r w:rsidRPr="003744F7">
              <w:rPr>
                <w:rFonts w:ascii="Times New Roman" w:eastAsia="Times New Roman" w:hAnsi="Times New Roman" w:cs="Times New Roman"/>
                <w:bCs/>
                <w:iCs/>
                <w:lang w:eastAsia="lt-LT" w:bidi="lt-LT"/>
              </w:rPr>
              <w:t>35/551 (6%) vyrų yra M+</w:t>
            </w:r>
          </w:p>
        </w:tc>
      </w:tr>
    </w:tbl>
    <w:p w14:paraId="6D6D1B8F" w14:textId="77777777" w:rsidR="003744F7" w:rsidRPr="003744F7" w:rsidRDefault="003744F7" w:rsidP="003744F7">
      <w:pPr>
        <w:tabs>
          <w:tab w:val="left" w:pos="567"/>
        </w:tabs>
        <w:spacing w:after="0" w:line="240" w:lineRule="auto"/>
        <w:rPr>
          <w:rFonts w:ascii="Times New Roman" w:eastAsia="Times New Roman" w:hAnsi="Times New Roman" w:cs="Times New Roman"/>
          <w:bCs/>
          <w:iCs/>
          <w:sz w:val="20"/>
          <w:lang w:eastAsia="lt-LT" w:bidi="lt-LT"/>
        </w:rPr>
      </w:pPr>
      <w:r w:rsidRPr="003744F7">
        <w:rPr>
          <w:rFonts w:ascii="Times New Roman" w:eastAsia="Times New Roman" w:hAnsi="Times New Roman" w:cs="Times New Roman"/>
          <w:bCs/>
          <w:iCs/>
          <w:sz w:val="20"/>
          <w:lang w:eastAsia="lt-LT" w:bidi="lt-LT"/>
        </w:rPr>
        <w:t>* INTEREST, ISEL, INTACT 1 ir 2, IDEAL 1 ir 2, INVITE tyrimų duomenimis.</w:t>
      </w:r>
    </w:p>
    <w:p w14:paraId="0DC736DC"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Cs/>
          <w:noProof/>
          <w:lang w:eastAsia="lt-LT" w:bidi="lt-LT"/>
        </w:rPr>
      </w:pPr>
    </w:p>
    <w:p w14:paraId="2E905DC8"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Farmakokinetinės savybės</w:t>
      </w:r>
    </w:p>
    <w:p w14:paraId="736A7C8C" w14:textId="77777777" w:rsidR="003744F7" w:rsidRPr="003744F7" w:rsidRDefault="003744F7" w:rsidP="003744F7">
      <w:pPr>
        <w:keepNext/>
        <w:tabs>
          <w:tab w:val="left" w:pos="567"/>
        </w:tabs>
        <w:spacing w:after="0" w:line="240" w:lineRule="auto"/>
        <w:ind w:left="567" w:hanging="567"/>
        <w:outlineLvl w:val="0"/>
        <w:rPr>
          <w:rFonts w:ascii="Times New Roman" w:eastAsia="Times New Roman" w:hAnsi="Times New Roman" w:cs="Times New Roman"/>
          <w:b/>
          <w:noProof/>
          <w:lang w:eastAsia="lt-LT" w:bidi="lt-LT"/>
        </w:rPr>
      </w:pPr>
    </w:p>
    <w:p w14:paraId="5738FE38"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u w:val="single"/>
          <w:lang w:eastAsia="lt-LT" w:bidi="lt-LT"/>
        </w:rPr>
        <w:t>Absorbcija</w:t>
      </w:r>
    </w:p>
    <w:p w14:paraId="407D91D2"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Išgertas gefitinibas absorbuojamas vidutiniškai lėtai, didžiausia jo koncentracija plazmoje paprastai susidaro po 3-7 val. Vidutinis absoliutus biologinis prieinamumas vėžiu sergantiems pacientams yra 59 %. Maistas neturi reikšmingos įtakos gefitinibo ekspozicijai. Tyrimo su sveikais savanoriais metu palaikant skrandžio pH didesnę kaip 5, gefitinibo ekspozicija sumažėjo 47 %, tikriausiai dėl pablogėjusio gefitinibo tirpumo skrandyje (žr. 4.4 ir 4.5 skyrius).</w:t>
      </w:r>
    </w:p>
    <w:p w14:paraId="2C4FF936"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u w:val="single"/>
          <w:lang w:eastAsia="lt-LT" w:bidi="lt-LT"/>
        </w:rPr>
      </w:pPr>
    </w:p>
    <w:p w14:paraId="131850E1"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u w:val="single"/>
          <w:lang w:eastAsia="lt-LT" w:bidi="lt-LT"/>
        </w:rPr>
      </w:pPr>
      <w:r w:rsidRPr="003744F7">
        <w:rPr>
          <w:rFonts w:ascii="Times New Roman" w:eastAsia="Times New Roman" w:hAnsi="Times New Roman" w:cs="Times New Roman"/>
          <w:u w:val="single"/>
          <w:lang w:eastAsia="lt-LT" w:bidi="lt-LT"/>
        </w:rPr>
        <w:t>Pasiskirstymas</w:t>
      </w:r>
    </w:p>
    <w:p w14:paraId="26E38D6C"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Vidutinis pusiausvyrinis gefitinibo pasiskirstymo tūris yra 1400 litrų (tai rodo didelio vaistinio preparato kiekio pasiskirstymą audiniuose). Maždaug 90 % gefitinibo būna prisijungusio prie plazmos baltymų. Gefitinibas jungiasi prie serumo albumino ir α</w:t>
      </w:r>
      <w:r w:rsidRPr="003744F7">
        <w:rPr>
          <w:rFonts w:ascii="Times New Roman" w:eastAsia="Times New Roman" w:hAnsi="Times New Roman" w:cs="Times New Roman"/>
          <w:vertAlign w:val="subscript"/>
          <w:lang w:eastAsia="lt-LT" w:bidi="lt-LT"/>
        </w:rPr>
        <w:t>1</w:t>
      </w:r>
      <w:r w:rsidRPr="003744F7">
        <w:rPr>
          <w:rFonts w:ascii="Times New Roman" w:eastAsia="Times New Roman" w:hAnsi="Times New Roman" w:cs="Times New Roman"/>
          <w:lang w:eastAsia="lt-LT" w:bidi="lt-LT"/>
        </w:rPr>
        <w:t xml:space="preserve"> rūgščiojo glikoproteino.</w:t>
      </w:r>
    </w:p>
    <w:p w14:paraId="02B53F3B"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7E47697C"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Tyrimų </w:t>
      </w:r>
      <w:r w:rsidRPr="003744F7">
        <w:rPr>
          <w:rFonts w:ascii="Times New Roman" w:eastAsia="Times New Roman" w:hAnsi="Times New Roman" w:cs="Times New Roman"/>
          <w:i/>
          <w:iCs/>
          <w:lang w:eastAsia="lt-LT" w:bidi="lt-LT"/>
        </w:rPr>
        <w:t xml:space="preserve">in vitro </w:t>
      </w:r>
      <w:r w:rsidRPr="003744F7">
        <w:rPr>
          <w:rFonts w:ascii="Times New Roman" w:eastAsia="Times New Roman" w:hAnsi="Times New Roman" w:cs="Times New Roman"/>
          <w:lang w:eastAsia="lt-LT" w:bidi="lt-LT"/>
        </w:rPr>
        <w:t>duomenimis, gefitinibas yra membraninės pernašos baltymo Pg-p substratas.</w:t>
      </w:r>
    </w:p>
    <w:p w14:paraId="14A6BCF4"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u w:val="single"/>
          <w:lang w:eastAsia="lt-LT" w:bidi="lt-LT"/>
        </w:rPr>
      </w:pPr>
    </w:p>
    <w:p w14:paraId="5BAB8D45"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u w:val="single"/>
          <w:lang w:eastAsia="lt-LT" w:bidi="lt-LT"/>
        </w:rPr>
      </w:pPr>
      <w:r w:rsidRPr="003744F7">
        <w:rPr>
          <w:rFonts w:ascii="Times New Roman" w:eastAsia="Times New Roman" w:hAnsi="Times New Roman" w:cs="Times New Roman"/>
          <w:u w:val="single"/>
          <w:lang w:eastAsia="lt-LT" w:bidi="lt-LT"/>
        </w:rPr>
        <w:t>Biotransformacija</w:t>
      </w:r>
    </w:p>
    <w:p w14:paraId="5F57657C"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Tyrimų </w:t>
      </w:r>
      <w:r w:rsidRPr="003744F7">
        <w:rPr>
          <w:rFonts w:ascii="Times New Roman" w:eastAsia="Times New Roman" w:hAnsi="Times New Roman" w:cs="Times New Roman"/>
          <w:i/>
          <w:iCs/>
          <w:lang w:eastAsia="lt-LT" w:bidi="lt-LT"/>
        </w:rPr>
        <w:t xml:space="preserve">in vitro </w:t>
      </w:r>
      <w:r w:rsidRPr="003744F7">
        <w:rPr>
          <w:rFonts w:ascii="Times New Roman" w:eastAsia="Times New Roman" w:hAnsi="Times New Roman" w:cs="Times New Roman"/>
          <w:lang w:eastAsia="lt-LT" w:bidi="lt-LT"/>
        </w:rPr>
        <w:t>duomenimis, pagrindiniai gefitinibo oksidacinio metabolizmo P450 izofermentai yra CYP3A4 ir CYP2D6.</w:t>
      </w:r>
    </w:p>
    <w:p w14:paraId="36DD2296"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5C84947B"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Tyrimais </w:t>
      </w:r>
      <w:r w:rsidRPr="003744F7">
        <w:rPr>
          <w:rFonts w:ascii="Times New Roman" w:eastAsia="Times New Roman" w:hAnsi="Times New Roman" w:cs="Times New Roman"/>
          <w:i/>
          <w:iCs/>
          <w:lang w:eastAsia="lt-LT" w:bidi="lt-LT"/>
        </w:rPr>
        <w:t xml:space="preserve">in vitro </w:t>
      </w:r>
      <w:r w:rsidRPr="003744F7">
        <w:rPr>
          <w:rFonts w:ascii="Times New Roman" w:eastAsia="Times New Roman" w:hAnsi="Times New Roman" w:cs="Times New Roman"/>
          <w:lang w:eastAsia="lt-LT" w:bidi="lt-LT"/>
        </w:rPr>
        <w:t xml:space="preserve">nustatyta gefitinibo savybė šiek tiek slopinti CYP2D6. Tyrimai su gyvūnais gefitinibo sukeliamo fermentų aktyvumo padidėjimo neparodė. Reikšmingo šio vaistinio preparato sukeliamo kitų citochromo P450 fermentų slopinimo </w:t>
      </w:r>
      <w:r w:rsidRPr="003744F7">
        <w:rPr>
          <w:rFonts w:ascii="Times New Roman" w:eastAsia="Times New Roman" w:hAnsi="Times New Roman" w:cs="Times New Roman"/>
          <w:i/>
          <w:iCs/>
          <w:lang w:eastAsia="lt-LT" w:bidi="lt-LT"/>
        </w:rPr>
        <w:t xml:space="preserve">in vitro </w:t>
      </w:r>
      <w:r w:rsidRPr="003744F7">
        <w:rPr>
          <w:rFonts w:ascii="Times New Roman" w:eastAsia="Times New Roman" w:hAnsi="Times New Roman" w:cs="Times New Roman"/>
          <w:lang w:eastAsia="lt-LT" w:bidi="lt-LT"/>
        </w:rPr>
        <w:t>nenustatyta.</w:t>
      </w:r>
    </w:p>
    <w:p w14:paraId="6541112B"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0C3C7A56"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Gefitinibas ekstensyviai metabolizuojamas žmogaus organizme. Išskyrose pilnai identifikuoti 5 metabolitai, plazmoje – 8. Pagrindinis identifikuotas metabolitas yra O-desmetilgefitinibas, kuris 14 kartų silpniau už gefitinibą slopina EGFR stimuliuojamą ląstelių augimą, o navikinių ląstelių augimo pelių organizme neslopina. Dėl to manoma, kad šio metabolito įtakos gefitinibo klinikiniam aktyvumui nereikėtų tikėtis.</w:t>
      </w:r>
    </w:p>
    <w:p w14:paraId="072DF54F"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092896CB"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lastRenderedPageBreak/>
        <w:t xml:space="preserve">Nustatyta, kad </w:t>
      </w:r>
      <w:r w:rsidRPr="003744F7">
        <w:rPr>
          <w:rFonts w:ascii="Times New Roman" w:eastAsia="Times New Roman" w:hAnsi="Times New Roman" w:cs="Times New Roman"/>
          <w:i/>
          <w:iCs/>
          <w:lang w:eastAsia="lt-LT" w:bidi="lt-LT"/>
        </w:rPr>
        <w:t xml:space="preserve">in vitro </w:t>
      </w:r>
      <w:r w:rsidRPr="003744F7">
        <w:rPr>
          <w:rFonts w:ascii="Times New Roman" w:eastAsia="Times New Roman" w:hAnsi="Times New Roman" w:cs="Times New Roman"/>
          <w:lang w:eastAsia="lt-LT" w:bidi="lt-LT"/>
        </w:rPr>
        <w:t>O-desmetilgefitinibo susidarymą katalizuoja CYP2D6. CYP2D6 įtaka gefitinibo metaboliniam klirensui buvo tirta atliekant klinikinį tyrimą su sveikais savanoriais, prieš tai ištyrus jų CYP2D6 genotipo būklę. „Lėtų“ metabolizuotojų organizme išmatuojama O-desmetilgefitinibo koncentracija nesusidarė. Gefitinibo ekspozicija „lėtų“ ir „ekstensyvių“ metabolizuotojų grupėse įvairavo plačiose ribose, kurios viena persidengė su kita, tačiau „lėtų“ metabolizuotojų grupės asmenims vidutinė gefitinibo ekspozicija buvo 2 kartus didesnė. Didesnė vidutinė ekspozicija, galinti susidaryti aktyvaus CYP2D6 neturintiems asmenims, gali būti kliniškai reikšminga, kadangi šio vaistinio preparato nepageidaujami poveikiai yra susiję su jo doze ir ekspozicija.</w:t>
      </w:r>
    </w:p>
    <w:p w14:paraId="752D9AF9"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u w:val="single"/>
          <w:lang w:eastAsia="lt-LT" w:bidi="lt-LT"/>
        </w:rPr>
      </w:pPr>
    </w:p>
    <w:p w14:paraId="719F2942"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u w:val="single"/>
          <w:lang w:eastAsia="lt-LT" w:bidi="lt-LT"/>
        </w:rPr>
      </w:pPr>
      <w:r w:rsidRPr="003744F7">
        <w:rPr>
          <w:rFonts w:ascii="Times New Roman" w:eastAsia="Times New Roman" w:hAnsi="Times New Roman" w:cs="Times New Roman"/>
          <w:u w:val="single"/>
          <w:lang w:eastAsia="lt-LT" w:bidi="lt-LT"/>
        </w:rPr>
        <w:t>Eliminacija</w:t>
      </w:r>
    </w:p>
    <w:p w14:paraId="01FEAAE9"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Daugiausia gefitinibo pašalinama su išmatomis metabolitų pavidalo. Per inkstus pašalinamas vaistinis preparatas ir jo metabolitų kiekis atitinka mažiau kaip 4 % pavartotos dozės.</w:t>
      </w:r>
    </w:p>
    <w:p w14:paraId="21EF6FB5"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799D3C08"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Gefitinibo suminis plazminis klirensas yra apie 500 ml/min., jo vidutinis pusinis terminalinis laikas vėžiu sergančių pacientų organizme – 41 val. Vartojant gefitinibą 1 kartą per parą, jo akumuliacija būna 2-8 kartų, o pusiausvyrinė ekspozicija susidaro po 7-10 dozių. Esant pusiausvyrinei būklei, vaistinio preparato koncentracija plazmoje per 24 val. vartojimo intervalą paprastai svyruoja 2-3 kartų ribose.</w:t>
      </w:r>
    </w:p>
    <w:p w14:paraId="2015087A"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61F2F6AD"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
          <w:iCs/>
          <w:lang w:eastAsia="lt-LT" w:bidi="lt-LT"/>
        </w:rPr>
      </w:pPr>
      <w:r w:rsidRPr="003744F7">
        <w:rPr>
          <w:rFonts w:ascii="Times New Roman" w:eastAsia="Times New Roman" w:hAnsi="Times New Roman" w:cs="Times New Roman"/>
          <w:i/>
          <w:iCs/>
          <w:lang w:eastAsia="lt-LT" w:bidi="lt-LT"/>
        </w:rPr>
        <w:t>Ypatingos populiacijos</w:t>
      </w:r>
    </w:p>
    <w:p w14:paraId="40EE3A31"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Vėžiu sergančių pacientų populiacinės farmakokinetinės analizės duomenimis, prognozuojamos minimalios pusiausvyrinės koncentracijos ryšio su paciento amžiumi, kūno svoriu, lytimi, rase ar kreatinino klirensu (kai jis didesnis kaip 20 ml/min) nenustatyta.</w:t>
      </w:r>
    </w:p>
    <w:p w14:paraId="0E3B407F"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122601AF"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i/>
          <w:iCs/>
          <w:lang w:eastAsia="lt-LT" w:bidi="lt-LT"/>
        </w:rPr>
      </w:pPr>
      <w:r w:rsidRPr="003744F7">
        <w:rPr>
          <w:rFonts w:ascii="Times New Roman" w:eastAsia="Times New Roman" w:hAnsi="Times New Roman" w:cs="Times New Roman"/>
          <w:i/>
          <w:iCs/>
          <w:lang w:eastAsia="lt-LT" w:bidi="lt-LT"/>
        </w:rPr>
        <w:t>Sutrikusi kepenų funkcija</w:t>
      </w:r>
    </w:p>
    <w:p w14:paraId="571B5D3B"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I fazės atviro tyrimo metu pacientai, sergantys lengvo, vidutinio ar sunkaus laipsnio kepenų nepakankamumu dėl cirozės (pagal </w:t>
      </w:r>
      <w:r w:rsidRPr="003744F7">
        <w:rPr>
          <w:rFonts w:ascii="Times New Roman" w:eastAsia="Times New Roman" w:hAnsi="Times New Roman" w:cs="Times New Roman"/>
          <w:i/>
          <w:lang w:eastAsia="lt-LT" w:bidi="lt-LT"/>
        </w:rPr>
        <w:t>Child-Pugh</w:t>
      </w:r>
      <w:r w:rsidRPr="003744F7">
        <w:rPr>
          <w:rFonts w:ascii="Times New Roman" w:eastAsia="Times New Roman" w:hAnsi="Times New Roman" w:cs="Times New Roman"/>
          <w:lang w:eastAsia="lt-LT" w:bidi="lt-LT"/>
        </w:rPr>
        <w:t xml:space="preserve"> klasifikaciją), vartojo po vieną 250 mg gefitinibo dozę. Visų grupių pacientams vaistinio preparato ekspozicija buvo didesnė negu sveikiems kontrolinės grupės asmenims (sergantiems vidutinio ir sunkaus laipsnio kepenų nepakankamumu – vidutiniškai 3,1 karto). Nė vienas iš šių pacientų nesirgo vėžiu, tačiau visi jie sirgo ciroze ir kai kurie – hepatitu. Toks ekspozicijos padidėjimas gali būti kliniškai reikšmingas, kadangi gefitinibo nepageidaujami reiškiniai yra susiję su jo doze ir ekspozicija.</w:t>
      </w:r>
    </w:p>
    <w:p w14:paraId="4FD48549"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270A2E18"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Kitame gefitinibo klinikiniame tyrime dalyvavo 41 solidiniais navikais sirgęs pacientas, kurio kepenų funkcija buvo normali, vidutiniškai sutrikusi arba sunkiai sutrikusi (klasifikuota pagal iki gydymo nustatytus Bendrųjų toksiškumo kriterijų laipsnius atsižvelgiant į AST, šarminės fosfatazės aktyvumo ir bilirubino koncentraciją) dėl vėžio metastazių kepenyse. Nustatyta, kad geriant 250 mg gefitinibo per parą, pusiausvyrinės koncentracijos susidarymo laikas, suminis plazminis klirensas (C</w:t>
      </w:r>
      <w:r w:rsidRPr="003744F7">
        <w:rPr>
          <w:rFonts w:ascii="Times New Roman" w:eastAsia="Times New Roman" w:hAnsi="Times New Roman" w:cs="Times New Roman"/>
          <w:vertAlign w:val="subscript"/>
          <w:lang w:eastAsia="lt-LT" w:bidi="lt-LT"/>
        </w:rPr>
        <w:t>maxSS</w:t>
      </w:r>
      <w:r w:rsidRPr="003744F7">
        <w:rPr>
          <w:rFonts w:ascii="Times New Roman" w:eastAsia="Times New Roman" w:hAnsi="Times New Roman" w:cs="Times New Roman"/>
          <w:lang w:eastAsia="lt-LT" w:bidi="lt-LT"/>
        </w:rPr>
        <w:t>) ir pusiausvyrinė ekspozicija (paros AUC</w:t>
      </w:r>
      <w:r w:rsidRPr="003744F7">
        <w:rPr>
          <w:rFonts w:ascii="Times New Roman" w:eastAsia="Times New Roman" w:hAnsi="Times New Roman" w:cs="Times New Roman"/>
          <w:vertAlign w:val="subscript"/>
          <w:lang w:eastAsia="lt-LT" w:bidi="lt-LT"/>
        </w:rPr>
        <w:t>24SS</w:t>
      </w:r>
      <w:r w:rsidRPr="003744F7">
        <w:rPr>
          <w:rFonts w:ascii="Times New Roman" w:eastAsia="Times New Roman" w:hAnsi="Times New Roman" w:cs="Times New Roman"/>
          <w:lang w:eastAsia="lt-LT" w:bidi="lt-LT"/>
        </w:rPr>
        <w:t xml:space="preserve"> esant pusiausvyrinei koncentracijai) buvo panašūs grupėse pacientų, kurių kepenų funkcija normali ir vidutiniškai sutrikusi. Keturių pacientų, sirgusių vėžio metastazių kepenyse sukeltu sunkiu kepenų nepakankamumu, tyrimų duomenys leidžia manyti, kad pusiausvyrinė ekspozicija jiems yra panaši kaip turintiems normalią kepenų funkciją.</w:t>
      </w:r>
    </w:p>
    <w:p w14:paraId="4C9709C3"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lang w:eastAsia="lt-LT" w:bidi="lt-LT"/>
        </w:rPr>
      </w:pPr>
    </w:p>
    <w:p w14:paraId="023DE447" w14:textId="0AE123EF" w:rsidR="00AF0750"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5.3</w:t>
      </w:r>
      <w:r w:rsidRPr="003744F7">
        <w:rPr>
          <w:rFonts w:ascii="Times New Roman" w:eastAsia="Times New Roman" w:hAnsi="Times New Roman" w:cs="Times New Roman"/>
          <w:b/>
          <w:noProof/>
          <w:lang w:eastAsia="lt-LT" w:bidi="lt-LT"/>
        </w:rPr>
        <w:tab/>
        <w:t>Ikiklinikinių saugumo tyrimų duomenys</w:t>
      </w:r>
    </w:p>
    <w:p w14:paraId="1419F717" w14:textId="31B89BA5"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b/>
          <w:noProof/>
          <w:lang w:eastAsia="lt-LT" w:bidi="lt-LT"/>
        </w:rPr>
      </w:pPr>
    </w:p>
    <w:p w14:paraId="4328FB0E" w14:textId="77777777" w:rsidR="003744F7" w:rsidRPr="003744F7" w:rsidRDefault="003744F7" w:rsidP="00AF0750">
      <w:pPr>
        <w:numPr>
          <w:ilvl w:val="12"/>
          <w:numId w:val="0"/>
        </w:numPr>
        <w:tabs>
          <w:tab w:val="left" w:pos="567"/>
        </w:tabs>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Iklinikinių tyrimų metu nepastebėtos nepageidaujamos reakcijos, kurios pasireiškė gyvūnams esant panašiai į klinikinę ekspozicijai ir gali turėti klinikinės reikšmės, yra:</w:t>
      </w:r>
    </w:p>
    <w:p w14:paraId="6B1A1AD8" w14:textId="77777777" w:rsidR="003744F7" w:rsidRPr="003744F7" w:rsidRDefault="003744F7" w:rsidP="00AF0750">
      <w:pPr>
        <w:keepNext/>
        <w:numPr>
          <w:ilvl w:val="0"/>
          <w:numId w:val="39"/>
        </w:numPr>
        <w:tabs>
          <w:tab w:val="left" w:pos="567"/>
        </w:tabs>
        <w:spacing w:after="0" w:line="240" w:lineRule="auto"/>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ragenos epitelio atrofija ir ragenos pusiau skaidrumas;</w:t>
      </w:r>
    </w:p>
    <w:p w14:paraId="6384AEBA" w14:textId="77777777" w:rsidR="003744F7" w:rsidRPr="003744F7" w:rsidRDefault="003744F7" w:rsidP="00AF0750">
      <w:pPr>
        <w:keepNext/>
        <w:numPr>
          <w:ilvl w:val="0"/>
          <w:numId w:val="39"/>
        </w:numPr>
        <w:tabs>
          <w:tab w:val="left" w:pos="567"/>
        </w:tabs>
        <w:spacing w:after="0" w:line="240" w:lineRule="auto"/>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inkstų spenelių nekrozė;</w:t>
      </w:r>
    </w:p>
    <w:p w14:paraId="743002E3" w14:textId="77777777" w:rsidR="003744F7" w:rsidRPr="003744F7" w:rsidRDefault="003744F7" w:rsidP="00C93C79">
      <w:pPr>
        <w:numPr>
          <w:ilvl w:val="0"/>
          <w:numId w:val="39"/>
        </w:numPr>
        <w:tabs>
          <w:tab w:val="left" w:pos="567"/>
        </w:tabs>
        <w:spacing w:after="0" w:line="240" w:lineRule="auto"/>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kepenų ląstelių nekrozė ir sinusoidų infiltracija eozinofilais bei makrofagais.</w:t>
      </w:r>
    </w:p>
    <w:p w14:paraId="70EBBF30" w14:textId="77777777" w:rsidR="003744F7" w:rsidRPr="003744F7" w:rsidRDefault="003744F7" w:rsidP="00C93C79">
      <w:pPr>
        <w:tabs>
          <w:tab w:val="left" w:pos="567"/>
        </w:tabs>
        <w:spacing w:after="0" w:line="240" w:lineRule="auto"/>
        <w:rPr>
          <w:rFonts w:ascii="Times New Roman" w:eastAsia="Times New Roman" w:hAnsi="Times New Roman" w:cs="Times New Roman"/>
          <w:noProof/>
          <w:lang w:eastAsia="lt-LT" w:bidi="lt-LT"/>
        </w:rPr>
      </w:pPr>
    </w:p>
    <w:p w14:paraId="1F12970A" w14:textId="77777777" w:rsidR="003744F7" w:rsidRPr="003744F7" w:rsidRDefault="003744F7" w:rsidP="00C93C79">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Ikiklinikinių </w:t>
      </w:r>
      <w:r w:rsidRPr="003744F7">
        <w:rPr>
          <w:rFonts w:ascii="Times New Roman" w:eastAsia="Times New Roman" w:hAnsi="Times New Roman" w:cs="Times New Roman"/>
          <w:i/>
          <w:noProof/>
          <w:lang w:eastAsia="lt-LT" w:bidi="lt-LT"/>
        </w:rPr>
        <w:t>(in vitro)</w:t>
      </w:r>
      <w:r w:rsidRPr="003744F7">
        <w:rPr>
          <w:rFonts w:ascii="Times New Roman" w:eastAsia="Times New Roman" w:hAnsi="Times New Roman" w:cs="Times New Roman"/>
          <w:noProof/>
          <w:lang w:eastAsia="lt-LT" w:bidi="lt-LT"/>
        </w:rPr>
        <w:t xml:space="preserve"> tyrimų duomenimis, gefitinibas gali slopinti širdies veikimo potencialo repoliarizacijos fazę (pvz., paveikti QT intervalą). Vis dėlto klinikinė patirtis nerodo priežastinio ryšio tarp gefitinibo vartojimo ir QT pailgėjimo.</w:t>
      </w:r>
    </w:p>
    <w:p w14:paraId="27392530" w14:textId="77777777" w:rsidR="003744F7" w:rsidRPr="003744F7" w:rsidRDefault="003744F7" w:rsidP="00D61050">
      <w:pPr>
        <w:keepNext/>
        <w:tabs>
          <w:tab w:val="left" w:pos="567"/>
        </w:tabs>
        <w:spacing w:after="0" w:line="240" w:lineRule="auto"/>
        <w:rPr>
          <w:rFonts w:ascii="Times New Roman" w:eastAsia="Times New Roman" w:hAnsi="Times New Roman" w:cs="Times New Roman"/>
          <w:noProof/>
          <w:lang w:eastAsia="lt-LT" w:bidi="lt-LT"/>
        </w:rPr>
      </w:pPr>
    </w:p>
    <w:p w14:paraId="56547203"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Nustatytas 20 mg/kg paros dozės grupės žiurkių patelių vaisingumo sumažėjimas.</w:t>
      </w:r>
    </w:p>
    <w:p w14:paraId="00A6B330"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1634E09A"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Publikuotų tyrimų duomenimis, genetiškai modifikuotoms pelėms, neturinčioms išreikšto EGFR, pasireiškia vystymosi defektų, susijusių su įvairių organų (odos, virškinimo trakto ir plaučių) epitelio nesubrendimu. Duodant gefitinibo organogenezės laikotarpiu, didžiausios (30 mg/kg per parą) dozės poveikio žiurkių embriono ar vaisiaus vystymuisi nenustatyta. Vis dėlto 20 mg/kg per parą ir didesnės dozės grupių triušių vaisių svoris buvo mažesnis. Gefitinibo sukeltų sklaidos defektų šių abiejų rūšių gyvūnams nenustatyta. Duodant gefitinibo žiurkėms vaikingumo laikotarpiu ir atsivedimo metu, 20 mg/kg paros dozės grupės gyvūnų palikuonių išgyveno mažiau.</w:t>
      </w:r>
    </w:p>
    <w:p w14:paraId="05993537"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Duodant 14C žymėto gefitinibo žiurkėms laktacijos laikotarpiu per burną 14 dienų po palikuonių atsivedimo, radioaktyvumo koncentracija jų piene buvo 11-19 kartų didesnė negu kraujyje.</w:t>
      </w:r>
    </w:p>
    <w:p w14:paraId="619B1F9C"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171894B4"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Gefitinibo galimo genotoksinio poveikio nenustatyta.</w:t>
      </w:r>
    </w:p>
    <w:p w14:paraId="250D8446"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129844D4"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2 metų trukmės kancerogeninio poveikio tyrimas parodė nedidelį, bet statistikai reikšmingą kepenų ląstelių adenomų padažnėjimą žiurkių patinams ir patelėms. Be to, didžiausios (10 mg/kg per parą) dozės grupės</w:t>
      </w:r>
      <w:r w:rsidRPr="003744F7">
        <w:rPr>
          <w:rFonts w:ascii="TimesNewRoman" w:hAnsi="TimesNewRoman" w:cs="TimesNewRoman"/>
        </w:rPr>
        <w:t xml:space="preserve"> </w:t>
      </w:r>
      <w:r w:rsidRPr="003744F7">
        <w:rPr>
          <w:rFonts w:ascii="Times New Roman" w:eastAsia="Times New Roman" w:hAnsi="Times New Roman" w:cs="Times New Roman"/>
          <w:noProof/>
          <w:lang w:eastAsia="lt-LT" w:bidi="lt-LT"/>
        </w:rPr>
        <w:t>žiurkių patelėms dažniau nustatyta mezenterinių limfmazgių hemangiosarkomų. Kepenų ląstelių adenomų taip pat rasta atliekant 2 metų trukmės kancerogeninio poveikio pelėms tyrimą, kurio metu šis navikas nežymiai padažnėjo vidutinės dozės grupės pelių patinams bei didelės dozės grupės patelėms ir patinams. Šis poveikis buvo statistikai reikšmingas tik pelių patelėms (patinams ne). Esant poveikio nesukeliančioms koncentracijoms pelėms ir žiurkėms, ribos klinikinei ekspozicijai nebuvo. Šių duomenų klinikinė reikšmė nežinoma.</w:t>
      </w:r>
    </w:p>
    <w:p w14:paraId="769532DB"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54CD0474"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Fototoksinio poveikio tyrimo </w:t>
      </w:r>
      <w:r w:rsidRPr="003744F7">
        <w:rPr>
          <w:rFonts w:ascii="Times New Roman" w:eastAsia="Times New Roman" w:hAnsi="Times New Roman" w:cs="Times New Roman"/>
          <w:i/>
          <w:iCs/>
          <w:noProof/>
          <w:lang w:eastAsia="lt-LT" w:bidi="lt-LT"/>
        </w:rPr>
        <w:t xml:space="preserve">in vitro </w:t>
      </w:r>
      <w:r w:rsidRPr="003744F7">
        <w:rPr>
          <w:rFonts w:ascii="Times New Roman" w:eastAsia="Times New Roman" w:hAnsi="Times New Roman" w:cs="Times New Roman"/>
          <w:noProof/>
          <w:lang w:eastAsia="lt-LT" w:bidi="lt-LT"/>
        </w:rPr>
        <w:t>duomenimis, yra galimas gefitinibo fototoksinis poveikis.</w:t>
      </w:r>
    </w:p>
    <w:p w14:paraId="5830AA95"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E0D0B2A"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5723FD2" w14:textId="77777777" w:rsidR="003744F7" w:rsidRPr="003744F7" w:rsidRDefault="003744F7" w:rsidP="003744F7">
      <w:pPr>
        <w:keepNext/>
        <w:numPr>
          <w:ilvl w:val="0"/>
          <w:numId w:val="25"/>
        </w:numPr>
        <w:tabs>
          <w:tab w:val="left" w:pos="567"/>
        </w:tabs>
        <w:suppressAutoHyphens/>
        <w:spacing w:after="0" w:line="240" w:lineRule="auto"/>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FARMACINĖ INFORMACIJA</w:t>
      </w:r>
    </w:p>
    <w:p w14:paraId="7B0734E6"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5E85650C"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Pagalbinių medžiagų sąrašas</w:t>
      </w:r>
    </w:p>
    <w:p w14:paraId="3E826330" w14:textId="77777777" w:rsidR="003744F7" w:rsidRPr="003744F7" w:rsidRDefault="003744F7" w:rsidP="003744F7">
      <w:pPr>
        <w:keepNext/>
        <w:tabs>
          <w:tab w:val="left" w:pos="567"/>
        </w:tabs>
        <w:spacing w:after="0" w:line="240" w:lineRule="auto"/>
        <w:rPr>
          <w:rFonts w:ascii="Times New Roman" w:eastAsia="Times New Roman" w:hAnsi="Times New Roman" w:cs="Times New Roman"/>
          <w:i/>
          <w:noProof/>
          <w:lang w:eastAsia="lt-LT" w:bidi="lt-LT"/>
        </w:rPr>
      </w:pPr>
    </w:p>
    <w:p w14:paraId="2B23FC82"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i/>
          <w:lang w:eastAsia="lt-LT" w:bidi="lt-LT"/>
        </w:rPr>
        <w:t>Tabletės branduolys</w:t>
      </w:r>
      <w:r w:rsidRPr="003744F7">
        <w:rPr>
          <w:rFonts w:ascii="Times New Roman" w:eastAsia="Times New Roman" w:hAnsi="Times New Roman" w:cs="Times New Roman"/>
          <w:i/>
          <w:lang w:eastAsia="lt-LT" w:bidi="lt-LT"/>
        </w:rPr>
        <w:br/>
      </w:r>
      <w:r w:rsidRPr="003744F7">
        <w:rPr>
          <w:rFonts w:ascii="Times New Roman" w:eastAsia="Times New Roman" w:hAnsi="Times New Roman" w:cs="Times New Roman"/>
          <w:lang w:eastAsia="lt-LT" w:bidi="lt-LT"/>
        </w:rPr>
        <w:t>Laktozė monohidratas</w:t>
      </w:r>
      <w:r w:rsidRPr="003744F7">
        <w:rPr>
          <w:rFonts w:ascii="Times New Roman" w:eastAsia="Times New Roman" w:hAnsi="Times New Roman" w:cs="Times New Roman"/>
          <w:lang w:eastAsia="lt-LT" w:bidi="lt-LT"/>
        </w:rPr>
        <w:br/>
        <w:t>Mikrokristalinė celiuliozė (E460)</w:t>
      </w:r>
      <w:r w:rsidRPr="003744F7">
        <w:rPr>
          <w:rFonts w:ascii="Times New Roman" w:eastAsia="Times New Roman" w:hAnsi="Times New Roman" w:cs="Times New Roman"/>
          <w:lang w:eastAsia="lt-LT" w:bidi="lt-LT"/>
        </w:rPr>
        <w:br/>
        <w:t>Kroskarmeliozės natrio druska (E466)</w:t>
      </w:r>
      <w:r w:rsidRPr="003744F7">
        <w:rPr>
          <w:rFonts w:ascii="Times New Roman" w:eastAsia="Times New Roman" w:hAnsi="Times New Roman" w:cs="Times New Roman"/>
          <w:lang w:eastAsia="lt-LT" w:bidi="lt-LT"/>
        </w:rPr>
        <w:br/>
        <w:t>Povidonas K-30 (E1201)</w:t>
      </w:r>
      <w:r w:rsidRPr="003744F7">
        <w:rPr>
          <w:rFonts w:ascii="Times New Roman" w:eastAsia="Times New Roman" w:hAnsi="Times New Roman" w:cs="Times New Roman"/>
          <w:lang w:eastAsia="lt-LT" w:bidi="lt-LT"/>
        </w:rPr>
        <w:br/>
        <w:t>Natrio laurilsulfatas</w:t>
      </w:r>
      <w:r w:rsidRPr="003744F7">
        <w:rPr>
          <w:rFonts w:ascii="Times New Roman" w:eastAsia="Times New Roman" w:hAnsi="Times New Roman" w:cs="Times New Roman"/>
          <w:lang w:eastAsia="lt-LT" w:bidi="lt-LT"/>
        </w:rPr>
        <w:br/>
        <w:t>Magnio stearatas</w:t>
      </w:r>
    </w:p>
    <w:p w14:paraId="1E9AD96D"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593E80A" w14:textId="77777777" w:rsidR="003744F7" w:rsidRPr="003744F7" w:rsidRDefault="003744F7" w:rsidP="003744F7">
      <w:pPr>
        <w:tabs>
          <w:tab w:val="left" w:pos="567"/>
        </w:tabs>
        <w:spacing w:after="0" w:line="240" w:lineRule="auto"/>
        <w:rPr>
          <w:rFonts w:ascii="Times New Roman" w:eastAsia="Times New Roman" w:hAnsi="Times New Roman" w:cs="Times New Roman"/>
          <w:szCs w:val="20"/>
          <w:lang w:eastAsia="lt-LT" w:bidi="lt-LT"/>
        </w:rPr>
      </w:pPr>
      <w:r w:rsidRPr="003744F7">
        <w:rPr>
          <w:rFonts w:ascii="Times New Roman" w:eastAsia="Times New Roman" w:hAnsi="Times New Roman" w:cs="Times New Roman"/>
          <w:i/>
          <w:szCs w:val="20"/>
          <w:lang w:eastAsia="lt-LT" w:bidi="lt-LT"/>
        </w:rPr>
        <w:t>Tabletės plėvelė</w:t>
      </w:r>
      <w:r w:rsidRPr="003744F7">
        <w:rPr>
          <w:rFonts w:ascii="Times New Roman" w:eastAsia="Times New Roman" w:hAnsi="Times New Roman" w:cs="Times New Roman"/>
          <w:i/>
          <w:szCs w:val="20"/>
          <w:lang w:eastAsia="lt-LT" w:bidi="lt-LT"/>
        </w:rPr>
        <w:br/>
      </w:r>
      <w:r w:rsidRPr="003744F7">
        <w:rPr>
          <w:rFonts w:ascii="Times New Roman" w:eastAsia="Times New Roman" w:hAnsi="Times New Roman" w:cs="Times New Roman"/>
          <w:szCs w:val="20"/>
          <w:lang w:eastAsia="lt-LT" w:bidi="lt-LT"/>
        </w:rPr>
        <w:t>Polivinilo alkoholis (E1203)</w:t>
      </w:r>
      <w:r w:rsidRPr="003744F7">
        <w:rPr>
          <w:rFonts w:ascii="Times New Roman" w:eastAsia="Times New Roman" w:hAnsi="Times New Roman" w:cs="Times New Roman"/>
          <w:szCs w:val="20"/>
          <w:lang w:eastAsia="lt-LT" w:bidi="lt-LT"/>
        </w:rPr>
        <w:br/>
        <w:t>Makrogolis 4000 (E1521)</w:t>
      </w:r>
      <w:r w:rsidRPr="003744F7">
        <w:rPr>
          <w:rFonts w:ascii="Times New Roman" w:eastAsia="Times New Roman" w:hAnsi="Times New Roman" w:cs="Times New Roman"/>
          <w:szCs w:val="20"/>
          <w:lang w:eastAsia="lt-LT" w:bidi="lt-LT"/>
        </w:rPr>
        <w:br/>
        <w:t>Talkas (E553b)</w:t>
      </w:r>
      <w:r w:rsidRPr="003744F7">
        <w:rPr>
          <w:rFonts w:ascii="Times New Roman" w:eastAsia="Times New Roman" w:hAnsi="Times New Roman" w:cs="Times New Roman"/>
          <w:szCs w:val="20"/>
          <w:lang w:eastAsia="lt-LT" w:bidi="lt-LT"/>
        </w:rPr>
        <w:br/>
        <w:t>Titano dioksidas (E171)</w:t>
      </w:r>
      <w:r w:rsidRPr="003744F7">
        <w:rPr>
          <w:rFonts w:ascii="Times New Roman" w:eastAsia="Times New Roman" w:hAnsi="Times New Roman" w:cs="Times New Roman"/>
          <w:szCs w:val="20"/>
          <w:lang w:eastAsia="lt-LT" w:bidi="lt-LT"/>
        </w:rPr>
        <w:br/>
        <w:t>Geltonasis geležies oksidas (E172)</w:t>
      </w:r>
      <w:r w:rsidRPr="003744F7">
        <w:rPr>
          <w:rFonts w:ascii="Times New Roman" w:eastAsia="Times New Roman" w:hAnsi="Times New Roman" w:cs="Times New Roman"/>
          <w:szCs w:val="20"/>
          <w:lang w:eastAsia="lt-LT" w:bidi="lt-LT"/>
        </w:rPr>
        <w:br/>
        <w:t>Raudonasis geležies oksidas (E172)</w:t>
      </w:r>
    </w:p>
    <w:p w14:paraId="06399F61"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BA3F43F"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Nesuderinamumas</w:t>
      </w:r>
    </w:p>
    <w:p w14:paraId="0BDE14F1"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61D6255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Duomenys nebūtini.</w:t>
      </w:r>
    </w:p>
    <w:p w14:paraId="6F642305" w14:textId="77777777" w:rsidR="003744F7" w:rsidRPr="00C93C79" w:rsidRDefault="003744F7" w:rsidP="003744F7">
      <w:pPr>
        <w:tabs>
          <w:tab w:val="left" w:pos="567"/>
        </w:tabs>
        <w:spacing w:after="0" w:line="240" w:lineRule="auto"/>
        <w:rPr>
          <w:rFonts w:ascii="Times New Roman" w:eastAsia="Times New Roman" w:hAnsi="Times New Roman" w:cs="Times New Roman"/>
          <w:noProof/>
          <w:lang w:val="en-US" w:eastAsia="lt-LT" w:bidi="lt-LT"/>
        </w:rPr>
      </w:pPr>
    </w:p>
    <w:p w14:paraId="6FA06688"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Tinkamumo laikas</w:t>
      </w:r>
    </w:p>
    <w:p w14:paraId="778A6903"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13EB90CD" w14:textId="733786BF" w:rsidR="003744F7" w:rsidRPr="003744F7" w:rsidRDefault="009B7C39" w:rsidP="003744F7">
      <w:pPr>
        <w:tabs>
          <w:tab w:val="left" w:pos="567"/>
        </w:tabs>
        <w:spacing w:after="0" w:line="240" w:lineRule="auto"/>
        <w:rPr>
          <w:rFonts w:ascii="Times New Roman" w:eastAsia="Times New Roman" w:hAnsi="Times New Roman" w:cs="Times New Roman"/>
          <w:noProof/>
          <w:lang w:eastAsia="lt-LT" w:bidi="lt-LT"/>
        </w:rPr>
      </w:pPr>
      <w:r>
        <w:rPr>
          <w:rFonts w:ascii="Times New Roman" w:eastAsia="Times New Roman" w:hAnsi="Times New Roman" w:cs="Times New Roman"/>
          <w:lang w:eastAsia="lt-LT" w:bidi="lt-LT"/>
        </w:rPr>
        <w:t>3</w:t>
      </w:r>
      <w:r w:rsidR="003744F7" w:rsidRPr="003744F7">
        <w:rPr>
          <w:rFonts w:ascii="Times New Roman" w:eastAsia="Times New Roman" w:hAnsi="Times New Roman" w:cs="Times New Roman"/>
          <w:lang w:eastAsia="lt-LT" w:bidi="lt-LT"/>
        </w:rPr>
        <w:t xml:space="preserve"> metai</w:t>
      </w:r>
    </w:p>
    <w:p w14:paraId="4F1ED3ED"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CB50190"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lastRenderedPageBreak/>
        <w:t>Specialios laikymo sąlygos</w:t>
      </w:r>
    </w:p>
    <w:p w14:paraId="7709E2AD" w14:textId="77777777" w:rsidR="003744F7" w:rsidRPr="003744F7" w:rsidRDefault="003744F7" w:rsidP="003744F7">
      <w:pPr>
        <w:keepNext/>
        <w:tabs>
          <w:tab w:val="left" w:pos="567"/>
        </w:tabs>
        <w:spacing w:after="0" w:line="240" w:lineRule="auto"/>
        <w:ind w:left="567" w:hanging="567"/>
        <w:outlineLvl w:val="0"/>
        <w:rPr>
          <w:rFonts w:ascii="Times New Roman" w:eastAsia="Times New Roman" w:hAnsi="Times New Roman" w:cs="Times New Roman"/>
          <w:noProof/>
          <w:lang w:eastAsia="lt-LT" w:bidi="lt-LT"/>
        </w:rPr>
      </w:pPr>
    </w:p>
    <w:p w14:paraId="514A004E" w14:textId="77777777" w:rsidR="003744F7" w:rsidRPr="003744F7" w:rsidRDefault="003744F7" w:rsidP="003744F7">
      <w:pPr>
        <w:tabs>
          <w:tab w:val="left" w:pos="567"/>
        </w:tabs>
        <w:spacing w:after="0" w:line="240" w:lineRule="auto"/>
        <w:rPr>
          <w:rFonts w:ascii="Times New Roman" w:eastAsia="Times New Roman" w:hAnsi="Times New Roman" w:cs="Times New Roman"/>
          <w:szCs w:val="20"/>
          <w:lang w:eastAsia="lt-LT" w:bidi="lt-LT"/>
        </w:rPr>
      </w:pPr>
      <w:r w:rsidRPr="003744F7">
        <w:rPr>
          <w:rFonts w:ascii="Times New Roman" w:eastAsia="Times New Roman" w:hAnsi="Times New Roman" w:cs="Times New Roman"/>
          <w:szCs w:val="20"/>
          <w:lang w:eastAsia="lt-LT" w:bidi="lt-LT"/>
        </w:rPr>
        <w:t>Šiam vaistiniam preparatui specialių laikymo sąlygų nereikia.</w:t>
      </w:r>
    </w:p>
    <w:p w14:paraId="1EFA9B1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F1D54CC"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Talpyklės pobūdis ir jos turinys</w:t>
      </w:r>
    </w:p>
    <w:p w14:paraId="734ABE7E" w14:textId="77777777" w:rsidR="003744F7" w:rsidRPr="003744F7" w:rsidRDefault="003744F7" w:rsidP="003744F7">
      <w:pPr>
        <w:keepNext/>
        <w:tabs>
          <w:tab w:val="left" w:pos="567"/>
        </w:tabs>
        <w:spacing w:after="0" w:line="240" w:lineRule="auto"/>
        <w:outlineLvl w:val="0"/>
        <w:rPr>
          <w:rFonts w:ascii="Times New Roman" w:eastAsia="Times New Roman" w:hAnsi="Times New Roman" w:cs="Times New Roman"/>
          <w:b/>
          <w:noProof/>
          <w:lang w:eastAsia="lt-LT" w:bidi="lt-LT"/>
        </w:rPr>
      </w:pPr>
    </w:p>
    <w:p w14:paraId="157AE44F" w14:textId="77777777" w:rsidR="003744F7" w:rsidRPr="003744F7" w:rsidRDefault="003744F7" w:rsidP="003744F7">
      <w:pPr>
        <w:tabs>
          <w:tab w:val="left" w:pos="567"/>
        </w:tabs>
        <w:spacing w:after="0" w:line="240" w:lineRule="auto"/>
        <w:rPr>
          <w:rFonts w:ascii="Times New Roman" w:eastAsia="Times New Roman" w:hAnsi="Times New Roman" w:cs="Times New Roman"/>
          <w:szCs w:val="20"/>
          <w:highlight w:val="yellow"/>
          <w:lang w:eastAsia="lt-LT" w:bidi="lt-LT"/>
        </w:rPr>
      </w:pPr>
      <w:r w:rsidRPr="003744F7">
        <w:rPr>
          <w:rFonts w:ascii="Times New Roman" w:eastAsia="Times New Roman" w:hAnsi="Times New Roman" w:cs="Times New Roman"/>
          <w:szCs w:val="20"/>
          <w:lang w:eastAsia="lt-LT" w:bidi="lt-LT"/>
        </w:rPr>
        <w:t>PVC/PE/PVDC ir aliuminio lizdinė plokštelė, kurioje yra 10 tablečių. Kartoninėje dėžutėje yra trys lizdinės plokštelės, kurios gali būti supakuotos į PET/aliuminio/PE maišelį.</w:t>
      </w:r>
      <w:r w:rsidRPr="003744F7">
        <w:rPr>
          <w:rFonts w:ascii="Times New Roman" w:eastAsia="Times New Roman" w:hAnsi="Times New Roman" w:cs="Times New Roman"/>
          <w:szCs w:val="20"/>
          <w:lang w:eastAsia="lt-LT" w:bidi="lt-LT"/>
        </w:rPr>
        <w:br/>
        <w:t>Pakuotėje yra 30 plėvele dengtų tablečių.</w:t>
      </w:r>
    </w:p>
    <w:p w14:paraId="269559F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AA9BD43" w14:textId="77777777" w:rsidR="003744F7" w:rsidRPr="003744F7" w:rsidRDefault="003744F7" w:rsidP="003744F7">
      <w:pPr>
        <w:keepNext/>
        <w:numPr>
          <w:ilvl w:val="1"/>
          <w:numId w:val="25"/>
        </w:numPr>
        <w:tabs>
          <w:tab w:val="left" w:pos="567"/>
        </w:tabs>
        <w:spacing w:after="0" w:line="240" w:lineRule="auto"/>
        <w:outlineLvl w:val="0"/>
        <w:rPr>
          <w:rFonts w:ascii="Times New Roman" w:eastAsia="Times New Roman" w:hAnsi="Times New Roman" w:cs="Times New Roman"/>
          <w:noProof/>
          <w:lang w:eastAsia="lt-LT" w:bidi="lt-LT"/>
        </w:rPr>
      </w:pPr>
      <w:bookmarkStart w:id="1" w:name="OLE_LINK1"/>
      <w:r w:rsidRPr="003744F7">
        <w:rPr>
          <w:rFonts w:ascii="Times New Roman" w:eastAsia="Times New Roman" w:hAnsi="Times New Roman" w:cs="Times New Roman"/>
          <w:b/>
          <w:noProof/>
          <w:lang w:eastAsia="lt-LT" w:bidi="lt-LT"/>
        </w:rPr>
        <w:t>Specialūs reikalavimai atliekoms tvarkyti</w:t>
      </w:r>
    </w:p>
    <w:p w14:paraId="6CCE8D54"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4B10AF20"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Nesuvartotą vaistinį preparatą ar atliekas reikia tvarkyti laikantis vietinių reikalavimų. </w:t>
      </w:r>
    </w:p>
    <w:bookmarkEnd w:id="1"/>
    <w:p w14:paraId="5A1B2FC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60048DE7"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9C4C1FE" w14:textId="77777777" w:rsidR="003744F7" w:rsidRPr="003744F7" w:rsidRDefault="003744F7" w:rsidP="003744F7">
      <w:pPr>
        <w:keepNext/>
        <w:numPr>
          <w:ilvl w:val="0"/>
          <w:numId w:val="25"/>
        </w:num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REGISTRUOTOJAS</w:t>
      </w:r>
    </w:p>
    <w:p w14:paraId="7C52F666"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15C3B20D" w14:textId="77777777" w:rsidR="001430BA" w:rsidRPr="00FD10B2" w:rsidRDefault="001430BA" w:rsidP="001430BA">
      <w:pPr>
        <w:spacing w:after="0" w:line="240" w:lineRule="auto"/>
        <w:rPr>
          <w:rFonts w:ascii="Times New Roman" w:hAnsi="Times New Roman"/>
        </w:rPr>
      </w:pPr>
      <w:r w:rsidRPr="00FD10B2">
        <w:rPr>
          <w:rFonts w:ascii="Times New Roman" w:hAnsi="Times New Roman"/>
        </w:rPr>
        <w:t>Zentiva, k.s.</w:t>
      </w:r>
    </w:p>
    <w:p w14:paraId="0F924E1B" w14:textId="77777777" w:rsidR="001430BA" w:rsidRPr="00FD10B2" w:rsidRDefault="001430BA" w:rsidP="001430BA">
      <w:pPr>
        <w:spacing w:after="0" w:line="240" w:lineRule="auto"/>
        <w:rPr>
          <w:rFonts w:ascii="Times New Roman" w:hAnsi="Times New Roman"/>
        </w:rPr>
      </w:pPr>
      <w:r w:rsidRPr="00FD10B2">
        <w:rPr>
          <w:rFonts w:ascii="Times New Roman" w:hAnsi="Times New Roman"/>
        </w:rPr>
        <w:t>U kabelovny 130</w:t>
      </w:r>
    </w:p>
    <w:p w14:paraId="7ACB09D1" w14:textId="77777777" w:rsidR="001430BA" w:rsidRPr="00FD10B2" w:rsidRDefault="001430BA" w:rsidP="001430BA">
      <w:pPr>
        <w:spacing w:after="0" w:line="240" w:lineRule="auto"/>
        <w:rPr>
          <w:rFonts w:ascii="Times New Roman" w:hAnsi="Times New Roman"/>
        </w:rPr>
      </w:pPr>
      <w:r w:rsidRPr="00FD10B2">
        <w:rPr>
          <w:rFonts w:ascii="Times New Roman" w:hAnsi="Times New Roman"/>
        </w:rPr>
        <w:t>Dolní Měcholupy</w:t>
      </w:r>
    </w:p>
    <w:p w14:paraId="5A4496FA" w14:textId="4D5BCBB8" w:rsidR="001430BA" w:rsidRPr="00FD10B2" w:rsidRDefault="001430BA" w:rsidP="001430BA">
      <w:pPr>
        <w:spacing w:after="0" w:line="240" w:lineRule="auto"/>
        <w:rPr>
          <w:rFonts w:ascii="Times New Roman" w:hAnsi="Times New Roman"/>
        </w:rPr>
      </w:pPr>
      <w:r w:rsidRPr="00FD10B2">
        <w:rPr>
          <w:rFonts w:ascii="Times New Roman" w:hAnsi="Times New Roman"/>
        </w:rPr>
        <w:t>102 37 Praha 10</w:t>
      </w:r>
    </w:p>
    <w:p w14:paraId="1460DEFF" w14:textId="77777777" w:rsidR="003744F7" w:rsidRPr="003744F7" w:rsidRDefault="001430BA" w:rsidP="001430BA">
      <w:pPr>
        <w:tabs>
          <w:tab w:val="left" w:pos="567"/>
        </w:tabs>
        <w:spacing w:after="0" w:line="240" w:lineRule="auto"/>
        <w:rPr>
          <w:rFonts w:ascii="Times New Roman" w:eastAsia="Times New Roman" w:hAnsi="Times New Roman" w:cs="Times New Roman"/>
          <w:noProof/>
          <w:lang w:eastAsia="lt-LT" w:bidi="lt-LT"/>
        </w:rPr>
      </w:pPr>
      <w:r w:rsidRPr="00FD10B2">
        <w:rPr>
          <w:rFonts w:ascii="Times New Roman" w:hAnsi="Times New Roman"/>
        </w:rPr>
        <w:t>Čekija</w:t>
      </w:r>
    </w:p>
    <w:p w14:paraId="63579EDF"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376C0BB" w14:textId="77777777" w:rsidR="003744F7" w:rsidRPr="003744F7" w:rsidRDefault="003744F7" w:rsidP="003744F7">
      <w:pPr>
        <w:keepNext/>
        <w:numPr>
          <w:ilvl w:val="0"/>
          <w:numId w:val="25"/>
        </w:numPr>
        <w:tabs>
          <w:tab w:val="left" w:pos="567"/>
        </w:tabs>
        <w:spacing w:after="0" w:line="240" w:lineRule="auto"/>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REGISTRACIJOS PAŽYMĖJIMO NUMERIS (-IAI) </w:t>
      </w:r>
    </w:p>
    <w:p w14:paraId="6DCC991A"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5D1A6C1C"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LT/1/18/4278/001</w:t>
      </w:r>
    </w:p>
    <w:p w14:paraId="59B25D24" w14:textId="77777777" w:rsidR="003744F7" w:rsidRPr="003744F7" w:rsidRDefault="003744F7" w:rsidP="003744F7">
      <w:pPr>
        <w:tabs>
          <w:tab w:val="left" w:pos="567"/>
        </w:tabs>
        <w:spacing w:after="0" w:line="240" w:lineRule="auto"/>
        <w:rPr>
          <w:rFonts w:ascii="Times New Roman" w:eastAsia="Times New Roman" w:hAnsi="Times New Roman" w:cs="Times New Roman"/>
          <w:sz w:val="24"/>
          <w:szCs w:val="20"/>
          <w:lang w:eastAsia="lt-LT" w:bidi="lt-LT"/>
        </w:rPr>
      </w:pPr>
    </w:p>
    <w:p w14:paraId="2AAC084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4C6F366" w14:textId="77777777" w:rsidR="003744F7" w:rsidRPr="003744F7" w:rsidRDefault="003744F7" w:rsidP="003744F7">
      <w:pPr>
        <w:keepNext/>
        <w:numPr>
          <w:ilvl w:val="0"/>
          <w:numId w:val="25"/>
        </w:num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REGISTRAVIMO / PERREGISTRAVIMO DATA</w:t>
      </w:r>
    </w:p>
    <w:p w14:paraId="7F7454D6" w14:textId="77777777" w:rsidR="003744F7" w:rsidRPr="003744F7" w:rsidRDefault="003744F7" w:rsidP="003744F7">
      <w:pPr>
        <w:keepNext/>
        <w:tabs>
          <w:tab w:val="left" w:pos="567"/>
        </w:tabs>
        <w:spacing w:after="0" w:line="240" w:lineRule="auto"/>
        <w:rPr>
          <w:rFonts w:ascii="Times New Roman" w:eastAsia="Times New Roman" w:hAnsi="Times New Roman" w:cs="Times New Roman"/>
          <w:i/>
          <w:noProof/>
          <w:lang w:eastAsia="lt-LT" w:bidi="lt-LT"/>
        </w:rPr>
      </w:pPr>
    </w:p>
    <w:p w14:paraId="2CE78C35" w14:textId="77777777" w:rsidR="003744F7" w:rsidRPr="003744F7" w:rsidRDefault="003744F7" w:rsidP="003744F7">
      <w:pPr>
        <w:tabs>
          <w:tab w:val="left" w:pos="567"/>
        </w:tabs>
        <w:spacing w:after="0" w:line="240" w:lineRule="auto"/>
        <w:rPr>
          <w:rFonts w:ascii="Times New Roman" w:eastAsia="Times New Roman" w:hAnsi="Times New Roman" w:cs="Times New Roman"/>
          <w:i/>
          <w:noProof/>
          <w:lang w:eastAsia="lt-LT" w:bidi="lt-LT"/>
        </w:rPr>
      </w:pPr>
      <w:r w:rsidRPr="003744F7">
        <w:rPr>
          <w:rFonts w:ascii="Times New Roman" w:eastAsia="Times New Roman" w:hAnsi="Times New Roman" w:cs="Times New Roman"/>
          <w:lang w:eastAsia="lt-LT" w:bidi="lt-LT"/>
        </w:rPr>
        <w:t>Registravimo data 2018 m. spalio 8 d.</w:t>
      </w:r>
    </w:p>
    <w:p w14:paraId="49FA8779"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B2C0BF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3D3E8DB" w14:textId="77777777" w:rsidR="003744F7" w:rsidRPr="003744F7" w:rsidRDefault="003744F7" w:rsidP="003744F7">
      <w:pPr>
        <w:keepNext/>
        <w:numPr>
          <w:ilvl w:val="0"/>
          <w:numId w:val="25"/>
        </w:numPr>
        <w:tabs>
          <w:tab w:val="left" w:pos="567"/>
        </w:tabs>
        <w:spacing w:after="0" w:line="240" w:lineRule="auto"/>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TEKSTO PERŽIŪROS DATA</w:t>
      </w:r>
    </w:p>
    <w:p w14:paraId="03990981"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210E5B94" w14:textId="5F598122" w:rsidR="003744F7" w:rsidRPr="002301BD" w:rsidRDefault="00B429C7" w:rsidP="003744F7">
      <w:pPr>
        <w:tabs>
          <w:tab w:val="left" w:pos="567"/>
        </w:tabs>
        <w:spacing w:after="0" w:line="240" w:lineRule="auto"/>
        <w:rPr>
          <w:rFonts w:ascii="Times New Roman" w:eastAsia="Times New Roman" w:hAnsi="Times New Roman" w:cs="Times New Roman"/>
          <w:noProof/>
          <w:lang w:val="en-US" w:eastAsia="lt-LT" w:bidi="lt-LT"/>
        </w:rPr>
      </w:pPr>
      <w:r>
        <w:rPr>
          <w:rFonts w:ascii="Times New Roman" w:eastAsia="Times New Roman" w:hAnsi="Times New Roman" w:cs="Times New Roman"/>
          <w:lang w:eastAsia="lt-LT" w:bidi="lt-LT"/>
        </w:rPr>
        <w:t>20</w:t>
      </w:r>
      <w:r w:rsidR="001430BA">
        <w:rPr>
          <w:rFonts w:ascii="Times New Roman" w:eastAsia="Times New Roman" w:hAnsi="Times New Roman" w:cs="Times New Roman"/>
          <w:lang w:eastAsia="lt-LT" w:bidi="lt-LT"/>
        </w:rPr>
        <w:t>2</w:t>
      </w:r>
      <w:r w:rsidR="002301BD">
        <w:rPr>
          <w:rFonts w:ascii="Times New Roman" w:eastAsia="Times New Roman" w:hAnsi="Times New Roman" w:cs="Times New Roman"/>
          <w:lang w:val="en-US" w:eastAsia="lt-LT" w:bidi="lt-LT"/>
        </w:rPr>
        <w:t>1</w:t>
      </w:r>
      <w:r>
        <w:rPr>
          <w:rFonts w:ascii="Times New Roman" w:eastAsia="Times New Roman" w:hAnsi="Times New Roman" w:cs="Times New Roman"/>
          <w:lang w:eastAsia="lt-LT" w:bidi="lt-LT"/>
        </w:rPr>
        <w:t xml:space="preserve"> m</w:t>
      </w:r>
      <w:r w:rsidR="002301BD">
        <w:rPr>
          <w:rFonts w:ascii="Times New Roman" w:eastAsia="Times New Roman" w:hAnsi="Times New Roman" w:cs="Times New Roman"/>
          <w:lang w:eastAsia="lt-LT" w:bidi="lt-LT"/>
        </w:rPr>
        <w:t xml:space="preserve">. </w:t>
      </w:r>
      <w:r w:rsidR="00C93C79">
        <w:rPr>
          <w:rFonts w:ascii="Times New Roman" w:eastAsia="Times New Roman" w:hAnsi="Times New Roman" w:cs="Times New Roman"/>
          <w:lang w:eastAsia="lt-LT" w:bidi="lt-LT"/>
        </w:rPr>
        <w:t>rugsėjo 22</w:t>
      </w:r>
      <w:r w:rsidR="002301BD">
        <w:rPr>
          <w:rFonts w:ascii="Times New Roman" w:eastAsia="Times New Roman" w:hAnsi="Times New Roman" w:cs="Times New Roman"/>
          <w:lang w:val="en-US" w:eastAsia="lt-LT" w:bidi="lt-LT"/>
        </w:rPr>
        <w:t xml:space="preserve"> d.</w:t>
      </w:r>
    </w:p>
    <w:p w14:paraId="3EDBFBB5"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18541869" w14:textId="77777777" w:rsidR="003744F7" w:rsidRPr="003744F7" w:rsidRDefault="003744F7" w:rsidP="003744F7">
      <w:pPr>
        <w:tabs>
          <w:tab w:val="left" w:pos="5954"/>
          <w:tab w:val="left" w:pos="6237"/>
          <w:tab w:val="left" w:pos="6663"/>
          <w:tab w:val="left" w:pos="6946"/>
        </w:tabs>
        <w:spacing w:after="0" w:line="240" w:lineRule="auto"/>
        <w:rPr>
          <w:rFonts w:ascii="Times New Roman" w:eastAsia="SimSun" w:hAnsi="Times New Roman" w:cs="Times New Roman"/>
          <w:color w:val="000000" w:themeColor="text1"/>
          <w:lang w:eastAsia="lt-LT"/>
        </w:rPr>
      </w:pPr>
      <w:r w:rsidRPr="003744F7">
        <w:rPr>
          <w:rFonts w:ascii="Times New Roman" w:eastAsia="SimSun" w:hAnsi="Times New Roman" w:cs="Times New Roman"/>
          <w:color w:val="000000" w:themeColor="text1"/>
          <w:lang w:eastAsia="lt-LT"/>
        </w:rPr>
        <w:t xml:space="preserve">Išsami informacija apie šį vaistinį preparatą pateikiama Valstybinės vaistų kontrolės tarnybos prie Lietuvos Respublikos  sveikatos apsaugos ministerijos tinklalapyje </w:t>
      </w:r>
      <w:hyperlink r:id="rId9" w:history="1">
        <w:r w:rsidRPr="003744F7">
          <w:rPr>
            <w:rFonts w:ascii="Times New Roman" w:eastAsia="Times New Roman" w:hAnsi="Times New Roman" w:cs="Times New Roman"/>
            <w:noProof/>
            <w:snapToGrid w:val="0"/>
            <w:color w:val="0000FF"/>
            <w:u w:val="single"/>
          </w:rPr>
          <w:t>http://www.</w:t>
        </w:r>
        <w:r w:rsidRPr="003744F7">
          <w:rPr>
            <w:rFonts w:ascii="Times New Roman" w:eastAsia="Times New Roman" w:hAnsi="Times New Roman" w:cs="Times New Roman"/>
            <w:snapToGrid w:val="0"/>
            <w:color w:val="0000FF"/>
            <w:u w:val="single"/>
          </w:rPr>
          <w:t>vvkt.lt</w:t>
        </w:r>
      </w:hyperlink>
      <w:r w:rsidRPr="003744F7">
        <w:rPr>
          <w:rFonts w:ascii="Times New Roman" w:eastAsia="SimSun" w:hAnsi="Times New Roman" w:cs="Times New Roman"/>
          <w:color w:val="000000" w:themeColor="text1"/>
          <w:lang w:eastAsia="lt-LT"/>
        </w:rPr>
        <w:t xml:space="preserve">  </w:t>
      </w:r>
    </w:p>
    <w:p w14:paraId="6D393CD3"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noProof/>
          <w:lang w:eastAsia="lt-LT" w:bidi="lt-LT"/>
        </w:rPr>
      </w:pPr>
    </w:p>
    <w:p w14:paraId="47DF4BD6" w14:textId="77777777" w:rsidR="003744F7" w:rsidRPr="003744F7" w:rsidRDefault="003744F7" w:rsidP="003744F7">
      <w:pPr>
        <w:numPr>
          <w:ilvl w:val="12"/>
          <w:numId w:val="0"/>
        </w:numPr>
        <w:tabs>
          <w:tab w:val="left" w:pos="567"/>
        </w:tabs>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br w:type="page"/>
      </w:r>
    </w:p>
    <w:p w14:paraId="5C6D1AD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0ABC2F5"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8631FD3"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DC8ADEE"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6C559D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7C14EA97"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978A05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3ACCCDA"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73BA276"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15D4457D"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B7A7DDE"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753B5CA0"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15D6210"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76879DB5"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BBA14CD"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CBCDF01"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4C3FDB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DE9DD00"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FD042AE"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39B0CD1"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E476E4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55EE7D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4F136F1"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4D57D7D"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II PRIEDAS</w:t>
      </w:r>
    </w:p>
    <w:p w14:paraId="7D3BF840"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noProof/>
          <w:lang w:eastAsia="lt-LT" w:bidi="lt-LT"/>
        </w:rPr>
      </w:pPr>
    </w:p>
    <w:p w14:paraId="00AFB946"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noProof/>
          <w:color w:val="000000" w:themeColor="text1"/>
          <w:lang w:eastAsia="lt-LT" w:bidi="lt-LT"/>
        </w:rPr>
      </w:pPr>
      <w:r w:rsidRPr="003744F7">
        <w:rPr>
          <w:rFonts w:ascii="Times New Roman" w:eastAsia="Times New Roman" w:hAnsi="Times New Roman" w:cs="Times New Roman"/>
          <w:b/>
          <w:noProof/>
          <w:color w:val="000000" w:themeColor="text1"/>
          <w:lang w:eastAsia="lt-LT" w:bidi="lt-LT"/>
        </w:rPr>
        <w:t>REGISTRACIJOS SĄLYGOS</w:t>
      </w:r>
    </w:p>
    <w:p w14:paraId="70635605" w14:textId="77777777" w:rsidR="003744F7" w:rsidRPr="003744F7" w:rsidRDefault="003744F7" w:rsidP="003744F7">
      <w:pPr>
        <w:tabs>
          <w:tab w:val="left" w:pos="567"/>
        </w:tabs>
        <w:spacing w:after="0" w:line="240" w:lineRule="auto"/>
        <w:ind w:right="1416"/>
        <w:rPr>
          <w:rFonts w:ascii="Times New Roman" w:eastAsia="Times New Roman" w:hAnsi="Times New Roman" w:cs="Times New Roman"/>
          <w:noProof/>
          <w:lang w:eastAsia="lt-LT" w:bidi="lt-LT"/>
        </w:rPr>
      </w:pPr>
    </w:p>
    <w:p w14:paraId="2DE7E25F" w14:textId="77777777" w:rsidR="003744F7" w:rsidRPr="003744F7" w:rsidRDefault="003744F7" w:rsidP="003744F7">
      <w:pPr>
        <w:numPr>
          <w:ilvl w:val="0"/>
          <w:numId w:val="28"/>
        </w:numPr>
        <w:tabs>
          <w:tab w:val="left" w:pos="567"/>
          <w:tab w:val="left" w:pos="1701"/>
        </w:tabs>
        <w:spacing w:after="0" w:line="240" w:lineRule="auto"/>
        <w:ind w:right="1418"/>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GAMINTOJAS (-AI), ATSAKINGAS (-I) UŽ SERIJŲ IŠLEIDIMĄ</w:t>
      </w:r>
    </w:p>
    <w:p w14:paraId="33E432C0" w14:textId="77777777" w:rsidR="003744F7" w:rsidRPr="003744F7" w:rsidRDefault="003744F7" w:rsidP="003744F7">
      <w:pPr>
        <w:tabs>
          <w:tab w:val="left" w:pos="567"/>
        </w:tabs>
        <w:spacing w:after="0" w:line="240" w:lineRule="auto"/>
        <w:ind w:left="567" w:hanging="1701"/>
        <w:rPr>
          <w:rFonts w:ascii="Times New Roman" w:eastAsia="Times New Roman" w:hAnsi="Times New Roman" w:cs="Times New Roman"/>
          <w:noProof/>
          <w:lang w:eastAsia="lt-LT" w:bidi="lt-LT"/>
        </w:rPr>
      </w:pPr>
    </w:p>
    <w:p w14:paraId="547BBA3A" w14:textId="77777777" w:rsidR="003744F7" w:rsidRPr="003744F7" w:rsidRDefault="003744F7" w:rsidP="003744F7">
      <w:pPr>
        <w:numPr>
          <w:ilvl w:val="0"/>
          <w:numId w:val="28"/>
        </w:numPr>
        <w:tabs>
          <w:tab w:val="left" w:pos="567"/>
          <w:tab w:val="left" w:pos="1701"/>
        </w:tabs>
        <w:spacing w:after="0" w:line="240" w:lineRule="auto"/>
        <w:ind w:right="1418"/>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TIEKIMO IR VARTOJIMO SĄLYGOS AR APRIBOJIMAI</w:t>
      </w:r>
    </w:p>
    <w:p w14:paraId="29A4320A" w14:textId="77777777" w:rsidR="003744F7" w:rsidRPr="003744F7" w:rsidRDefault="003744F7" w:rsidP="003744F7">
      <w:pPr>
        <w:tabs>
          <w:tab w:val="left" w:pos="567"/>
        </w:tabs>
        <w:spacing w:after="0" w:line="240" w:lineRule="auto"/>
        <w:ind w:left="567" w:hanging="567"/>
        <w:rPr>
          <w:rFonts w:ascii="Times New Roman" w:eastAsia="Times New Roman" w:hAnsi="Times New Roman" w:cs="Times New Roman"/>
          <w:noProof/>
          <w:lang w:eastAsia="lt-LT" w:bidi="lt-LT"/>
        </w:rPr>
      </w:pPr>
    </w:p>
    <w:p w14:paraId="1B2083D9" w14:textId="77777777" w:rsidR="003744F7" w:rsidRPr="003744F7" w:rsidRDefault="003744F7" w:rsidP="003744F7">
      <w:pPr>
        <w:numPr>
          <w:ilvl w:val="0"/>
          <w:numId w:val="28"/>
        </w:numPr>
        <w:tabs>
          <w:tab w:val="left" w:pos="567"/>
          <w:tab w:val="left" w:pos="1701"/>
        </w:tabs>
        <w:spacing w:after="0" w:line="240" w:lineRule="auto"/>
        <w:ind w:right="1418"/>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szCs w:val="20"/>
          <w:lang w:eastAsia="lt-LT" w:bidi="lt-LT"/>
        </w:rPr>
        <w:t>KITOS SĄLYGOS IR REIKALAVIMAI REGISTRUOTOJUI</w:t>
      </w:r>
    </w:p>
    <w:p w14:paraId="496EE9FB" w14:textId="77777777" w:rsidR="003744F7" w:rsidRPr="003744F7" w:rsidRDefault="003744F7" w:rsidP="003744F7">
      <w:pPr>
        <w:tabs>
          <w:tab w:val="left" w:pos="567"/>
        </w:tabs>
        <w:spacing w:after="0" w:line="240" w:lineRule="auto"/>
        <w:ind w:right="1558"/>
        <w:rPr>
          <w:rFonts w:ascii="Times New Roman" w:eastAsia="Times New Roman" w:hAnsi="Times New Roman" w:cs="Times New Roman"/>
          <w:b/>
          <w:szCs w:val="20"/>
          <w:lang w:eastAsia="lt-LT" w:bidi="lt-LT"/>
        </w:rPr>
      </w:pPr>
    </w:p>
    <w:p w14:paraId="3F132D55" w14:textId="77777777" w:rsidR="003744F7" w:rsidRPr="003744F7" w:rsidRDefault="003744F7" w:rsidP="003744F7">
      <w:pPr>
        <w:numPr>
          <w:ilvl w:val="0"/>
          <w:numId w:val="28"/>
        </w:numPr>
        <w:tabs>
          <w:tab w:val="left" w:pos="567"/>
          <w:tab w:val="left" w:pos="1701"/>
        </w:tabs>
        <w:spacing w:after="0" w:line="240" w:lineRule="auto"/>
        <w:ind w:right="1418"/>
        <w:rPr>
          <w:rFonts w:ascii="Times New Roman" w:eastAsia="Times New Roman" w:hAnsi="Times New Roman" w:cs="Times New Roman"/>
          <w:b/>
          <w:szCs w:val="20"/>
          <w:lang w:eastAsia="lt-LT" w:bidi="lt-LT"/>
        </w:rPr>
      </w:pPr>
      <w:r w:rsidRPr="003744F7">
        <w:rPr>
          <w:rFonts w:ascii="Times New Roman" w:eastAsia="Times New Roman" w:hAnsi="Times New Roman" w:cs="Times New Roman"/>
          <w:b/>
          <w:caps/>
          <w:szCs w:val="20"/>
          <w:lang w:eastAsia="lt-LT" w:bidi="lt-LT"/>
        </w:rPr>
        <w:t>SĄLYGOS AR APRIBOJIMAI SAUGIAM IR VEIKSMINGAM VAISTINIO PREPARATO VARTOJIMUI UŽTIKRINTI</w:t>
      </w:r>
    </w:p>
    <w:p w14:paraId="5DBEE5FA" w14:textId="77777777" w:rsidR="003744F7" w:rsidRPr="003744F7" w:rsidRDefault="003744F7" w:rsidP="003744F7">
      <w:pPr>
        <w:tabs>
          <w:tab w:val="left" w:pos="567"/>
        </w:tabs>
        <w:spacing w:after="0" w:line="240" w:lineRule="auto"/>
        <w:ind w:right="1416"/>
        <w:rPr>
          <w:rFonts w:ascii="Times New Roman" w:eastAsia="Times New Roman" w:hAnsi="Times New Roman" w:cs="Times New Roman"/>
          <w:b/>
          <w:lang w:eastAsia="lt-LT" w:bidi="lt-LT"/>
        </w:rPr>
      </w:pPr>
    </w:p>
    <w:p w14:paraId="7F898853" w14:textId="77777777" w:rsidR="003744F7" w:rsidRPr="003744F7" w:rsidRDefault="003744F7" w:rsidP="003744F7">
      <w:pPr>
        <w:keepNext/>
        <w:numPr>
          <w:ilvl w:val="0"/>
          <w:numId w:val="29"/>
        </w:numPr>
        <w:tabs>
          <w:tab w:val="left" w:pos="567"/>
        </w:tabs>
        <w:spacing w:after="0" w:line="240" w:lineRule="auto"/>
        <w:ind w:left="567" w:hanging="567"/>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br w:type="page"/>
      </w:r>
      <w:r w:rsidRPr="003744F7">
        <w:rPr>
          <w:rFonts w:ascii="Times New Roman" w:eastAsia="Times New Roman" w:hAnsi="Times New Roman" w:cs="Times New Roman"/>
          <w:b/>
          <w:noProof/>
          <w:lang w:eastAsia="lt-LT" w:bidi="lt-LT"/>
        </w:rPr>
        <w:lastRenderedPageBreak/>
        <w:t>GAMINTOJAS (-AI), ATSAKINGAS (-I) UŽ SERIJŲ IŠLEIDIMĄ</w:t>
      </w:r>
    </w:p>
    <w:p w14:paraId="5A3FD68E" w14:textId="77777777" w:rsidR="003744F7" w:rsidRPr="003744F7" w:rsidRDefault="003744F7" w:rsidP="003744F7">
      <w:pPr>
        <w:keepNext/>
        <w:tabs>
          <w:tab w:val="left" w:pos="567"/>
        </w:tabs>
        <w:spacing w:after="0" w:line="240" w:lineRule="auto"/>
        <w:ind w:right="1416"/>
        <w:rPr>
          <w:rFonts w:ascii="Times New Roman" w:eastAsia="Times New Roman" w:hAnsi="Times New Roman" w:cs="Times New Roman"/>
          <w:noProof/>
          <w:lang w:eastAsia="lt-LT" w:bidi="lt-LT"/>
        </w:rPr>
      </w:pPr>
    </w:p>
    <w:p w14:paraId="5E16EFE8"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u w:val="single"/>
          <w:lang w:eastAsia="lt-LT" w:bidi="lt-LT"/>
        </w:rPr>
        <w:t>Gamintojo (-ų), atsakingo (-ų) už serijų išleidimą, pavadinimas (-ai) ir adresas (-ai)</w:t>
      </w:r>
    </w:p>
    <w:p w14:paraId="30FE8DD2" w14:textId="77777777" w:rsidR="003744F7" w:rsidRPr="003744F7" w:rsidRDefault="003744F7" w:rsidP="003744F7">
      <w:pPr>
        <w:tabs>
          <w:tab w:val="left" w:pos="567"/>
        </w:tabs>
        <w:spacing w:after="0" w:line="260" w:lineRule="exact"/>
        <w:rPr>
          <w:rFonts w:ascii="Times New Roman" w:eastAsia="Times New Roman" w:hAnsi="Times New Roman" w:cs="Times New Roman"/>
          <w:lang w:eastAsia="lt-LT" w:bidi="lt-LT"/>
        </w:rPr>
      </w:pPr>
    </w:p>
    <w:p w14:paraId="30937267" w14:textId="77777777" w:rsidR="003744F7" w:rsidRPr="003744F7" w:rsidRDefault="003744F7" w:rsidP="003744F7">
      <w:pPr>
        <w:tabs>
          <w:tab w:val="left" w:pos="567"/>
        </w:tabs>
        <w:spacing w:after="0" w:line="260" w:lineRule="exact"/>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Pharmadox Healthcare Ltd.</w:t>
      </w:r>
    </w:p>
    <w:p w14:paraId="2398AD57" w14:textId="77777777" w:rsidR="003744F7" w:rsidRPr="003744F7" w:rsidRDefault="003744F7" w:rsidP="003744F7">
      <w:pPr>
        <w:tabs>
          <w:tab w:val="left" w:pos="567"/>
        </w:tabs>
        <w:spacing w:after="0" w:line="260" w:lineRule="exact"/>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KW20A Kordin Industrial Park</w:t>
      </w:r>
    </w:p>
    <w:p w14:paraId="333EA6DE"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Paola PLA 3000</w:t>
      </w:r>
    </w:p>
    <w:p w14:paraId="0594585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Malta</w:t>
      </w:r>
    </w:p>
    <w:p w14:paraId="270D8BDF"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DBBBF6E"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6ABBB80" w14:textId="77777777" w:rsidR="003744F7" w:rsidRPr="003744F7" w:rsidRDefault="003744F7" w:rsidP="003744F7">
      <w:pPr>
        <w:keepNext/>
        <w:numPr>
          <w:ilvl w:val="0"/>
          <w:numId w:val="29"/>
        </w:numPr>
        <w:tabs>
          <w:tab w:val="left" w:pos="567"/>
        </w:tabs>
        <w:spacing w:after="0" w:line="240" w:lineRule="auto"/>
        <w:ind w:left="567" w:hanging="567"/>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TIEKIMO IR VARTOJIMO SĄLYGOS AR APRIBOJIMAI </w:t>
      </w:r>
    </w:p>
    <w:p w14:paraId="7544DD7C"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6DF1E2E4" w14:textId="77777777" w:rsidR="003744F7" w:rsidRPr="003744F7" w:rsidRDefault="003744F7" w:rsidP="003744F7">
      <w:pPr>
        <w:tabs>
          <w:tab w:val="left" w:pos="567"/>
        </w:tabs>
        <w:spacing w:after="0" w:line="260" w:lineRule="exact"/>
        <w:rPr>
          <w:rFonts w:ascii="Times New Roman" w:eastAsia="Times New Roman" w:hAnsi="Times New Roman" w:cs="Times New Roman"/>
          <w:snapToGrid w:val="0"/>
          <w:szCs w:val="24"/>
        </w:rPr>
      </w:pPr>
      <w:r w:rsidRPr="003744F7">
        <w:rPr>
          <w:rFonts w:ascii="Times New Roman" w:eastAsia="Times New Roman" w:hAnsi="Times New Roman" w:cs="Times New Roman"/>
          <w:snapToGrid w:val="0"/>
          <w:szCs w:val="20"/>
        </w:rPr>
        <w:t>Receptinis vaistinis preparatas.</w:t>
      </w:r>
    </w:p>
    <w:p w14:paraId="739A46FA" w14:textId="77777777" w:rsidR="003744F7" w:rsidRPr="003744F7" w:rsidRDefault="003744F7" w:rsidP="003744F7">
      <w:pPr>
        <w:numPr>
          <w:ilvl w:val="12"/>
          <w:numId w:val="0"/>
        </w:numPr>
        <w:tabs>
          <w:tab w:val="left" w:pos="567"/>
        </w:tabs>
        <w:spacing w:after="0" w:line="240" w:lineRule="auto"/>
        <w:rPr>
          <w:rFonts w:ascii="Times New Roman" w:eastAsia="Times New Roman" w:hAnsi="Times New Roman" w:cs="Times New Roman"/>
          <w:noProof/>
          <w:lang w:eastAsia="lt-LT" w:bidi="lt-LT"/>
        </w:rPr>
      </w:pPr>
    </w:p>
    <w:p w14:paraId="00A1D24B" w14:textId="77777777" w:rsidR="003744F7" w:rsidRPr="003744F7" w:rsidRDefault="003744F7" w:rsidP="003744F7">
      <w:pPr>
        <w:numPr>
          <w:ilvl w:val="12"/>
          <w:numId w:val="0"/>
        </w:numPr>
        <w:tabs>
          <w:tab w:val="left" w:pos="567"/>
        </w:tabs>
        <w:spacing w:after="0" w:line="240" w:lineRule="auto"/>
        <w:rPr>
          <w:rFonts w:ascii="Times New Roman" w:eastAsia="Times New Roman" w:hAnsi="Times New Roman" w:cs="Times New Roman"/>
          <w:noProof/>
          <w:lang w:eastAsia="lt-LT" w:bidi="lt-LT"/>
        </w:rPr>
      </w:pPr>
    </w:p>
    <w:p w14:paraId="5B0D4942" w14:textId="77777777" w:rsidR="003744F7" w:rsidRPr="003744F7" w:rsidRDefault="003744F7" w:rsidP="003744F7">
      <w:pPr>
        <w:keepNext/>
        <w:numPr>
          <w:ilvl w:val="0"/>
          <w:numId w:val="29"/>
        </w:numPr>
        <w:tabs>
          <w:tab w:val="left" w:pos="567"/>
        </w:tabs>
        <w:spacing w:after="0" w:line="240" w:lineRule="auto"/>
        <w:ind w:left="567" w:hanging="567"/>
        <w:rPr>
          <w:rFonts w:ascii="Times New Roman" w:eastAsia="Times New Roman" w:hAnsi="Times New Roman" w:cs="Times New Roman"/>
          <w:b/>
          <w:bCs/>
          <w:noProof/>
          <w:lang w:eastAsia="lt-LT" w:bidi="lt-LT"/>
        </w:rPr>
      </w:pPr>
      <w:r w:rsidRPr="003744F7">
        <w:rPr>
          <w:rFonts w:ascii="Times New Roman" w:eastAsia="Times New Roman" w:hAnsi="Times New Roman" w:cs="Times New Roman"/>
          <w:b/>
          <w:noProof/>
          <w:szCs w:val="20"/>
          <w:lang w:eastAsia="lt-LT" w:bidi="lt-LT"/>
        </w:rPr>
        <w:t>KITOS SĄLYGOS IR REIKALAVIMAI REGISTRUOTOJUI</w:t>
      </w:r>
    </w:p>
    <w:p w14:paraId="27C043CB" w14:textId="77777777" w:rsidR="003744F7" w:rsidRPr="003744F7" w:rsidRDefault="003744F7" w:rsidP="003744F7">
      <w:pPr>
        <w:keepNext/>
        <w:tabs>
          <w:tab w:val="left" w:pos="567"/>
        </w:tabs>
        <w:spacing w:after="0" w:line="240" w:lineRule="auto"/>
        <w:ind w:right="-1"/>
        <w:rPr>
          <w:rFonts w:ascii="Times New Roman" w:eastAsia="Times New Roman" w:hAnsi="Times New Roman" w:cs="Times New Roman"/>
          <w:iCs/>
          <w:noProof/>
          <w:u w:val="single"/>
          <w:lang w:eastAsia="lt-LT" w:bidi="lt-LT"/>
        </w:rPr>
      </w:pPr>
    </w:p>
    <w:p w14:paraId="15F58762" w14:textId="661E1E26" w:rsidR="003744F7" w:rsidRPr="003744F7" w:rsidRDefault="003744F7" w:rsidP="003744F7">
      <w:pPr>
        <w:keepNext/>
        <w:numPr>
          <w:ilvl w:val="0"/>
          <w:numId w:val="21"/>
        </w:numPr>
        <w:tabs>
          <w:tab w:val="left" w:pos="567"/>
        </w:tabs>
        <w:spacing w:after="0" w:line="240" w:lineRule="auto"/>
        <w:ind w:right="-1" w:hanging="720"/>
        <w:rPr>
          <w:rFonts w:ascii="Times New Roman" w:eastAsia="Times New Roman" w:hAnsi="Times New Roman" w:cs="Times New Roman"/>
          <w:b/>
          <w:lang w:eastAsia="lt-LT" w:bidi="lt-LT"/>
        </w:rPr>
      </w:pPr>
      <w:r w:rsidRPr="003744F7">
        <w:rPr>
          <w:rFonts w:ascii="Times New Roman" w:eastAsia="Times New Roman" w:hAnsi="Times New Roman" w:cs="Times New Roman"/>
          <w:b/>
          <w:szCs w:val="20"/>
          <w:lang w:eastAsia="lt-LT" w:bidi="lt-LT"/>
        </w:rPr>
        <w:t>Periodiškai atnaujinami saugumo protokolai</w:t>
      </w:r>
      <w:r w:rsidR="00D54779">
        <w:rPr>
          <w:rFonts w:ascii="Times New Roman" w:eastAsia="Times New Roman" w:hAnsi="Times New Roman" w:cs="Times New Roman"/>
          <w:b/>
          <w:szCs w:val="20"/>
          <w:lang w:eastAsia="lt-LT" w:bidi="lt-LT"/>
        </w:rPr>
        <w:t xml:space="preserve"> (PASP)</w:t>
      </w:r>
    </w:p>
    <w:p w14:paraId="07577CC4" w14:textId="77777777" w:rsidR="003744F7" w:rsidRPr="003744F7" w:rsidRDefault="003744F7" w:rsidP="003744F7">
      <w:pPr>
        <w:keepNext/>
        <w:tabs>
          <w:tab w:val="left" w:pos="0"/>
          <w:tab w:val="left" w:pos="567"/>
        </w:tabs>
        <w:spacing w:after="0" w:line="240" w:lineRule="auto"/>
        <w:ind w:right="567"/>
        <w:rPr>
          <w:rFonts w:ascii="Times New Roman" w:eastAsia="Times New Roman" w:hAnsi="Times New Roman" w:cs="Times New Roman"/>
          <w:szCs w:val="20"/>
          <w:lang w:eastAsia="lt-LT" w:bidi="lt-LT"/>
        </w:rPr>
      </w:pPr>
    </w:p>
    <w:p w14:paraId="425A2D97" w14:textId="4C41AE60" w:rsidR="003744F7" w:rsidRPr="003744F7" w:rsidRDefault="0077175E" w:rsidP="003744F7">
      <w:pPr>
        <w:tabs>
          <w:tab w:val="left" w:pos="0"/>
          <w:tab w:val="left" w:pos="567"/>
        </w:tabs>
        <w:spacing w:after="0" w:line="240" w:lineRule="auto"/>
        <w:ind w:right="567"/>
        <w:rPr>
          <w:rFonts w:ascii="Times New Roman" w:eastAsia="Times New Roman" w:hAnsi="Times New Roman" w:cs="Times New Roman"/>
          <w:iCs/>
          <w:lang w:eastAsia="lt-LT" w:bidi="lt-LT"/>
        </w:rPr>
      </w:pPr>
      <w:r>
        <w:rPr>
          <w:rFonts w:ascii="Times New Roman" w:eastAsia="Times New Roman" w:hAnsi="Times New Roman" w:cs="Times New Roman"/>
          <w:szCs w:val="20"/>
          <w:lang w:eastAsia="lt-LT" w:bidi="lt-LT"/>
        </w:rPr>
        <w:t>Registruotojas š</w:t>
      </w:r>
      <w:r w:rsidR="003744F7" w:rsidRPr="003744F7">
        <w:rPr>
          <w:rFonts w:ascii="Times New Roman" w:eastAsia="Times New Roman" w:hAnsi="Times New Roman" w:cs="Times New Roman"/>
          <w:szCs w:val="20"/>
          <w:lang w:eastAsia="lt-LT" w:bidi="lt-LT"/>
        </w:rPr>
        <w:t>io vaistinio preparato</w:t>
      </w:r>
      <w:r>
        <w:rPr>
          <w:rFonts w:ascii="Times New Roman" w:eastAsia="Times New Roman" w:hAnsi="Times New Roman" w:cs="Times New Roman"/>
          <w:szCs w:val="20"/>
          <w:lang w:eastAsia="lt-LT" w:bidi="lt-LT"/>
        </w:rPr>
        <w:t xml:space="preserve"> PASP</w:t>
      </w:r>
      <w:r w:rsidR="003744F7" w:rsidRPr="003744F7">
        <w:rPr>
          <w:rFonts w:ascii="Times New Roman" w:eastAsia="Times New Roman" w:hAnsi="Times New Roman" w:cs="Times New Roman"/>
          <w:szCs w:val="20"/>
          <w:lang w:eastAsia="lt-LT" w:bidi="lt-LT"/>
        </w:rPr>
        <w:t xml:space="preserve"> </w:t>
      </w:r>
      <w:r>
        <w:rPr>
          <w:rFonts w:ascii="Times New Roman" w:eastAsia="Times New Roman" w:hAnsi="Times New Roman" w:cs="Times New Roman"/>
          <w:szCs w:val="20"/>
          <w:lang w:eastAsia="lt-LT" w:bidi="lt-LT"/>
        </w:rPr>
        <w:t xml:space="preserve">teikia remdamasis </w:t>
      </w:r>
      <w:r w:rsidR="003744F7" w:rsidRPr="003744F7">
        <w:rPr>
          <w:rFonts w:ascii="Times New Roman" w:eastAsia="Times New Roman" w:hAnsi="Times New Roman" w:cs="Times New Roman"/>
          <w:szCs w:val="20"/>
          <w:lang w:eastAsia="lt-LT" w:bidi="lt-LT"/>
        </w:rPr>
        <w:t>Direktyvos 2001/83/EB 107c straipsnio 7 dalyje numatytame Sąjungos referencinių datų sąraše (</w:t>
      </w:r>
      <w:r w:rsidR="003744F7" w:rsidRPr="00C93C79">
        <w:rPr>
          <w:rFonts w:ascii="Times New Roman" w:eastAsia="Times New Roman" w:hAnsi="Times New Roman" w:cs="Times New Roman"/>
          <w:i/>
          <w:iCs/>
          <w:szCs w:val="20"/>
          <w:lang w:eastAsia="lt-LT" w:bidi="lt-LT"/>
        </w:rPr>
        <w:t xml:space="preserve">EURD </w:t>
      </w:r>
      <w:r w:rsidR="003744F7" w:rsidRPr="003744F7">
        <w:rPr>
          <w:rFonts w:ascii="Times New Roman" w:eastAsia="Times New Roman" w:hAnsi="Times New Roman" w:cs="Times New Roman"/>
          <w:szCs w:val="20"/>
          <w:lang w:eastAsia="lt-LT" w:bidi="lt-LT"/>
        </w:rPr>
        <w:t>sąraše), kuris skelbiamas Europos vaistų tinklalapyje</w:t>
      </w:r>
      <w:r>
        <w:rPr>
          <w:rFonts w:ascii="Times New Roman" w:eastAsia="Times New Roman" w:hAnsi="Times New Roman" w:cs="Times New Roman"/>
          <w:szCs w:val="20"/>
          <w:lang w:eastAsia="lt-LT" w:bidi="lt-LT"/>
        </w:rPr>
        <w:t>, nustatytais reikalavimais</w:t>
      </w:r>
      <w:r w:rsidR="003744F7" w:rsidRPr="003744F7">
        <w:rPr>
          <w:rFonts w:ascii="Times New Roman" w:eastAsia="Times New Roman" w:hAnsi="Times New Roman" w:cs="Times New Roman"/>
          <w:szCs w:val="20"/>
          <w:lang w:eastAsia="lt-LT" w:bidi="lt-LT"/>
        </w:rPr>
        <w:t>.</w:t>
      </w:r>
    </w:p>
    <w:p w14:paraId="1893D126" w14:textId="77777777" w:rsidR="003744F7" w:rsidRPr="003744F7" w:rsidRDefault="003744F7" w:rsidP="003744F7">
      <w:pPr>
        <w:tabs>
          <w:tab w:val="left" w:pos="567"/>
        </w:tabs>
        <w:spacing w:after="0" w:line="240" w:lineRule="auto"/>
        <w:ind w:right="-1"/>
        <w:rPr>
          <w:rFonts w:ascii="Times New Roman" w:eastAsia="Times New Roman" w:hAnsi="Times New Roman" w:cs="Times New Roman"/>
          <w:iCs/>
          <w:noProof/>
          <w:u w:val="single"/>
          <w:lang w:eastAsia="lt-LT" w:bidi="lt-LT"/>
        </w:rPr>
      </w:pPr>
    </w:p>
    <w:p w14:paraId="79CB69BB" w14:textId="77777777" w:rsidR="003744F7" w:rsidRPr="003744F7" w:rsidRDefault="003744F7" w:rsidP="003744F7">
      <w:pPr>
        <w:tabs>
          <w:tab w:val="left" w:pos="567"/>
        </w:tabs>
        <w:spacing w:after="0" w:line="240" w:lineRule="auto"/>
        <w:ind w:right="-1"/>
        <w:rPr>
          <w:rFonts w:ascii="Times New Roman" w:eastAsia="Times New Roman" w:hAnsi="Times New Roman" w:cs="Times New Roman"/>
          <w:szCs w:val="20"/>
          <w:u w:val="single"/>
          <w:lang w:eastAsia="lt-LT" w:bidi="lt-LT"/>
        </w:rPr>
      </w:pPr>
    </w:p>
    <w:p w14:paraId="0BA41D5A" w14:textId="77777777" w:rsidR="003744F7" w:rsidRPr="003744F7" w:rsidRDefault="003744F7" w:rsidP="003744F7">
      <w:pPr>
        <w:keepNext/>
        <w:numPr>
          <w:ilvl w:val="0"/>
          <w:numId w:val="29"/>
        </w:numPr>
        <w:tabs>
          <w:tab w:val="left" w:pos="567"/>
        </w:tabs>
        <w:spacing w:after="0" w:line="240" w:lineRule="auto"/>
        <w:ind w:left="567" w:hanging="567"/>
        <w:rPr>
          <w:rFonts w:ascii="Times New Roman" w:eastAsia="Times New Roman" w:hAnsi="Times New Roman" w:cs="Times New Roman"/>
          <w:b/>
          <w:szCs w:val="20"/>
          <w:lang w:eastAsia="lt-LT" w:bidi="lt-LT"/>
        </w:rPr>
      </w:pPr>
      <w:r w:rsidRPr="003744F7">
        <w:rPr>
          <w:rFonts w:ascii="Times New Roman" w:eastAsia="Times New Roman" w:hAnsi="Times New Roman" w:cs="Times New Roman"/>
          <w:b/>
          <w:szCs w:val="20"/>
          <w:lang w:eastAsia="lt-LT" w:bidi="lt-LT"/>
        </w:rPr>
        <w:t xml:space="preserve">SĄLYGOS AR APRIBOJIMAI, SKIRTI SAUGIAM IR VEIKSMINGAM VAISTINIO PREPARATO VARTOJIMUI UŽTIKRINTI  </w:t>
      </w:r>
    </w:p>
    <w:p w14:paraId="3206C742" w14:textId="77777777" w:rsidR="003744F7" w:rsidRPr="003744F7" w:rsidRDefault="003744F7" w:rsidP="003744F7">
      <w:pPr>
        <w:keepNext/>
        <w:tabs>
          <w:tab w:val="left" w:pos="567"/>
        </w:tabs>
        <w:spacing w:after="0" w:line="240" w:lineRule="auto"/>
        <w:ind w:right="-1"/>
        <w:rPr>
          <w:rFonts w:ascii="Times New Roman" w:eastAsia="Times New Roman" w:hAnsi="Times New Roman" w:cs="Times New Roman"/>
          <w:szCs w:val="20"/>
          <w:u w:val="single"/>
          <w:lang w:eastAsia="lt-LT" w:bidi="lt-LT"/>
        </w:rPr>
      </w:pPr>
    </w:p>
    <w:p w14:paraId="49170658" w14:textId="77777777" w:rsidR="003744F7" w:rsidRPr="003744F7" w:rsidRDefault="003744F7" w:rsidP="003744F7">
      <w:pPr>
        <w:keepNext/>
        <w:numPr>
          <w:ilvl w:val="0"/>
          <w:numId w:val="21"/>
        </w:numPr>
        <w:tabs>
          <w:tab w:val="left" w:pos="567"/>
        </w:tabs>
        <w:spacing w:after="0" w:line="240" w:lineRule="auto"/>
        <w:ind w:right="-1" w:hanging="720"/>
        <w:rPr>
          <w:rFonts w:ascii="Times New Roman" w:eastAsia="Times New Roman" w:hAnsi="Times New Roman" w:cs="Times New Roman"/>
          <w:b/>
          <w:szCs w:val="20"/>
          <w:lang w:eastAsia="lt-LT" w:bidi="lt-LT"/>
        </w:rPr>
      </w:pPr>
      <w:r w:rsidRPr="003744F7">
        <w:rPr>
          <w:rFonts w:ascii="Times New Roman" w:eastAsia="Times New Roman" w:hAnsi="Times New Roman" w:cs="Times New Roman"/>
          <w:b/>
          <w:szCs w:val="20"/>
          <w:lang w:eastAsia="lt-LT" w:bidi="lt-LT"/>
        </w:rPr>
        <w:t>Rizikos valdymo planas (RVP)</w:t>
      </w:r>
    </w:p>
    <w:p w14:paraId="135B2FDE" w14:textId="77777777" w:rsidR="003744F7" w:rsidRPr="003744F7" w:rsidRDefault="003744F7" w:rsidP="003744F7">
      <w:pPr>
        <w:keepNext/>
        <w:tabs>
          <w:tab w:val="left" w:pos="567"/>
        </w:tabs>
        <w:spacing w:after="0" w:line="240" w:lineRule="auto"/>
        <w:ind w:left="720" w:right="-1"/>
        <w:rPr>
          <w:rFonts w:ascii="Times New Roman" w:eastAsia="Times New Roman" w:hAnsi="Times New Roman" w:cs="Times New Roman"/>
          <w:b/>
          <w:szCs w:val="20"/>
          <w:lang w:eastAsia="lt-LT" w:bidi="lt-LT"/>
        </w:rPr>
      </w:pPr>
    </w:p>
    <w:p w14:paraId="2C481F95" w14:textId="77777777" w:rsidR="003744F7" w:rsidRPr="003744F7" w:rsidRDefault="003744F7" w:rsidP="003744F7">
      <w:pPr>
        <w:tabs>
          <w:tab w:val="left" w:pos="0"/>
          <w:tab w:val="left" w:pos="567"/>
        </w:tabs>
        <w:spacing w:after="0" w:line="240" w:lineRule="auto"/>
        <w:ind w:right="567"/>
        <w:rPr>
          <w:rFonts w:ascii="Times New Roman" w:eastAsia="Times New Roman" w:hAnsi="Times New Roman" w:cs="Times New Roman"/>
          <w:noProof/>
          <w:lang w:eastAsia="lt-LT" w:bidi="lt-LT"/>
        </w:rPr>
      </w:pPr>
      <w:r w:rsidRPr="003744F7">
        <w:rPr>
          <w:rFonts w:ascii="Times New Roman" w:eastAsia="Times New Roman" w:hAnsi="Times New Roman" w:cs="Times New Roman"/>
          <w:szCs w:val="20"/>
          <w:lang w:eastAsia="lt-LT" w:bidi="lt-LT"/>
        </w:rPr>
        <w:t>Registruotojas atlieka reikalaujamą farmakologinio budrumo veiklą ir veiksmus, kurie išsamiai aprašyti registracijos bylos 1.8.2 modulyje pateiktame RVP ir suderintose tolesnėse jo versijose.</w:t>
      </w:r>
    </w:p>
    <w:p w14:paraId="65F058FD" w14:textId="77777777" w:rsidR="003744F7" w:rsidRPr="003744F7" w:rsidRDefault="003744F7" w:rsidP="003744F7">
      <w:pPr>
        <w:tabs>
          <w:tab w:val="left" w:pos="567"/>
        </w:tabs>
        <w:spacing w:after="0" w:line="240" w:lineRule="auto"/>
        <w:ind w:right="-1"/>
        <w:rPr>
          <w:rFonts w:ascii="Times New Roman" w:eastAsia="Times New Roman" w:hAnsi="Times New Roman" w:cs="Times New Roman"/>
          <w:iCs/>
          <w:noProof/>
          <w:lang w:eastAsia="lt-LT" w:bidi="lt-LT"/>
        </w:rPr>
      </w:pPr>
    </w:p>
    <w:p w14:paraId="5092D526" w14:textId="77777777" w:rsidR="003744F7" w:rsidRPr="003744F7" w:rsidRDefault="003744F7" w:rsidP="003744F7">
      <w:pPr>
        <w:tabs>
          <w:tab w:val="left" w:pos="567"/>
        </w:tabs>
        <w:spacing w:after="0" w:line="240" w:lineRule="auto"/>
        <w:ind w:right="-1"/>
        <w:rPr>
          <w:rFonts w:ascii="Times New Roman" w:eastAsia="Times New Roman" w:hAnsi="Times New Roman" w:cs="Times New Roman"/>
          <w:iCs/>
          <w:noProof/>
          <w:lang w:eastAsia="lt-LT" w:bidi="lt-LT"/>
        </w:rPr>
      </w:pPr>
      <w:r w:rsidRPr="003744F7">
        <w:rPr>
          <w:rFonts w:ascii="Times New Roman" w:eastAsia="Times New Roman" w:hAnsi="Times New Roman" w:cs="Times New Roman"/>
          <w:szCs w:val="20"/>
          <w:lang w:eastAsia="lt-LT" w:bidi="lt-LT"/>
        </w:rPr>
        <w:t>Atnaujintas rizikos valdymo planas turi būti pateiktas:</w:t>
      </w:r>
    </w:p>
    <w:p w14:paraId="2C07FA95" w14:textId="77777777" w:rsidR="003744F7" w:rsidRPr="003744F7" w:rsidRDefault="003744F7" w:rsidP="003744F7">
      <w:pPr>
        <w:numPr>
          <w:ilvl w:val="0"/>
          <w:numId w:val="14"/>
        </w:numPr>
        <w:tabs>
          <w:tab w:val="left" w:pos="567"/>
        </w:tabs>
        <w:spacing w:after="0" w:line="240" w:lineRule="auto"/>
        <w:ind w:right="-1"/>
        <w:rPr>
          <w:rFonts w:ascii="Times New Roman" w:eastAsia="Times New Roman" w:hAnsi="Times New Roman" w:cs="Times New Roman"/>
          <w:iCs/>
          <w:noProof/>
          <w:lang w:eastAsia="lt-LT" w:bidi="lt-LT"/>
        </w:rPr>
      </w:pPr>
      <w:r w:rsidRPr="003744F7">
        <w:rPr>
          <w:rFonts w:ascii="Times New Roman" w:eastAsia="Times New Roman" w:hAnsi="Times New Roman" w:cs="Times New Roman"/>
          <w:szCs w:val="20"/>
          <w:lang w:eastAsia="lt-LT" w:bidi="lt-LT"/>
        </w:rPr>
        <w:t xml:space="preserve">pareikalavus </w:t>
      </w:r>
      <w:r w:rsidRPr="003744F7">
        <w:rPr>
          <w:rFonts w:ascii="Times New Roman" w:eastAsia="Times New Roman" w:hAnsi="Times New Roman" w:cs="Times New Roman"/>
          <w:szCs w:val="24"/>
          <w:lang w:eastAsia="lt-LT" w:bidi="lt-LT"/>
        </w:rPr>
        <w:t>Valstybinei vaistų kontrolės tarnybai prie Lietuvos Respublikos sveikatos apsaugos ministerijos</w:t>
      </w:r>
      <w:r w:rsidRPr="003744F7">
        <w:rPr>
          <w:rFonts w:ascii="Times New Roman" w:eastAsia="Times New Roman" w:hAnsi="Times New Roman" w:cs="Times New Roman"/>
          <w:szCs w:val="20"/>
          <w:lang w:eastAsia="lt-LT" w:bidi="lt-LT"/>
        </w:rPr>
        <w:t>;</w:t>
      </w:r>
    </w:p>
    <w:p w14:paraId="4924EF8F" w14:textId="77777777" w:rsidR="003744F7" w:rsidRPr="003744F7" w:rsidRDefault="003744F7" w:rsidP="003744F7">
      <w:pPr>
        <w:numPr>
          <w:ilvl w:val="0"/>
          <w:numId w:val="14"/>
        </w:numPr>
        <w:tabs>
          <w:tab w:val="left" w:pos="567"/>
        </w:tabs>
        <w:spacing w:after="0" w:line="240" w:lineRule="auto"/>
        <w:ind w:left="567" w:right="-1" w:hanging="207"/>
        <w:rPr>
          <w:rFonts w:ascii="Times New Roman" w:eastAsia="Times New Roman" w:hAnsi="Times New Roman" w:cs="Times New Roman"/>
          <w:iCs/>
          <w:noProof/>
          <w:lang w:eastAsia="lt-LT" w:bidi="lt-LT"/>
        </w:rPr>
      </w:pPr>
      <w:r w:rsidRPr="003744F7">
        <w:rPr>
          <w:rFonts w:ascii="Times New Roman" w:eastAsia="Times New Roman" w:hAnsi="Times New Roman" w:cs="Times New Roman"/>
          <w:szCs w:val="20"/>
          <w:lang w:eastAsia="lt-LT" w:bidi="lt-LT"/>
        </w:rPr>
        <w:t>kai keičiama rizikos valdymo sistema, ypač gavus naujos informacijos, kuri gali lemti didelį naudos ir rizikos santykio pokytį arba pasiekus svarbų (farmakologinio budrumo ar rizikos mažinimo) etapą.</w:t>
      </w:r>
    </w:p>
    <w:p w14:paraId="29071B17" w14:textId="77777777" w:rsidR="003744F7" w:rsidRPr="003744F7" w:rsidRDefault="003744F7" w:rsidP="003744F7">
      <w:pPr>
        <w:tabs>
          <w:tab w:val="left" w:pos="567"/>
        </w:tabs>
        <w:spacing w:after="0" w:line="240" w:lineRule="auto"/>
        <w:ind w:right="-1"/>
        <w:rPr>
          <w:rFonts w:ascii="Times New Roman" w:eastAsia="Times New Roman" w:hAnsi="Times New Roman" w:cs="Times New Roman"/>
          <w:iCs/>
          <w:lang w:eastAsia="lt-LT" w:bidi="lt-LT"/>
        </w:rPr>
      </w:pPr>
    </w:p>
    <w:p w14:paraId="10A7088A" w14:textId="77777777" w:rsidR="003744F7" w:rsidRPr="003744F7" w:rsidRDefault="003744F7" w:rsidP="003744F7">
      <w:pPr>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Jei sutampa PASP ir atnaujinto RVP teikimo datos, jie gali būti pateikiami kartu.</w:t>
      </w:r>
      <w:r w:rsidRPr="003744F7">
        <w:rPr>
          <w:rFonts w:ascii="Times New Roman" w:eastAsia="Times New Roman" w:hAnsi="Times New Roman" w:cs="Times New Roman"/>
          <w:noProof/>
          <w:lang w:eastAsia="lt-LT" w:bidi="lt-LT"/>
        </w:rPr>
        <w:br w:type="page"/>
      </w:r>
    </w:p>
    <w:p w14:paraId="72FF5F09" w14:textId="77777777" w:rsidR="003744F7" w:rsidRPr="003744F7" w:rsidRDefault="003744F7" w:rsidP="003744F7">
      <w:pPr>
        <w:numPr>
          <w:ilvl w:val="12"/>
          <w:numId w:val="0"/>
        </w:numPr>
        <w:tabs>
          <w:tab w:val="left" w:pos="567"/>
        </w:tabs>
        <w:spacing w:after="0" w:line="240" w:lineRule="auto"/>
        <w:rPr>
          <w:rFonts w:ascii="Times New Roman" w:eastAsia="Times New Roman" w:hAnsi="Times New Roman" w:cs="Times New Roman"/>
          <w:noProof/>
          <w:lang w:eastAsia="lt-LT" w:bidi="lt-LT"/>
        </w:rPr>
      </w:pPr>
    </w:p>
    <w:p w14:paraId="49EDD25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3ABD117"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18125A4"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28DC697"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40869AB"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61CAA4A7"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361B8B3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59B869B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12BC55D1"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5E34FF93"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23DA3A3"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1BB7A03"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104477BF"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DB285C6"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4C2CDEE"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062E480"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CE4CF73"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0F75D85"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3CCBA2FD"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6B389E6C"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6227F41"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2478E1B7"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4C78021F" w14:textId="77777777" w:rsidR="003744F7" w:rsidRPr="003744F7" w:rsidRDefault="003744F7" w:rsidP="003744F7">
      <w:pPr>
        <w:tabs>
          <w:tab w:val="left" w:pos="567"/>
        </w:tabs>
        <w:spacing w:after="0" w:line="240" w:lineRule="auto"/>
        <w:jc w:val="center"/>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III PRIEDAS</w:t>
      </w:r>
    </w:p>
    <w:p w14:paraId="32F63488" w14:textId="77777777" w:rsidR="003744F7" w:rsidRPr="003744F7" w:rsidRDefault="003744F7" w:rsidP="003744F7">
      <w:pPr>
        <w:tabs>
          <w:tab w:val="left" w:pos="567"/>
        </w:tabs>
        <w:spacing w:after="0" w:line="240" w:lineRule="auto"/>
        <w:jc w:val="center"/>
        <w:rPr>
          <w:rFonts w:ascii="Times New Roman" w:eastAsia="Times New Roman" w:hAnsi="Times New Roman" w:cs="Times New Roman"/>
          <w:b/>
          <w:noProof/>
          <w:lang w:eastAsia="lt-LT" w:bidi="lt-LT"/>
        </w:rPr>
      </w:pPr>
    </w:p>
    <w:p w14:paraId="2A4A1402" w14:textId="77777777" w:rsidR="003744F7" w:rsidRPr="003744F7" w:rsidRDefault="003744F7" w:rsidP="003744F7">
      <w:pPr>
        <w:tabs>
          <w:tab w:val="left" w:pos="567"/>
        </w:tabs>
        <w:spacing w:after="0" w:line="240" w:lineRule="auto"/>
        <w:jc w:val="center"/>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ŽENKLINIMAS IR PAKUOTĖS LAPELIS</w:t>
      </w:r>
    </w:p>
    <w:p w14:paraId="76EE58F4" w14:textId="77777777" w:rsidR="003744F7" w:rsidRPr="003744F7" w:rsidRDefault="003744F7" w:rsidP="003744F7">
      <w:pPr>
        <w:tabs>
          <w:tab w:val="left" w:pos="567"/>
        </w:tabs>
        <w:spacing w:after="0" w:line="240" w:lineRule="auto"/>
        <w:rPr>
          <w:rFonts w:ascii="Times New Roman" w:eastAsia="Times New Roman" w:hAnsi="Times New Roman" w:cs="Times New Roman"/>
          <w:b/>
          <w:noProof/>
          <w:lang w:eastAsia="lt-LT" w:bidi="lt-LT"/>
        </w:rPr>
      </w:pPr>
      <w:r w:rsidRPr="003744F7">
        <w:rPr>
          <w:rFonts w:ascii="Times New Roman" w:eastAsia="Times New Roman" w:hAnsi="Times New Roman" w:cs="Times New Roman"/>
          <w:lang w:eastAsia="lt-LT" w:bidi="lt-LT"/>
        </w:rPr>
        <w:br w:type="page"/>
      </w:r>
    </w:p>
    <w:p w14:paraId="30D78CBE"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83F117D"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68ED8A8"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311A5C41"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B51FE6E"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39AB37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10E43048"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1D1CEF6F"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A1A2E6B"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973A872"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4511F4B5"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CE58EAE"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6D9F9BA0"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1F2230F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DBDB75D"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230751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48094C46"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27BFED93"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909F992"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EB80F5C"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632148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A4ABCFC"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040FB00"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7E9CE3E" w14:textId="77777777" w:rsidR="003744F7" w:rsidRPr="003744F7" w:rsidRDefault="003744F7" w:rsidP="003744F7">
      <w:pPr>
        <w:tabs>
          <w:tab w:val="left" w:pos="567"/>
        </w:tabs>
        <w:spacing w:after="0" w:line="240" w:lineRule="auto"/>
        <w:jc w:val="center"/>
        <w:outlineLvl w:val="0"/>
        <w:rPr>
          <w:rFonts w:ascii="Times New Roman" w:eastAsia="Times New Roman" w:hAnsi="Times New Roman" w:cs="Times New Roman"/>
          <w:noProof/>
          <w:lang w:eastAsia="lt-LT" w:bidi="lt-LT"/>
        </w:rPr>
      </w:pPr>
      <w:r w:rsidRPr="003744F7">
        <w:rPr>
          <w:rFonts w:ascii="Times New Roman" w:eastAsia="Verdana" w:hAnsi="Times New Roman" w:cs="Times New Roman"/>
          <w:b/>
          <w:noProof/>
          <w:lang w:eastAsia="lt-LT" w:bidi="lt-LT"/>
        </w:rPr>
        <w:t>A.</w:t>
      </w:r>
      <w:r w:rsidRPr="003744F7">
        <w:rPr>
          <w:rFonts w:ascii="Times New Roman" w:eastAsia="Times New Roman" w:hAnsi="Times New Roman" w:cs="Times New Roman"/>
          <w:b/>
          <w:noProof/>
          <w:lang w:eastAsia="lt-LT" w:bidi="lt-LT"/>
        </w:rPr>
        <w:t xml:space="preserve"> ŽENKLINIMAS</w:t>
      </w:r>
    </w:p>
    <w:p w14:paraId="3F9A16E9" w14:textId="77777777" w:rsidR="003744F7" w:rsidRPr="003744F7" w:rsidRDefault="003744F7" w:rsidP="003744F7">
      <w:pPr>
        <w:shd w:val="clear" w:color="auto" w:fill="FFFFFF"/>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br w:type="page"/>
      </w:r>
    </w:p>
    <w:p w14:paraId="156DD093" w14:textId="77777777" w:rsidR="003744F7" w:rsidRPr="003744F7" w:rsidRDefault="003744F7" w:rsidP="003744F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lastRenderedPageBreak/>
        <w:t>INFORMACIJA ANT IŠORINĖS PAKUOTĖS</w:t>
      </w:r>
    </w:p>
    <w:p w14:paraId="30E74868" w14:textId="77777777" w:rsidR="003744F7" w:rsidRPr="003744F7" w:rsidRDefault="003744F7" w:rsidP="00374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lang w:eastAsia="lt-LT" w:bidi="lt-LT"/>
        </w:rPr>
      </w:pPr>
    </w:p>
    <w:p w14:paraId="33D18FAE" w14:textId="77777777" w:rsidR="003744F7" w:rsidRPr="003744F7" w:rsidRDefault="003744F7" w:rsidP="003744F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lang w:eastAsia="lt-LT" w:bidi="lt-LT"/>
        </w:rPr>
      </w:pPr>
      <w:r w:rsidRPr="003744F7">
        <w:rPr>
          <w:rFonts w:ascii="Times New Roman" w:eastAsia="Times New Roman" w:hAnsi="Times New Roman" w:cs="Times New Roman"/>
          <w:b/>
          <w:noProof/>
          <w:lang w:eastAsia="lt-LT" w:bidi="lt-LT"/>
        </w:rPr>
        <w:t>KARTONO DĖŽUTĖ</w:t>
      </w:r>
    </w:p>
    <w:p w14:paraId="0981CE2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53CE234D"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62D3437"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VAISTINIO PREPARATO PAVADINIMAS</w:t>
      </w:r>
    </w:p>
    <w:p w14:paraId="2F38E365"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3478631F" w14:textId="312D5335"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250 mg plėvele dengtos tabletės</w:t>
      </w:r>
    </w:p>
    <w:p w14:paraId="097F7667" w14:textId="32DDF551" w:rsidR="003744F7" w:rsidRPr="003744F7" w:rsidRDefault="0094136A" w:rsidP="003744F7">
      <w:pPr>
        <w:tabs>
          <w:tab w:val="left" w:pos="567"/>
        </w:tabs>
        <w:spacing w:after="0" w:line="240" w:lineRule="auto"/>
        <w:rPr>
          <w:rFonts w:ascii="Times New Roman" w:eastAsia="Times New Roman" w:hAnsi="Times New Roman" w:cs="Times New Roman"/>
          <w:noProof/>
          <w:lang w:eastAsia="lt-LT" w:bidi="lt-LT"/>
        </w:rPr>
      </w:pPr>
      <w:r>
        <w:rPr>
          <w:rFonts w:ascii="Times New Roman" w:eastAsia="Times New Roman" w:hAnsi="Times New Roman" w:cs="Times New Roman"/>
          <w:lang w:eastAsia="lt-LT" w:bidi="lt-LT"/>
        </w:rPr>
        <w:t>g</w:t>
      </w:r>
      <w:r w:rsidR="003744F7" w:rsidRPr="003744F7">
        <w:rPr>
          <w:rFonts w:ascii="Times New Roman" w:eastAsia="Times New Roman" w:hAnsi="Times New Roman" w:cs="Times New Roman"/>
          <w:lang w:eastAsia="lt-LT" w:bidi="lt-LT"/>
        </w:rPr>
        <w:t>efitinibas</w:t>
      </w:r>
    </w:p>
    <w:p w14:paraId="79EE1499"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D9920DA"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68E1AFF"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VEIKLIOJI (-IOS) MEDŽIAGA (-OS) IR JOS (-Ų) KIEKIS (-IAI)</w:t>
      </w:r>
    </w:p>
    <w:p w14:paraId="04AE6D46"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32A2D89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Kiekvienoje tabletėje yra 250 mg gefitinibo.</w:t>
      </w:r>
    </w:p>
    <w:p w14:paraId="2C5C019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0B66E99"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1BDD4DF"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PAGALBINIŲ MEDŽIAGŲ SĄRAŠAS</w:t>
      </w:r>
    </w:p>
    <w:p w14:paraId="7A9C616D"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C527A72"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Sudėtyje yra laktozės.</w:t>
      </w:r>
    </w:p>
    <w:p w14:paraId="63305E53"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19F7A1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E1C437C"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FARMACINĖ FORMA IR KIEKIS PAKUOTĖJE</w:t>
      </w:r>
    </w:p>
    <w:p w14:paraId="4D55D88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716126EF"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30 tablečių.</w:t>
      </w:r>
    </w:p>
    <w:p w14:paraId="371F81E1"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EC673A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E506CA5"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VARTOJIMO METODAS IR BŪDAS (-AI)</w:t>
      </w:r>
    </w:p>
    <w:p w14:paraId="5E64C3A4"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5AB25247"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Prieš vartojimą perskaitykite pakuotės lapelį.</w:t>
      </w:r>
    </w:p>
    <w:p w14:paraId="060B569F"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Vartoti per burną.</w:t>
      </w:r>
    </w:p>
    <w:p w14:paraId="7C06C9A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B731F34"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7A80DA64"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SPECIALUS ĮSPĖJIMAS, KAD VAISTINĮ PREPARATĄ BŪTINA LAIKYTI VAIKAMS NEPASTEBIMOJE IR NEPASIEKIAMOJE VIETOJE</w:t>
      </w:r>
    </w:p>
    <w:p w14:paraId="3C4719A0"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0EAEED2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Laikyti vaikams nepastebimoje ir nepasiekiamoje vietoje.</w:t>
      </w:r>
    </w:p>
    <w:p w14:paraId="67CD162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1D7FBAF"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15DF4BC8"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KITAS (-I) SPECIALUS (-ŪS) ĮSPĖJIMAS (-AI) (JEI REIKIA)</w:t>
      </w:r>
    </w:p>
    <w:p w14:paraId="326AFE04" w14:textId="77777777" w:rsidR="003744F7" w:rsidRPr="003744F7" w:rsidRDefault="003744F7" w:rsidP="003744F7">
      <w:pPr>
        <w:tabs>
          <w:tab w:val="left" w:pos="567"/>
          <w:tab w:val="left" w:pos="749"/>
        </w:tabs>
        <w:spacing w:after="0" w:line="240" w:lineRule="auto"/>
        <w:rPr>
          <w:rFonts w:ascii="Times New Roman" w:eastAsia="Times New Roman" w:hAnsi="Times New Roman" w:cs="Times New Roman"/>
          <w:lang w:eastAsia="lt-LT" w:bidi="lt-LT"/>
        </w:rPr>
      </w:pPr>
    </w:p>
    <w:p w14:paraId="4D9FA86F" w14:textId="77777777" w:rsidR="003744F7" w:rsidRPr="003744F7" w:rsidRDefault="003744F7" w:rsidP="003744F7">
      <w:pPr>
        <w:tabs>
          <w:tab w:val="left" w:pos="567"/>
          <w:tab w:val="left" w:pos="749"/>
        </w:tabs>
        <w:spacing w:after="0" w:line="240" w:lineRule="auto"/>
        <w:rPr>
          <w:rFonts w:ascii="Times New Roman" w:eastAsia="Times New Roman" w:hAnsi="Times New Roman" w:cs="Times New Roman"/>
          <w:lang w:eastAsia="lt-LT" w:bidi="lt-LT"/>
        </w:rPr>
      </w:pPr>
    </w:p>
    <w:p w14:paraId="010D8105"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TINKAMUMO LAIKAS</w:t>
      </w:r>
    </w:p>
    <w:p w14:paraId="7E1B565C" w14:textId="77777777" w:rsidR="003744F7" w:rsidRPr="003744F7" w:rsidRDefault="003744F7" w:rsidP="003744F7">
      <w:pPr>
        <w:keepNext/>
        <w:tabs>
          <w:tab w:val="left" w:pos="567"/>
        </w:tabs>
        <w:spacing w:after="0" w:line="240" w:lineRule="auto"/>
        <w:rPr>
          <w:rFonts w:ascii="Times New Roman" w:eastAsia="Times New Roman" w:hAnsi="Times New Roman" w:cs="Times New Roman"/>
          <w:lang w:eastAsia="lt-LT" w:bidi="lt-LT"/>
        </w:rPr>
      </w:pPr>
    </w:p>
    <w:p w14:paraId="79CCF471"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EXP </w:t>
      </w:r>
      <w:bookmarkStart w:id="2" w:name="OLE_LINK18"/>
      <w:bookmarkStart w:id="3" w:name="OLE_LINK19"/>
      <w:bookmarkStart w:id="4" w:name="OLE_LINK20"/>
      <w:r w:rsidRPr="003744F7">
        <w:rPr>
          <w:rFonts w:ascii="Times New Roman" w:eastAsia="Times New Roman" w:hAnsi="Times New Roman" w:cs="Times New Roman"/>
          <w:noProof/>
          <w:lang w:eastAsia="lt-LT" w:bidi="lt-LT"/>
        </w:rPr>
        <w:t>{mm/MMMM}</w:t>
      </w:r>
      <w:bookmarkEnd w:id="2"/>
      <w:bookmarkEnd w:id="3"/>
      <w:bookmarkEnd w:id="4"/>
    </w:p>
    <w:p w14:paraId="46CA8385"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2245184"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6582ABE"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SPECIALIOS LAIKYMO SĄLYGOS</w:t>
      </w:r>
    </w:p>
    <w:p w14:paraId="1F6C832F" w14:textId="77777777" w:rsidR="003744F7" w:rsidRPr="003744F7" w:rsidRDefault="003744F7" w:rsidP="003744F7">
      <w:pPr>
        <w:keepNext/>
        <w:tabs>
          <w:tab w:val="left" w:pos="567"/>
        </w:tabs>
        <w:spacing w:after="0" w:line="240" w:lineRule="auto"/>
        <w:rPr>
          <w:rFonts w:ascii="Times New Roman" w:eastAsia="Times New Roman" w:hAnsi="Times New Roman" w:cs="Times New Roman"/>
          <w:noProof/>
          <w:lang w:eastAsia="lt-LT" w:bidi="lt-LT"/>
        </w:rPr>
      </w:pPr>
    </w:p>
    <w:p w14:paraId="20F1527B" w14:textId="77777777" w:rsidR="003744F7" w:rsidRPr="003744F7" w:rsidRDefault="003744F7" w:rsidP="003744F7">
      <w:pPr>
        <w:tabs>
          <w:tab w:val="left" w:pos="567"/>
        </w:tabs>
        <w:spacing w:after="0" w:line="240" w:lineRule="auto"/>
        <w:ind w:left="567" w:hanging="567"/>
        <w:rPr>
          <w:rFonts w:ascii="Times New Roman" w:eastAsia="Times New Roman" w:hAnsi="Times New Roman" w:cs="Times New Roman"/>
          <w:noProof/>
          <w:lang w:eastAsia="lt-LT" w:bidi="lt-LT"/>
        </w:rPr>
      </w:pPr>
    </w:p>
    <w:p w14:paraId="64F5F932"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SPECIALIOS ATSARGUMO PRIEMONĖS DĖL NESUVARTOTO VAISTINIO PREPARATO AR JO ATLIEKŲ TVARKYMO (JEI REIKIA)</w:t>
      </w:r>
    </w:p>
    <w:p w14:paraId="4B65DC10"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1DB8370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F2463AF"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lastRenderedPageBreak/>
        <w:t>REGISTRUOTOJO PAVADINIMAS IR ADRESAS</w:t>
      </w:r>
    </w:p>
    <w:p w14:paraId="7210FD5F"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10D52CB0" w14:textId="77777777" w:rsidR="00B44E9F" w:rsidRPr="00FD10B2" w:rsidRDefault="00B44E9F" w:rsidP="00B44E9F">
      <w:pPr>
        <w:spacing w:after="0" w:line="240" w:lineRule="auto"/>
        <w:rPr>
          <w:rFonts w:ascii="Times New Roman" w:hAnsi="Times New Roman"/>
        </w:rPr>
      </w:pPr>
      <w:r w:rsidRPr="00FD10B2">
        <w:rPr>
          <w:rFonts w:ascii="Times New Roman" w:hAnsi="Times New Roman"/>
        </w:rPr>
        <w:t>Zentiva, k.s.</w:t>
      </w:r>
    </w:p>
    <w:p w14:paraId="5D200320" w14:textId="77777777" w:rsidR="00B44E9F" w:rsidRPr="00FD10B2" w:rsidRDefault="00B44E9F" w:rsidP="00B44E9F">
      <w:pPr>
        <w:spacing w:after="0" w:line="240" w:lineRule="auto"/>
        <w:rPr>
          <w:rFonts w:ascii="Times New Roman" w:hAnsi="Times New Roman"/>
        </w:rPr>
      </w:pPr>
      <w:r w:rsidRPr="00FD10B2">
        <w:rPr>
          <w:rFonts w:ascii="Times New Roman" w:hAnsi="Times New Roman"/>
        </w:rPr>
        <w:t>U kabelovny 130</w:t>
      </w:r>
    </w:p>
    <w:p w14:paraId="3024BC64" w14:textId="77777777" w:rsidR="00B44E9F" w:rsidRPr="00FD10B2" w:rsidRDefault="00B44E9F" w:rsidP="00B44E9F">
      <w:pPr>
        <w:spacing w:after="0" w:line="240" w:lineRule="auto"/>
        <w:rPr>
          <w:rFonts w:ascii="Times New Roman" w:hAnsi="Times New Roman"/>
        </w:rPr>
      </w:pPr>
      <w:r w:rsidRPr="00FD10B2">
        <w:rPr>
          <w:rFonts w:ascii="Times New Roman" w:hAnsi="Times New Roman"/>
        </w:rPr>
        <w:t>Dolní Měcholupy</w:t>
      </w:r>
    </w:p>
    <w:p w14:paraId="0C5C1309" w14:textId="0818EED5" w:rsidR="00B44E9F" w:rsidRPr="00FD10B2" w:rsidRDefault="00B44E9F" w:rsidP="00B44E9F">
      <w:pPr>
        <w:spacing w:after="0" w:line="240" w:lineRule="auto"/>
        <w:rPr>
          <w:rFonts w:ascii="Times New Roman" w:hAnsi="Times New Roman"/>
        </w:rPr>
      </w:pPr>
      <w:r w:rsidRPr="00FD10B2">
        <w:rPr>
          <w:rFonts w:ascii="Times New Roman" w:hAnsi="Times New Roman"/>
        </w:rPr>
        <w:t>102 37 Praha 10</w:t>
      </w:r>
    </w:p>
    <w:p w14:paraId="4352F76B" w14:textId="77777777" w:rsidR="003744F7" w:rsidRPr="003744F7" w:rsidRDefault="00B44E9F" w:rsidP="00B44E9F">
      <w:pPr>
        <w:tabs>
          <w:tab w:val="left" w:pos="567"/>
        </w:tabs>
        <w:spacing w:after="0" w:line="260" w:lineRule="exact"/>
        <w:rPr>
          <w:rFonts w:ascii="Times New Roman" w:eastAsia="Times New Roman" w:hAnsi="Times New Roman" w:cs="Times New Roman"/>
          <w:lang w:eastAsia="lt-LT" w:bidi="lt-LT"/>
        </w:rPr>
      </w:pPr>
      <w:r w:rsidRPr="00FD10B2">
        <w:rPr>
          <w:rFonts w:ascii="Times New Roman" w:hAnsi="Times New Roman"/>
        </w:rPr>
        <w:t>Čekija</w:t>
      </w:r>
    </w:p>
    <w:p w14:paraId="60EA91B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1E5357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71419043"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 xml:space="preserve">REGISTRACIJOS PAŽYMĖJIMO NUMERIS (-IAI) </w:t>
      </w:r>
    </w:p>
    <w:p w14:paraId="7B485FB5"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228CAF3F"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LT/1/18/4278/001</w:t>
      </w:r>
    </w:p>
    <w:p w14:paraId="0A2BCD8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D79162D"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9549D88"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sidRPr="003744F7">
        <w:rPr>
          <w:rFonts w:ascii="Times New Roman" w:eastAsia="Times New Roman" w:hAnsi="Times New Roman" w:cs="Times New Roman"/>
          <w:b/>
          <w:noProof/>
          <w:lang w:eastAsia="lt-LT" w:bidi="lt-LT"/>
        </w:rPr>
        <w:t>SERIJOS NUMERIS</w:t>
      </w:r>
    </w:p>
    <w:p w14:paraId="7E2C346F"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0E471DA"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Lot</w:t>
      </w:r>
    </w:p>
    <w:p w14:paraId="56F05E7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E658DE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790251A0"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PARDAVIMO (IŠDAVIMO) TVARKA</w:t>
      </w:r>
    </w:p>
    <w:p w14:paraId="69025E7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1AEFA287"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Receptinis vaistas.</w:t>
      </w:r>
    </w:p>
    <w:p w14:paraId="763AC299"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7485234"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C868103"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VARTOJIMO INSTRUKCIJA</w:t>
      </w:r>
    </w:p>
    <w:p w14:paraId="0F102E0E"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7AC37A04"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82CEEBA"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INFORMACIJA BRAILIO RAŠTU</w:t>
      </w:r>
    </w:p>
    <w:p w14:paraId="2ECF3867"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EB3914C" w14:textId="32D59C24" w:rsidR="003744F7" w:rsidRPr="00C93C79" w:rsidRDefault="003744F7" w:rsidP="003744F7">
      <w:pPr>
        <w:tabs>
          <w:tab w:val="left" w:pos="567"/>
        </w:tabs>
        <w:spacing w:after="0" w:line="240" w:lineRule="auto"/>
        <w:rPr>
          <w:rFonts w:ascii="Times New Roman" w:eastAsia="Times New Roman" w:hAnsi="Times New Roman" w:cs="Times New Roman"/>
          <w:noProof/>
          <w:shd w:val="clear" w:color="auto" w:fill="CCCCCC"/>
          <w:lang w:val="en-US" w:eastAsia="lt-LT" w:bidi="lt-LT"/>
        </w:rPr>
      </w:pPr>
      <w:r w:rsidRPr="003744F7">
        <w:rPr>
          <w:rFonts w:ascii="Times New Roman" w:eastAsia="Times New Roman" w:hAnsi="Times New Roman" w:cs="Times New Roman"/>
          <w:lang w:eastAsia="lt-LT" w:bidi="lt-LT"/>
        </w:rPr>
        <w:t xml:space="preserve">gefitinib </w:t>
      </w:r>
      <w:r w:rsidR="004B326A">
        <w:rPr>
          <w:rFonts w:ascii="Times New Roman" w:eastAsia="Times New Roman" w:hAnsi="Times New Roman" w:cs="Times New Roman"/>
          <w:lang w:eastAsia="lt-LT" w:bidi="lt-LT"/>
        </w:rPr>
        <w:t>zentiva</w:t>
      </w:r>
      <w:r w:rsidR="0081430A">
        <w:rPr>
          <w:rFonts w:ascii="Times New Roman" w:eastAsia="Times New Roman" w:hAnsi="Times New Roman" w:cs="Times New Roman"/>
          <w:lang w:eastAsia="lt-LT" w:bidi="lt-LT"/>
        </w:rPr>
        <w:t xml:space="preserve"> </w:t>
      </w:r>
      <w:r w:rsidR="0081430A">
        <w:rPr>
          <w:rFonts w:ascii="Times New Roman" w:eastAsia="Times New Roman" w:hAnsi="Times New Roman" w:cs="Times New Roman"/>
          <w:lang w:val="en-US" w:eastAsia="lt-LT" w:bidi="lt-LT"/>
        </w:rPr>
        <w:t>250 mg</w:t>
      </w:r>
    </w:p>
    <w:p w14:paraId="29D9EE32" w14:textId="77777777" w:rsidR="003744F7" w:rsidRPr="003744F7" w:rsidRDefault="003744F7" w:rsidP="003744F7">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2893C8FC" w14:textId="77777777" w:rsidR="003744F7" w:rsidRPr="003744F7" w:rsidRDefault="003744F7" w:rsidP="003744F7">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489236B3"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sidRPr="003744F7">
        <w:rPr>
          <w:rFonts w:ascii="Times New Roman" w:eastAsia="Times New Roman" w:hAnsi="Times New Roman" w:cs="Times New Roman"/>
          <w:b/>
          <w:noProof/>
          <w:lang w:eastAsia="lt-LT" w:bidi="lt-LT"/>
        </w:rPr>
        <w:t>UNIKALUS IDENTIFIKATORIUS – 2D BRŪKŠNINIS KODAS</w:t>
      </w:r>
    </w:p>
    <w:p w14:paraId="2C4951FC" w14:textId="77777777" w:rsidR="003744F7" w:rsidRPr="003744F7" w:rsidRDefault="003744F7" w:rsidP="003744F7">
      <w:pPr>
        <w:spacing w:after="0" w:line="240" w:lineRule="auto"/>
        <w:rPr>
          <w:rFonts w:ascii="Times New Roman" w:eastAsia="Times New Roman" w:hAnsi="Times New Roman" w:cs="Times New Roman"/>
          <w:noProof/>
          <w:lang w:eastAsia="lt-LT" w:bidi="lt-LT"/>
        </w:rPr>
      </w:pPr>
    </w:p>
    <w:p w14:paraId="13DB0C0A" w14:textId="77777777" w:rsidR="003744F7" w:rsidRPr="003744F7" w:rsidRDefault="003744F7" w:rsidP="003744F7">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3744F7">
        <w:rPr>
          <w:rFonts w:ascii="Times New Roman" w:eastAsia="Times New Roman" w:hAnsi="Times New Roman" w:cs="Times New Roman"/>
          <w:noProof/>
          <w:highlight w:val="lightGray"/>
          <w:lang w:eastAsia="lt-LT" w:bidi="lt-LT"/>
        </w:rPr>
        <w:t>2D brūkšninis kodas su nurodytu unikaliu identifikatoriumi.</w:t>
      </w:r>
    </w:p>
    <w:p w14:paraId="556986CA" w14:textId="77777777" w:rsidR="003744F7" w:rsidRPr="003744F7" w:rsidRDefault="003744F7" w:rsidP="003744F7">
      <w:pPr>
        <w:tabs>
          <w:tab w:val="left" w:pos="567"/>
        </w:tabs>
        <w:spacing w:after="0" w:line="240" w:lineRule="auto"/>
        <w:rPr>
          <w:rFonts w:ascii="Times New Roman" w:eastAsia="Times New Roman" w:hAnsi="Times New Roman" w:cs="Times New Roman"/>
          <w:noProof/>
          <w:vanish/>
          <w:lang w:eastAsia="lt-LT" w:bidi="lt-LT"/>
        </w:rPr>
      </w:pPr>
    </w:p>
    <w:p w14:paraId="4C64E533" w14:textId="77777777" w:rsidR="003744F7" w:rsidRPr="003744F7" w:rsidRDefault="003744F7" w:rsidP="003744F7">
      <w:pPr>
        <w:spacing w:after="0" w:line="240" w:lineRule="auto"/>
        <w:rPr>
          <w:rFonts w:ascii="Times New Roman" w:eastAsia="Times New Roman" w:hAnsi="Times New Roman" w:cs="Times New Roman"/>
          <w:noProof/>
          <w:lang w:eastAsia="lt-LT" w:bidi="lt-LT"/>
        </w:rPr>
      </w:pPr>
    </w:p>
    <w:p w14:paraId="55B9ABFE" w14:textId="77777777" w:rsidR="003744F7" w:rsidRPr="003744F7" w:rsidRDefault="003744F7" w:rsidP="003744F7">
      <w:pPr>
        <w:keepNext/>
        <w:numPr>
          <w:ilvl w:val="1"/>
          <w:numId w:val="2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sidRPr="003744F7">
        <w:rPr>
          <w:rFonts w:ascii="Times New Roman" w:eastAsia="Times New Roman" w:hAnsi="Times New Roman" w:cs="Times New Roman"/>
          <w:b/>
          <w:noProof/>
          <w:lang w:eastAsia="lt-LT" w:bidi="lt-LT"/>
        </w:rPr>
        <w:t>UNIKALUS IDENTIFIKATORIUS – ŽMONĖMS SUPRANTAMI DUOMENYS</w:t>
      </w:r>
    </w:p>
    <w:p w14:paraId="4F0820A4" w14:textId="77777777" w:rsidR="003744F7" w:rsidRPr="003744F7" w:rsidRDefault="003744F7" w:rsidP="003744F7">
      <w:pPr>
        <w:spacing w:after="0" w:line="240" w:lineRule="auto"/>
        <w:rPr>
          <w:rFonts w:ascii="Times New Roman" w:eastAsia="Times New Roman" w:hAnsi="Times New Roman" w:cs="Times New Roman"/>
          <w:noProof/>
          <w:lang w:eastAsia="lt-LT" w:bidi="lt-LT"/>
        </w:rPr>
      </w:pPr>
    </w:p>
    <w:p w14:paraId="05D9069A" w14:textId="77777777" w:rsidR="003744F7" w:rsidRPr="003744F7" w:rsidRDefault="003744F7" w:rsidP="003744F7">
      <w:pPr>
        <w:tabs>
          <w:tab w:val="left" w:pos="567"/>
        </w:tabs>
        <w:spacing w:after="0" w:line="260" w:lineRule="exact"/>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PC: {numeris}</w:t>
      </w:r>
    </w:p>
    <w:p w14:paraId="71DEFF4F" w14:textId="77777777" w:rsidR="003744F7" w:rsidRPr="003744F7" w:rsidRDefault="003744F7" w:rsidP="003744F7">
      <w:pPr>
        <w:tabs>
          <w:tab w:val="left" w:pos="567"/>
        </w:tabs>
        <w:spacing w:after="0" w:line="260" w:lineRule="exact"/>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SN: {numeris}</w:t>
      </w:r>
    </w:p>
    <w:p w14:paraId="12F570D7" w14:textId="77777777" w:rsidR="003744F7" w:rsidRPr="003744F7" w:rsidRDefault="003744F7" w:rsidP="003744F7">
      <w:pPr>
        <w:tabs>
          <w:tab w:val="left" w:pos="567"/>
        </w:tabs>
        <w:spacing w:after="0" w:line="260" w:lineRule="exact"/>
        <w:rPr>
          <w:rFonts w:ascii="Times New Roman" w:eastAsia="Times New Roman" w:hAnsi="Times New Roman" w:cs="Times New Roman"/>
          <w:lang w:eastAsia="lt-LT" w:bidi="lt-LT"/>
        </w:rPr>
      </w:pPr>
      <w:r w:rsidRPr="003744F7">
        <w:rPr>
          <w:rFonts w:ascii="Times New Roman" w:eastAsia="Times New Roman" w:hAnsi="Times New Roman" w:cs="Times New Roman"/>
          <w:highlight w:val="lightGray"/>
          <w:lang w:eastAsia="lt-LT" w:bidi="lt-LT"/>
        </w:rPr>
        <w:t>NN: {numeris}</w:t>
      </w:r>
    </w:p>
    <w:p w14:paraId="6CF69463" w14:textId="77777777" w:rsidR="003744F7" w:rsidRPr="003744F7" w:rsidRDefault="003744F7" w:rsidP="003744F7">
      <w:pPr>
        <w:tabs>
          <w:tab w:val="left" w:pos="567"/>
        </w:tabs>
        <w:spacing w:after="0" w:line="260" w:lineRule="exact"/>
        <w:ind w:left="-198"/>
        <w:rPr>
          <w:rFonts w:ascii="Times New Roman" w:eastAsia="Times New Roman" w:hAnsi="Times New Roman" w:cs="Times New Roman"/>
          <w:lang w:eastAsia="lt-LT" w:bidi="lt-LT"/>
        </w:rPr>
      </w:pPr>
    </w:p>
    <w:p w14:paraId="4AA78137" w14:textId="77777777" w:rsidR="003744F7" w:rsidRPr="003744F7" w:rsidRDefault="003744F7" w:rsidP="003744F7">
      <w:pPr>
        <w:tabs>
          <w:tab w:val="left" w:pos="567"/>
        </w:tabs>
        <w:spacing w:after="0" w:line="240" w:lineRule="auto"/>
        <w:rPr>
          <w:rFonts w:ascii="Times New Roman" w:eastAsia="Times New Roman" w:hAnsi="Times New Roman" w:cs="Times New Roman"/>
          <w:noProof/>
          <w:vanish/>
          <w:lang w:eastAsia="lt-LT" w:bidi="lt-LT"/>
        </w:rPr>
      </w:pPr>
    </w:p>
    <w:p w14:paraId="17150083" w14:textId="77777777" w:rsidR="003744F7" w:rsidRPr="003744F7" w:rsidRDefault="003744F7" w:rsidP="003744F7">
      <w:pPr>
        <w:spacing w:after="0" w:line="240" w:lineRule="auto"/>
        <w:rPr>
          <w:rFonts w:ascii="Times New Roman" w:eastAsia="Times New Roman" w:hAnsi="Times New Roman" w:cs="Times New Roman"/>
          <w:noProof/>
          <w:vanish/>
          <w:lang w:eastAsia="lt-LT" w:bidi="lt-LT"/>
        </w:rPr>
      </w:pPr>
    </w:p>
    <w:p w14:paraId="1BC159CA" w14:textId="77777777" w:rsidR="003744F7" w:rsidRPr="003744F7" w:rsidRDefault="003744F7" w:rsidP="003744F7">
      <w:pPr>
        <w:tabs>
          <w:tab w:val="left" w:pos="567"/>
        </w:tabs>
        <w:spacing w:after="0" w:line="240" w:lineRule="auto"/>
        <w:rPr>
          <w:rFonts w:ascii="Times New Roman" w:eastAsia="Times New Roman" w:hAnsi="Times New Roman" w:cs="Times New Roman"/>
          <w:noProof/>
          <w:vanish/>
          <w:lang w:eastAsia="lt-LT" w:bidi="lt-LT"/>
        </w:rPr>
      </w:pPr>
    </w:p>
    <w:p w14:paraId="639E56B3" w14:textId="77777777" w:rsidR="003744F7" w:rsidRPr="003744F7" w:rsidRDefault="003744F7" w:rsidP="003744F7">
      <w:pPr>
        <w:spacing w:after="0" w:line="240" w:lineRule="auto"/>
        <w:rPr>
          <w:rFonts w:ascii="Times New Roman" w:eastAsia="Times New Roman" w:hAnsi="Times New Roman" w:cs="Times New Roman"/>
          <w:noProof/>
          <w:vanish/>
          <w:lang w:eastAsia="lt-LT" w:bidi="lt-LT"/>
        </w:rPr>
      </w:pPr>
    </w:p>
    <w:p w14:paraId="4C70F355" w14:textId="77777777" w:rsidR="003744F7" w:rsidRPr="003744F7" w:rsidRDefault="003744F7" w:rsidP="003744F7">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2433E9B5" w14:textId="77777777" w:rsidR="003744F7" w:rsidRPr="003744F7" w:rsidRDefault="003744F7" w:rsidP="003744F7">
      <w:pPr>
        <w:tabs>
          <w:tab w:val="left" w:pos="567"/>
        </w:tabs>
        <w:spacing w:after="0" w:line="240" w:lineRule="auto"/>
        <w:rPr>
          <w:rFonts w:ascii="Times New Roman" w:eastAsia="Times New Roman" w:hAnsi="Times New Roman" w:cs="Times New Roman"/>
          <w:b/>
          <w:noProof/>
          <w:lang w:eastAsia="lt-LT" w:bidi="lt-LT"/>
        </w:rPr>
      </w:pPr>
      <w:r w:rsidRPr="003744F7">
        <w:rPr>
          <w:rFonts w:ascii="Times New Roman" w:eastAsia="Times New Roman" w:hAnsi="Times New Roman" w:cs="Times New Roman"/>
          <w:lang w:eastAsia="lt-LT" w:bidi="lt-LT"/>
        </w:rPr>
        <w:br w:type="page"/>
      </w:r>
    </w:p>
    <w:p w14:paraId="769998D2" w14:textId="77777777" w:rsidR="003744F7" w:rsidRPr="003744F7" w:rsidRDefault="003744F7" w:rsidP="003744F7">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lastRenderedPageBreak/>
        <w:t>MINIMALI INFORMACIJA ANT LIZDINIŲ PLOKŠTELIŲ ARBA DVISLUOKSNIŲ JUOSTELIŲ</w:t>
      </w:r>
    </w:p>
    <w:p w14:paraId="7D88A8D8" w14:textId="77777777" w:rsidR="003744F7" w:rsidRPr="003744F7" w:rsidRDefault="003744F7" w:rsidP="00374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eastAsia="lt-LT" w:bidi="lt-LT"/>
        </w:rPr>
      </w:pPr>
    </w:p>
    <w:p w14:paraId="7EC270B5" w14:textId="77777777" w:rsidR="003744F7" w:rsidRPr="003744F7" w:rsidRDefault="003744F7" w:rsidP="00374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LIZDINĖ PLOKŠTELĖ IR MAIŠELIS</w:t>
      </w:r>
    </w:p>
    <w:p w14:paraId="046AD4E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1176733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82EE1E5" w14:textId="77777777" w:rsidR="003744F7" w:rsidRPr="003744F7" w:rsidRDefault="003744F7" w:rsidP="003744F7">
      <w:pPr>
        <w:numPr>
          <w:ilvl w:val="1"/>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VAISTINIO PREPARATO PAVADINIMAS</w:t>
      </w:r>
    </w:p>
    <w:p w14:paraId="099CCAAA" w14:textId="77777777" w:rsidR="003744F7" w:rsidRPr="003744F7" w:rsidRDefault="003744F7" w:rsidP="003744F7">
      <w:pPr>
        <w:tabs>
          <w:tab w:val="left" w:pos="567"/>
        </w:tabs>
        <w:spacing w:after="0" w:line="240" w:lineRule="auto"/>
        <w:rPr>
          <w:rFonts w:ascii="Times New Roman" w:eastAsia="Times New Roman" w:hAnsi="Times New Roman" w:cs="Times New Roman"/>
          <w:i/>
          <w:noProof/>
          <w:lang w:eastAsia="lt-LT" w:bidi="lt-LT"/>
        </w:rPr>
      </w:pPr>
    </w:p>
    <w:p w14:paraId="5F177F46" w14:textId="713F2EC9"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250 mg tabletės</w:t>
      </w:r>
    </w:p>
    <w:p w14:paraId="237A7E04" w14:textId="1FF2C929" w:rsidR="003744F7" w:rsidRPr="003744F7" w:rsidRDefault="0094136A" w:rsidP="003744F7">
      <w:pPr>
        <w:tabs>
          <w:tab w:val="left" w:pos="567"/>
        </w:tabs>
        <w:spacing w:after="0" w:line="240" w:lineRule="auto"/>
        <w:rPr>
          <w:rFonts w:ascii="Times New Roman" w:eastAsia="Times New Roman" w:hAnsi="Times New Roman" w:cs="Times New Roman"/>
          <w:noProof/>
          <w:lang w:eastAsia="lt-LT" w:bidi="lt-LT"/>
        </w:rPr>
      </w:pPr>
      <w:r>
        <w:rPr>
          <w:rFonts w:ascii="Times New Roman" w:eastAsia="Times New Roman" w:hAnsi="Times New Roman" w:cs="Times New Roman"/>
          <w:lang w:eastAsia="lt-LT" w:bidi="lt-LT"/>
        </w:rPr>
        <w:t>g</w:t>
      </w:r>
      <w:r w:rsidR="003744F7" w:rsidRPr="003744F7">
        <w:rPr>
          <w:rFonts w:ascii="Times New Roman" w:eastAsia="Times New Roman" w:hAnsi="Times New Roman" w:cs="Times New Roman"/>
          <w:lang w:eastAsia="lt-LT" w:bidi="lt-LT"/>
        </w:rPr>
        <w:t>efitinibas</w:t>
      </w:r>
    </w:p>
    <w:p w14:paraId="2D41344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397F2C95"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5EDE3116" w14:textId="77777777" w:rsidR="003744F7" w:rsidRPr="003744F7" w:rsidRDefault="003744F7" w:rsidP="003744F7">
      <w:pPr>
        <w:numPr>
          <w:ilvl w:val="1"/>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REGISTRUOTOJO PAVADINIMAS</w:t>
      </w:r>
    </w:p>
    <w:p w14:paraId="0D0DF47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B68E434" w14:textId="77777777" w:rsidR="003744F7" w:rsidRPr="003744F7" w:rsidRDefault="00B44E9F" w:rsidP="003744F7">
      <w:pPr>
        <w:tabs>
          <w:tab w:val="left" w:pos="567"/>
        </w:tabs>
        <w:spacing w:after="0" w:line="240" w:lineRule="auto"/>
        <w:rPr>
          <w:rFonts w:ascii="Times New Roman" w:eastAsia="Times New Roman" w:hAnsi="Times New Roman" w:cs="Times New Roman"/>
          <w:noProof/>
          <w:lang w:eastAsia="lt-LT" w:bidi="lt-LT"/>
        </w:rPr>
      </w:pPr>
      <w:r>
        <w:rPr>
          <w:rFonts w:ascii="Times New Roman" w:eastAsia="Times New Roman" w:hAnsi="Times New Roman" w:cs="Times New Roman"/>
          <w:lang w:eastAsia="lt-LT" w:bidi="lt-LT"/>
        </w:rPr>
        <w:t xml:space="preserve">Zentiva </w:t>
      </w:r>
      <w:r w:rsidRPr="00806F9B">
        <w:rPr>
          <w:rFonts w:ascii="Times New Roman" w:eastAsia="Times New Roman" w:hAnsi="Times New Roman" w:cs="Times New Roman"/>
          <w:highlight w:val="lightGray"/>
          <w:lang w:eastAsia="lt-LT" w:bidi="lt-LT"/>
        </w:rPr>
        <w:t>logo</w:t>
      </w:r>
      <w:r>
        <w:rPr>
          <w:rFonts w:ascii="Times New Roman" w:eastAsia="Times New Roman" w:hAnsi="Times New Roman" w:cs="Times New Roman"/>
          <w:lang w:eastAsia="lt-LT" w:bidi="lt-LT"/>
        </w:rPr>
        <w:t xml:space="preserve"> </w:t>
      </w:r>
    </w:p>
    <w:p w14:paraId="320790B5"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747464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460A395" w14:textId="77777777" w:rsidR="003744F7" w:rsidRPr="003744F7" w:rsidRDefault="003744F7" w:rsidP="003744F7">
      <w:pPr>
        <w:numPr>
          <w:ilvl w:val="1"/>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TINKAMUMO LAIKAS</w:t>
      </w:r>
    </w:p>
    <w:p w14:paraId="7A705A06"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33AA2A6"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EXP {mm/MMMM}</w:t>
      </w:r>
    </w:p>
    <w:p w14:paraId="3B7E878E"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02336D8"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1FBB14B" w14:textId="77777777" w:rsidR="003744F7" w:rsidRPr="003744F7" w:rsidRDefault="003744F7" w:rsidP="003744F7">
      <w:pPr>
        <w:numPr>
          <w:ilvl w:val="1"/>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SERIJOS NUMERIS</w:t>
      </w:r>
    </w:p>
    <w:p w14:paraId="0FCD6643"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55D8DC4C"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Lot</w:t>
      </w:r>
    </w:p>
    <w:p w14:paraId="7B884625"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35F7E0EB"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017C6B5F" w14:textId="77777777" w:rsidR="003744F7" w:rsidRPr="003744F7" w:rsidRDefault="003744F7" w:rsidP="003744F7">
      <w:pPr>
        <w:numPr>
          <w:ilvl w:val="1"/>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KITA</w:t>
      </w:r>
    </w:p>
    <w:p w14:paraId="1D2FC061"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4BF40ACD" w14:textId="77777777"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p>
    <w:p w14:paraId="6C4F3D57" w14:textId="77777777" w:rsidR="003744F7" w:rsidRPr="003744F7" w:rsidRDefault="003744F7" w:rsidP="003744F7">
      <w:pPr>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br w:type="page"/>
      </w:r>
    </w:p>
    <w:p w14:paraId="36F1131D"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9771793"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48D04CA7"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A196BDF"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3C4C359C"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2B17537"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CEAAD1F"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2007EE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811AC33"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59080E85"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2521F70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230ECB45"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998D5FC"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4755D5B3"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42F413DC"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28AAC4F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3A536D6F"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2D9A012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082B4077"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7E54BC0A"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13BECF49"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1A22DC8B" w14:textId="77777777" w:rsidR="003744F7" w:rsidRPr="003744F7" w:rsidRDefault="003744F7" w:rsidP="003744F7">
      <w:pPr>
        <w:tabs>
          <w:tab w:val="left" w:pos="567"/>
        </w:tabs>
        <w:spacing w:after="0" w:line="240" w:lineRule="auto"/>
        <w:outlineLvl w:val="0"/>
        <w:rPr>
          <w:rFonts w:ascii="Times New Roman" w:eastAsia="Times New Roman" w:hAnsi="Times New Roman" w:cs="Times New Roman"/>
          <w:b/>
          <w:noProof/>
          <w:lang w:eastAsia="lt-LT" w:bidi="lt-LT"/>
        </w:rPr>
      </w:pPr>
    </w:p>
    <w:p w14:paraId="46737CBD" w14:textId="77777777" w:rsidR="003744F7" w:rsidRPr="003744F7" w:rsidRDefault="003744F7" w:rsidP="003744F7">
      <w:pPr>
        <w:tabs>
          <w:tab w:val="left" w:pos="567"/>
        </w:tabs>
        <w:spacing w:after="0" w:line="240" w:lineRule="auto"/>
        <w:jc w:val="center"/>
        <w:outlineLvl w:val="0"/>
        <w:rPr>
          <w:rFonts w:ascii="Times New Roman" w:eastAsia="Verdana" w:hAnsi="Times New Roman" w:cs="Times New Roman"/>
          <w:b/>
          <w:noProof/>
          <w:lang w:eastAsia="lt-LT" w:bidi="lt-LT"/>
        </w:rPr>
      </w:pPr>
    </w:p>
    <w:p w14:paraId="578539FF" w14:textId="77777777" w:rsidR="003744F7" w:rsidRPr="003744F7" w:rsidRDefault="003744F7" w:rsidP="003744F7">
      <w:pPr>
        <w:tabs>
          <w:tab w:val="left" w:pos="567"/>
        </w:tabs>
        <w:spacing w:after="0" w:line="240" w:lineRule="auto"/>
        <w:jc w:val="center"/>
        <w:outlineLvl w:val="0"/>
        <w:rPr>
          <w:rFonts w:ascii="Times New Roman" w:eastAsia="Times New Roman" w:hAnsi="Times New Roman" w:cs="Times New Roman"/>
          <w:b/>
          <w:noProof/>
          <w:lang w:eastAsia="lt-LT" w:bidi="lt-LT"/>
        </w:rPr>
      </w:pPr>
      <w:r w:rsidRPr="003744F7">
        <w:rPr>
          <w:rFonts w:ascii="Times New Roman" w:eastAsia="Verdana" w:hAnsi="Times New Roman" w:cs="Times New Roman"/>
          <w:b/>
          <w:noProof/>
          <w:lang w:eastAsia="lt-LT" w:bidi="lt-LT"/>
        </w:rPr>
        <w:t>B.</w:t>
      </w:r>
      <w:r w:rsidRPr="003744F7">
        <w:rPr>
          <w:rFonts w:ascii="Times New Roman" w:eastAsia="Times New Roman" w:hAnsi="Times New Roman" w:cs="Times New Roman"/>
          <w:b/>
          <w:noProof/>
          <w:lang w:eastAsia="lt-LT" w:bidi="lt-LT"/>
        </w:rPr>
        <w:t xml:space="preserve"> PAKUOTĖS LAPELIS</w:t>
      </w:r>
    </w:p>
    <w:p w14:paraId="2D0ED596" w14:textId="77777777" w:rsidR="003744F7" w:rsidRPr="003744F7" w:rsidRDefault="003744F7" w:rsidP="003744F7">
      <w:pPr>
        <w:spacing w:after="0" w:line="240" w:lineRule="auto"/>
        <w:jc w:val="center"/>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br w:type="page"/>
      </w:r>
      <w:r w:rsidRPr="003744F7">
        <w:rPr>
          <w:rFonts w:ascii="Times New Roman" w:eastAsia="Times New Roman" w:hAnsi="Times New Roman" w:cs="Times New Roman"/>
          <w:b/>
          <w:noProof/>
          <w:lang w:eastAsia="lt-LT" w:bidi="lt-LT"/>
        </w:rPr>
        <w:lastRenderedPageBreak/>
        <w:t>Pakuotės lapelis: informacija pacientui</w:t>
      </w:r>
    </w:p>
    <w:p w14:paraId="2D24AF30" w14:textId="77777777" w:rsidR="003744F7" w:rsidRPr="003744F7" w:rsidRDefault="003744F7" w:rsidP="003744F7">
      <w:pPr>
        <w:numPr>
          <w:ilvl w:val="12"/>
          <w:numId w:val="0"/>
        </w:numPr>
        <w:shd w:val="clear" w:color="auto" w:fill="FFFFFF"/>
        <w:spacing w:after="0" w:line="240" w:lineRule="auto"/>
        <w:jc w:val="center"/>
        <w:rPr>
          <w:rFonts w:ascii="Times New Roman" w:eastAsia="Times New Roman" w:hAnsi="Times New Roman" w:cs="Times New Roman"/>
          <w:noProof/>
          <w:lang w:eastAsia="lt-LT" w:bidi="lt-LT"/>
        </w:rPr>
      </w:pPr>
    </w:p>
    <w:p w14:paraId="73619A27" w14:textId="401BF25A" w:rsidR="003744F7" w:rsidRPr="003744F7" w:rsidRDefault="003744F7" w:rsidP="003744F7">
      <w:pPr>
        <w:tabs>
          <w:tab w:val="left" w:pos="567"/>
          <w:tab w:val="left" w:pos="993"/>
        </w:tabs>
        <w:spacing w:after="0" w:line="240" w:lineRule="auto"/>
        <w:jc w:val="center"/>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Gefitinib </w:t>
      </w:r>
      <w:r w:rsidR="004B326A">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250 mg plėvele dengtos tabletės</w:t>
      </w:r>
    </w:p>
    <w:p w14:paraId="0263C295" w14:textId="0B2D32FA" w:rsidR="003744F7" w:rsidRPr="003744F7" w:rsidRDefault="0094136A" w:rsidP="003744F7">
      <w:pPr>
        <w:numPr>
          <w:ilvl w:val="12"/>
          <w:numId w:val="0"/>
        </w:numPr>
        <w:spacing w:after="0" w:line="240" w:lineRule="auto"/>
        <w:jc w:val="center"/>
        <w:rPr>
          <w:rFonts w:ascii="Times New Roman" w:eastAsia="Times New Roman" w:hAnsi="Times New Roman" w:cs="Times New Roman"/>
          <w:noProof/>
          <w:lang w:eastAsia="lt-LT" w:bidi="lt-LT"/>
        </w:rPr>
      </w:pPr>
      <w:r>
        <w:rPr>
          <w:rFonts w:ascii="Times New Roman" w:eastAsia="Times New Roman" w:hAnsi="Times New Roman" w:cs="Times New Roman"/>
          <w:lang w:eastAsia="lt-LT" w:bidi="lt-LT"/>
        </w:rPr>
        <w:t>g</w:t>
      </w:r>
      <w:r w:rsidR="003744F7" w:rsidRPr="003744F7">
        <w:rPr>
          <w:rFonts w:ascii="Times New Roman" w:eastAsia="Times New Roman" w:hAnsi="Times New Roman" w:cs="Times New Roman"/>
          <w:lang w:eastAsia="lt-LT" w:bidi="lt-LT"/>
        </w:rPr>
        <w:t>efitinibas</w:t>
      </w:r>
    </w:p>
    <w:p w14:paraId="482C7DB5" w14:textId="77777777" w:rsidR="003744F7" w:rsidRPr="003744F7" w:rsidRDefault="003744F7" w:rsidP="003744F7">
      <w:pPr>
        <w:spacing w:after="0" w:line="240" w:lineRule="auto"/>
        <w:rPr>
          <w:rFonts w:ascii="Times New Roman" w:eastAsia="Times New Roman" w:hAnsi="Times New Roman" w:cs="Times New Roman"/>
          <w:noProof/>
          <w:lang w:eastAsia="lt-LT" w:bidi="lt-LT"/>
        </w:rPr>
      </w:pPr>
    </w:p>
    <w:p w14:paraId="6DDF6FB5" w14:textId="77777777" w:rsidR="003744F7" w:rsidRPr="003744F7" w:rsidRDefault="003744F7" w:rsidP="003744F7">
      <w:pPr>
        <w:suppressAutoHyphens/>
        <w:spacing w:after="0" w:line="240" w:lineRule="auto"/>
        <w:ind w:left="142" w:hanging="142"/>
        <w:rPr>
          <w:rFonts w:ascii="Times New Roman" w:eastAsia="Times New Roman" w:hAnsi="Times New Roman" w:cs="Times New Roman"/>
          <w:noProof/>
          <w:lang w:eastAsia="lt-LT" w:bidi="lt-LT"/>
        </w:rPr>
      </w:pPr>
      <w:r w:rsidRPr="003744F7">
        <w:rPr>
          <w:rFonts w:ascii="Times New Roman" w:eastAsia="Times New Roman" w:hAnsi="Times New Roman" w:cs="Times New Roman"/>
          <w:b/>
          <w:lang w:eastAsia="lt-LT" w:bidi="lt-LT"/>
        </w:rPr>
        <w:t>Atidžiai perskaitykite visą šį lapelį, prieš pradėdami vartoti vaistą, nes jame pateikiama Jums svarbi informacija</w:t>
      </w:r>
      <w:r w:rsidRPr="003744F7">
        <w:rPr>
          <w:rFonts w:ascii="Times New Roman" w:eastAsia="Times New Roman" w:hAnsi="Times New Roman" w:cs="Times New Roman"/>
          <w:b/>
          <w:noProof/>
          <w:lang w:eastAsia="lt-LT" w:bidi="lt-LT"/>
        </w:rPr>
        <w:t>.</w:t>
      </w:r>
    </w:p>
    <w:p w14:paraId="2FCD5343" w14:textId="77777777" w:rsidR="003744F7" w:rsidRPr="003744F7" w:rsidRDefault="003744F7" w:rsidP="003744F7">
      <w:pPr>
        <w:numPr>
          <w:ilvl w:val="0"/>
          <w:numId w:val="3"/>
        </w:numPr>
        <w:tabs>
          <w:tab w:val="left" w:pos="567"/>
        </w:tabs>
        <w:spacing w:after="0" w:line="240" w:lineRule="auto"/>
        <w:ind w:left="567" w:right="-2" w:hanging="567"/>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Neišmeskite šio lapelio, nes vėl gali prireikti jį perskaityti. </w:t>
      </w:r>
    </w:p>
    <w:p w14:paraId="73000961" w14:textId="77777777" w:rsidR="003744F7" w:rsidRPr="003744F7" w:rsidRDefault="003744F7" w:rsidP="003744F7">
      <w:pPr>
        <w:numPr>
          <w:ilvl w:val="0"/>
          <w:numId w:val="3"/>
        </w:numPr>
        <w:tabs>
          <w:tab w:val="left" w:pos="567"/>
        </w:tabs>
        <w:spacing w:after="0" w:line="240" w:lineRule="auto"/>
        <w:ind w:left="567" w:right="-2" w:hanging="567"/>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Jeigu kiltų daugiau klausimų, kreipkitės į gydytoją, vaistininką arba slaugytoją.</w:t>
      </w:r>
    </w:p>
    <w:p w14:paraId="6374B87C" w14:textId="77777777" w:rsidR="003744F7" w:rsidRPr="003744F7" w:rsidRDefault="003744F7" w:rsidP="003744F7">
      <w:pPr>
        <w:tabs>
          <w:tab w:val="left" w:pos="567"/>
        </w:tabs>
        <w:spacing w:after="0" w:line="240" w:lineRule="auto"/>
        <w:ind w:left="567" w:right="-2" w:hanging="567"/>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w:t>
      </w:r>
      <w:r w:rsidRPr="003744F7">
        <w:rPr>
          <w:rFonts w:ascii="Times New Roman" w:eastAsia="Times New Roman" w:hAnsi="Times New Roman" w:cs="Times New Roman"/>
          <w:lang w:eastAsia="lt-LT" w:bidi="lt-LT"/>
        </w:rPr>
        <w:tab/>
        <w:t>Šis vaistas skirtas tik Jums, todėl kitiems žmonėms jo duoti negalima. Vaistas gali jiems pakenkti (net tiems, kurių ligos požymiai yra tokie patys kaip Jūsų).</w:t>
      </w:r>
      <w:r w:rsidRPr="003744F7">
        <w:rPr>
          <w:rFonts w:ascii="Times New Roman" w:eastAsia="Times New Roman" w:hAnsi="Times New Roman" w:cs="Times New Roman"/>
          <w:noProof/>
          <w:color w:val="008000"/>
          <w:lang w:eastAsia="lt-LT" w:bidi="lt-LT"/>
        </w:rPr>
        <w:t xml:space="preserve"> </w:t>
      </w:r>
    </w:p>
    <w:p w14:paraId="0FD65CC5" w14:textId="77777777" w:rsidR="003744F7" w:rsidRPr="003744F7" w:rsidRDefault="003744F7" w:rsidP="003744F7">
      <w:pPr>
        <w:numPr>
          <w:ilvl w:val="0"/>
          <w:numId w:val="3"/>
        </w:numPr>
        <w:tabs>
          <w:tab w:val="left" w:pos="567"/>
        </w:tabs>
        <w:spacing w:after="0" w:line="240" w:lineRule="auto"/>
        <w:ind w:left="567" w:hanging="567"/>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Jeigu pasireiškė šalutinis poveikis (net jeigu jis šiame lapelyje nenurodytas),</w:t>
      </w:r>
      <w:r w:rsidRPr="003744F7">
        <w:rPr>
          <w:rFonts w:ascii="Times New Roman" w:eastAsia="Times New Roman" w:hAnsi="Times New Roman" w:cs="Times New Roman"/>
          <w:color w:val="FF0000"/>
          <w:lang w:eastAsia="lt-LT" w:bidi="lt-LT"/>
        </w:rPr>
        <w:t xml:space="preserve"> </w:t>
      </w:r>
      <w:r w:rsidRPr="003744F7">
        <w:rPr>
          <w:rFonts w:ascii="Times New Roman" w:eastAsia="Times New Roman" w:hAnsi="Times New Roman" w:cs="Times New Roman"/>
          <w:lang w:eastAsia="lt-LT" w:bidi="lt-LT"/>
        </w:rPr>
        <w:t>kreipkitės į gydytoją, vaistininką arba slaugytoją. Žr. 4 skyrių.</w:t>
      </w:r>
    </w:p>
    <w:p w14:paraId="2DB19E60" w14:textId="77777777" w:rsidR="003744F7" w:rsidRPr="003744F7" w:rsidRDefault="003744F7" w:rsidP="003744F7">
      <w:pPr>
        <w:spacing w:after="0" w:line="240" w:lineRule="auto"/>
        <w:ind w:right="-2"/>
        <w:rPr>
          <w:rFonts w:ascii="Times New Roman" w:eastAsia="Times New Roman" w:hAnsi="Times New Roman" w:cs="Times New Roman"/>
          <w:noProof/>
          <w:lang w:eastAsia="lt-LT" w:bidi="lt-LT"/>
        </w:rPr>
      </w:pPr>
    </w:p>
    <w:p w14:paraId="1215942E" w14:textId="77777777" w:rsidR="003744F7" w:rsidRPr="003744F7" w:rsidRDefault="003744F7" w:rsidP="003744F7">
      <w:pPr>
        <w:keepNext/>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lang w:eastAsia="lt-LT" w:bidi="lt-LT"/>
        </w:rPr>
        <w:t>Apie ką rašoma šiame lapelyje?</w:t>
      </w:r>
    </w:p>
    <w:p w14:paraId="60E2713D" w14:textId="77777777" w:rsidR="003744F7" w:rsidRPr="003744F7" w:rsidRDefault="003744F7" w:rsidP="003744F7">
      <w:pPr>
        <w:keepNext/>
        <w:numPr>
          <w:ilvl w:val="12"/>
          <w:numId w:val="0"/>
        </w:numPr>
        <w:spacing w:after="0" w:line="240" w:lineRule="auto"/>
        <w:ind w:right="-2"/>
        <w:outlineLvl w:val="0"/>
        <w:rPr>
          <w:rFonts w:ascii="Times New Roman" w:eastAsia="Times New Roman" w:hAnsi="Times New Roman" w:cs="Times New Roman"/>
          <w:noProof/>
          <w:lang w:eastAsia="lt-LT" w:bidi="lt-LT"/>
        </w:rPr>
      </w:pPr>
    </w:p>
    <w:p w14:paraId="6A1F2AC4" w14:textId="600950D9" w:rsidR="003744F7" w:rsidRPr="003744F7" w:rsidRDefault="003744F7" w:rsidP="003744F7">
      <w:pPr>
        <w:numPr>
          <w:ilvl w:val="0"/>
          <w:numId w:val="36"/>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Kas yra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ir kam jis vartojamas </w:t>
      </w:r>
    </w:p>
    <w:p w14:paraId="48B899D6" w14:textId="606F7F3B" w:rsidR="003744F7" w:rsidRPr="003744F7" w:rsidRDefault="003744F7" w:rsidP="003744F7">
      <w:pPr>
        <w:numPr>
          <w:ilvl w:val="0"/>
          <w:numId w:val="36"/>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Kas žinotina prieš vartojant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w:t>
      </w:r>
    </w:p>
    <w:p w14:paraId="6CF29183" w14:textId="3070D194" w:rsidR="003744F7" w:rsidRPr="003744F7" w:rsidRDefault="003744F7" w:rsidP="003744F7">
      <w:pPr>
        <w:numPr>
          <w:ilvl w:val="0"/>
          <w:numId w:val="36"/>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Kaip vartoti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w:t>
      </w:r>
    </w:p>
    <w:p w14:paraId="30C54893" w14:textId="77777777" w:rsidR="003744F7" w:rsidRPr="003744F7" w:rsidRDefault="003744F7" w:rsidP="003744F7">
      <w:pPr>
        <w:numPr>
          <w:ilvl w:val="0"/>
          <w:numId w:val="36"/>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Galimas šalutinis poveikis </w:t>
      </w:r>
    </w:p>
    <w:p w14:paraId="1B7DFE28" w14:textId="7324D7C1" w:rsidR="003744F7" w:rsidRPr="003744F7" w:rsidRDefault="003744F7" w:rsidP="003744F7">
      <w:pPr>
        <w:numPr>
          <w:ilvl w:val="0"/>
          <w:numId w:val="36"/>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Kaip laikyti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w:t>
      </w:r>
    </w:p>
    <w:p w14:paraId="4B8BF456" w14:textId="77777777" w:rsidR="003744F7" w:rsidRPr="003744F7" w:rsidRDefault="003744F7" w:rsidP="003744F7">
      <w:pPr>
        <w:numPr>
          <w:ilvl w:val="0"/>
          <w:numId w:val="36"/>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Pakuotės turinys ir kita informacija</w:t>
      </w:r>
    </w:p>
    <w:p w14:paraId="53295CBC"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74D77BCC" w14:textId="77777777" w:rsidR="003744F7" w:rsidRPr="003744F7" w:rsidRDefault="003744F7" w:rsidP="003744F7">
      <w:pPr>
        <w:numPr>
          <w:ilvl w:val="12"/>
          <w:numId w:val="0"/>
        </w:numPr>
        <w:spacing w:after="0" w:line="240" w:lineRule="auto"/>
        <w:rPr>
          <w:rFonts w:ascii="Times New Roman" w:eastAsia="Times New Roman" w:hAnsi="Times New Roman" w:cs="Times New Roman"/>
          <w:noProof/>
          <w:lang w:eastAsia="lt-LT" w:bidi="lt-LT"/>
        </w:rPr>
      </w:pPr>
    </w:p>
    <w:p w14:paraId="09B549B5" w14:textId="677601C5" w:rsidR="003744F7" w:rsidRPr="003744F7" w:rsidRDefault="003744F7" w:rsidP="003744F7">
      <w:pPr>
        <w:keepNext/>
        <w:numPr>
          <w:ilvl w:val="0"/>
          <w:numId w:val="34"/>
        </w:numPr>
        <w:tabs>
          <w:tab w:val="left" w:pos="567"/>
        </w:tabs>
        <w:spacing w:after="0" w:line="240" w:lineRule="auto"/>
        <w:ind w:left="567" w:right="-2"/>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Kas yra Gefitinib </w:t>
      </w:r>
      <w:r w:rsidR="004B326A">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ir kam jis vartojamas</w:t>
      </w:r>
    </w:p>
    <w:p w14:paraId="0AD95D54" w14:textId="77777777" w:rsidR="003744F7" w:rsidRPr="003744F7" w:rsidRDefault="003744F7" w:rsidP="003744F7">
      <w:pPr>
        <w:numPr>
          <w:ilvl w:val="12"/>
          <w:numId w:val="0"/>
        </w:numPr>
        <w:spacing w:after="0" w:line="240" w:lineRule="auto"/>
        <w:rPr>
          <w:rFonts w:ascii="Times New Roman" w:eastAsia="Times New Roman" w:hAnsi="Times New Roman" w:cs="Times New Roman"/>
          <w:lang w:eastAsia="lt-LT" w:bidi="lt-LT"/>
        </w:rPr>
      </w:pPr>
    </w:p>
    <w:p w14:paraId="4FDE1850" w14:textId="352EC9BE" w:rsidR="003744F7" w:rsidRPr="003744F7" w:rsidRDefault="003744F7" w:rsidP="003744F7">
      <w:p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sudėtyje yra veikliosios medžiagos, vadinamos gefitinibu. Gefitinibas blokuoja baltymą, vadinamą epiderminio augimo faktoriaus receptoriumi (EAFR). Šis baltymas yra svarbus vėžio ląstelių augimui ir sklidimui organizme.</w:t>
      </w:r>
    </w:p>
    <w:p w14:paraId="165782C4" w14:textId="77777777" w:rsidR="003744F7" w:rsidRPr="003744F7" w:rsidRDefault="003744F7" w:rsidP="003744F7">
      <w:pPr>
        <w:spacing w:after="0" w:line="240" w:lineRule="auto"/>
        <w:ind w:right="-2"/>
        <w:rPr>
          <w:rFonts w:ascii="Times New Roman" w:eastAsia="Times New Roman" w:hAnsi="Times New Roman" w:cs="Times New Roman"/>
          <w:lang w:eastAsia="lt-LT" w:bidi="lt-LT"/>
        </w:rPr>
      </w:pPr>
    </w:p>
    <w:p w14:paraId="36405A8B" w14:textId="5EFE5C6E" w:rsidR="003744F7" w:rsidRPr="003744F7" w:rsidRDefault="003744F7" w:rsidP="003744F7">
      <w:p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vartojama suaugusių pacientų nesmulkiųjų ląstelių plaučių vėžiui gydyti. Šis vėžys – tai liga, kuria sergant plaučio audiniuose susiformuoja piktybinių (vėžinių) ląstelių.</w:t>
      </w:r>
    </w:p>
    <w:p w14:paraId="5DDE48F5" w14:textId="77777777" w:rsidR="003744F7" w:rsidRPr="003744F7" w:rsidRDefault="003744F7" w:rsidP="003744F7">
      <w:pPr>
        <w:spacing w:after="0" w:line="240" w:lineRule="auto"/>
        <w:ind w:right="-2"/>
        <w:rPr>
          <w:rFonts w:ascii="Times New Roman" w:eastAsia="Times New Roman" w:hAnsi="Times New Roman" w:cs="Times New Roman"/>
          <w:noProof/>
          <w:lang w:eastAsia="lt-LT" w:bidi="lt-LT"/>
        </w:rPr>
      </w:pPr>
    </w:p>
    <w:p w14:paraId="33A1BD44" w14:textId="77777777" w:rsidR="003744F7" w:rsidRPr="003744F7" w:rsidRDefault="003744F7" w:rsidP="003744F7">
      <w:pPr>
        <w:spacing w:after="0" w:line="240" w:lineRule="auto"/>
        <w:ind w:right="-2"/>
        <w:rPr>
          <w:rFonts w:ascii="Times New Roman" w:eastAsia="Times New Roman" w:hAnsi="Times New Roman" w:cs="Times New Roman"/>
          <w:noProof/>
          <w:lang w:eastAsia="lt-LT" w:bidi="lt-LT"/>
        </w:rPr>
      </w:pPr>
    </w:p>
    <w:p w14:paraId="5EE6A082" w14:textId="5F2CE311" w:rsidR="003744F7" w:rsidRPr="003744F7" w:rsidRDefault="003744F7" w:rsidP="003744F7">
      <w:pPr>
        <w:keepNext/>
        <w:numPr>
          <w:ilvl w:val="0"/>
          <w:numId w:val="34"/>
        </w:numPr>
        <w:tabs>
          <w:tab w:val="left" w:pos="567"/>
        </w:tabs>
        <w:spacing w:after="0" w:line="240" w:lineRule="auto"/>
        <w:ind w:left="567" w:right="-2"/>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Kas žinotina prieš vartojant Gefitinib </w:t>
      </w:r>
      <w:r w:rsidR="004B326A">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lang w:eastAsia="lt-LT" w:bidi="lt-LT"/>
        </w:rPr>
        <w:t xml:space="preserve"> </w:t>
      </w:r>
    </w:p>
    <w:p w14:paraId="50A88E04" w14:textId="77777777" w:rsidR="003744F7" w:rsidRPr="003744F7" w:rsidRDefault="003744F7" w:rsidP="003744F7">
      <w:pPr>
        <w:keepNext/>
        <w:numPr>
          <w:ilvl w:val="12"/>
          <w:numId w:val="0"/>
        </w:numPr>
        <w:spacing w:after="0" w:line="240" w:lineRule="auto"/>
        <w:outlineLvl w:val="0"/>
        <w:rPr>
          <w:rFonts w:ascii="Times New Roman" w:eastAsia="Times New Roman" w:hAnsi="Times New Roman" w:cs="Times New Roman"/>
          <w:i/>
          <w:noProof/>
          <w:lang w:eastAsia="lt-LT" w:bidi="lt-LT"/>
        </w:rPr>
      </w:pPr>
    </w:p>
    <w:p w14:paraId="6D5D13C8" w14:textId="0ECB7D6F" w:rsidR="003744F7" w:rsidRPr="003744F7" w:rsidRDefault="003744F7" w:rsidP="003744F7">
      <w:pPr>
        <w:keepNext/>
        <w:numPr>
          <w:ilvl w:val="12"/>
          <w:numId w:val="0"/>
        </w:numPr>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 xml:space="preserve">Gefitinib </w:t>
      </w:r>
      <w:r w:rsidR="004B326A">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vartoti</w:t>
      </w:r>
      <w:r w:rsidR="0077175E">
        <w:rPr>
          <w:rFonts w:ascii="Times New Roman" w:eastAsia="Times New Roman" w:hAnsi="Times New Roman" w:cs="Times New Roman"/>
          <w:b/>
          <w:noProof/>
          <w:lang w:eastAsia="lt-LT" w:bidi="lt-LT"/>
        </w:rPr>
        <w:t>draudžiama</w:t>
      </w:r>
      <w:r w:rsidRPr="003744F7">
        <w:rPr>
          <w:rFonts w:ascii="Times New Roman" w:eastAsia="Times New Roman" w:hAnsi="Times New Roman" w:cs="Times New Roman"/>
          <w:b/>
          <w:noProof/>
          <w:lang w:eastAsia="lt-LT" w:bidi="lt-LT"/>
        </w:rPr>
        <w:t>:</w:t>
      </w:r>
    </w:p>
    <w:p w14:paraId="26CCC1D0" w14:textId="77777777" w:rsidR="003744F7" w:rsidRPr="003744F7" w:rsidRDefault="003744F7" w:rsidP="003744F7">
      <w:pPr>
        <w:numPr>
          <w:ilvl w:val="0"/>
          <w:numId w:val="3"/>
        </w:numPr>
        <w:tabs>
          <w:tab w:val="left" w:pos="567"/>
        </w:tabs>
        <w:spacing w:after="0" w:line="240" w:lineRule="auto"/>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jeigu yra alergija gefitinibui arba bet kuriai pagalbinei šio vaisto medžiagai (jos išvardytos 6 skyriuje).</w:t>
      </w:r>
    </w:p>
    <w:p w14:paraId="1834209B" w14:textId="2F97B5A9" w:rsidR="003744F7" w:rsidRPr="003744F7" w:rsidRDefault="0077175E" w:rsidP="003744F7">
      <w:pPr>
        <w:numPr>
          <w:ilvl w:val="0"/>
          <w:numId w:val="3"/>
        </w:numPr>
        <w:tabs>
          <w:tab w:val="left" w:pos="567"/>
        </w:tabs>
        <w:spacing w:after="0" w:line="240" w:lineRule="auto"/>
        <w:contextualSpacing/>
        <w:rPr>
          <w:rFonts w:ascii="Times New Roman" w:eastAsia="Times New Roman" w:hAnsi="Times New Roman" w:cs="Times New Roman"/>
          <w:noProof/>
          <w:lang w:eastAsia="lt-LT" w:bidi="lt-LT"/>
        </w:rPr>
      </w:pPr>
      <w:r>
        <w:rPr>
          <w:rFonts w:ascii="Times New Roman" w:eastAsia="Times New Roman" w:hAnsi="Times New Roman" w:cs="Times New Roman"/>
          <w:lang w:eastAsia="lt-LT" w:bidi="lt-LT"/>
        </w:rPr>
        <w:t>ž</w:t>
      </w:r>
      <w:r w:rsidR="003744F7" w:rsidRPr="003744F7">
        <w:rPr>
          <w:rFonts w:ascii="Times New Roman" w:eastAsia="Times New Roman" w:hAnsi="Times New Roman" w:cs="Times New Roman"/>
          <w:lang w:eastAsia="lt-LT" w:bidi="lt-LT"/>
        </w:rPr>
        <w:t xml:space="preserve">indančioms moterims. </w:t>
      </w:r>
    </w:p>
    <w:p w14:paraId="22D39E32" w14:textId="77777777" w:rsidR="003744F7" w:rsidRPr="003744F7" w:rsidRDefault="003744F7" w:rsidP="003744F7">
      <w:pPr>
        <w:numPr>
          <w:ilvl w:val="12"/>
          <w:numId w:val="0"/>
        </w:numPr>
        <w:spacing w:after="0" w:line="240" w:lineRule="auto"/>
        <w:rPr>
          <w:rFonts w:ascii="Times New Roman" w:eastAsia="Times New Roman" w:hAnsi="Times New Roman" w:cs="Times New Roman"/>
          <w:noProof/>
          <w:lang w:eastAsia="lt-LT" w:bidi="lt-LT"/>
        </w:rPr>
      </w:pPr>
    </w:p>
    <w:p w14:paraId="2B68AD5F" w14:textId="77777777" w:rsidR="003744F7" w:rsidRPr="003744F7" w:rsidRDefault="003744F7" w:rsidP="003744F7">
      <w:pPr>
        <w:numPr>
          <w:ilvl w:val="12"/>
          <w:numId w:val="0"/>
        </w:numPr>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Įspėjimai ir atsargumo priemonės </w:t>
      </w:r>
    </w:p>
    <w:p w14:paraId="69CFDABE" w14:textId="761FB748" w:rsidR="003744F7" w:rsidRPr="003744F7" w:rsidRDefault="003744F7" w:rsidP="003744F7">
      <w:pPr>
        <w:numPr>
          <w:ilvl w:val="12"/>
          <w:numId w:val="0"/>
        </w:numPr>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Pasitarkite su gydytoju arba vaistininku, prieš pradėdami vartoti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w:t>
      </w:r>
    </w:p>
    <w:p w14:paraId="6607A4EE" w14:textId="39C746A2" w:rsidR="003744F7" w:rsidRPr="003744F7" w:rsidRDefault="003744F7" w:rsidP="003744F7">
      <w:pPr>
        <w:numPr>
          <w:ilvl w:val="0"/>
          <w:numId w:val="40"/>
        </w:numPr>
        <w:tabs>
          <w:tab w:val="left" w:pos="567"/>
        </w:tabs>
        <w:spacing w:after="0" w:line="240" w:lineRule="auto"/>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jeigu kada nors buvo pasireiškę kitokių plaučių sutrikimų (kai kurie plaučių sutrikimai gali pasunkėti vartojant Gefitinib </w:t>
      </w:r>
      <w:r w:rsidR="004B326A">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w:t>
      </w:r>
    </w:p>
    <w:p w14:paraId="4E4F2C9B" w14:textId="77777777" w:rsidR="003744F7" w:rsidRPr="003744F7" w:rsidRDefault="003744F7" w:rsidP="003744F7">
      <w:pPr>
        <w:numPr>
          <w:ilvl w:val="0"/>
          <w:numId w:val="40"/>
        </w:numPr>
        <w:tabs>
          <w:tab w:val="left" w:pos="567"/>
        </w:tabs>
        <w:spacing w:after="0" w:line="240" w:lineRule="auto"/>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jeigu kada nors buvo sutrikusi Jūsų kepenų veikla.</w:t>
      </w:r>
    </w:p>
    <w:p w14:paraId="4E6F1099"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15DC92B4" w14:textId="77777777" w:rsidR="003744F7" w:rsidRPr="003744F7" w:rsidRDefault="003744F7" w:rsidP="003744F7">
      <w:pPr>
        <w:keepNext/>
        <w:numPr>
          <w:ilvl w:val="12"/>
          <w:numId w:val="0"/>
        </w:numPr>
        <w:spacing w:after="0" w:line="240" w:lineRule="auto"/>
        <w:rPr>
          <w:rFonts w:ascii="Times New Roman" w:eastAsia="Times New Roman" w:hAnsi="Times New Roman" w:cs="Times New Roman"/>
          <w:b/>
          <w:bCs/>
          <w:noProof/>
          <w:lang w:eastAsia="lt-LT" w:bidi="lt-LT"/>
        </w:rPr>
      </w:pPr>
      <w:r w:rsidRPr="003744F7">
        <w:rPr>
          <w:rFonts w:ascii="Times New Roman" w:eastAsia="Times New Roman" w:hAnsi="Times New Roman" w:cs="Times New Roman"/>
          <w:b/>
          <w:noProof/>
          <w:lang w:eastAsia="lt-LT" w:bidi="lt-LT"/>
        </w:rPr>
        <w:t>Vaikams ir paaugliams</w:t>
      </w:r>
    </w:p>
    <w:p w14:paraId="49F4C40E" w14:textId="2CED89E6" w:rsidR="003744F7" w:rsidRPr="003744F7" w:rsidRDefault="003744F7" w:rsidP="003744F7">
      <w:pPr>
        <w:keepNext/>
        <w:numPr>
          <w:ilvl w:val="12"/>
          <w:numId w:val="0"/>
        </w:numPr>
        <w:spacing w:after="0" w:line="240" w:lineRule="auto"/>
        <w:rPr>
          <w:rFonts w:ascii="Times New Roman" w:eastAsia="Times New Roman" w:hAnsi="Times New Roman" w:cs="Times New Roman"/>
          <w:bCs/>
          <w:noProof/>
          <w:lang w:eastAsia="lt-LT" w:bidi="lt-LT"/>
        </w:rPr>
      </w:pPr>
      <w:r w:rsidRPr="003744F7">
        <w:rPr>
          <w:rFonts w:ascii="Times New Roman" w:eastAsia="Times New Roman" w:hAnsi="Times New Roman" w:cs="Times New Roman"/>
          <w:bCs/>
          <w:noProof/>
          <w:lang w:eastAsia="lt-LT" w:bidi="lt-LT"/>
        </w:rPr>
        <w:t xml:space="preserve">Vaikams ir paaugliams iki 18 metų Gefitinib </w:t>
      </w:r>
      <w:r w:rsidR="004B326A">
        <w:rPr>
          <w:rFonts w:ascii="Times New Roman" w:eastAsia="Times New Roman" w:hAnsi="Times New Roman" w:cs="Times New Roman"/>
          <w:bCs/>
          <w:noProof/>
          <w:lang w:eastAsia="lt-LT" w:bidi="lt-LT"/>
        </w:rPr>
        <w:t>Zentiva</w:t>
      </w:r>
      <w:r w:rsidRPr="003744F7">
        <w:rPr>
          <w:rFonts w:ascii="Times New Roman" w:eastAsia="Times New Roman" w:hAnsi="Times New Roman" w:cs="Times New Roman"/>
          <w:bCs/>
          <w:noProof/>
          <w:lang w:eastAsia="lt-LT" w:bidi="lt-LT"/>
        </w:rPr>
        <w:t xml:space="preserve"> neskiriama.</w:t>
      </w:r>
    </w:p>
    <w:p w14:paraId="4E121D8F" w14:textId="77777777" w:rsidR="003744F7" w:rsidRPr="003744F7" w:rsidRDefault="003744F7" w:rsidP="003744F7">
      <w:pPr>
        <w:keepNext/>
        <w:numPr>
          <w:ilvl w:val="12"/>
          <w:numId w:val="0"/>
        </w:numPr>
        <w:spacing w:after="0" w:line="240" w:lineRule="auto"/>
        <w:rPr>
          <w:rFonts w:ascii="Times New Roman" w:eastAsia="Times New Roman" w:hAnsi="Times New Roman" w:cs="Times New Roman"/>
          <w:bCs/>
          <w:noProof/>
          <w:lang w:eastAsia="lt-LT" w:bidi="lt-LT"/>
        </w:rPr>
      </w:pPr>
    </w:p>
    <w:p w14:paraId="2804D3F0" w14:textId="2FCFF640" w:rsidR="003744F7" w:rsidRPr="003744F7" w:rsidRDefault="003744F7" w:rsidP="003744F7">
      <w:pPr>
        <w:keepNext/>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 xml:space="preserve">Kiti vaistai ir </w:t>
      </w:r>
      <w:r w:rsidRPr="003744F7">
        <w:rPr>
          <w:rFonts w:ascii="Times New Roman" w:eastAsia="Times New Roman" w:hAnsi="Times New Roman" w:cs="Times New Roman"/>
          <w:b/>
          <w:noProof/>
          <w:lang w:eastAsia="lt-LT" w:bidi="lt-LT"/>
        </w:rPr>
        <w:t xml:space="preserve">Gefitinib </w:t>
      </w:r>
      <w:r w:rsidR="004B326A">
        <w:rPr>
          <w:rFonts w:ascii="Times New Roman" w:eastAsia="Times New Roman" w:hAnsi="Times New Roman" w:cs="Times New Roman"/>
          <w:b/>
          <w:noProof/>
          <w:lang w:eastAsia="lt-LT" w:bidi="lt-LT"/>
        </w:rPr>
        <w:t>Zentiva</w:t>
      </w:r>
    </w:p>
    <w:p w14:paraId="5C43619F"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Jeigu vartojate ar neseniai vartojote kitų vaistų arba dėl to nesate tikri, apie tai pasakykite gydytojui arba vaistininkui.</w:t>
      </w:r>
    </w:p>
    <w:p w14:paraId="2004FCE3"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p>
    <w:p w14:paraId="7A66480F"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Gydytojui arba vaistininkui ypač svarbu pasakyti, jeigu vartojate:</w:t>
      </w:r>
    </w:p>
    <w:p w14:paraId="40E75F1C" w14:textId="77777777" w:rsidR="003744F7" w:rsidRPr="003744F7" w:rsidRDefault="003744F7" w:rsidP="003744F7">
      <w:pPr>
        <w:numPr>
          <w:ilvl w:val="0"/>
          <w:numId w:val="41"/>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fenitoiną arba karbamazepiną (nuo epilepsijos);</w:t>
      </w:r>
    </w:p>
    <w:p w14:paraId="07389229" w14:textId="77777777" w:rsidR="003744F7" w:rsidRPr="003744F7" w:rsidRDefault="003744F7" w:rsidP="003744F7">
      <w:pPr>
        <w:numPr>
          <w:ilvl w:val="0"/>
          <w:numId w:val="41"/>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rifampiciną (nuo tuberkuliozės);</w:t>
      </w:r>
    </w:p>
    <w:p w14:paraId="204BF255" w14:textId="77777777" w:rsidR="003744F7" w:rsidRPr="003744F7" w:rsidRDefault="003744F7" w:rsidP="003744F7">
      <w:pPr>
        <w:numPr>
          <w:ilvl w:val="0"/>
          <w:numId w:val="41"/>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lastRenderedPageBreak/>
        <w:t>itrakonazolą (nuo grybelių infekcijos);</w:t>
      </w:r>
    </w:p>
    <w:p w14:paraId="1C9C6CA4" w14:textId="77777777" w:rsidR="003744F7" w:rsidRPr="003744F7" w:rsidRDefault="003744F7" w:rsidP="003744F7">
      <w:pPr>
        <w:numPr>
          <w:ilvl w:val="0"/>
          <w:numId w:val="41"/>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barbitūratus (vaistus nuo miego sutrikimų);</w:t>
      </w:r>
    </w:p>
    <w:p w14:paraId="3800872D" w14:textId="77777777" w:rsidR="003744F7" w:rsidRPr="003744F7" w:rsidRDefault="003744F7" w:rsidP="003744F7">
      <w:pPr>
        <w:numPr>
          <w:ilvl w:val="0"/>
          <w:numId w:val="41"/>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žolinių preparatų, kurių sudėtyje yra jonažolės (</w:t>
      </w:r>
      <w:r w:rsidRPr="003744F7">
        <w:rPr>
          <w:rFonts w:ascii="Times New Roman" w:eastAsia="Times New Roman" w:hAnsi="Times New Roman" w:cs="Times New Roman"/>
          <w:i/>
          <w:noProof/>
          <w:lang w:eastAsia="lt-LT" w:bidi="lt-LT"/>
        </w:rPr>
        <w:t>Hypericum perforatum</w:t>
      </w:r>
      <w:r w:rsidRPr="003744F7">
        <w:rPr>
          <w:rFonts w:ascii="Times New Roman" w:eastAsia="Times New Roman" w:hAnsi="Times New Roman" w:cs="Times New Roman"/>
          <w:noProof/>
          <w:lang w:eastAsia="lt-LT" w:bidi="lt-LT"/>
        </w:rPr>
        <w:t>, kuri vartojama nuo depresijos ir nerimo);</w:t>
      </w:r>
    </w:p>
    <w:p w14:paraId="074E9AA6" w14:textId="77777777" w:rsidR="003744F7" w:rsidRPr="003744F7" w:rsidRDefault="003744F7" w:rsidP="003744F7">
      <w:pPr>
        <w:numPr>
          <w:ilvl w:val="0"/>
          <w:numId w:val="41"/>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protonų siurblį slopinančius vaistus, H</w:t>
      </w:r>
      <w:r w:rsidRPr="003744F7">
        <w:rPr>
          <w:rFonts w:ascii="Times New Roman" w:eastAsia="Times New Roman" w:hAnsi="Times New Roman" w:cs="Times New Roman"/>
          <w:noProof/>
          <w:vertAlign w:val="subscript"/>
          <w:lang w:eastAsia="lt-LT" w:bidi="lt-LT"/>
        </w:rPr>
        <w:t>2</w:t>
      </w:r>
      <w:r w:rsidRPr="003744F7">
        <w:rPr>
          <w:rFonts w:ascii="Times New Roman" w:eastAsia="Times New Roman" w:hAnsi="Times New Roman" w:cs="Times New Roman"/>
          <w:noProof/>
          <w:lang w:eastAsia="lt-LT" w:bidi="lt-LT"/>
        </w:rPr>
        <w:t xml:space="preserve"> antagonistus ar skrandžio rūgštį neutralizuojančius vaistus (nuo opos, nevirškinimo, rėmens, taip pat rūgšties kiekiui skrandyje sumažinti).</w:t>
      </w:r>
    </w:p>
    <w:p w14:paraId="6D8F88DA" w14:textId="77777777" w:rsidR="003744F7" w:rsidRPr="003744F7" w:rsidRDefault="003744F7" w:rsidP="003744F7">
      <w:pPr>
        <w:spacing w:after="0" w:line="240" w:lineRule="auto"/>
        <w:ind w:right="-2"/>
        <w:rPr>
          <w:rFonts w:ascii="Times New Roman" w:eastAsia="Times New Roman" w:hAnsi="Times New Roman" w:cs="Times New Roman"/>
          <w:noProof/>
          <w:lang w:eastAsia="lt-LT" w:bidi="lt-LT"/>
        </w:rPr>
      </w:pPr>
    </w:p>
    <w:p w14:paraId="3681F607" w14:textId="5826C9D8"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Šie vaistai gali turėti įtakos Gefitinib </w:t>
      </w:r>
      <w:r w:rsidR="004B326A">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veikimui.</w:t>
      </w:r>
    </w:p>
    <w:p w14:paraId="32C83480" w14:textId="77777777" w:rsidR="003744F7" w:rsidRPr="003744F7" w:rsidRDefault="003744F7" w:rsidP="003744F7">
      <w:pPr>
        <w:numPr>
          <w:ilvl w:val="0"/>
          <w:numId w:val="42"/>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varfariną (jis vadinamas geriamuoju antikoaguliantu ir vartojamas norint išvengti kraujo krešulių susidarymo). Jeigu vartojate vaistą, kurio sudėtyje yra šios veikliosios medžiagos, gydytojui gali reikėti dažniau tirti kraują.</w:t>
      </w:r>
    </w:p>
    <w:p w14:paraId="4592D0B1" w14:textId="77777777" w:rsidR="003744F7" w:rsidRPr="003744F7" w:rsidRDefault="003744F7" w:rsidP="003744F7">
      <w:pPr>
        <w:spacing w:after="0" w:line="240" w:lineRule="auto"/>
        <w:ind w:right="-2"/>
        <w:rPr>
          <w:rFonts w:ascii="Times New Roman" w:eastAsia="Times New Roman" w:hAnsi="Times New Roman" w:cs="Times New Roman"/>
          <w:noProof/>
          <w:lang w:eastAsia="lt-LT" w:bidi="lt-LT"/>
        </w:rPr>
      </w:pPr>
    </w:p>
    <w:p w14:paraId="2C5CE700" w14:textId="631A4014"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Jeigu Jus liečia kas nors iš to, kas nurodyta aukščiau, arba jeigu dėl to abejojate, apie tai pasakykite gydytojui arba vaistininkui prieš pradėdami vartoti Gefitinib </w:t>
      </w:r>
      <w:r w:rsidR="004B326A">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w:t>
      </w:r>
    </w:p>
    <w:p w14:paraId="0316B688"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1965367B" w14:textId="77777777" w:rsidR="003744F7" w:rsidRPr="003744F7" w:rsidRDefault="003744F7" w:rsidP="003744F7">
      <w:pPr>
        <w:numPr>
          <w:ilvl w:val="12"/>
          <w:numId w:val="0"/>
        </w:numPr>
        <w:spacing w:after="0" w:line="240" w:lineRule="auto"/>
        <w:ind w:right="-2"/>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Nėštumas, žindymo laikotarpis ir vaisingumas</w:t>
      </w:r>
    </w:p>
    <w:p w14:paraId="5AE7D391" w14:textId="77777777" w:rsidR="003744F7" w:rsidRPr="003744F7" w:rsidRDefault="003744F7" w:rsidP="003744F7">
      <w:pPr>
        <w:numPr>
          <w:ilvl w:val="12"/>
          <w:numId w:val="0"/>
        </w:numPr>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Jeigu esate nėščia, žindote kūdikį, manote, kad galbūt esate nėščia arba planuojate pastoti, tai prieš vartodama šį vaistą pasitarkite su gydytoju arba vaistininku.</w:t>
      </w:r>
    </w:p>
    <w:p w14:paraId="0AAC4C14" w14:textId="01192C97" w:rsidR="003744F7" w:rsidRPr="003744F7" w:rsidRDefault="003744F7" w:rsidP="003744F7">
      <w:pPr>
        <w:numPr>
          <w:ilvl w:val="12"/>
          <w:numId w:val="0"/>
        </w:numPr>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Vartojant Gefitinib </w:t>
      </w:r>
      <w:r w:rsidR="004B326A">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rekomenduojama saugotis pastojimo, kadangi šis vaistas gali pakenkti kūdikiui.</w:t>
      </w:r>
    </w:p>
    <w:p w14:paraId="0EEF4C0C" w14:textId="3DD050DB" w:rsidR="003744F7" w:rsidRPr="003744F7" w:rsidRDefault="003744F7" w:rsidP="003744F7">
      <w:pPr>
        <w:numPr>
          <w:ilvl w:val="12"/>
          <w:numId w:val="0"/>
        </w:numPr>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Žindymo laikotarpiu Gefitinib </w:t>
      </w:r>
      <w:r w:rsidR="004B326A">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vartoti negalima, kadangi tai būtų nesaugu Jūsų kūdikiui.</w:t>
      </w:r>
    </w:p>
    <w:p w14:paraId="0D45255B" w14:textId="77777777" w:rsidR="003744F7" w:rsidRPr="003744F7" w:rsidRDefault="003744F7" w:rsidP="003744F7">
      <w:pPr>
        <w:numPr>
          <w:ilvl w:val="12"/>
          <w:numId w:val="0"/>
        </w:numPr>
        <w:spacing w:after="0" w:line="240" w:lineRule="auto"/>
        <w:rPr>
          <w:rFonts w:ascii="Times New Roman" w:eastAsia="Times New Roman" w:hAnsi="Times New Roman" w:cs="Times New Roman"/>
          <w:noProof/>
          <w:lang w:eastAsia="lt-LT" w:bidi="lt-LT"/>
        </w:rPr>
      </w:pPr>
    </w:p>
    <w:p w14:paraId="30B6C1FE" w14:textId="77777777" w:rsidR="003744F7" w:rsidRPr="003744F7" w:rsidRDefault="003744F7" w:rsidP="003744F7">
      <w:pPr>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Vairavimas ir mechanizmų valdymas</w:t>
      </w:r>
    </w:p>
    <w:p w14:paraId="6E3CEE02"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Jeigu vartojant šį vaistą jaučiasi silpnumas, tai vairuoti ar valdyti mechanizmus reikia atsargiai.</w:t>
      </w:r>
    </w:p>
    <w:p w14:paraId="3283C088"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037DFA5A" w14:textId="7BBABDA5" w:rsidR="003744F7" w:rsidRPr="003744F7" w:rsidRDefault="003744F7" w:rsidP="003744F7">
      <w:pPr>
        <w:numPr>
          <w:ilvl w:val="12"/>
          <w:numId w:val="0"/>
        </w:numPr>
        <w:spacing w:after="0" w:line="240" w:lineRule="auto"/>
        <w:ind w:right="-2"/>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Gefitinib </w:t>
      </w:r>
      <w:r w:rsidR="004B326A">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sudėtyje yra laktozės ir natrio</w:t>
      </w:r>
    </w:p>
    <w:p w14:paraId="12F9F31D" w14:textId="460A5150"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Gefitinib </w:t>
      </w:r>
      <w:r w:rsidR="004B326A">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sudėtyje yra laktozės. Jeigu gydytojas Jums yra sakęs, kad netoleruojate kokių nors angliavandenių, kreipkitės į jį, prieš pradėdami vartoti šį vaistą.</w:t>
      </w:r>
    </w:p>
    <w:p w14:paraId="19F05DA7"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35459966"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Šio vaisto vienoje dozėje yra mažiau kaip 1 mmol (23 mg) natrio, t.y. jis beveik neturi reikšmės.</w:t>
      </w:r>
    </w:p>
    <w:p w14:paraId="4A1AADB4"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7C86AF73"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5605BF8B" w14:textId="14DE32F8" w:rsidR="003744F7" w:rsidRPr="003744F7" w:rsidRDefault="003744F7" w:rsidP="003744F7">
      <w:pPr>
        <w:keepNext/>
        <w:numPr>
          <w:ilvl w:val="0"/>
          <w:numId w:val="34"/>
        </w:numPr>
        <w:tabs>
          <w:tab w:val="left" w:pos="567"/>
        </w:tabs>
        <w:spacing w:after="0" w:line="240" w:lineRule="auto"/>
        <w:ind w:left="567" w:right="-2"/>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Kaip vartoti Gefitinib </w:t>
      </w:r>
      <w:r w:rsidR="004B326A">
        <w:rPr>
          <w:rFonts w:ascii="Times New Roman" w:eastAsia="Times New Roman" w:hAnsi="Times New Roman" w:cs="Times New Roman"/>
          <w:b/>
          <w:noProof/>
          <w:lang w:eastAsia="lt-LT" w:bidi="lt-LT"/>
        </w:rPr>
        <w:t>Zentiva</w:t>
      </w:r>
    </w:p>
    <w:p w14:paraId="35921F93" w14:textId="77777777" w:rsidR="003744F7" w:rsidRPr="003744F7" w:rsidRDefault="003744F7" w:rsidP="003744F7">
      <w:pPr>
        <w:keepNext/>
        <w:numPr>
          <w:ilvl w:val="12"/>
          <w:numId w:val="0"/>
        </w:numPr>
        <w:spacing w:after="0" w:line="240" w:lineRule="auto"/>
        <w:ind w:right="-2"/>
        <w:rPr>
          <w:rFonts w:ascii="Times New Roman" w:eastAsia="Times New Roman" w:hAnsi="Times New Roman" w:cs="Times New Roman"/>
          <w:noProof/>
          <w:lang w:eastAsia="lt-LT" w:bidi="lt-LT"/>
        </w:rPr>
      </w:pPr>
    </w:p>
    <w:p w14:paraId="41D20958" w14:textId="68B2A461"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Visada vartokite šį vaistą tiksliai</w:t>
      </w:r>
      <w:r w:rsidR="0077175E">
        <w:rPr>
          <w:rFonts w:ascii="Times New Roman" w:eastAsia="Times New Roman" w:hAnsi="Times New Roman" w:cs="Times New Roman"/>
          <w:lang w:eastAsia="lt-LT" w:bidi="lt-LT"/>
        </w:rPr>
        <w:t>,</w:t>
      </w:r>
      <w:r w:rsidRPr="003744F7">
        <w:rPr>
          <w:rFonts w:ascii="Times New Roman" w:eastAsia="Times New Roman" w:hAnsi="Times New Roman" w:cs="Times New Roman"/>
          <w:lang w:eastAsia="lt-LT" w:bidi="lt-LT"/>
        </w:rPr>
        <w:t xml:space="preserve"> kaip nurodė gydytojas. Jeigu abejojate, kreipkitės į gydytoją arba vaistininką.</w:t>
      </w:r>
    </w:p>
    <w:p w14:paraId="31BD3EA0"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p>
    <w:p w14:paraId="441848CE" w14:textId="77777777" w:rsidR="003744F7" w:rsidRPr="003744F7" w:rsidRDefault="003744F7" w:rsidP="003744F7">
      <w:pPr>
        <w:numPr>
          <w:ilvl w:val="0"/>
          <w:numId w:val="42"/>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Rekomenduojama dozė – viena 250 mg tabletė per parą.</w:t>
      </w:r>
    </w:p>
    <w:p w14:paraId="72ADE804" w14:textId="77777777" w:rsidR="003744F7" w:rsidRPr="003744F7" w:rsidRDefault="003744F7" w:rsidP="003744F7">
      <w:pPr>
        <w:numPr>
          <w:ilvl w:val="0"/>
          <w:numId w:val="42"/>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Gerkite tabletę kasdien maždaug tuo pačiu laiku.</w:t>
      </w:r>
    </w:p>
    <w:p w14:paraId="14AAD1D9" w14:textId="77777777" w:rsidR="003744F7" w:rsidRPr="003744F7" w:rsidRDefault="003744F7" w:rsidP="003744F7">
      <w:pPr>
        <w:numPr>
          <w:ilvl w:val="0"/>
          <w:numId w:val="42"/>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Šias tabletes galima gerti valgant arba kitu laiku.</w:t>
      </w:r>
    </w:p>
    <w:p w14:paraId="784136FD" w14:textId="2B5623D2" w:rsidR="003744F7" w:rsidRPr="003744F7" w:rsidRDefault="003744F7" w:rsidP="003744F7">
      <w:pPr>
        <w:numPr>
          <w:ilvl w:val="0"/>
          <w:numId w:val="42"/>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Negerkite skrandžio rūgštį neutralizuojančių vaistų (jie skirti rūgšties kiekiui skrandyje sumažinti) 2 val. iki Gefitinib </w:t>
      </w:r>
      <w:r w:rsidR="004B326A">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vartojimo ir 1 val. po jo.</w:t>
      </w:r>
    </w:p>
    <w:p w14:paraId="78E77AD9"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6360C93F"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Jeigu sunku nuryti tabletę, ištirpinkite ją pusėje stiklinės negazuoto (neputojančio) vandens. Kitų skysčių naudoti negalima. Tabletės negalima traiškyti. Pasukiokite stiklinę su vandeniu, kol tabletė ištirps (tai gali trukti iki 20 min.) ir tuoj pat išgerkite. Kad būtų suvartotas visas vaistas, paskui įpilkite dar pusę stiklinės vandens, gerai ją praskalaukite ir vėl išgerkite.</w:t>
      </w:r>
    </w:p>
    <w:p w14:paraId="13155DD1"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35BCCBEE" w14:textId="22A8ECF5" w:rsidR="003744F7" w:rsidRPr="003744F7" w:rsidRDefault="003744F7" w:rsidP="003744F7">
      <w:pPr>
        <w:numPr>
          <w:ilvl w:val="12"/>
          <w:numId w:val="0"/>
        </w:numPr>
        <w:spacing w:after="0" w:line="240" w:lineRule="auto"/>
        <w:ind w:right="-2"/>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Ką daryti pavartojus per didelę Gefitinib </w:t>
      </w:r>
      <w:r w:rsidR="004B326A">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dozę?</w:t>
      </w:r>
    </w:p>
    <w:p w14:paraId="26E83B5C" w14:textId="77777777" w:rsidR="003744F7" w:rsidRPr="003744F7" w:rsidRDefault="003744F7" w:rsidP="003744F7">
      <w:pPr>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Išgėrus per daug tablečių, reikia nedelsiant kreiptis į gydytoją arba vaistininką.</w:t>
      </w:r>
    </w:p>
    <w:p w14:paraId="363A005B" w14:textId="77777777" w:rsidR="003744F7" w:rsidRPr="003744F7" w:rsidRDefault="003744F7" w:rsidP="003744F7">
      <w:pPr>
        <w:numPr>
          <w:ilvl w:val="12"/>
          <w:numId w:val="0"/>
        </w:numPr>
        <w:spacing w:after="0" w:line="240" w:lineRule="auto"/>
        <w:ind w:right="-2"/>
        <w:outlineLvl w:val="0"/>
        <w:rPr>
          <w:rFonts w:ascii="Times New Roman" w:eastAsia="Times New Roman" w:hAnsi="Times New Roman" w:cs="Times New Roman"/>
          <w:i/>
          <w:noProof/>
          <w:lang w:eastAsia="lt-LT" w:bidi="lt-LT"/>
        </w:rPr>
      </w:pPr>
    </w:p>
    <w:p w14:paraId="6A2C64EB" w14:textId="45973949" w:rsidR="003744F7" w:rsidRPr="003744F7" w:rsidRDefault="003744F7" w:rsidP="003744F7">
      <w:pPr>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 xml:space="preserve">Pamiršus pavartoti Gefitinib </w:t>
      </w:r>
      <w:r w:rsidR="004B326A">
        <w:rPr>
          <w:rFonts w:ascii="Times New Roman" w:eastAsia="Times New Roman" w:hAnsi="Times New Roman" w:cs="Times New Roman"/>
          <w:b/>
          <w:noProof/>
          <w:lang w:eastAsia="lt-LT" w:bidi="lt-LT"/>
        </w:rPr>
        <w:t>Zentiva</w:t>
      </w:r>
    </w:p>
    <w:p w14:paraId="44287E9C"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Ką daryti užmiršus išgerti tabletę, priklauso nuo to, kiek liko laiko iki kitos dozės.</w:t>
      </w:r>
    </w:p>
    <w:p w14:paraId="608E0E72" w14:textId="77777777" w:rsidR="003744F7" w:rsidRPr="003744F7" w:rsidRDefault="003744F7" w:rsidP="003744F7">
      <w:pPr>
        <w:numPr>
          <w:ilvl w:val="0"/>
          <w:numId w:val="43"/>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 iki laiko kitai dozei vartoti liko 12 val. arba daugiau, tai užmirštą tabletę išgerkite iš karto prisiminę, o kitą dozę vartokite įprastu laiku.</w:t>
      </w:r>
    </w:p>
    <w:p w14:paraId="44CD1B35"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 iki laiko kitai dozei vartoti liko mažiau kaip 12 val., tai užmirštą tabletę praleiskite, o kitą gerkite įprastu laiku.</w:t>
      </w:r>
    </w:p>
    <w:p w14:paraId="0B999A65"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lastRenderedPageBreak/>
        <w:t>Negalima vartoti dvigubos dozės (iš karto dviejų tablečių) norint kompensuoti praleistą dozę.</w:t>
      </w:r>
    </w:p>
    <w:p w14:paraId="1EC4DBE0"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Jeigu kiltų daugiau klausimų dėl šio vaisto vartojimo, kreipkitės į gydytoją arba vaistininką.</w:t>
      </w:r>
    </w:p>
    <w:p w14:paraId="0133E949" w14:textId="77777777" w:rsidR="003744F7" w:rsidRPr="003744F7" w:rsidRDefault="003744F7" w:rsidP="003744F7">
      <w:pPr>
        <w:numPr>
          <w:ilvl w:val="12"/>
          <w:numId w:val="0"/>
        </w:numPr>
        <w:spacing w:after="0" w:line="240" w:lineRule="auto"/>
        <w:rPr>
          <w:rFonts w:ascii="Times New Roman" w:eastAsia="Times New Roman" w:hAnsi="Times New Roman" w:cs="Times New Roman"/>
          <w:lang w:eastAsia="lt-LT" w:bidi="lt-LT"/>
        </w:rPr>
      </w:pPr>
    </w:p>
    <w:p w14:paraId="3F893EE1" w14:textId="77777777" w:rsidR="003744F7" w:rsidRPr="003744F7" w:rsidRDefault="003744F7" w:rsidP="003744F7">
      <w:pPr>
        <w:numPr>
          <w:ilvl w:val="12"/>
          <w:numId w:val="0"/>
        </w:numPr>
        <w:spacing w:after="0" w:line="240" w:lineRule="auto"/>
        <w:rPr>
          <w:rFonts w:ascii="Times New Roman" w:eastAsia="Times New Roman" w:hAnsi="Times New Roman" w:cs="Times New Roman"/>
          <w:lang w:eastAsia="lt-LT" w:bidi="lt-LT"/>
        </w:rPr>
      </w:pPr>
    </w:p>
    <w:p w14:paraId="0F3E21C6" w14:textId="77777777" w:rsidR="003744F7" w:rsidRPr="003744F7" w:rsidRDefault="003744F7" w:rsidP="003744F7">
      <w:pPr>
        <w:keepNext/>
        <w:numPr>
          <w:ilvl w:val="0"/>
          <w:numId w:val="34"/>
        </w:numPr>
        <w:tabs>
          <w:tab w:val="left" w:pos="567"/>
        </w:tabs>
        <w:spacing w:after="0" w:line="240" w:lineRule="auto"/>
        <w:ind w:left="567" w:right="-2"/>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Galimas šalutinis poveikis</w:t>
      </w:r>
    </w:p>
    <w:p w14:paraId="5DA25450" w14:textId="77777777" w:rsidR="003744F7" w:rsidRPr="003744F7" w:rsidRDefault="003744F7" w:rsidP="003744F7">
      <w:pPr>
        <w:keepNext/>
        <w:numPr>
          <w:ilvl w:val="12"/>
          <w:numId w:val="0"/>
        </w:numPr>
        <w:spacing w:after="0" w:line="240" w:lineRule="auto"/>
        <w:rPr>
          <w:rFonts w:ascii="Times New Roman" w:eastAsia="Times New Roman" w:hAnsi="Times New Roman" w:cs="Times New Roman"/>
          <w:lang w:eastAsia="lt-LT" w:bidi="lt-LT"/>
        </w:rPr>
      </w:pPr>
    </w:p>
    <w:p w14:paraId="3789616C" w14:textId="77777777" w:rsidR="003744F7" w:rsidRPr="003744F7" w:rsidRDefault="003744F7" w:rsidP="003744F7">
      <w:pPr>
        <w:numPr>
          <w:ilvl w:val="12"/>
          <w:numId w:val="0"/>
        </w:numPr>
        <w:spacing w:after="0" w:line="240" w:lineRule="auto"/>
        <w:ind w:right="-29"/>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Šis vaistas, kaip ir visi kiti, gali sukelti šalutinį poveikį, nors jis pasireiškia ne visiems žmonėms.</w:t>
      </w:r>
    </w:p>
    <w:p w14:paraId="2C6B3657" w14:textId="77777777" w:rsidR="003744F7" w:rsidRPr="003744F7" w:rsidRDefault="003744F7" w:rsidP="003744F7">
      <w:pPr>
        <w:numPr>
          <w:ilvl w:val="12"/>
          <w:numId w:val="0"/>
        </w:numPr>
        <w:spacing w:after="0" w:line="240" w:lineRule="auto"/>
        <w:ind w:right="-29"/>
        <w:rPr>
          <w:rFonts w:ascii="Times New Roman" w:eastAsia="Times New Roman" w:hAnsi="Times New Roman" w:cs="Times New Roman"/>
          <w:noProof/>
          <w:lang w:eastAsia="lt-LT" w:bidi="lt-LT"/>
        </w:rPr>
      </w:pPr>
    </w:p>
    <w:p w14:paraId="281073BC"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Nedelsdami kreipkitės į gydytoją, pastebėję bet kurį iš šių šalutinių poveikių (gali reikėti skubaus gydymo):</w:t>
      </w:r>
    </w:p>
    <w:p w14:paraId="1A34BBC1" w14:textId="77777777" w:rsidR="003744F7" w:rsidRPr="003744F7" w:rsidRDefault="003744F7" w:rsidP="003744F7">
      <w:pPr>
        <w:numPr>
          <w:ilvl w:val="0"/>
          <w:numId w:val="43"/>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alerginę reakciją (ji pasireiškia dažnai), ypač jeigu tinsta veidas, lūpos, liežuvis arba gerklos, atsiranda dilgėlinė, išbėrimas ruplėmis, pasunkėja rijimas ar kvėpavimas;</w:t>
      </w:r>
    </w:p>
    <w:p w14:paraId="7413A763" w14:textId="557D8DE5" w:rsidR="003744F7" w:rsidRPr="003744F7" w:rsidRDefault="003744F7" w:rsidP="003744F7">
      <w:pPr>
        <w:numPr>
          <w:ilvl w:val="0"/>
          <w:numId w:val="43"/>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sunkų arba staiga pasunkėjusį dusulį (kartu gali būti kosulys ar karščiavimas) – šie sutrikimai gali rodyti plaučių uždegimą, vadinamą „intersticine plaučių liga“ (jis gali pasireikšti maždaug vienam iš 100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vartojančių pacientų ir kelti pavojų gyvybei);</w:t>
      </w:r>
    </w:p>
    <w:p w14:paraId="31097DB9" w14:textId="77777777" w:rsidR="003744F7" w:rsidRPr="003744F7" w:rsidRDefault="003744F7" w:rsidP="003744F7">
      <w:pPr>
        <w:numPr>
          <w:ilvl w:val="0"/>
          <w:numId w:val="43"/>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sunkių odos reakcijų (jų būna retai), pažeidžiančių dideles kūno paviršiaus sritis (jų požymiai gali būti paraudimas, skausmas, opos, pūslės ir odos pleiskanojimas; šios reakcijos taip pat gali pažeisti lūpas, nosį, akis ir lytinius organus);</w:t>
      </w:r>
    </w:p>
    <w:p w14:paraId="5428E651" w14:textId="77777777" w:rsidR="003744F7" w:rsidRPr="003744F7" w:rsidRDefault="003744F7" w:rsidP="003744F7">
      <w:pPr>
        <w:numPr>
          <w:ilvl w:val="0"/>
          <w:numId w:val="43"/>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skysčių netekimą (jis pasireiškia dažnai) dėl ilgalaikio ar stipraus viduriavimo, vėmimo, pykinimo arba apetito stokos;</w:t>
      </w:r>
    </w:p>
    <w:p w14:paraId="40188F89" w14:textId="77777777" w:rsidR="003744F7" w:rsidRPr="003744F7" w:rsidRDefault="003744F7" w:rsidP="003744F7">
      <w:pPr>
        <w:numPr>
          <w:ilvl w:val="0"/>
          <w:numId w:val="43"/>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akių sutrikimų (jų būna nedažnai), pvz., skausmą, paraudimą, ašarojimą, jautrumą šviesai, pakitusią regą arba blakstienų įaugimą. Jų priežastis gali būti akies paviršiuje (ragenoje) atsiradusi opa.</w:t>
      </w:r>
    </w:p>
    <w:p w14:paraId="09475A02" w14:textId="77777777" w:rsidR="003744F7" w:rsidRPr="003744F7" w:rsidRDefault="003744F7" w:rsidP="003744F7">
      <w:pPr>
        <w:spacing w:after="0" w:line="240" w:lineRule="auto"/>
        <w:ind w:right="-2"/>
        <w:rPr>
          <w:rFonts w:ascii="Times New Roman" w:eastAsia="Times New Roman" w:hAnsi="Times New Roman" w:cs="Times New Roman"/>
          <w:b/>
          <w:lang w:eastAsia="lt-LT" w:bidi="lt-LT"/>
        </w:rPr>
      </w:pPr>
    </w:p>
    <w:p w14:paraId="1154AD09"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Kiek įmanoma greičiau pasakykite gydytojui, jeigu pastebėjote kurį nors iš žemiau išvardytų šalutinių poveikių:</w:t>
      </w:r>
    </w:p>
    <w:p w14:paraId="787EEF7C"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p>
    <w:p w14:paraId="38B6513F" w14:textId="18904235"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Labai dažn</w:t>
      </w:r>
      <w:r w:rsidR="0077175E">
        <w:rPr>
          <w:rFonts w:ascii="Times New Roman" w:eastAsia="Times New Roman" w:hAnsi="Times New Roman" w:cs="Times New Roman"/>
          <w:b/>
          <w:lang w:eastAsia="lt-LT" w:bidi="lt-LT"/>
        </w:rPr>
        <w:t>i</w:t>
      </w:r>
      <w:r w:rsidRPr="003744F7">
        <w:rPr>
          <w:rFonts w:ascii="Times New Roman" w:eastAsia="Times New Roman" w:hAnsi="Times New Roman" w:cs="Times New Roman"/>
          <w:b/>
          <w:lang w:eastAsia="lt-LT" w:bidi="lt-LT"/>
        </w:rPr>
        <w:t xml:space="preserve"> šalutini</w:t>
      </w:r>
      <w:r w:rsidR="0077175E">
        <w:rPr>
          <w:rFonts w:ascii="Times New Roman" w:eastAsia="Times New Roman" w:hAnsi="Times New Roman" w:cs="Times New Roman"/>
          <w:b/>
          <w:lang w:eastAsia="lt-LT" w:bidi="lt-LT"/>
        </w:rPr>
        <w:t>ai</w:t>
      </w:r>
      <w:r w:rsidRPr="003744F7">
        <w:rPr>
          <w:rFonts w:ascii="Times New Roman" w:eastAsia="Times New Roman" w:hAnsi="Times New Roman" w:cs="Times New Roman"/>
          <w:b/>
          <w:lang w:eastAsia="lt-LT" w:bidi="lt-LT"/>
        </w:rPr>
        <w:t xml:space="preserve"> </w:t>
      </w:r>
      <w:r w:rsidR="0077175E">
        <w:rPr>
          <w:rFonts w:ascii="Times New Roman" w:eastAsia="Times New Roman" w:hAnsi="Times New Roman" w:cs="Times New Roman"/>
          <w:b/>
          <w:lang w:eastAsia="lt-LT" w:bidi="lt-LT"/>
        </w:rPr>
        <w:t>reiškiniai</w:t>
      </w:r>
      <w:r w:rsidRPr="003744F7">
        <w:rPr>
          <w:rFonts w:ascii="Times New Roman" w:eastAsia="Times New Roman" w:hAnsi="Times New Roman" w:cs="Times New Roman"/>
          <w:b/>
          <w:lang w:eastAsia="lt-LT" w:bidi="lt-LT"/>
        </w:rPr>
        <w:t xml:space="preserve"> (gali pasireikšti </w:t>
      </w:r>
      <w:r w:rsidR="0077175E">
        <w:rPr>
          <w:rFonts w:ascii="Times New Roman" w:eastAsia="Times New Roman" w:hAnsi="Times New Roman" w:cs="Times New Roman"/>
          <w:b/>
          <w:lang w:eastAsia="lt-LT" w:bidi="lt-LT"/>
        </w:rPr>
        <w:t xml:space="preserve">ne rečiau </w:t>
      </w:r>
      <w:r w:rsidRPr="003744F7">
        <w:rPr>
          <w:rFonts w:ascii="Times New Roman" w:eastAsia="Times New Roman" w:hAnsi="Times New Roman" w:cs="Times New Roman"/>
          <w:b/>
          <w:lang w:eastAsia="lt-LT" w:bidi="lt-LT"/>
        </w:rPr>
        <w:t xml:space="preserve">kaip 1 iš 10 </w:t>
      </w:r>
      <w:r w:rsidR="0077175E">
        <w:rPr>
          <w:rFonts w:ascii="Times New Roman" w:eastAsia="Times New Roman" w:hAnsi="Times New Roman" w:cs="Times New Roman"/>
          <w:b/>
          <w:lang w:eastAsia="lt-LT" w:bidi="lt-LT"/>
        </w:rPr>
        <w:t>asmenų</w:t>
      </w:r>
      <w:r w:rsidRPr="003744F7">
        <w:rPr>
          <w:rFonts w:ascii="Times New Roman" w:eastAsia="Times New Roman" w:hAnsi="Times New Roman" w:cs="Times New Roman"/>
          <w:b/>
          <w:lang w:eastAsia="lt-LT" w:bidi="lt-LT"/>
        </w:rPr>
        <w:t>):</w:t>
      </w:r>
    </w:p>
    <w:p w14:paraId="4557B8A0" w14:textId="77777777" w:rsidR="003744F7" w:rsidRPr="003744F7" w:rsidRDefault="003744F7" w:rsidP="003744F7">
      <w:pPr>
        <w:numPr>
          <w:ilvl w:val="0"/>
          <w:numId w:val="44"/>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viduriavimas;</w:t>
      </w:r>
    </w:p>
    <w:p w14:paraId="5152AAB1" w14:textId="77777777" w:rsidR="003744F7" w:rsidRPr="003744F7" w:rsidRDefault="003744F7" w:rsidP="003744F7">
      <w:pPr>
        <w:numPr>
          <w:ilvl w:val="0"/>
          <w:numId w:val="44"/>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vėmimas;</w:t>
      </w:r>
    </w:p>
    <w:p w14:paraId="6B6B1699" w14:textId="77777777" w:rsidR="003744F7" w:rsidRPr="003744F7" w:rsidRDefault="003744F7" w:rsidP="003744F7">
      <w:pPr>
        <w:numPr>
          <w:ilvl w:val="0"/>
          <w:numId w:val="44"/>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pykinimas;</w:t>
      </w:r>
    </w:p>
    <w:p w14:paraId="064EE4AC" w14:textId="77777777" w:rsidR="003744F7" w:rsidRPr="003744F7" w:rsidRDefault="003744F7" w:rsidP="003744F7">
      <w:pPr>
        <w:numPr>
          <w:ilvl w:val="0"/>
          <w:numId w:val="44"/>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odos reakcijos, pvz., panašus į spuogus išbėrimas (kartais kartu būna niežulys, sausa oda ir / arba odos plyšių);</w:t>
      </w:r>
    </w:p>
    <w:p w14:paraId="1BA73BFB" w14:textId="77777777" w:rsidR="003744F7" w:rsidRPr="003744F7" w:rsidRDefault="003744F7" w:rsidP="003744F7">
      <w:pPr>
        <w:numPr>
          <w:ilvl w:val="0"/>
          <w:numId w:val="44"/>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apetito stoka;</w:t>
      </w:r>
    </w:p>
    <w:p w14:paraId="79B4C713" w14:textId="77777777" w:rsidR="003744F7" w:rsidRPr="003744F7" w:rsidRDefault="003744F7" w:rsidP="003744F7">
      <w:pPr>
        <w:numPr>
          <w:ilvl w:val="0"/>
          <w:numId w:val="44"/>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silpnumas;</w:t>
      </w:r>
    </w:p>
    <w:p w14:paraId="27461B44" w14:textId="77777777" w:rsidR="003744F7" w:rsidRPr="003744F7" w:rsidRDefault="003744F7" w:rsidP="003744F7">
      <w:pPr>
        <w:numPr>
          <w:ilvl w:val="0"/>
          <w:numId w:val="44"/>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burnos ertmės paraudimas ar perštėjimas;</w:t>
      </w:r>
    </w:p>
    <w:p w14:paraId="4790C0D1" w14:textId="4CB96501" w:rsidR="003744F7" w:rsidRPr="003744F7" w:rsidRDefault="003744F7" w:rsidP="003744F7">
      <w:pPr>
        <w:numPr>
          <w:ilvl w:val="0"/>
          <w:numId w:val="44"/>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padidėjęs kepenų fermento, vadinamo alanino aminotransferaze, kiekis (nustatomas tiriant kraują; jeigu jis per didelis, gydytojas gali nurodyti nutraukti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vartojimą).</w:t>
      </w:r>
    </w:p>
    <w:p w14:paraId="1741E5D9"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p>
    <w:p w14:paraId="561B7A17" w14:textId="5F558483"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Dažn</w:t>
      </w:r>
      <w:r w:rsidR="0077175E">
        <w:rPr>
          <w:rFonts w:ascii="Times New Roman" w:eastAsia="Times New Roman" w:hAnsi="Times New Roman" w:cs="Times New Roman"/>
          <w:b/>
          <w:lang w:eastAsia="lt-LT" w:bidi="lt-LT"/>
        </w:rPr>
        <w:t>i</w:t>
      </w:r>
      <w:r w:rsidRPr="003744F7">
        <w:rPr>
          <w:rFonts w:ascii="Times New Roman" w:eastAsia="Times New Roman" w:hAnsi="Times New Roman" w:cs="Times New Roman"/>
          <w:b/>
          <w:lang w:eastAsia="lt-LT" w:bidi="lt-LT"/>
        </w:rPr>
        <w:t xml:space="preserve"> šalutini</w:t>
      </w:r>
      <w:r w:rsidR="0077175E">
        <w:rPr>
          <w:rFonts w:ascii="Times New Roman" w:eastAsia="Times New Roman" w:hAnsi="Times New Roman" w:cs="Times New Roman"/>
          <w:b/>
          <w:lang w:eastAsia="lt-LT" w:bidi="lt-LT"/>
        </w:rPr>
        <w:t>ai</w:t>
      </w:r>
      <w:r w:rsidRPr="003744F7">
        <w:rPr>
          <w:rFonts w:ascii="Times New Roman" w:eastAsia="Times New Roman" w:hAnsi="Times New Roman" w:cs="Times New Roman"/>
          <w:b/>
          <w:lang w:eastAsia="lt-LT" w:bidi="lt-LT"/>
        </w:rPr>
        <w:t xml:space="preserve"> </w:t>
      </w:r>
      <w:r w:rsidR="0077175E">
        <w:rPr>
          <w:rFonts w:ascii="Times New Roman" w:eastAsia="Times New Roman" w:hAnsi="Times New Roman" w:cs="Times New Roman"/>
          <w:b/>
          <w:lang w:eastAsia="lt-LT" w:bidi="lt-LT"/>
        </w:rPr>
        <w:t>reiškiniai</w:t>
      </w:r>
      <w:r w:rsidRPr="003744F7">
        <w:rPr>
          <w:rFonts w:ascii="Times New Roman" w:eastAsia="Times New Roman" w:hAnsi="Times New Roman" w:cs="Times New Roman"/>
          <w:b/>
          <w:lang w:eastAsia="lt-LT" w:bidi="lt-LT"/>
        </w:rPr>
        <w:t xml:space="preserve"> (gali pasireikšti rečiau kaip 1 iš 10 </w:t>
      </w:r>
      <w:r w:rsidR="0077175E">
        <w:rPr>
          <w:rFonts w:ascii="Times New Roman" w:eastAsia="Times New Roman" w:hAnsi="Times New Roman" w:cs="Times New Roman"/>
          <w:b/>
          <w:lang w:eastAsia="lt-LT" w:bidi="lt-LT"/>
        </w:rPr>
        <w:t>asmenų</w:t>
      </w:r>
      <w:r w:rsidRPr="003744F7">
        <w:rPr>
          <w:rFonts w:ascii="Times New Roman" w:eastAsia="Times New Roman" w:hAnsi="Times New Roman" w:cs="Times New Roman"/>
          <w:b/>
          <w:lang w:eastAsia="lt-LT" w:bidi="lt-LT"/>
        </w:rPr>
        <w:t>):</w:t>
      </w:r>
    </w:p>
    <w:p w14:paraId="7727B066"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burnos sausumas;</w:t>
      </w:r>
    </w:p>
    <w:p w14:paraId="48A73669"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akių sausumas, paraudimas ar niežulys;</w:t>
      </w:r>
    </w:p>
    <w:p w14:paraId="51DF2FA3"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vokų paraudimas ir perštėjimas;</w:t>
      </w:r>
    </w:p>
    <w:p w14:paraId="7A3363B7"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nagų sutrikimai;</w:t>
      </w:r>
    </w:p>
    <w:p w14:paraId="20856C14"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plaukų slinkimas;</w:t>
      </w:r>
    </w:p>
    <w:p w14:paraId="398FF3D6"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karščiavimas;</w:t>
      </w:r>
    </w:p>
    <w:p w14:paraId="628A37E6"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kraujavimas (pvz., kraujavimas iš nosies, kraujas šlapime);</w:t>
      </w:r>
    </w:p>
    <w:p w14:paraId="6B8F669E"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baltymas šlapime (nustatomas tiriant šlapimą);</w:t>
      </w:r>
    </w:p>
    <w:p w14:paraId="7760A319" w14:textId="7F64B6E5"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padidėjęs bilirubino ir kepenų fermento, vadinamo aspartataminotransferaze, kiekis (nustatomas tiriant kraują; jeigu jis per didelis, gydytojas gali nurodyti nutraukti 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vartojimą);</w:t>
      </w:r>
    </w:p>
    <w:p w14:paraId="515DDEE8"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padidėjusi kreatinino koncentracija kraujyje (nustatoma tiriant kraują; šio tyrimo duomenys rodo inkstų funkciją);</w:t>
      </w:r>
    </w:p>
    <w:p w14:paraId="193D489E" w14:textId="77777777" w:rsidR="003744F7" w:rsidRPr="003744F7" w:rsidRDefault="003744F7" w:rsidP="003744F7">
      <w:pPr>
        <w:numPr>
          <w:ilvl w:val="0"/>
          <w:numId w:val="45"/>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cistitas (jis pasireiškia deginimo pojūčiu šlapinantis ir dažnu, staiga atsirandančiu noru šlapintis).</w:t>
      </w:r>
    </w:p>
    <w:p w14:paraId="5F17A32C" w14:textId="77777777" w:rsidR="003744F7" w:rsidRPr="003744F7" w:rsidRDefault="003744F7" w:rsidP="003744F7">
      <w:pPr>
        <w:spacing w:after="0" w:line="240" w:lineRule="auto"/>
        <w:ind w:right="-2"/>
        <w:rPr>
          <w:rFonts w:ascii="Times New Roman" w:eastAsia="Times New Roman" w:hAnsi="Times New Roman" w:cs="Times New Roman"/>
          <w:lang w:eastAsia="lt-LT" w:bidi="lt-LT"/>
        </w:rPr>
      </w:pPr>
    </w:p>
    <w:p w14:paraId="28DBBDA8" w14:textId="78E628C8"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Nedažn</w:t>
      </w:r>
      <w:r w:rsidR="0077175E">
        <w:rPr>
          <w:rFonts w:ascii="Times New Roman" w:eastAsia="Times New Roman" w:hAnsi="Times New Roman" w:cs="Times New Roman"/>
          <w:b/>
          <w:lang w:eastAsia="lt-LT" w:bidi="lt-LT"/>
        </w:rPr>
        <w:t>i</w:t>
      </w:r>
      <w:r w:rsidRPr="003744F7">
        <w:rPr>
          <w:rFonts w:ascii="Times New Roman" w:eastAsia="Times New Roman" w:hAnsi="Times New Roman" w:cs="Times New Roman"/>
          <w:b/>
          <w:lang w:eastAsia="lt-LT" w:bidi="lt-LT"/>
        </w:rPr>
        <w:t xml:space="preserve"> šalutini</w:t>
      </w:r>
      <w:r w:rsidR="0077175E">
        <w:rPr>
          <w:rFonts w:ascii="Times New Roman" w:eastAsia="Times New Roman" w:hAnsi="Times New Roman" w:cs="Times New Roman"/>
          <w:b/>
          <w:lang w:eastAsia="lt-LT" w:bidi="lt-LT"/>
        </w:rPr>
        <w:t>ai</w:t>
      </w:r>
      <w:r w:rsidRPr="003744F7">
        <w:rPr>
          <w:rFonts w:ascii="Times New Roman" w:eastAsia="Times New Roman" w:hAnsi="Times New Roman" w:cs="Times New Roman"/>
          <w:b/>
          <w:lang w:eastAsia="lt-LT" w:bidi="lt-LT"/>
        </w:rPr>
        <w:t xml:space="preserve"> </w:t>
      </w:r>
      <w:r w:rsidR="0077175E">
        <w:rPr>
          <w:rFonts w:ascii="Times New Roman" w:eastAsia="Times New Roman" w:hAnsi="Times New Roman" w:cs="Times New Roman"/>
          <w:b/>
          <w:lang w:eastAsia="lt-LT" w:bidi="lt-LT"/>
        </w:rPr>
        <w:t>reiškiniai</w:t>
      </w:r>
      <w:r w:rsidRPr="003744F7">
        <w:rPr>
          <w:rFonts w:ascii="Times New Roman" w:eastAsia="Times New Roman" w:hAnsi="Times New Roman" w:cs="Times New Roman"/>
          <w:b/>
          <w:lang w:eastAsia="lt-LT" w:bidi="lt-LT"/>
        </w:rPr>
        <w:t xml:space="preserve"> (gali pasireikšti rečiau kaip</w:t>
      </w:r>
      <w:r w:rsidRPr="003744F7" w:rsidDel="00CB4DB8">
        <w:rPr>
          <w:rFonts w:ascii="Times New Roman" w:eastAsia="Times New Roman" w:hAnsi="Times New Roman" w:cs="Times New Roman"/>
          <w:b/>
          <w:lang w:eastAsia="lt-LT" w:bidi="lt-LT"/>
        </w:rPr>
        <w:t xml:space="preserve"> </w:t>
      </w:r>
      <w:r w:rsidRPr="003744F7">
        <w:rPr>
          <w:rFonts w:ascii="Times New Roman" w:eastAsia="Times New Roman" w:hAnsi="Times New Roman" w:cs="Times New Roman"/>
          <w:b/>
          <w:lang w:eastAsia="lt-LT" w:bidi="lt-LT"/>
        </w:rPr>
        <w:t xml:space="preserve">1 iš 100 </w:t>
      </w:r>
      <w:r w:rsidR="0077175E">
        <w:rPr>
          <w:rFonts w:ascii="Times New Roman" w:eastAsia="Times New Roman" w:hAnsi="Times New Roman" w:cs="Times New Roman"/>
          <w:b/>
          <w:lang w:eastAsia="lt-LT" w:bidi="lt-LT"/>
        </w:rPr>
        <w:t>asmenų</w:t>
      </w:r>
      <w:r w:rsidRPr="003744F7">
        <w:rPr>
          <w:rFonts w:ascii="Times New Roman" w:eastAsia="Times New Roman" w:hAnsi="Times New Roman" w:cs="Times New Roman"/>
          <w:b/>
          <w:lang w:eastAsia="lt-LT" w:bidi="lt-LT"/>
        </w:rPr>
        <w:t>):</w:t>
      </w:r>
    </w:p>
    <w:p w14:paraId="11079460" w14:textId="77777777" w:rsidR="003744F7" w:rsidRPr="003744F7" w:rsidRDefault="003744F7" w:rsidP="003744F7">
      <w:pPr>
        <w:numPr>
          <w:ilvl w:val="0"/>
          <w:numId w:val="47"/>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kasos uždegimas (jo simptomai yra labai stiprus skausmas viršutinėje skrandžio srities dalyje, stiprus pykinimas ir vėmimas);</w:t>
      </w:r>
    </w:p>
    <w:p w14:paraId="6AD3DF25" w14:textId="77777777" w:rsidR="003744F7" w:rsidRPr="003744F7" w:rsidRDefault="003744F7" w:rsidP="003744F7">
      <w:pPr>
        <w:numPr>
          <w:ilvl w:val="0"/>
          <w:numId w:val="47"/>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lastRenderedPageBreak/>
        <w:t>kepenų uždegimas, kurio simptomai gali būti bendras negalavimas su gelta (pageltusi oda ir akys) ar be jos. Šis šalutinis poveikis pasireiškia nedažnai, tačiau dėl jo yra buvę mirties atvejų;</w:t>
      </w:r>
    </w:p>
    <w:p w14:paraId="2C2F861B" w14:textId="77777777" w:rsidR="000B1D73" w:rsidRDefault="003744F7" w:rsidP="003744F7">
      <w:pPr>
        <w:numPr>
          <w:ilvl w:val="0"/>
          <w:numId w:val="47"/>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virškinimo trakto prakiurimas</w:t>
      </w:r>
      <w:r w:rsidR="000B1D73">
        <w:rPr>
          <w:rFonts w:ascii="Times New Roman" w:eastAsia="Times New Roman" w:hAnsi="Times New Roman" w:cs="Times New Roman"/>
          <w:lang w:eastAsia="lt-LT" w:bidi="lt-LT"/>
        </w:rPr>
        <w:t>;</w:t>
      </w:r>
    </w:p>
    <w:p w14:paraId="5D247817" w14:textId="6C3B6FBB" w:rsidR="003744F7" w:rsidRPr="000B1D73" w:rsidRDefault="000B1D73" w:rsidP="000B1D73">
      <w:pPr>
        <w:numPr>
          <w:ilvl w:val="0"/>
          <w:numId w:val="47"/>
        </w:numPr>
        <w:tabs>
          <w:tab w:val="left" w:pos="567"/>
        </w:tabs>
        <w:spacing w:after="0" w:line="240" w:lineRule="auto"/>
        <w:ind w:right="-2"/>
        <w:contextualSpacing/>
        <w:rPr>
          <w:rFonts w:ascii="Times New Roman" w:eastAsia="Times New Roman" w:hAnsi="Times New Roman" w:cs="Times New Roman"/>
          <w:lang w:eastAsia="lt-LT" w:bidi="lt-LT"/>
        </w:rPr>
      </w:pPr>
      <w:r w:rsidRPr="000B1D73">
        <w:rPr>
          <w:rFonts w:ascii="Times New Roman" w:eastAsia="Times New Roman" w:hAnsi="Times New Roman" w:cs="Times New Roman"/>
          <w:lang w:eastAsia="lt-LT" w:bidi="lt-LT"/>
        </w:rPr>
        <w:t>plaštakų ir pėdų odos reakcija, kuri pasireiškia dilgčiojimu, nejautra, skausmu, patinimu ar</w:t>
      </w:r>
      <w:r>
        <w:rPr>
          <w:rFonts w:ascii="Times New Roman" w:eastAsia="Times New Roman" w:hAnsi="Times New Roman" w:cs="Times New Roman"/>
          <w:lang w:eastAsia="lt-LT" w:bidi="lt-LT"/>
        </w:rPr>
        <w:t xml:space="preserve"> </w:t>
      </w:r>
      <w:r w:rsidRPr="000B1D73">
        <w:rPr>
          <w:rFonts w:ascii="Times New Roman" w:eastAsia="Times New Roman" w:hAnsi="Times New Roman" w:cs="Times New Roman"/>
          <w:lang w:eastAsia="lt-LT" w:bidi="lt-LT"/>
        </w:rPr>
        <w:t>paraudinimu (vadinama plaštakų ir pėdų eritrodizestezijos sindromu arba plaštakų ir pėdų sindromu)</w:t>
      </w:r>
      <w:r w:rsidR="003744F7" w:rsidRPr="000B1D73">
        <w:rPr>
          <w:rFonts w:ascii="Times New Roman" w:eastAsia="Times New Roman" w:hAnsi="Times New Roman" w:cs="Times New Roman"/>
          <w:lang w:eastAsia="lt-LT" w:bidi="lt-LT"/>
        </w:rPr>
        <w:t>.</w:t>
      </w:r>
    </w:p>
    <w:p w14:paraId="5B1FE8B0"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p>
    <w:p w14:paraId="722E9C13" w14:textId="0A2BB0AF"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Ret</w:t>
      </w:r>
      <w:r w:rsidR="0077175E">
        <w:rPr>
          <w:rFonts w:ascii="Times New Roman" w:eastAsia="Times New Roman" w:hAnsi="Times New Roman" w:cs="Times New Roman"/>
          <w:b/>
          <w:lang w:eastAsia="lt-LT" w:bidi="lt-LT"/>
        </w:rPr>
        <w:t>i</w:t>
      </w:r>
      <w:r w:rsidRPr="003744F7">
        <w:rPr>
          <w:rFonts w:ascii="Times New Roman" w:eastAsia="Times New Roman" w:hAnsi="Times New Roman" w:cs="Times New Roman"/>
          <w:b/>
          <w:lang w:eastAsia="lt-LT" w:bidi="lt-LT"/>
        </w:rPr>
        <w:t xml:space="preserve"> šalutini</w:t>
      </w:r>
      <w:r w:rsidR="0077175E">
        <w:rPr>
          <w:rFonts w:ascii="Times New Roman" w:eastAsia="Times New Roman" w:hAnsi="Times New Roman" w:cs="Times New Roman"/>
          <w:b/>
          <w:lang w:eastAsia="lt-LT" w:bidi="lt-LT"/>
        </w:rPr>
        <w:t>ai</w:t>
      </w:r>
      <w:r w:rsidRPr="003744F7">
        <w:rPr>
          <w:rFonts w:ascii="Times New Roman" w:eastAsia="Times New Roman" w:hAnsi="Times New Roman" w:cs="Times New Roman"/>
          <w:b/>
          <w:lang w:eastAsia="lt-LT" w:bidi="lt-LT"/>
        </w:rPr>
        <w:t xml:space="preserve"> </w:t>
      </w:r>
      <w:r w:rsidR="0077175E">
        <w:rPr>
          <w:rFonts w:ascii="Times New Roman" w:eastAsia="Times New Roman" w:hAnsi="Times New Roman" w:cs="Times New Roman"/>
          <w:b/>
          <w:lang w:eastAsia="lt-LT" w:bidi="lt-LT"/>
        </w:rPr>
        <w:t>reiškiniai</w:t>
      </w:r>
      <w:r w:rsidRPr="003744F7">
        <w:rPr>
          <w:rFonts w:ascii="Times New Roman" w:eastAsia="Times New Roman" w:hAnsi="Times New Roman" w:cs="Times New Roman"/>
          <w:b/>
          <w:lang w:eastAsia="lt-LT" w:bidi="lt-LT"/>
        </w:rPr>
        <w:t xml:space="preserve"> (gali pasireikšti rečiau kaip</w:t>
      </w:r>
      <w:r w:rsidRPr="003744F7" w:rsidDel="00CB4DB8">
        <w:rPr>
          <w:rFonts w:ascii="Times New Roman" w:eastAsia="Times New Roman" w:hAnsi="Times New Roman" w:cs="Times New Roman"/>
          <w:b/>
          <w:lang w:eastAsia="lt-LT" w:bidi="lt-LT"/>
        </w:rPr>
        <w:t xml:space="preserve"> </w:t>
      </w:r>
      <w:r w:rsidRPr="003744F7">
        <w:rPr>
          <w:rFonts w:ascii="Times New Roman" w:eastAsia="Times New Roman" w:hAnsi="Times New Roman" w:cs="Times New Roman"/>
          <w:b/>
          <w:lang w:eastAsia="lt-LT" w:bidi="lt-LT"/>
        </w:rPr>
        <w:t>1 iš 1</w:t>
      </w:r>
      <w:r w:rsidR="0077175E">
        <w:rPr>
          <w:rFonts w:ascii="Times New Roman" w:eastAsia="Times New Roman" w:hAnsi="Times New Roman" w:cs="Times New Roman"/>
          <w:b/>
          <w:lang w:eastAsia="lt-LT" w:bidi="lt-LT"/>
        </w:rPr>
        <w:t> </w:t>
      </w:r>
      <w:r w:rsidRPr="003744F7">
        <w:rPr>
          <w:rFonts w:ascii="Times New Roman" w:eastAsia="Times New Roman" w:hAnsi="Times New Roman" w:cs="Times New Roman"/>
          <w:b/>
          <w:lang w:eastAsia="lt-LT" w:bidi="lt-LT"/>
        </w:rPr>
        <w:t xml:space="preserve">000 </w:t>
      </w:r>
      <w:r w:rsidR="0077175E">
        <w:rPr>
          <w:rFonts w:ascii="Times New Roman" w:eastAsia="Times New Roman" w:hAnsi="Times New Roman" w:cs="Times New Roman"/>
          <w:b/>
          <w:lang w:eastAsia="lt-LT" w:bidi="lt-LT"/>
        </w:rPr>
        <w:t>asmenų</w:t>
      </w:r>
      <w:r w:rsidRPr="003744F7">
        <w:rPr>
          <w:rFonts w:ascii="Times New Roman" w:eastAsia="Times New Roman" w:hAnsi="Times New Roman" w:cs="Times New Roman"/>
          <w:b/>
          <w:lang w:eastAsia="lt-LT" w:bidi="lt-LT"/>
        </w:rPr>
        <w:t>):</w:t>
      </w:r>
    </w:p>
    <w:p w14:paraId="01267393" w14:textId="69E525E3" w:rsidR="003744F7" w:rsidRPr="003744F7" w:rsidRDefault="003744F7" w:rsidP="003744F7">
      <w:pPr>
        <w:numPr>
          <w:ilvl w:val="0"/>
          <w:numId w:val="46"/>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odos kraujagyslių uždegimas</w:t>
      </w:r>
      <w:r w:rsidR="0081430A">
        <w:rPr>
          <w:rFonts w:ascii="Times New Roman" w:eastAsia="Times New Roman" w:hAnsi="Times New Roman" w:cs="Times New Roman"/>
          <w:lang w:eastAsia="lt-LT" w:bidi="lt-LT"/>
        </w:rPr>
        <w:t>, dėl kurio</w:t>
      </w:r>
      <w:r w:rsidRPr="003744F7">
        <w:rPr>
          <w:rFonts w:ascii="Times New Roman" w:eastAsia="Times New Roman" w:hAnsi="Times New Roman" w:cs="Times New Roman"/>
          <w:lang w:eastAsia="lt-LT" w:bidi="lt-LT"/>
        </w:rPr>
        <w:t xml:space="preserve"> gali susidaryti kraujosruvų ar paspaudus neblunkančio išbėrimo dėmių odoje;</w:t>
      </w:r>
    </w:p>
    <w:p w14:paraId="3B2C8CD1" w14:textId="77777777" w:rsidR="003744F7" w:rsidRPr="003744F7" w:rsidRDefault="003744F7" w:rsidP="003744F7">
      <w:pPr>
        <w:numPr>
          <w:ilvl w:val="0"/>
          <w:numId w:val="46"/>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hemoraginis cistitas (jis pasireiškia deginimo pojūčiu šlapinantis ir dažnu, staiga atsirandančiu noru šlapintis, o šlapime pastebima kraujo).</w:t>
      </w:r>
    </w:p>
    <w:p w14:paraId="37231388"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p>
    <w:p w14:paraId="57B11309" w14:textId="77777777" w:rsidR="003744F7" w:rsidRPr="003744F7" w:rsidRDefault="003744F7" w:rsidP="003744F7">
      <w:pPr>
        <w:numPr>
          <w:ilvl w:val="12"/>
          <w:numId w:val="0"/>
        </w:numPr>
        <w:tabs>
          <w:tab w:val="left" w:pos="567"/>
        </w:tabs>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Pranešimas apie šalutinį poveikį</w:t>
      </w:r>
    </w:p>
    <w:p w14:paraId="3F3416D0" w14:textId="639DB7AC" w:rsidR="003744F7" w:rsidRPr="0077175E" w:rsidRDefault="003744F7" w:rsidP="003744F7">
      <w:pPr>
        <w:tabs>
          <w:tab w:val="left" w:pos="567"/>
        </w:tabs>
        <w:snapToGrid w:val="0"/>
        <w:spacing w:after="0" w:line="260" w:lineRule="exact"/>
        <w:rPr>
          <w:rFonts w:ascii="Times New Roman" w:eastAsia="Calibri" w:hAnsi="Times New Roman" w:cs="Times New Roman"/>
          <w:lang w:eastAsia="lt-LT" w:bidi="lt-LT"/>
        </w:rPr>
      </w:pPr>
      <w:r w:rsidRPr="0077175E">
        <w:rPr>
          <w:rFonts w:ascii="Times New Roman" w:eastAsia="Calibri" w:hAnsi="Times New Roman" w:cs="Times New Roman"/>
          <w:lang w:eastAsia="lt-LT" w:bidi="lt-LT"/>
        </w:rPr>
        <w:t xml:space="preserve">Jeigu pasireiškė šalutinis poveikis, įskaitant šiame lapelyje nenurodytą, pasakykite gydytojui, vaistininkui arba slaugytojui. </w:t>
      </w:r>
      <w:r w:rsidR="0077175E" w:rsidRPr="00C93C79">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7175E" w:rsidRPr="00C93C79">
        <w:rPr>
          <w:rFonts w:ascii="Times New Roman" w:hAnsi="Times New Roman" w:cs="Times New Roman"/>
          <w:color w:val="0000FF"/>
          <w:u w:val="single"/>
        </w:rPr>
        <w:t>https://vapris.vvkt.lt/vvkt-web/public/nrv</w:t>
      </w:r>
      <w:r w:rsidR="0077175E" w:rsidRPr="00C93C79">
        <w:rPr>
          <w:rFonts w:ascii="Times New Roman" w:hAnsi="Times New Roman" w:cs="Times New Roman"/>
        </w:rPr>
        <w:t xml:space="preserve"> arba užpildant Paciento pranešimo apie įtariamą nepageidaujamą reakciją (ĮNR) formą, kuri skelbiama </w:t>
      </w:r>
      <w:r w:rsidR="0077175E" w:rsidRPr="00C93C79">
        <w:rPr>
          <w:rFonts w:ascii="Times New Roman" w:hAnsi="Times New Roman" w:cs="Times New Roman"/>
          <w:color w:val="0000FF"/>
          <w:u w:val="single"/>
        </w:rPr>
        <w:t>https://www.vvkt.lt/index.php?4004286486</w:t>
      </w:r>
      <w:r w:rsidR="0077175E" w:rsidRPr="00C93C79">
        <w:rPr>
          <w:rFonts w:ascii="Times New Roman" w:hAnsi="Times New Roman" w:cs="Times New Roman"/>
        </w:rPr>
        <w:t xml:space="preserve">, ir atsiunčiant elektroniniu paštu (adresu </w:t>
      </w:r>
      <w:r w:rsidR="0077175E" w:rsidRPr="00C93C79">
        <w:rPr>
          <w:rFonts w:ascii="Times New Roman" w:hAnsi="Times New Roman" w:cs="Times New Roman"/>
          <w:color w:val="0000FF"/>
          <w:u w:val="single"/>
        </w:rPr>
        <w:t>NepageidaujamaR@vvkt.lt</w:t>
      </w:r>
      <w:r w:rsidR="0077175E" w:rsidRPr="00C93C79">
        <w:rPr>
          <w:rFonts w:ascii="Times New Roman" w:hAnsi="Times New Roman" w:cs="Times New Roman"/>
        </w:rPr>
        <w:t>) arba nemokamu telefonu 8</w:t>
      </w:r>
      <w:r w:rsidR="0077175E">
        <w:rPr>
          <w:rFonts w:ascii="Times New Roman" w:hAnsi="Times New Roman" w:cs="Times New Roman"/>
        </w:rPr>
        <w:t> </w:t>
      </w:r>
      <w:r w:rsidR="0077175E" w:rsidRPr="00C93C79">
        <w:rPr>
          <w:rFonts w:ascii="Times New Roman" w:hAnsi="Times New Roman" w:cs="Times New Roman"/>
        </w:rPr>
        <w:t>800</w:t>
      </w:r>
      <w:r w:rsidR="0077175E">
        <w:rPr>
          <w:rFonts w:ascii="Times New Roman" w:hAnsi="Times New Roman" w:cs="Times New Roman"/>
        </w:rPr>
        <w:t> </w:t>
      </w:r>
      <w:r w:rsidR="0077175E" w:rsidRPr="00C93C79">
        <w:rPr>
          <w:rFonts w:ascii="Times New Roman" w:hAnsi="Times New Roman" w:cs="Times New Roman"/>
        </w:rPr>
        <w:t>73</w:t>
      </w:r>
      <w:r w:rsidR="0077175E">
        <w:rPr>
          <w:rFonts w:ascii="Times New Roman" w:hAnsi="Times New Roman" w:cs="Times New Roman"/>
        </w:rPr>
        <w:t> </w:t>
      </w:r>
      <w:r w:rsidR="0077175E" w:rsidRPr="00C93C79">
        <w:rPr>
          <w:rFonts w:ascii="Times New Roman" w:hAnsi="Times New Roman" w:cs="Times New Roman"/>
        </w:rPr>
        <w:t>568.</w:t>
      </w:r>
      <w:r w:rsidRPr="0077175E">
        <w:rPr>
          <w:rFonts w:ascii="Times New Roman" w:eastAsia="Calibri" w:hAnsi="Times New Roman" w:cs="Times New Roman"/>
          <w:lang w:eastAsia="lt-LT" w:bidi="lt-LT"/>
        </w:rPr>
        <w:t xml:space="preserve"> Pranešdami apie šalutinį poveikį galite mums padėti gauti daugiau informacijos apie šio vaisto saugumą.</w:t>
      </w:r>
    </w:p>
    <w:p w14:paraId="4C5BFB89" w14:textId="77777777" w:rsidR="003744F7" w:rsidRPr="0077175E"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p>
    <w:p w14:paraId="7FCD85AA" w14:textId="77777777" w:rsidR="003744F7" w:rsidRPr="003744F7" w:rsidRDefault="003744F7" w:rsidP="003744F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p>
    <w:p w14:paraId="0A8DD53B" w14:textId="55C95FBC" w:rsidR="003744F7" w:rsidRPr="003744F7" w:rsidRDefault="003744F7" w:rsidP="003744F7">
      <w:pPr>
        <w:keepNext/>
        <w:numPr>
          <w:ilvl w:val="0"/>
          <w:numId w:val="34"/>
        </w:numPr>
        <w:tabs>
          <w:tab w:val="left" w:pos="567"/>
        </w:tabs>
        <w:spacing w:after="0" w:line="240" w:lineRule="auto"/>
        <w:ind w:left="567" w:right="-2"/>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Kaip laikyti Gefitinib </w:t>
      </w:r>
      <w:r w:rsidR="004B326A">
        <w:rPr>
          <w:rFonts w:ascii="Times New Roman" w:eastAsia="Times New Roman" w:hAnsi="Times New Roman" w:cs="Times New Roman"/>
          <w:b/>
          <w:noProof/>
          <w:lang w:eastAsia="lt-LT" w:bidi="lt-LT"/>
        </w:rPr>
        <w:t>Zentiva</w:t>
      </w:r>
    </w:p>
    <w:p w14:paraId="7E39DF51" w14:textId="77777777" w:rsidR="003744F7" w:rsidRPr="003744F7" w:rsidRDefault="003744F7" w:rsidP="003744F7">
      <w:pPr>
        <w:keepNext/>
        <w:numPr>
          <w:ilvl w:val="12"/>
          <w:numId w:val="0"/>
        </w:numPr>
        <w:spacing w:after="0" w:line="240" w:lineRule="auto"/>
        <w:ind w:right="-2"/>
        <w:rPr>
          <w:rFonts w:ascii="Times New Roman" w:eastAsia="Times New Roman" w:hAnsi="Times New Roman" w:cs="Times New Roman"/>
          <w:noProof/>
          <w:lang w:eastAsia="lt-LT" w:bidi="lt-LT"/>
        </w:rPr>
      </w:pPr>
    </w:p>
    <w:p w14:paraId="0D39310C"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Šį vaistą laikykite vaikams nepastebimoje ir nepasiekiamoje vietoje.</w:t>
      </w:r>
    </w:p>
    <w:p w14:paraId="661B4E55"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4098FCD4"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Ant dėžutės, lizdinės plokštelės ir folijos įvynioklio po „EXP“ nurodytam tinkamumo laikui pasibaigus, šio vaisto vartoti negalima. Vaistas tinkamas vartoti iki paskutinės nurodyto mėnesio dienos.</w:t>
      </w:r>
    </w:p>
    <w:p w14:paraId="482824B6"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47152FD6"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Šiam vaistui specialių laikymo sąlygų nereikia.</w:t>
      </w:r>
    </w:p>
    <w:p w14:paraId="12D8F6CB"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28807941"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i/>
          <w:iCs/>
          <w:noProof/>
          <w:lang w:eastAsia="lt-LT" w:bidi="lt-LT"/>
        </w:rPr>
      </w:pPr>
      <w:r w:rsidRPr="003744F7">
        <w:rPr>
          <w:rFonts w:ascii="Times New Roman" w:eastAsia="Times New Roman" w:hAnsi="Times New Roman" w:cs="Times New Roman"/>
          <w:lang w:eastAsia="lt-LT" w:bidi="lt-LT"/>
        </w:rPr>
        <w:t>Vaistų negalima išmesti į kanalizaciją arba su buitinėmis atliekomis. Kaip išmesti nereikalingus vaistus, klauskite vaistininko. Šios priemonės padės apsaugoti aplinką.</w:t>
      </w:r>
    </w:p>
    <w:p w14:paraId="63B86C3B"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351D076C"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35B29AF8" w14:textId="77777777" w:rsidR="003744F7" w:rsidRPr="003744F7" w:rsidRDefault="003744F7" w:rsidP="003744F7">
      <w:pPr>
        <w:keepNext/>
        <w:numPr>
          <w:ilvl w:val="0"/>
          <w:numId w:val="34"/>
        </w:numPr>
        <w:tabs>
          <w:tab w:val="left" w:pos="567"/>
        </w:tabs>
        <w:spacing w:after="0" w:line="240" w:lineRule="auto"/>
        <w:ind w:left="567"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Pakuotės turinys ir kita informacija</w:t>
      </w:r>
    </w:p>
    <w:p w14:paraId="1FEFE2AE" w14:textId="77777777" w:rsidR="003744F7" w:rsidRPr="003744F7" w:rsidRDefault="003744F7" w:rsidP="003744F7">
      <w:pPr>
        <w:keepNext/>
        <w:numPr>
          <w:ilvl w:val="12"/>
          <w:numId w:val="0"/>
        </w:numPr>
        <w:spacing w:after="0" w:line="240" w:lineRule="auto"/>
        <w:rPr>
          <w:rFonts w:ascii="Times New Roman" w:eastAsia="Times New Roman" w:hAnsi="Times New Roman" w:cs="Times New Roman"/>
          <w:lang w:eastAsia="lt-LT" w:bidi="lt-LT"/>
        </w:rPr>
      </w:pPr>
    </w:p>
    <w:p w14:paraId="50D7E4BB" w14:textId="296A828B"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noProof/>
          <w:lang w:eastAsia="lt-LT" w:bidi="lt-LT"/>
        </w:rPr>
        <w:t xml:space="preserve">Gefitinib </w:t>
      </w:r>
      <w:r w:rsidR="004B326A">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lang w:eastAsia="lt-LT" w:bidi="lt-LT"/>
        </w:rPr>
        <w:t xml:space="preserve"> sudėtis </w:t>
      </w:r>
    </w:p>
    <w:p w14:paraId="056ECAA1" w14:textId="77777777" w:rsidR="003744F7" w:rsidRPr="003744F7" w:rsidRDefault="003744F7" w:rsidP="003744F7">
      <w:pPr>
        <w:keepNext/>
        <w:numPr>
          <w:ilvl w:val="0"/>
          <w:numId w:val="15"/>
        </w:numPr>
        <w:tabs>
          <w:tab w:val="left" w:pos="567"/>
        </w:tabs>
        <w:spacing w:after="0" w:line="240" w:lineRule="auto"/>
        <w:ind w:left="567" w:right="-2" w:hanging="567"/>
        <w:rPr>
          <w:rFonts w:ascii="Times New Roman" w:eastAsia="Times New Roman" w:hAnsi="Times New Roman" w:cs="Times New Roman"/>
          <w:i/>
          <w:iCs/>
          <w:noProof/>
          <w:lang w:eastAsia="lt-LT" w:bidi="lt-LT"/>
        </w:rPr>
      </w:pPr>
      <w:r w:rsidRPr="003744F7">
        <w:rPr>
          <w:rFonts w:ascii="Times New Roman" w:eastAsia="Times New Roman" w:hAnsi="Times New Roman" w:cs="Times New Roman"/>
          <w:lang w:eastAsia="lt-LT" w:bidi="lt-LT"/>
        </w:rPr>
        <w:t>Veiklioji medžiaga yra gefitinibas. Kiekvienoje tabletėje yra 250 mg gefitinibo.</w:t>
      </w:r>
    </w:p>
    <w:p w14:paraId="06603D29" w14:textId="77777777" w:rsidR="003744F7" w:rsidRPr="003744F7" w:rsidRDefault="003744F7" w:rsidP="003744F7">
      <w:pPr>
        <w:keepNext/>
        <w:numPr>
          <w:ilvl w:val="0"/>
          <w:numId w:val="15"/>
        </w:numPr>
        <w:tabs>
          <w:tab w:val="left" w:pos="567"/>
        </w:tabs>
        <w:spacing w:after="0" w:line="240" w:lineRule="auto"/>
        <w:ind w:left="567" w:right="-2" w:hanging="567"/>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Pagalbinės medžiagos yra laktozė monohidratas, mikrokristalinė celiuliozė (E460), kroskarmeliozės natrio druska (E466), povidonas K-30 (E1201), natrio laurilsulfatas, magnio stearatas, </w:t>
      </w:r>
      <w:r w:rsidRPr="003744F7">
        <w:rPr>
          <w:rFonts w:ascii="Times New Roman" w:eastAsia="Times New Roman" w:hAnsi="Times New Roman" w:cs="Times New Roman"/>
          <w:szCs w:val="20"/>
          <w:lang w:eastAsia="lt-LT" w:bidi="lt-LT"/>
        </w:rPr>
        <w:t>polivinilo alkoholis (E1203), makrogolis 4000 (E1521), talkas (E553b), titano dioksidas (E171), geltonasis geležies oksidas (E172), raudonasis geležies oksidas (E172).</w:t>
      </w:r>
    </w:p>
    <w:p w14:paraId="351709FD" w14:textId="77777777" w:rsidR="003744F7" w:rsidRPr="003744F7" w:rsidRDefault="003744F7" w:rsidP="003744F7">
      <w:pPr>
        <w:keepNext/>
        <w:spacing w:after="0" w:line="240" w:lineRule="auto"/>
        <w:ind w:right="-2"/>
        <w:rPr>
          <w:rFonts w:ascii="Times New Roman" w:eastAsia="Times New Roman" w:hAnsi="Times New Roman" w:cs="Times New Roman"/>
          <w:noProof/>
          <w:lang w:eastAsia="lt-LT" w:bidi="lt-LT"/>
        </w:rPr>
      </w:pPr>
    </w:p>
    <w:p w14:paraId="4FE6FC4F" w14:textId="761EE0C4" w:rsidR="003744F7" w:rsidRPr="003744F7" w:rsidRDefault="003744F7" w:rsidP="003744F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noProof/>
          <w:lang w:eastAsia="lt-LT" w:bidi="lt-LT"/>
        </w:rPr>
        <w:t xml:space="preserve">Gefitinib </w:t>
      </w:r>
      <w:r w:rsidR="004B326A">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lang w:eastAsia="lt-LT" w:bidi="lt-LT"/>
        </w:rPr>
        <w:t xml:space="preserve"> išvaizda ir kiekis pakuotėje</w:t>
      </w:r>
    </w:p>
    <w:p w14:paraId="6B6A54E3" w14:textId="19A1A9FB"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noProof/>
          <w:lang w:eastAsia="lt-LT" w:bidi="lt-LT"/>
        </w:rPr>
        <w:t xml:space="preserve">Gefitinib </w:t>
      </w:r>
      <w:r w:rsidR="004B326A">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yra apvalios, rudos tabletės. Vienoje tabletės pusėje įspausta “LP 100”, kita pusė – lygi. Tabletė yra 11,13</w:t>
      </w:r>
      <w:r w:rsidRPr="003744F7">
        <w:rPr>
          <w:rFonts w:ascii="Times New Roman" w:eastAsia="Times New Roman" w:hAnsi="Times New Roman" w:cs="Times New Roman"/>
          <w:lang w:eastAsia="lt-LT" w:bidi="lt-LT"/>
        </w:rPr>
        <w:t>±0,05 mm dydžio.</w:t>
      </w:r>
    </w:p>
    <w:p w14:paraId="694781C6"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p>
    <w:p w14:paraId="774A65C3"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Kartoninėje dėžutėje yra lizdinės plokštelės, kurių kiekvienoje yra po 10 tablečių. Lizdinės plokštelės gali būti supakuotos į maišelį.</w:t>
      </w:r>
    </w:p>
    <w:p w14:paraId="7C2EEC10" w14:textId="6A02AF83" w:rsidR="003744F7" w:rsidRPr="003744F7" w:rsidRDefault="003744F7" w:rsidP="003744F7">
      <w:pPr>
        <w:tabs>
          <w:tab w:val="left" w:pos="567"/>
        </w:tabs>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Gefitinib </w:t>
      </w:r>
      <w:r w:rsidR="004B326A">
        <w:rPr>
          <w:rFonts w:ascii="Times New Roman" w:eastAsia="Times New Roman" w:hAnsi="Times New Roman" w:cs="Times New Roman"/>
          <w:lang w:eastAsia="lt-LT" w:bidi="lt-LT"/>
        </w:rPr>
        <w:t>Zentiva</w:t>
      </w:r>
      <w:r w:rsidRPr="003744F7">
        <w:rPr>
          <w:rFonts w:ascii="Times New Roman" w:eastAsia="Times New Roman" w:hAnsi="Times New Roman" w:cs="Times New Roman"/>
          <w:lang w:eastAsia="lt-LT" w:bidi="lt-LT"/>
        </w:rPr>
        <w:t xml:space="preserve"> tiekiamas lizdinėse plokštelėse po 30 tablečių.  </w:t>
      </w:r>
    </w:p>
    <w:p w14:paraId="2F231654" w14:textId="77777777" w:rsidR="003744F7" w:rsidRPr="003744F7" w:rsidRDefault="003744F7" w:rsidP="003744F7">
      <w:pPr>
        <w:numPr>
          <w:ilvl w:val="12"/>
          <w:numId w:val="0"/>
        </w:numPr>
        <w:spacing w:after="0" w:line="240" w:lineRule="auto"/>
        <w:rPr>
          <w:rFonts w:ascii="Times New Roman" w:eastAsia="Times New Roman" w:hAnsi="Times New Roman" w:cs="Times New Roman"/>
          <w:lang w:eastAsia="lt-LT" w:bidi="lt-LT"/>
        </w:rPr>
      </w:pPr>
    </w:p>
    <w:p w14:paraId="701C595F" w14:textId="77777777" w:rsidR="003744F7" w:rsidRPr="003744F7" w:rsidRDefault="003744F7" w:rsidP="003744F7">
      <w:pPr>
        <w:keepNext/>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Registruotojas ir gamintojas</w:t>
      </w:r>
    </w:p>
    <w:p w14:paraId="0A9D8EF2" w14:textId="77777777" w:rsidR="003744F7" w:rsidRPr="003744F7" w:rsidRDefault="003744F7" w:rsidP="003744F7">
      <w:pPr>
        <w:keepNext/>
        <w:numPr>
          <w:ilvl w:val="12"/>
          <w:numId w:val="0"/>
        </w:numPr>
        <w:spacing w:after="0" w:line="240" w:lineRule="auto"/>
        <w:ind w:right="-2"/>
        <w:rPr>
          <w:rFonts w:ascii="Times New Roman" w:eastAsia="Times New Roman" w:hAnsi="Times New Roman" w:cs="Times New Roman"/>
          <w:i/>
          <w:lang w:eastAsia="lt-LT" w:bidi="lt-LT"/>
        </w:rPr>
      </w:pPr>
      <w:r w:rsidRPr="003744F7">
        <w:rPr>
          <w:rFonts w:ascii="Times New Roman" w:eastAsia="Times New Roman" w:hAnsi="Times New Roman" w:cs="Times New Roman"/>
          <w:i/>
          <w:lang w:eastAsia="lt-LT" w:bidi="lt-LT"/>
        </w:rPr>
        <w:t>Registruotojas</w:t>
      </w:r>
    </w:p>
    <w:p w14:paraId="59819016" w14:textId="77777777" w:rsidR="003F49E5" w:rsidRPr="00FD10B2" w:rsidRDefault="003F49E5" w:rsidP="003F49E5">
      <w:pPr>
        <w:spacing w:after="0" w:line="240" w:lineRule="auto"/>
        <w:rPr>
          <w:rFonts w:ascii="Times New Roman" w:hAnsi="Times New Roman"/>
        </w:rPr>
      </w:pPr>
      <w:r w:rsidRPr="00FD10B2">
        <w:rPr>
          <w:rFonts w:ascii="Times New Roman" w:hAnsi="Times New Roman"/>
        </w:rPr>
        <w:t>Zentiva</w:t>
      </w:r>
      <w:r w:rsidR="00B44E9F">
        <w:rPr>
          <w:rFonts w:ascii="Times New Roman" w:hAnsi="Times New Roman"/>
        </w:rPr>
        <w:t>,</w:t>
      </w:r>
      <w:r w:rsidRPr="00FD10B2">
        <w:rPr>
          <w:rFonts w:ascii="Times New Roman" w:hAnsi="Times New Roman"/>
        </w:rPr>
        <w:t xml:space="preserve"> k.s.</w:t>
      </w:r>
    </w:p>
    <w:p w14:paraId="5A818258" w14:textId="77777777" w:rsidR="003F49E5" w:rsidRPr="00FD10B2" w:rsidRDefault="003F49E5" w:rsidP="003F49E5">
      <w:pPr>
        <w:spacing w:after="0" w:line="240" w:lineRule="auto"/>
        <w:rPr>
          <w:rFonts w:ascii="Times New Roman" w:hAnsi="Times New Roman"/>
        </w:rPr>
      </w:pPr>
      <w:r w:rsidRPr="00FD10B2">
        <w:rPr>
          <w:rFonts w:ascii="Times New Roman" w:hAnsi="Times New Roman"/>
        </w:rPr>
        <w:lastRenderedPageBreak/>
        <w:t>U kabelovny 130</w:t>
      </w:r>
    </w:p>
    <w:p w14:paraId="35724874" w14:textId="77777777" w:rsidR="003F49E5" w:rsidRPr="00FD10B2" w:rsidRDefault="003F49E5" w:rsidP="003F49E5">
      <w:pPr>
        <w:spacing w:after="0" w:line="240" w:lineRule="auto"/>
        <w:rPr>
          <w:rFonts w:ascii="Times New Roman" w:hAnsi="Times New Roman"/>
        </w:rPr>
      </w:pPr>
      <w:r w:rsidRPr="00FD10B2">
        <w:rPr>
          <w:rFonts w:ascii="Times New Roman" w:hAnsi="Times New Roman"/>
        </w:rPr>
        <w:t>Dolní Měcholupy</w:t>
      </w:r>
    </w:p>
    <w:p w14:paraId="7C5265D9" w14:textId="041430AD" w:rsidR="003F49E5" w:rsidRPr="00FD10B2" w:rsidRDefault="003F49E5" w:rsidP="003F49E5">
      <w:pPr>
        <w:spacing w:after="0" w:line="240" w:lineRule="auto"/>
        <w:rPr>
          <w:rFonts w:ascii="Times New Roman" w:hAnsi="Times New Roman"/>
        </w:rPr>
      </w:pPr>
      <w:r w:rsidRPr="00FD10B2">
        <w:rPr>
          <w:rFonts w:ascii="Times New Roman" w:hAnsi="Times New Roman"/>
        </w:rPr>
        <w:t>102 37 Praha 10</w:t>
      </w:r>
    </w:p>
    <w:p w14:paraId="001A42A0" w14:textId="77777777" w:rsidR="003744F7" w:rsidRDefault="003F49E5" w:rsidP="003F49E5">
      <w:pPr>
        <w:tabs>
          <w:tab w:val="left" w:pos="567"/>
        </w:tabs>
        <w:spacing w:after="0" w:line="240" w:lineRule="auto"/>
        <w:rPr>
          <w:rFonts w:ascii="Times New Roman" w:hAnsi="Times New Roman"/>
        </w:rPr>
      </w:pPr>
      <w:r w:rsidRPr="00FD10B2">
        <w:rPr>
          <w:rFonts w:ascii="Times New Roman" w:hAnsi="Times New Roman"/>
        </w:rPr>
        <w:t>Čekija</w:t>
      </w:r>
    </w:p>
    <w:p w14:paraId="0A7AB34B" w14:textId="77777777" w:rsidR="003F49E5" w:rsidRPr="003744F7" w:rsidRDefault="003F49E5" w:rsidP="003F49E5">
      <w:pPr>
        <w:tabs>
          <w:tab w:val="left" w:pos="567"/>
        </w:tabs>
        <w:spacing w:after="0" w:line="240" w:lineRule="auto"/>
        <w:rPr>
          <w:rFonts w:ascii="Times New Roman" w:eastAsia="Times New Roman" w:hAnsi="Times New Roman" w:cs="Times New Roman"/>
          <w:lang w:eastAsia="lt-LT" w:bidi="lt-LT"/>
        </w:rPr>
      </w:pPr>
    </w:p>
    <w:p w14:paraId="203CFC72" w14:textId="77777777" w:rsidR="003744F7" w:rsidRPr="003744F7" w:rsidRDefault="003744F7" w:rsidP="003744F7">
      <w:pPr>
        <w:tabs>
          <w:tab w:val="left" w:pos="567"/>
        </w:tabs>
        <w:spacing w:after="0" w:line="240" w:lineRule="auto"/>
        <w:rPr>
          <w:rFonts w:ascii="Times New Roman" w:eastAsia="Times New Roman" w:hAnsi="Times New Roman" w:cs="Times New Roman"/>
          <w:i/>
          <w:lang w:eastAsia="lt-LT" w:bidi="lt-LT"/>
        </w:rPr>
      </w:pPr>
      <w:r w:rsidRPr="003744F7">
        <w:rPr>
          <w:rFonts w:ascii="Times New Roman" w:eastAsia="Times New Roman" w:hAnsi="Times New Roman" w:cs="Times New Roman"/>
          <w:i/>
          <w:lang w:eastAsia="lt-LT" w:bidi="lt-LT"/>
        </w:rPr>
        <w:t>Gamintojas</w:t>
      </w:r>
    </w:p>
    <w:p w14:paraId="5EAD6C1B" w14:textId="77777777" w:rsidR="003744F7" w:rsidRPr="003744F7" w:rsidRDefault="003744F7" w:rsidP="003744F7">
      <w:pPr>
        <w:tabs>
          <w:tab w:val="left" w:pos="567"/>
        </w:tabs>
        <w:spacing w:after="0" w:line="260" w:lineRule="exact"/>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Pharmadox Healthcare Ltd.</w:t>
      </w:r>
    </w:p>
    <w:p w14:paraId="3E193C6F" w14:textId="77777777" w:rsidR="003744F7" w:rsidRPr="003744F7" w:rsidRDefault="003744F7" w:rsidP="003744F7">
      <w:pPr>
        <w:tabs>
          <w:tab w:val="left" w:pos="567"/>
        </w:tabs>
        <w:spacing w:after="0" w:line="260" w:lineRule="exact"/>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KW20A Kordin Industrial Park</w:t>
      </w:r>
    </w:p>
    <w:p w14:paraId="693050C7"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Paola PLA 3000</w:t>
      </w:r>
    </w:p>
    <w:p w14:paraId="7D97D60E" w14:textId="77777777" w:rsidR="003744F7" w:rsidRPr="003744F7" w:rsidRDefault="003744F7" w:rsidP="003744F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Malta</w:t>
      </w:r>
    </w:p>
    <w:p w14:paraId="44FBC947" w14:textId="77777777" w:rsidR="003744F7" w:rsidRPr="003744F7" w:rsidRDefault="003744F7" w:rsidP="003744F7">
      <w:pPr>
        <w:numPr>
          <w:ilvl w:val="12"/>
          <w:numId w:val="0"/>
        </w:numPr>
        <w:spacing w:after="0" w:line="240" w:lineRule="auto"/>
        <w:ind w:right="-2"/>
        <w:rPr>
          <w:rFonts w:ascii="Times New Roman" w:eastAsia="Times New Roman" w:hAnsi="Times New Roman" w:cs="Times New Roman"/>
          <w:noProof/>
          <w:lang w:eastAsia="lt-LT" w:bidi="lt-LT"/>
        </w:rPr>
      </w:pPr>
    </w:p>
    <w:p w14:paraId="0A657BBE" w14:textId="349C2211" w:rsidR="003744F7" w:rsidRPr="003744F7" w:rsidRDefault="003744F7" w:rsidP="003744F7">
      <w:pPr>
        <w:tabs>
          <w:tab w:val="left" w:pos="567"/>
        </w:tabs>
        <w:spacing w:after="0" w:line="240" w:lineRule="auto"/>
        <w:rPr>
          <w:rFonts w:ascii="Times New Roman" w:eastAsia="Times New Roman" w:hAnsi="Times New Roman" w:cs="Times New Roman"/>
          <w:b/>
          <w:szCs w:val="20"/>
          <w:lang w:eastAsia="lt-LT" w:bidi="lt-LT"/>
        </w:rPr>
      </w:pPr>
      <w:r w:rsidRPr="003744F7">
        <w:rPr>
          <w:rFonts w:ascii="Times New Roman" w:eastAsia="Times New Roman" w:hAnsi="Times New Roman" w:cs="Times New Roman"/>
          <w:b/>
          <w:szCs w:val="20"/>
          <w:lang w:eastAsia="lt-LT" w:bidi="lt-LT"/>
        </w:rPr>
        <w:t xml:space="preserve">Šis vaistas </w:t>
      </w:r>
      <w:r w:rsidRPr="003744F7">
        <w:rPr>
          <w:rFonts w:ascii="Times New Roman" w:eastAsia="Times New Roman" w:hAnsi="Times New Roman" w:cs="Times New Roman"/>
          <w:b/>
          <w:iCs/>
          <w:szCs w:val="20"/>
          <w:lang w:eastAsia="lt-LT" w:bidi="lt-LT"/>
        </w:rPr>
        <w:t>E</w:t>
      </w:r>
      <w:r w:rsidR="001D710C">
        <w:rPr>
          <w:rFonts w:ascii="Times New Roman" w:eastAsia="Times New Roman" w:hAnsi="Times New Roman" w:cs="Times New Roman"/>
          <w:b/>
          <w:iCs/>
          <w:szCs w:val="20"/>
          <w:lang w:eastAsia="lt-LT" w:bidi="lt-LT"/>
        </w:rPr>
        <w:t>uropos ekonominės erdvės</w:t>
      </w:r>
      <w:r w:rsidRPr="003744F7">
        <w:rPr>
          <w:rFonts w:ascii="Times New Roman" w:eastAsia="Times New Roman" w:hAnsi="Times New Roman" w:cs="Times New Roman"/>
          <w:b/>
          <w:iCs/>
          <w:szCs w:val="20"/>
          <w:lang w:eastAsia="lt-LT" w:bidi="lt-LT"/>
        </w:rPr>
        <w:t xml:space="preserve"> valstybėse narėse</w:t>
      </w:r>
      <w:r w:rsidRPr="003744F7">
        <w:rPr>
          <w:rFonts w:ascii="Times New Roman" w:eastAsia="Times New Roman" w:hAnsi="Times New Roman" w:cs="Times New Roman"/>
          <w:b/>
          <w:szCs w:val="20"/>
          <w:lang w:eastAsia="lt-LT" w:bidi="lt-LT"/>
        </w:rPr>
        <w:t xml:space="preserve"> registruotas tokiais </w:t>
      </w:r>
      <w:r w:rsidRPr="003744F7">
        <w:rPr>
          <w:rFonts w:ascii="Times New Roman" w:eastAsia="Times New Roman" w:hAnsi="Times New Roman" w:cs="Times New Roman"/>
          <w:b/>
          <w:iCs/>
          <w:szCs w:val="20"/>
          <w:lang w:eastAsia="lt-LT" w:bidi="lt-LT"/>
        </w:rPr>
        <w:t>pavadinimais</w:t>
      </w:r>
      <w:r w:rsidRPr="003744F7">
        <w:rPr>
          <w:rFonts w:ascii="Times New Roman" w:eastAsia="Times New Roman" w:hAnsi="Times New Roman" w:cs="Times New Roman"/>
          <w:b/>
          <w:szCs w:val="20"/>
          <w:lang w:eastAsia="lt-LT" w:bidi="lt-LT"/>
        </w:rPr>
        <w:t>:</w:t>
      </w:r>
    </w:p>
    <w:p w14:paraId="7248DE6B" w14:textId="77777777" w:rsidR="003744F7" w:rsidRPr="003744F7" w:rsidRDefault="003744F7" w:rsidP="003744F7">
      <w:pPr>
        <w:tabs>
          <w:tab w:val="left" w:pos="567"/>
        </w:tabs>
        <w:spacing w:after="0" w:line="240" w:lineRule="auto"/>
        <w:rPr>
          <w:rFonts w:ascii="Times New Roman" w:eastAsia="Times New Roman" w:hAnsi="Times New Roman" w:cs="Times New Roman"/>
          <w:b/>
          <w:szCs w:val="20"/>
          <w:lang w:eastAsia="lt-LT" w:bidi="lt-LT"/>
        </w:rPr>
      </w:pPr>
    </w:p>
    <w:p w14:paraId="518C58B3" w14:textId="22E7CC8E" w:rsidR="003744F7" w:rsidRPr="003744F7" w:rsidRDefault="000B0839" w:rsidP="001316E2">
      <w:pPr>
        <w:tabs>
          <w:tab w:val="left" w:pos="567"/>
        </w:tabs>
        <w:spacing w:after="0" w:line="240" w:lineRule="auto"/>
        <w:ind w:right="-1" w:firstLine="3"/>
        <w:rPr>
          <w:rFonts w:ascii="Times New Roman" w:eastAsia="Times New Roman" w:hAnsi="Times New Roman" w:cs="Times New Roman"/>
          <w:noProof/>
          <w:lang w:eastAsia="lt-LT" w:bidi="lt-LT"/>
        </w:rPr>
      </w:pPr>
      <w:r>
        <w:rPr>
          <w:rFonts w:ascii="Times New Roman" w:eastAsia="Times New Roman" w:hAnsi="Times New Roman" w:cs="Times New Roman"/>
          <w:noProof/>
          <w:lang w:eastAsia="lt-LT" w:bidi="lt-LT"/>
        </w:rPr>
        <w:t>Islandija</w:t>
      </w:r>
      <w:r w:rsidR="0094136A">
        <w:rPr>
          <w:rFonts w:ascii="Times New Roman" w:eastAsia="Times New Roman" w:hAnsi="Times New Roman" w:cs="Times New Roman"/>
          <w:noProof/>
          <w:lang w:eastAsia="lt-LT" w:bidi="lt-LT"/>
        </w:rPr>
        <w:t xml:space="preserve">, </w:t>
      </w:r>
      <w:r>
        <w:rPr>
          <w:rFonts w:ascii="Times New Roman" w:eastAsia="Times New Roman" w:hAnsi="Times New Roman" w:cs="Times New Roman"/>
          <w:noProof/>
          <w:lang w:eastAsia="lt-LT" w:bidi="lt-LT"/>
        </w:rPr>
        <w:t>Bulgarija</w:t>
      </w:r>
      <w:r w:rsidR="0094136A">
        <w:rPr>
          <w:rFonts w:ascii="Times New Roman" w:eastAsia="Times New Roman" w:hAnsi="Times New Roman" w:cs="Times New Roman"/>
          <w:noProof/>
          <w:lang w:eastAsia="lt-LT" w:bidi="lt-LT"/>
        </w:rPr>
        <w:t xml:space="preserve">, </w:t>
      </w:r>
      <w:r w:rsidR="003744F7" w:rsidRPr="003744F7">
        <w:rPr>
          <w:rFonts w:ascii="Times New Roman" w:eastAsia="Times New Roman" w:hAnsi="Times New Roman" w:cs="Times New Roman"/>
          <w:noProof/>
          <w:lang w:eastAsia="lt-LT" w:bidi="lt-LT"/>
        </w:rPr>
        <w:t>Kroatija</w:t>
      </w:r>
      <w:r w:rsidR="0094136A">
        <w:rPr>
          <w:rFonts w:ascii="Times New Roman" w:eastAsia="Times New Roman" w:hAnsi="Times New Roman" w:cs="Times New Roman"/>
          <w:noProof/>
          <w:lang w:eastAsia="lt-LT" w:bidi="lt-LT"/>
        </w:rPr>
        <w:t xml:space="preserve">, </w:t>
      </w:r>
      <w:r>
        <w:rPr>
          <w:rFonts w:ascii="Times New Roman" w:eastAsia="Times New Roman" w:hAnsi="Times New Roman" w:cs="Times New Roman"/>
          <w:noProof/>
          <w:lang w:eastAsia="lt-LT" w:bidi="lt-LT"/>
        </w:rPr>
        <w:t>Čekija</w:t>
      </w:r>
      <w:r w:rsidR="0094136A">
        <w:rPr>
          <w:rFonts w:ascii="Times New Roman" w:eastAsia="Times New Roman" w:hAnsi="Times New Roman" w:cs="Times New Roman"/>
          <w:noProof/>
          <w:lang w:eastAsia="lt-LT" w:bidi="lt-LT"/>
        </w:rPr>
        <w:t xml:space="preserve">, </w:t>
      </w:r>
      <w:r>
        <w:rPr>
          <w:rFonts w:ascii="Times New Roman" w:eastAsia="Times New Roman" w:hAnsi="Times New Roman" w:cs="Times New Roman"/>
          <w:noProof/>
          <w:lang w:eastAsia="lt-LT" w:bidi="lt-LT"/>
        </w:rPr>
        <w:t>Vengrija</w:t>
      </w:r>
      <w:r w:rsidR="0094136A">
        <w:rPr>
          <w:rFonts w:ascii="Times New Roman" w:eastAsia="Times New Roman" w:hAnsi="Times New Roman" w:cs="Times New Roman"/>
          <w:noProof/>
          <w:lang w:eastAsia="lt-LT" w:bidi="lt-LT"/>
        </w:rPr>
        <w:t xml:space="preserve">, </w:t>
      </w:r>
      <w:r>
        <w:rPr>
          <w:rFonts w:ascii="Times New Roman" w:eastAsia="Times New Roman" w:hAnsi="Times New Roman" w:cs="Times New Roman"/>
          <w:noProof/>
          <w:lang w:eastAsia="lt-LT" w:bidi="lt-LT"/>
        </w:rPr>
        <w:t>Lietuva</w:t>
      </w:r>
      <w:r w:rsidR="0094136A">
        <w:rPr>
          <w:rFonts w:ascii="Times New Roman" w:eastAsia="Times New Roman" w:hAnsi="Times New Roman" w:cs="Times New Roman"/>
          <w:noProof/>
          <w:lang w:eastAsia="lt-LT" w:bidi="lt-LT"/>
        </w:rPr>
        <w:t xml:space="preserve">, </w:t>
      </w:r>
      <w:r>
        <w:rPr>
          <w:rFonts w:ascii="Times New Roman" w:eastAsia="Times New Roman" w:hAnsi="Times New Roman" w:cs="Times New Roman"/>
          <w:noProof/>
          <w:lang w:eastAsia="lt-LT" w:bidi="lt-LT"/>
        </w:rPr>
        <w:t>Lenkija</w:t>
      </w:r>
      <w:r w:rsidR="0094136A">
        <w:rPr>
          <w:rFonts w:ascii="Times New Roman" w:eastAsia="Times New Roman" w:hAnsi="Times New Roman" w:cs="Times New Roman"/>
          <w:noProof/>
          <w:lang w:eastAsia="lt-LT" w:bidi="lt-LT"/>
        </w:rPr>
        <w:t xml:space="preserve">, </w:t>
      </w:r>
      <w:r>
        <w:rPr>
          <w:rFonts w:ascii="Times New Roman" w:eastAsia="Times New Roman" w:hAnsi="Times New Roman" w:cs="Times New Roman"/>
          <w:noProof/>
          <w:lang w:eastAsia="lt-LT" w:bidi="lt-LT"/>
        </w:rPr>
        <w:t>Rumunija</w:t>
      </w:r>
      <w:r w:rsidR="0094136A">
        <w:rPr>
          <w:rFonts w:ascii="Times New Roman" w:eastAsia="Times New Roman" w:hAnsi="Times New Roman" w:cs="Times New Roman"/>
          <w:noProof/>
          <w:lang w:eastAsia="lt-LT" w:bidi="lt-LT"/>
        </w:rPr>
        <w:t xml:space="preserve">, </w:t>
      </w:r>
      <w:r>
        <w:rPr>
          <w:rFonts w:ascii="Times New Roman" w:eastAsia="Times New Roman" w:hAnsi="Times New Roman" w:cs="Times New Roman"/>
          <w:noProof/>
          <w:lang w:eastAsia="lt-LT" w:bidi="lt-LT"/>
        </w:rPr>
        <w:t>Slovakija</w:t>
      </w:r>
      <w:r w:rsidR="0094136A">
        <w:rPr>
          <w:rFonts w:ascii="Times New Roman" w:eastAsia="Times New Roman" w:hAnsi="Times New Roman" w:cs="Times New Roman"/>
          <w:noProof/>
          <w:lang w:eastAsia="lt-LT" w:bidi="lt-LT"/>
        </w:rPr>
        <w:t xml:space="preserve"> – </w:t>
      </w:r>
      <w:r w:rsidR="003744F7" w:rsidRPr="003744F7">
        <w:rPr>
          <w:rFonts w:ascii="Times New Roman" w:eastAsia="Times New Roman" w:hAnsi="Times New Roman" w:cs="Times New Roman"/>
          <w:noProof/>
          <w:lang w:eastAsia="lt-LT" w:bidi="lt-LT"/>
        </w:rPr>
        <w:t>Gefitinib</w:t>
      </w:r>
      <w:r w:rsidR="0094136A">
        <w:rPr>
          <w:rFonts w:ascii="Times New Roman" w:eastAsia="Times New Roman" w:hAnsi="Times New Roman" w:cs="Times New Roman"/>
          <w:noProof/>
          <w:lang w:eastAsia="lt-LT" w:bidi="lt-LT"/>
        </w:rPr>
        <w:t xml:space="preserve"> Zentiva</w:t>
      </w:r>
    </w:p>
    <w:tbl>
      <w:tblPr>
        <w:tblW w:w="9356" w:type="dxa"/>
        <w:tblInd w:w="-34" w:type="dxa"/>
        <w:tblLayout w:type="fixed"/>
        <w:tblLook w:val="0000" w:firstRow="0" w:lastRow="0" w:firstColumn="0" w:lastColumn="0" w:noHBand="0" w:noVBand="0"/>
      </w:tblPr>
      <w:tblGrid>
        <w:gridCol w:w="4678"/>
        <w:gridCol w:w="4678"/>
      </w:tblGrid>
      <w:tr w:rsidR="003744F7" w:rsidRPr="003744F7" w14:paraId="1FF0EE70" w14:textId="77777777" w:rsidTr="003F49E5">
        <w:tc>
          <w:tcPr>
            <w:tcW w:w="4678" w:type="dxa"/>
          </w:tcPr>
          <w:p w14:paraId="1033B474" w14:textId="77777777" w:rsidR="003744F7" w:rsidRPr="003744F7" w:rsidRDefault="003744F7" w:rsidP="003744F7">
            <w:pPr>
              <w:tabs>
                <w:tab w:val="left" w:pos="-720"/>
                <w:tab w:val="left" w:pos="567"/>
              </w:tabs>
              <w:suppressAutoHyphens/>
              <w:spacing w:after="0" w:line="240" w:lineRule="auto"/>
              <w:rPr>
                <w:rFonts w:ascii="Times New Roman" w:eastAsia="Times New Roman" w:hAnsi="Times New Roman" w:cs="Times New Roman"/>
                <w:noProof/>
                <w:lang w:eastAsia="lt-LT" w:bidi="lt-LT"/>
              </w:rPr>
            </w:pPr>
          </w:p>
        </w:tc>
        <w:tc>
          <w:tcPr>
            <w:tcW w:w="4678" w:type="dxa"/>
          </w:tcPr>
          <w:p w14:paraId="2A9E8F6C" w14:textId="77777777" w:rsidR="003744F7" w:rsidRPr="003744F7" w:rsidRDefault="003744F7" w:rsidP="003744F7">
            <w:pPr>
              <w:tabs>
                <w:tab w:val="left" w:pos="-720"/>
                <w:tab w:val="left" w:pos="567"/>
              </w:tabs>
              <w:suppressAutoHyphens/>
              <w:spacing w:after="0" w:line="240" w:lineRule="auto"/>
              <w:rPr>
                <w:rFonts w:ascii="Times New Roman" w:eastAsia="Times New Roman" w:hAnsi="Times New Roman" w:cs="Times New Roman"/>
                <w:noProof/>
                <w:lang w:eastAsia="lt-LT" w:bidi="lt-LT"/>
              </w:rPr>
            </w:pPr>
          </w:p>
        </w:tc>
      </w:tr>
    </w:tbl>
    <w:p w14:paraId="78F80E1C" w14:textId="64D3C52F" w:rsidR="003744F7" w:rsidRPr="003744F7" w:rsidRDefault="003744F7" w:rsidP="003744F7">
      <w:pPr>
        <w:keepNext/>
        <w:numPr>
          <w:ilvl w:val="12"/>
          <w:numId w:val="0"/>
        </w:numPr>
        <w:spacing w:after="0" w:line="240" w:lineRule="auto"/>
        <w:ind w:right="-2"/>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Šis pakuotės lapelis paskutinį kartą peržiūrėtas</w:t>
      </w:r>
      <w:r w:rsidR="002301BD">
        <w:rPr>
          <w:rFonts w:ascii="Times New Roman" w:eastAsia="Times New Roman" w:hAnsi="Times New Roman" w:cs="Times New Roman"/>
          <w:b/>
          <w:noProof/>
          <w:lang w:eastAsia="lt-LT" w:bidi="lt-LT"/>
        </w:rPr>
        <w:t xml:space="preserve"> </w:t>
      </w:r>
      <w:r w:rsidR="00C93C79">
        <w:rPr>
          <w:rFonts w:ascii="Times New Roman" w:eastAsia="Times New Roman" w:hAnsi="Times New Roman" w:cs="Times New Roman"/>
          <w:b/>
          <w:noProof/>
          <w:lang w:eastAsia="lt-LT" w:bidi="lt-LT"/>
        </w:rPr>
        <w:t>2021-09-22</w:t>
      </w:r>
      <w:r w:rsidRPr="003744F7">
        <w:rPr>
          <w:rFonts w:ascii="Times New Roman" w:eastAsia="Times New Roman" w:hAnsi="Times New Roman" w:cs="Times New Roman"/>
          <w:b/>
          <w:noProof/>
          <w:lang w:eastAsia="lt-LT" w:bidi="lt-LT"/>
        </w:rPr>
        <w:t>.</w:t>
      </w:r>
    </w:p>
    <w:p w14:paraId="5F4236B1" w14:textId="77777777" w:rsidR="003744F7" w:rsidRPr="003744F7" w:rsidRDefault="003744F7" w:rsidP="003744F7">
      <w:pPr>
        <w:keepNext/>
        <w:numPr>
          <w:ilvl w:val="12"/>
          <w:numId w:val="0"/>
        </w:numPr>
        <w:spacing w:after="0" w:line="240" w:lineRule="auto"/>
        <w:ind w:right="-2"/>
        <w:outlineLvl w:val="0"/>
        <w:rPr>
          <w:rFonts w:ascii="Times New Roman" w:eastAsia="Times New Roman" w:hAnsi="Times New Roman" w:cs="Times New Roman"/>
          <w:noProof/>
          <w:lang w:eastAsia="lt-LT" w:bidi="lt-LT"/>
        </w:rPr>
      </w:pPr>
    </w:p>
    <w:p w14:paraId="0A38FB25" w14:textId="77777777" w:rsidR="003744F7" w:rsidRPr="003744F7" w:rsidRDefault="003744F7" w:rsidP="003744F7">
      <w:pPr>
        <w:keepNext/>
        <w:numPr>
          <w:ilvl w:val="12"/>
          <w:numId w:val="0"/>
        </w:numPr>
        <w:spacing w:after="0" w:line="240" w:lineRule="auto"/>
        <w:ind w:right="-2"/>
        <w:outlineLvl w:val="0"/>
        <w:rPr>
          <w:rFonts w:ascii="Times New Roman" w:eastAsia="Times New Roman" w:hAnsi="Times New Roman" w:cs="Times New Roman"/>
          <w:noProof/>
          <w:lang w:eastAsia="lt-LT" w:bidi="lt-LT"/>
        </w:rPr>
      </w:pPr>
    </w:p>
    <w:p w14:paraId="470781EC" w14:textId="77777777" w:rsidR="003744F7" w:rsidRPr="003744F7" w:rsidRDefault="003744F7" w:rsidP="003744F7">
      <w:pPr>
        <w:keepNext/>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Išsami informacija apie šį vaistą pateikiama Valstybinės vaistų kontrolės tarnybos prie Lietuvos Respublikos sveikatos apsaugos ministerijos tinklapyje </w:t>
      </w:r>
      <w:hyperlink r:id="rId10" w:history="1">
        <w:r w:rsidRPr="003744F7">
          <w:rPr>
            <w:rFonts w:ascii="Times New Roman" w:eastAsia="Times New Roman" w:hAnsi="Times New Roman" w:cs="Times New Roman"/>
            <w:noProof/>
            <w:color w:val="0000FF"/>
            <w:u w:val="single"/>
            <w:lang w:eastAsia="lt-LT" w:bidi="lt-LT"/>
          </w:rPr>
          <w:t>http://www.vvkt.lt/</w:t>
        </w:r>
      </w:hyperlink>
      <w:r w:rsidRPr="003744F7">
        <w:rPr>
          <w:rFonts w:ascii="Times New Roman" w:eastAsia="Times New Roman" w:hAnsi="Times New Roman" w:cs="Times New Roman"/>
          <w:noProof/>
          <w:lang w:eastAsia="lt-LT" w:bidi="lt-LT"/>
        </w:rPr>
        <w:t xml:space="preserve">.  </w:t>
      </w:r>
    </w:p>
    <w:p w14:paraId="06101F84" w14:textId="77777777" w:rsidR="003744F7" w:rsidRPr="003744F7" w:rsidRDefault="003744F7" w:rsidP="003744F7">
      <w:pPr>
        <w:keepNext/>
        <w:numPr>
          <w:ilvl w:val="12"/>
          <w:numId w:val="0"/>
        </w:numPr>
        <w:tabs>
          <w:tab w:val="left" w:pos="567"/>
        </w:tabs>
        <w:spacing w:after="0" w:line="240" w:lineRule="auto"/>
        <w:ind w:right="-2"/>
        <w:rPr>
          <w:rFonts w:ascii="Times New Roman" w:eastAsia="Times New Roman" w:hAnsi="Times New Roman" w:cs="Times New Roman"/>
          <w:noProof/>
          <w:lang w:eastAsia="lt-LT" w:bidi="lt-LT"/>
        </w:rPr>
      </w:pPr>
    </w:p>
    <w:p w14:paraId="3395CA32" w14:textId="77777777" w:rsidR="003744F7" w:rsidRPr="003744F7" w:rsidRDefault="003744F7" w:rsidP="003744F7">
      <w:pPr>
        <w:numPr>
          <w:ilvl w:val="12"/>
          <w:numId w:val="0"/>
        </w:numPr>
        <w:spacing w:after="0" w:line="240" w:lineRule="auto"/>
        <w:rPr>
          <w:rFonts w:ascii="Times New Roman" w:eastAsia="Times New Roman" w:hAnsi="Times New Roman" w:cs="Times New Roman"/>
          <w:noProof/>
          <w:lang w:eastAsia="lt-LT" w:bidi="lt-LT"/>
        </w:rPr>
      </w:pPr>
    </w:p>
    <w:p w14:paraId="147A9F55" w14:textId="77777777" w:rsidR="003744F7" w:rsidRPr="003744F7" w:rsidRDefault="003744F7" w:rsidP="003744F7">
      <w:pPr>
        <w:tabs>
          <w:tab w:val="left" w:pos="567"/>
        </w:tabs>
        <w:spacing w:after="0" w:line="260" w:lineRule="exact"/>
        <w:rPr>
          <w:rFonts w:ascii="Times New Roman" w:eastAsia="Times New Roman" w:hAnsi="Times New Roman" w:cs="Times New Roman"/>
          <w:lang w:eastAsia="lt-LT" w:bidi="lt-LT"/>
        </w:rPr>
      </w:pPr>
    </w:p>
    <w:p w14:paraId="3F3F3813" w14:textId="77777777" w:rsidR="009A1F78" w:rsidRDefault="009A1F78"/>
    <w:sectPr w:rsidR="009A1F78" w:rsidSect="001316E2">
      <w:footerReference w:type="default" r:id="rId11"/>
      <w:footerReference w:type="first" r:id="rId12"/>
      <w:endnotePr>
        <w:numFmt w:val="decimal"/>
      </w:endnotePr>
      <w:pgSz w:w="11907" w:h="16840" w:code="9"/>
      <w:pgMar w:top="1134" w:right="1134"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9769B" w14:textId="77777777" w:rsidR="003E2DEE" w:rsidRDefault="003E2DEE">
      <w:pPr>
        <w:spacing w:after="0" w:line="240" w:lineRule="auto"/>
      </w:pPr>
      <w:r>
        <w:separator/>
      </w:r>
    </w:p>
  </w:endnote>
  <w:endnote w:type="continuationSeparator" w:id="0">
    <w:p w14:paraId="44FC9C17" w14:textId="77777777" w:rsidR="003E2DEE" w:rsidRDefault="003E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auto"/>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ABF9" w14:textId="7D421636" w:rsidR="00AF0750" w:rsidRDefault="00AF075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D1405">
      <w:rPr>
        <w:rStyle w:val="Puslapionumeris"/>
        <w:rFonts w:cs="Arial"/>
      </w:rPr>
      <w:t>17</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281F" w14:textId="5A415BD7" w:rsidR="00AF0750" w:rsidRDefault="00AF075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D1405">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982D3" w14:textId="77777777" w:rsidR="003E2DEE" w:rsidRDefault="003E2DEE">
      <w:pPr>
        <w:spacing w:after="0" w:line="240" w:lineRule="auto"/>
      </w:pPr>
      <w:r>
        <w:separator/>
      </w:r>
    </w:p>
  </w:footnote>
  <w:footnote w:type="continuationSeparator" w:id="0">
    <w:p w14:paraId="065E12CA" w14:textId="77777777" w:rsidR="003E2DEE" w:rsidRDefault="003E2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A0306"/>
    <w:multiLevelType w:val="hybridMultilevel"/>
    <w:tmpl w:val="43A8E95C"/>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A4303"/>
    <w:multiLevelType w:val="hybridMultilevel"/>
    <w:tmpl w:val="35849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47375"/>
    <w:multiLevelType w:val="hybridMultilevel"/>
    <w:tmpl w:val="971CBD04"/>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73FB6"/>
    <w:multiLevelType w:val="hybridMultilevel"/>
    <w:tmpl w:val="BBA0877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9337AD4"/>
    <w:multiLevelType w:val="hybridMultilevel"/>
    <w:tmpl w:val="B56C66A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34A13BF"/>
    <w:multiLevelType w:val="hybridMultilevel"/>
    <w:tmpl w:val="657A6E24"/>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C0912"/>
    <w:multiLevelType w:val="hybridMultilevel"/>
    <w:tmpl w:val="29EC8F8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2017FA"/>
    <w:multiLevelType w:val="hybridMultilevel"/>
    <w:tmpl w:val="3C749D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3ED36F4F"/>
    <w:multiLevelType w:val="hybridMultilevel"/>
    <w:tmpl w:val="0246A2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7695B"/>
    <w:multiLevelType w:val="hybridMultilevel"/>
    <w:tmpl w:val="41884EC6"/>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40CE6B56"/>
    <w:multiLevelType w:val="hybridMultilevel"/>
    <w:tmpl w:val="69E87E0C"/>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847BB"/>
    <w:multiLevelType w:val="hybridMultilevel"/>
    <w:tmpl w:val="B878744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95B09"/>
    <w:multiLevelType w:val="hybridMultilevel"/>
    <w:tmpl w:val="751E6EF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CDC49CA"/>
    <w:multiLevelType w:val="hybridMultilevel"/>
    <w:tmpl w:val="0A50E6A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52427DCD"/>
    <w:multiLevelType w:val="hybridMultilevel"/>
    <w:tmpl w:val="01CAE24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B6647"/>
    <w:multiLevelType w:val="hybridMultilevel"/>
    <w:tmpl w:val="021C64F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3307DEB"/>
    <w:multiLevelType w:val="hybridMultilevel"/>
    <w:tmpl w:val="FBE88D9C"/>
    <w:lvl w:ilvl="0" w:tplc="E8DE33C0">
      <w:start w:val="1"/>
      <w:numFmt w:val="upperLetter"/>
      <w:lvlText w:val="%1."/>
      <w:lvlJc w:val="left"/>
      <w:pPr>
        <w:ind w:left="1701" w:hanging="708"/>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3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7"/>
  </w:num>
  <w:num w:numId="6">
    <w:abstractNumId w:val="31"/>
  </w:num>
  <w:num w:numId="7">
    <w:abstractNumId w:val="15"/>
  </w:num>
  <w:num w:numId="8">
    <w:abstractNumId w:val="19"/>
  </w:num>
  <w:num w:numId="9">
    <w:abstractNumId w:val="42"/>
  </w:num>
  <w:num w:numId="10">
    <w:abstractNumId w:val="1"/>
  </w:num>
  <w:num w:numId="11">
    <w:abstractNumId w:val="39"/>
  </w:num>
  <w:num w:numId="12">
    <w:abstractNumId w:val="17"/>
  </w:num>
  <w:num w:numId="13">
    <w:abstractNumId w:val="10"/>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40"/>
  </w:num>
  <w:num w:numId="17">
    <w:abstractNumId w:val="25"/>
  </w:num>
  <w:num w:numId="18">
    <w:abstractNumId w:val="29"/>
  </w:num>
  <w:num w:numId="19">
    <w:abstractNumId w:val="43"/>
  </w:num>
  <w:num w:numId="20">
    <w:abstractNumId w:val="33"/>
  </w:num>
  <w:num w:numId="21">
    <w:abstractNumId w:val="41"/>
  </w:num>
  <w:num w:numId="22">
    <w:abstractNumId w:val="38"/>
  </w:num>
  <w:num w:numId="23">
    <w:abstractNumId w:val="14"/>
  </w:num>
  <w:num w:numId="24">
    <w:abstractNumId w:val="24"/>
  </w:num>
  <w:num w:numId="25">
    <w:abstractNumId w:val="34"/>
  </w:num>
  <w:num w:numId="26">
    <w:abstractNumId w:val="36"/>
  </w:num>
  <w:num w:numId="27">
    <w:abstractNumId w:val="7"/>
  </w:num>
  <w:num w:numId="28">
    <w:abstractNumId w:val="30"/>
  </w:num>
  <w:num w:numId="29">
    <w:abstractNumId w:val="44"/>
  </w:num>
  <w:num w:numId="30">
    <w:abstractNumId w:val="8"/>
  </w:num>
  <w:num w:numId="31">
    <w:abstractNumId w:val="32"/>
  </w:num>
  <w:num w:numId="32">
    <w:abstractNumId w:val="9"/>
  </w:num>
  <w:num w:numId="33">
    <w:abstractNumId w:val="21"/>
  </w:num>
  <w:num w:numId="34">
    <w:abstractNumId w:val="16"/>
  </w:num>
  <w:num w:numId="35">
    <w:abstractNumId w:val="26"/>
  </w:num>
  <w:num w:numId="36">
    <w:abstractNumId w:val="13"/>
  </w:num>
  <w:num w:numId="37">
    <w:abstractNumId w:val="5"/>
  </w:num>
  <w:num w:numId="38">
    <w:abstractNumId w:val="18"/>
  </w:num>
  <w:num w:numId="39">
    <w:abstractNumId w:val="20"/>
  </w:num>
  <w:num w:numId="40">
    <w:abstractNumId w:val="11"/>
  </w:num>
  <w:num w:numId="41">
    <w:abstractNumId w:val="23"/>
  </w:num>
  <w:num w:numId="42">
    <w:abstractNumId w:val="27"/>
  </w:num>
  <w:num w:numId="43">
    <w:abstractNumId w:val="22"/>
  </w:num>
  <w:num w:numId="44">
    <w:abstractNumId w:val="12"/>
  </w:num>
  <w:num w:numId="45">
    <w:abstractNumId w:val="6"/>
  </w:num>
  <w:num w:numId="46">
    <w:abstractNumId w:val="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B9"/>
    <w:rsid w:val="000B0839"/>
    <w:rsid w:val="000B1D73"/>
    <w:rsid w:val="000C39B0"/>
    <w:rsid w:val="001316E2"/>
    <w:rsid w:val="001430BA"/>
    <w:rsid w:val="001523C6"/>
    <w:rsid w:val="001D1405"/>
    <w:rsid w:val="001D710C"/>
    <w:rsid w:val="002301BD"/>
    <w:rsid w:val="00274C39"/>
    <w:rsid w:val="002A40AF"/>
    <w:rsid w:val="003744F7"/>
    <w:rsid w:val="00386ED5"/>
    <w:rsid w:val="003E2DEE"/>
    <w:rsid w:val="003F49E5"/>
    <w:rsid w:val="004B326A"/>
    <w:rsid w:val="00507E5A"/>
    <w:rsid w:val="005529A1"/>
    <w:rsid w:val="005F2226"/>
    <w:rsid w:val="0077175E"/>
    <w:rsid w:val="00806F9B"/>
    <w:rsid w:val="0081430A"/>
    <w:rsid w:val="008221B9"/>
    <w:rsid w:val="0094136A"/>
    <w:rsid w:val="009A1F78"/>
    <w:rsid w:val="009B7C39"/>
    <w:rsid w:val="00A22499"/>
    <w:rsid w:val="00AB3EAF"/>
    <w:rsid w:val="00AF0750"/>
    <w:rsid w:val="00B429C7"/>
    <w:rsid w:val="00B44E9F"/>
    <w:rsid w:val="00C93C79"/>
    <w:rsid w:val="00D36B10"/>
    <w:rsid w:val="00D54779"/>
    <w:rsid w:val="00D61050"/>
    <w:rsid w:val="00E478D1"/>
    <w:rsid w:val="00E86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5B965"/>
  <w15:chartTrackingRefBased/>
  <w15:docId w15:val="{E3EA738D-31E9-494A-998F-9D46FE65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3744F7"/>
  </w:style>
  <w:style w:type="paragraph" w:styleId="Porat">
    <w:name w:val="footer"/>
    <w:basedOn w:val="prastasis"/>
    <w:link w:val="PoratDiagrama"/>
    <w:rsid w:val="003744F7"/>
    <w:pPr>
      <w:tabs>
        <w:tab w:val="left" w:pos="567"/>
        <w:tab w:val="center" w:pos="4536"/>
        <w:tab w:val="right" w:pos="8306"/>
      </w:tabs>
      <w:spacing w:after="0" w:line="260" w:lineRule="exact"/>
    </w:pPr>
    <w:rPr>
      <w:rFonts w:ascii="Arial" w:eastAsia="Times New Roman" w:hAnsi="Arial" w:cs="Times New Roman"/>
      <w:noProof/>
      <w:sz w:val="16"/>
      <w:szCs w:val="20"/>
      <w:lang w:eastAsia="lt-LT" w:bidi="lt-LT"/>
    </w:rPr>
  </w:style>
  <w:style w:type="character" w:customStyle="1" w:styleId="PoratDiagrama">
    <w:name w:val="Poraštė Diagrama"/>
    <w:basedOn w:val="Numatytasispastraiposriftas"/>
    <w:link w:val="Porat"/>
    <w:rsid w:val="003744F7"/>
    <w:rPr>
      <w:rFonts w:ascii="Arial" w:eastAsia="Times New Roman" w:hAnsi="Arial" w:cs="Times New Roman"/>
      <w:noProof/>
      <w:sz w:val="16"/>
      <w:szCs w:val="20"/>
      <w:lang w:eastAsia="lt-LT" w:bidi="lt-LT"/>
    </w:rPr>
  </w:style>
  <w:style w:type="paragraph" w:styleId="Antrats">
    <w:name w:val="header"/>
    <w:basedOn w:val="prastasis"/>
    <w:link w:val="AntratsDiagrama"/>
    <w:rsid w:val="003744F7"/>
    <w:pPr>
      <w:tabs>
        <w:tab w:val="left" w:pos="567"/>
        <w:tab w:val="center" w:pos="4153"/>
        <w:tab w:val="right" w:pos="8306"/>
      </w:tabs>
      <w:spacing w:after="0" w:line="260" w:lineRule="exact"/>
    </w:pPr>
    <w:rPr>
      <w:rFonts w:ascii="Arial" w:eastAsia="Times New Roman" w:hAnsi="Arial" w:cs="Times New Roman"/>
      <w:sz w:val="20"/>
      <w:szCs w:val="20"/>
      <w:lang w:eastAsia="lt-LT" w:bidi="lt-LT"/>
    </w:rPr>
  </w:style>
  <w:style w:type="character" w:customStyle="1" w:styleId="AntratsDiagrama">
    <w:name w:val="Antraštės Diagrama"/>
    <w:basedOn w:val="Numatytasispastraiposriftas"/>
    <w:link w:val="Antrats"/>
    <w:rsid w:val="003744F7"/>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3744F7"/>
    <w:pPr>
      <w:tabs>
        <w:tab w:val="left" w:pos="567"/>
      </w:tabs>
      <w:spacing w:after="0" w:line="120" w:lineRule="atLeast"/>
      <w:ind w:left="1418"/>
      <w:jc w:val="both"/>
    </w:pPr>
    <w:rPr>
      <w:rFonts w:ascii="Arial" w:eastAsia="Times New Roman" w:hAnsi="Arial" w:cs="Times New Roman"/>
      <w:b/>
      <w:smallCaps/>
      <w:szCs w:val="20"/>
      <w:lang w:eastAsia="lt-LT" w:bidi="lt-LT"/>
    </w:rPr>
  </w:style>
  <w:style w:type="character" w:styleId="Puslapionumeris">
    <w:name w:val="page number"/>
    <w:basedOn w:val="Numatytasispastraiposriftas"/>
    <w:rsid w:val="003744F7"/>
  </w:style>
  <w:style w:type="paragraph" w:styleId="Pagrindinistekstas">
    <w:name w:val="Body Text"/>
    <w:basedOn w:val="prastasis"/>
    <w:link w:val="PagrindinistekstasDiagrama"/>
    <w:rsid w:val="003744F7"/>
    <w:pPr>
      <w:spacing w:after="0" w:line="240" w:lineRule="auto"/>
    </w:pPr>
    <w:rPr>
      <w:rFonts w:ascii="Times New Roman" w:eastAsia="Times New Roman" w:hAnsi="Times New Roman" w:cs="Times New Roman"/>
      <w:i/>
      <w:color w:val="008000"/>
      <w:szCs w:val="20"/>
      <w:lang w:eastAsia="lt-LT" w:bidi="lt-LT"/>
    </w:rPr>
  </w:style>
  <w:style w:type="character" w:customStyle="1" w:styleId="PagrindinistekstasDiagrama">
    <w:name w:val="Pagrindinis tekstas Diagrama"/>
    <w:basedOn w:val="Numatytasispastraiposriftas"/>
    <w:link w:val="Pagrindinistekstas"/>
    <w:rsid w:val="003744F7"/>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semiHidden/>
    <w:unhideWhenUsed/>
    <w:rsid w:val="003744F7"/>
    <w:pPr>
      <w:tabs>
        <w:tab w:val="left" w:pos="567"/>
      </w:tabs>
      <w:spacing w:after="0" w:line="240" w:lineRule="auto"/>
    </w:pPr>
    <w:rPr>
      <w:rFonts w:ascii="Times New Roman" w:eastAsia="Times New Roman" w:hAnsi="Times New Roman" w:cs="Times New Roman"/>
      <w:sz w:val="20"/>
      <w:szCs w:val="20"/>
      <w:lang w:eastAsia="lt-LT" w:bidi="lt-LT"/>
    </w:rPr>
  </w:style>
  <w:style w:type="character" w:customStyle="1" w:styleId="KomentarotekstasDiagrama">
    <w:name w:val="Komentaro tekstas Diagrama"/>
    <w:basedOn w:val="Numatytasispastraiposriftas"/>
    <w:link w:val="Komentarotekstas"/>
    <w:uiPriority w:val="99"/>
    <w:semiHidden/>
    <w:rsid w:val="003744F7"/>
    <w:rPr>
      <w:rFonts w:ascii="Times New Roman" w:eastAsia="Times New Roman" w:hAnsi="Times New Roman" w:cs="Times New Roman"/>
      <w:sz w:val="20"/>
      <w:szCs w:val="20"/>
      <w:lang w:eastAsia="lt-LT" w:bidi="lt-LT"/>
    </w:rPr>
  </w:style>
  <w:style w:type="character" w:styleId="Hipersaitas">
    <w:name w:val="Hyperlink"/>
    <w:rsid w:val="003744F7"/>
    <w:rPr>
      <w:color w:val="0000FF"/>
      <w:u w:val="single"/>
    </w:rPr>
  </w:style>
  <w:style w:type="paragraph" w:customStyle="1" w:styleId="EMEAEnBodyText">
    <w:name w:val="EMEA En Body Text"/>
    <w:basedOn w:val="prastasis"/>
    <w:rsid w:val="003744F7"/>
    <w:pPr>
      <w:spacing w:before="120" w:after="120" w:line="240" w:lineRule="auto"/>
      <w:jc w:val="both"/>
    </w:pPr>
    <w:rPr>
      <w:rFonts w:ascii="Times New Roman" w:eastAsia="Times New Roman" w:hAnsi="Times New Roman" w:cs="Times New Roman"/>
      <w:szCs w:val="20"/>
      <w:lang w:eastAsia="lt-LT" w:bidi="lt-LT"/>
    </w:rPr>
  </w:style>
  <w:style w:type="character" w:customStyle="1" w:styleId="DebesliotekstasDiagrama">
    <w:name w:val="Debesėlio tekstas Diagrama"/>
    <w:basedOn w:val="Numatytasispastraiposriftas"/>
    <w:link w:val="Debesliotekstas"/>
    <w:semiHidden/>
    <w:rsid w:val="003744F7"/>
    <w:rPr>
      <w:rFonts w:ascii="Tahoma" w:eastAsia="Times New Roman" w:hAnsi="Tahoma" w:cs="Tahoma"/>
      <w:sz w:val="16"/>
      <w:szCs w:val="16"/>
      <w:lang w:eastAsia="lt-LT" w:bidi="lt-LT"/>
    </w:rPr>
  </w:style>
  <w:style w:type="paragraph" w:styleId="Debesliotekstas">
    <w:name w:val="Balloon Text"/>
    <w:basedOn w:val="prastasis"/>
    <w:link w:val="DebesliotekstasDiagrama"/>
    <w:semiHidden/>
    <w:rsid w:val="003744F7"/>
    <w:pPr>
      <w:tabs>
        <w:tab w:val="left" w:pos="567"/>
      </w:tabs>
      <w:spacing w:after="0" w:line="260" w:lineRule="exact"/>
    </w:pPr>
    <w:rPr>
      <w:rFonts w:ascii="Tahoma" w:eastAsia="Times New Roman" w:hAnsi="Tahoma" w:cs="Tahoma"/>
      <w:sz w:val="16"/>
      <w:szCs w:val="16"/>
      <w:lang w:eastAsia="lt-LT" w:bidi="lt-LT"/>
    </w:rPr>
  </w:style>
  <w:style w:type="character" w:customStyle="1" w:styleId="BalloonTextChar1">
    <w:name w:val="Balloon Text Char1"/>
    <w:basedOn w:val="Numatytasispastraiposriftas"/>
    <w:uiPriority w:val="99"/>
    <w:semiHidden/>
    <w:rsid w:val="003744F7"/>
    <w:rPr>
      <w:rFonts w:ascii="Segoe UI" w:hAnsi="Segoe UI" w:cs="Segoe UI"/>
      <w:sz w:val="18"/>
      <w:szCs w:val="18"/>
    </w:rPr>
  </w:style>
  <w:style w:type="paragraph" w:customStyle="1" w:styleId="BodytextAgency">
    <w:name w:val="Body text (Agency)"/>
    <w:basedOn w:val="prastasis"/>
    <w:link w:val="BodytextAgencyChar"/>
    <w:rsid w:val="003744F7"/>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3744F7"/>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3744F7"/>
    <w:pPr>
      <w:spacing w:after="140" w:line="280" w:lineRule="atLeast"/>
    </w:pPr>
    <w:rPr>
      <w:rFonts w:ascii="Courier New" w:eastAsia="Verdana" w:hAnsi="Courier New" w:cs="Times New Roman"/>
      <w:i/>
      <w:color w:val="339966"/>
      <w:szCs w:val="18"/>
      <w:lang w:eastAsia="lt-LT" w:bidi="lt-LT"/>
    </w:rPr>
  </w:style>
  <w:style w:type="character" w:customStyle="1" w:styleId="DraftingNotesAgencyChar">
    <w:name w:val="Drafting Notes (Agency) Char"/>
    <w:link w:val="DraftingNotesAgency"/>
    <w:rsid w:val="003744F7"/>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3744F7"/>
    <w:pPr>
      <w:spacing w:after="0" w:line="240" w:lineRule="auto"/>
    </w:pPr>
    <w:rPr>
      <w:rFonts w:ascii="Verdana" w:eastAsia="Verdana" w:hAnsi="Verdana" w:cs="Verdana"/>
      <w:sz w:val="18"/>
      <w:szCs w:val="18"/>
      <w:lang w:eastAsia="lt-LT" w:bidi="lt-LT"/>
    </w:rPr>
  </w:style>
  <w:style w:type="character" w:customStyle="1" w:styleId="NormalAgencyChar">
    <w:name w:val="Normal (Agency) Char"/>
    <w:link w:val="NormalAgency"/>
    <w:rsid w:val="003744F7"/>
    <w:rPr>
      <w:rFonts w:ascii="Verdana" w:eastAsia="Verdana" w:hAnsi="Verdana" w:cs="Verdana"/>
      <w:sz w:val="18"/>
      <w:szCs w:val="18"/>
      <w:lang w:eastAsia="lt-LT" w:bidi="lt-LT"/>
    </w:rPr>
  </w:style>
  <w:style w:type="paragraph" w:customStyle="1" w:styleId="TableheadingrowsAgency">
    <w:name w:val="Table heading rows (Agency)"/>
    <w:basedOn w:val="BodytextAgency"/>
    <w:rsid w:val="003744F7"/>
    <w:pPr>
      <w:keepNext/>
    </w:pPr>
    <w:rPr>
      <w:rFonts w:eastAsia="Times New Roman"/>
      <w:b/>
    </w:rPr>
  </w:style>
  <w:style w:type="paragraph" w:customStyle="1" w:styleId="TabletextrowsAgency">
    <w:name w:val="Table text rows (Agency)"/>
    <w:basedOn w:val="prastasis"/>
    <w:rsid w:val="003744F7"/>
    <w:pPr>
      <w:spacing w:after="0" w:line="280" w:lineRule="exact"/>
    </w:pPr>
    <w:rPr>
      <w:rFonts w:ascii="Verdana" w:eastAsia="Times New Roman" w:hAnsi="Verdana" w:cs="Verdana"/>
      <w:sz w:val="18"/>
      <w:szCs w:val="18"/>
      <w:lang w:eastAsia="lt-LT" w:bidi="lt-LT"/>
    </w:rPr>
  </w:style>
  <w:style w:type="paragraph" w:styleId="Komentarotema">
    <w:name w:val="annotation subject"/>
    <w:basedOn w:val="Komentarotekstas"/>
    <w:next w:val="Komentarotekstas"/>
    <w:link w:val="KomentarotemaDiagrama"/>
    <w:rsid w:val="003744F7"/>
    <w:rPr>
      <w:b/>
      <w:bCs/>
    </w:rPr>
  </w:style>
  <w:style w:type="character" w:customStyle="1" w:styleId="KomentarotemaDiagrama">
    <w:name w:val="Komentaro tema Diagrama"/>
    <w:basedOn w:val="KomentarotekstasDiagrama"/>
    <w:link w:val="Komentarotema"/>
    <w:rsid w:val="003744F7"/>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3744F7"/>
    <w:rPr>
      <w:b/>
      <w:noProof/>
      <w:szCs w:val="22"/>
    </w:rPr>
  </w:style>
  <w:style w:type="paragraph" w:styleId="Sraopastraipa">
    <w:name w:val="List Paragraph"/>
    <w:basedOn w:val="prastasis"/>
    <w:uiPriority w:val="34"/>
    <w:qFormat/>
    <w:rsid w:val="003744F7"/>
    <w:pPr>
      <w:tabs>
        <w:tab w:val="left" w:pos="567"/>
      </w:tabs>
      <w:spacing w:after="0" w:line="260" w:lineRule="exact"/>
      <w:ind w:left="720"/>
      <w:contextualSpacing/>
    </w:pPr>
    <w:rPr>
      <w:rFonts w:ascii="Times New Roman" w:eastAsia="Times New Roman" w:hAnsi="Times New Roman" w:cs="Times New Roman"/>
      <w:szCs w:val="20"/>
      <w:lang w:eastAsia="lt-LT" w:bidi="lt-LT"/>
    </w:rPr>
  </w:style>
  <w:style w:type="character" w:customStyle="1" w:styleId="st">
    <w:name w:val="st"/>
    <w:basedOn w:val="Numatytasispastraiposriftas"/>
    <w:rsid w:val="003744F7"/>
  </w:style>
  <w:style w:type="character" w:styleId="Emfaz">
    <w:name w:val="Emphasis"/>
    <w:basedOn w:val="Numatytasispastraiposriftas"/>
    <w:uiPriority w:val="20"/>
    <w:qFormat/>
    <w:rsid w:val="003744F7"/>
    <w:rPr>
      <w:i/>
      <w:iCs/>
    </w:rPr>
  </w:style>
  <w:style w:type="paragraph" w:styleId="Paprastasistekstas">
    <w:name w:val="Plain Text"/>
    <w:basedOn w:val="prastasis"/>
    <w:link w:val="PaprastasistekstasDiagrama"/>
    <w:uiPriority w:val="99"/>
    <w:rsid w:val="003744F7"/>
    <w:pPr>
      <w:spacing w:after="0" w:line="240" w:lineRule="auto"/>
    </w:pPr>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3744F7"/>
    <w:rPr>
      <w:rFonts w:ascii="Courier New" w:eastAsia="SimSun" w:hAnsi="Courier New" w:cs="Courier New"/>
      <w:sz w:val="20"/>
      <w:szCs w:val="20"/>
      <w:lang w:val="en-US" w:eastAsia="lt-LT"/>
    </w:rPr>
  </w:style>
  <w:style w:type="character" w:styleId="Komentaronuoroda">
    <w:name w:val="annotation reference"/>
    <w:basedOn w:val="Numatytasispastraiposriftas"/>
    <w:uiPriority w:val="99"/>
    <w:semiHidden/>
    <w:unhideWhenUsed/>
    <w:rsid w:val="003744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38256</Words>
  <Characters>21807</Characters>
  <Application>Microsoft Office Word</Application>
  <DocSecurity>4</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2021-09-22T12:33:00Z</dcterms:created>
  <dcterms:modified xsi:type="dcterms:W3CDTF">2021-09-22T12:33:00Z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2021-09-22T07:38:06Z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fc181a0b-1a4e-4d78-89f5-644dde6f9eb6</vt:lpwstr>
  </property>
  <property fmtid="{D5CDD505-2E9C-101B-9397-08002B2CF9AE}" pid="8" name="MSIP_Label_c63a0701-319b-41bf-8431-58956e491e60_ContentBits">
    <vt:lpwstr>0</vt:lpwstr>
  </property>
</Properties>
</file>