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7C8F6" w14:textId="77777777" w:rsidR="00D87EAB" w:rsidRPr="00C21B99" w:rsidRDefault="00D87EAB" w:rsidP="00D87EAB">
      <w:pPr>
        <w:widowControl w:val="0"/>
        <w:tabs>
          <w:tab w:val="left" w:pos="567"/>
        </w:tabs>
        <w:outlineLvl w:val="0"/>
        <w:rPr>
          <w:b/>
          <w:snapToGrid w:val="0"/>
          <w:szCs w:val="22"/>
          <w:lang w:eastAsia="en-US"/>
        </w:rPr>
      </w:pPr>
    </w:p>
    <w:p w14:paraId="17E54C07" w14:textId="77777777" w:rsidR="00D87EAB" w:rsidRPr="00C21B99" w:rsidRDefault="00D87EAB" w:rsidP="00D87EAB">
      <w:pPr>
        <w:widowControl w:val="0"/>
        <w:tabs>
          <w:tab w:val="left" w:pos="567"/>
        </w:tabs>
        <w:outlineLvl w:val="0"/>
        <w:rPr>
          <w:b/>
          <w:snapToGrid w:val="0"/>
          <w:szCs w:val="22"/>
          <w:lang w:eastAsia="en-US"/>
        </w:rPr>
      </w:pPr>
    </w:p>
    <w:p w14:paraId="52A26708" w14:textId="77777777" w:rsidR="00D87EAB" w:rsidRPr="00C21B99" w:rsidRDefault="00D87EAB" w:rsidP="00D87EAB">
      <w:pPr>
        <w:widowControl w:val="0"/>
        <w:tabs>
          <w:tab w:val="left" w:pos="567"/>
        </w:tabs>
        <w:outlineLvl w:val="0"/>
        <w:rPr>
          <w:b/>
          <w:snapToGrid w:val="0"/>
          <w:szCs w:val="22"/>
          <w:lang w:eastAsia="en-US"/>
        </w:rPr>
      </w:pPr>
    </w:p>
    <w:p w14:paraId="3B578A7A" w14:textId="77777777" w:rsidR="00D87EAB" w:rsidRPr="00C21B99" w:rsidRDefault="00D87EAB" w:rsidP="00D87EAB">
      <w:pPr>
        <w:widowControl w:val="0"/>
        <w:tabs>
          <w:tab w:val="left" w:pos="567"/>
        </w:tabs>
        <w:outlineLvl w:val="0"/>
        <w:rPr>
          <w:b/>
          <w:snapToGrid w:val="0"/>
          <w:szCs w:val="22"/>
          <w:lang w:eastAsia="en-US"/>
        </w:rPr>
      </w:pPr>
    </w:p>
    <w:p w14:paraId="28684BBB" w14:textId="77777777" w:rsidR="00D87EAB" w:rsidRPr="00C21B99" w:rsidRDefault="00D87EAB" w:rsidP="00D87EAB">
      <w:pPr>
        <w:widowControl w:val="0"/>
        <w:tabs>
          <w:tab w:val="left" w:pos="-1440"/>
          <w:tab w:val="left" w:pos="-720"/>
          <w:tab w:val="left" w:pos="567"/>
        </w:tabs>
        <w:rPr>
          <w:b/>
          <w:snapToGrid w:val="0"/>
          <w:szCs w:val="22"/>
          <w:lang w:eastAsia="en-US"/>
        </w:rPr>
      </w:pPr>
    </w:p>
    <w:p w14:paraId="442DFD81" w14:textId="77777777" w:rsidR="00D87EAB" w:rsidRPr="00C21B99" w:rsidRDefault="00D87EAB" w:rsidP="00D87EAB">
      <w:pPr>
        <w:widowControl w:val="0"/>
        <w:tabs>
          <w:tab w:val="left" w:pos="-1440"/>
          <w:tab w:val="left" w:pos="-720"/>
          <w:tab w:val="left" w:pos="567"/>
        </w:tabs>
        <w:rPr>
          <w:b/>
          <w:snapToGrid w:val="0"/>
          <w:szCs w:val="22"/>
          <w:lang w:eastAsia="en-US"/>
        </w:rPr>
      </w:pPr>
    </w:p>
    <w:p w14:paraId="33631D06" w14:textId="77777777" w:rsidR="00D87EAB" w:rsidRPr="00C21B99" w:rsidRDefault="00D87EAB" w:rsidP="00D87EAB">
      <w:pPr>
        <w:widowControl w:val="0"/>
        <w:tabs>
          <w:tab w:val="left" w:pos="-1440"/>
          <w:tab w:val="left" w:pos="-720"/>
          <w:tab w:val="left" w:pos="567"/>
        </w:tabs>
        <w:rPr>
          <w:b/>
          <w:snapToGrid w:val="0"/>
          <w:szCs w:val="22"/>
          <w:lang w:eastAsia="en-US"/>
        </w:rPr>
      </w:pPr>
    </w:p>
    <w:p w14:paraId="7C5D3CE1" w14:textId="77777777" w:rsidR="00D87EAB" w:rsidRPr="00C21B99" w:rsidRDefault="00D87EAB" w:rsidP="00D87EAB">
      <w:pPr>
        <w:widowControl w:val="0"/>
        <w:tabs>
          <w:tab w:val="left" w:pos="-1440"/>
          <w:tab w:val="left" w:pos="-720"/>
          <w:tab w:val="left" w:pos="567"/>
        </w:tabs>
        <w:rPr>
          <w:b/>
          <w:snapToGrid w:val="0"/>
          <w:szCs w:val="22"/>
          <w:lang w:eastAsia="en-US"/>
        </w:rPr>
      </w:pPr>
    </w:p>
    <w:p w14:paraId="1FF56B71" w14:textId="77777777" w:rsidR="00D87EAB" w:rsidRPr="00C21B99" w:rsidRDefault="00D87EAB" w:rsidP="00D87EAB">
      <w:pPr>
        <w:widowControl w:val="0"/>
        <w:tabs>
          <w:tab w:val="left" w:pos="-1440"/>
          <w:tab w:val="left" w:pos="-720"/>
          <w:tab w:val="left" w:pos="567"/>
        </w:tabs>
        <w:rPr>
          <w:b/>
          <w:snapToGrid w:val="0"/>
          <w:szCs w:val="22"/>
          <w:lang w:eastAsia="en-US"/>
        </w:rPr>
      </w:pPr>
    </w:p>
    <w:p w14:paraId="25279084" w14:textId="77777777" w:rsidR="00D87EAB" w:rsidRPr="00C21B99" w:rsidRDefault="00D87EAB" w:rsidP="00D87EAB">
      <w:pPr>
        <w:widowControl w:val="0"/>
        <w:tabs>
          <w:tab w:val="left" w:pos="-1440"/>
          <w:tab w:val="left" w:pos="-720"/>
          <w:tab w:val="left" w:pos="567"/>
        </w:tabs>
        <w:rPr>
          <w:b/>
          <w:snapToGrid w:val="0"/>
          <w:szCs w:val="22"/>
          <w:lang w:eastAsia="en-US"/>
        </w:rPr>
      </w:pPr>
    </w:p>
    <w:p w14:paraId="79DFCFD9" w14:textId="77777777" w:rsidR="00D87EAB" w:rsidRPr="00C21B99" w:rsidRDefault="00D87EAB" w:rsidP="00D87EAB">
      <w:pPr>
        <w:widowControl w:val="0"/>
        <w:tabs>
          <w:tab w:val="left" w:pos="-1440"/>
          <w:tab w:val="left" w:pos="-720"/>
          <w:tab w:val="left" w:pos="567"/>
        </w:tabs>
        <w:rPr>
          <w:b/>
          <w:snapToGrid w:val="0"/>
          <w:szCs w:val="22"/>
          <w:lang w:eastAsia="en-US"/>
        </w:rPr>
      </w:pPr>
    </w:p>
    <w:p w14:paraId="1A35A501" w14:textId="77777777" w:rsidR="00D87EAB" w:rsidRPr="00C21B99" w:rsidRDefault="00D87EAB" w:rsidP="00D87EAB">
      <w:pPr>
        <w:widowControl w:val="0"/>
        <w:tabs>
          <w:tab w:val="left" w:pos="-1440"/>
          <w:tab w:val="left" w:pos="-720"/>
          <w:tab w:val="left" w:pos="567"/>
        </w:tabs>
        <w:rPr>
          <w:b/>
          <w:snapToGrid w:val="0"/>
          <w:szCs w:val="22"/>
          <w:lang w:eastAsia="en-US"/>
        </w:rPr>
      </w:pPr>
    </w:p>
    <w:p w14:paraId="1707E3DE" w14:textId="77777777" w:rsidR="00D87EAB" w:rsidRPr="00C21B99" w:rsidRDefault="00D87EAB" w:rsidP="00D87EAB">
      <w:pPr>
        <w:widowControl w:val="0"/>
        <w:tabs>
          <w:tab w:val="left" w:pos="-1440"/>
          <w:tab w:val="left" w:pos="-720"/>
          <w:tab w:val="left" w:pos="567"/>
        </w:tabs>
        <w:rPr>
          <w:b/>
          <w:snapToGrid w:val="0"/>
          <w:szCs w:val="22"/>
          <w:lang w:eastAsia="en-US"/>
        </w:rPr>
      </w:pPr>
    </w:p>
    <w:p w14:paraId="24BD8096" w14:textId="77777777" w:rsidR="00D87EAB" w:rsidRPr="00C21B99" w:rsidRDefault="00D87EAB" w:rsidP="00D87EAB">
      <w:pPr>
        <w:widowControl w:val="0"/>
        <w:tabs>
          <w:tab w:val="left" w:pos="-1440"/>
          <w:tab w:val="left" w:pos="-720"/>
          <w:tab w:val="left" w:pos="567"/>
        </w:tabs>
        <w:rPr>
          <w:b/>
          <w:snapToGrid w:val="0"/>
          <w:szCs w:val="22"/>
          <w:lang w:eastAsia="en-US"/>
        </w:rPr>
      </w:pPr>
    </w:p>
    <w:p w14:paraId="14FAB22B" w14:textId="77777777" w:rsidR="00D87EAB" w:rsidRPr="00C21B99" w:rsidRDefault="00D87EAB" w:rsidP="00D87EAB">
      <w:pPr>
        <w:widowControl w:val="0"/>
        <w:tabs>
          <w:tab w:val="left" w:pos="-1440"/>
          <w:tab w:val="left" w:pos="-720"/>
          <w:tab w:val="left" w:pos="567"/>
        </w:tabs>
        <w:rPr>
          <w:b/>
          <w:snapToGrid w:val="0"/>
          <w:szCs w:val="22"/>
          <w:lang w:eastAsia="en-US"/>
        </w:rPr>
      </w:pPr>
    </w:p>
    <w:p w14:paraId="7091CD85" w14:textId="77777777" w:rsidR="00D87EAB" w:rsidRPr="00C21B99" w:rsidRDefault="00D87EAB" w:rsidP="00D87EAB">
      <w:pPr>
        <w:widowControl w:val="0"/>
        <w:tabs>
          <w:tab w:val="left" w:pos="-1440"/>
          <w:tab w:val="left" w:pos="-720"/>
          <w:tab w:val="left" w:pos="567"/>
        </w:tabs>
        <w:rPr>
          <w:b/>
          <w:snapToGrid w:val="0"/>
          <w:szCs w:val="22"/>
          <w:lang w:eastAsia="en-US"/>
        </w:rPr>
      </w:pPr>
    </w:p>
    <w:p w14:paraId="24866679" w14:textId="77777777" w:rsidR="00D87EAB" w:rsidRPr="00C21B99" w:rsidRDefault="00D87EAB" w:rsidP="00D87EAB">
      <w:pPr>
        <w:widowControl w:val="0"/>
        <w:tabs>
          <w:tab w:val="left" w:pos="-1440"/>
          <w:tab w:val="left" w:pos="-720"/>
          <w:tab w:val="left" w:pos="567"/>
        </w:tabs>
        <w:rPr>
          <w:b/>
          <w:snapToGrid w:val="0"/>
          <w:szCs w:val="22"/>
          <w:lang w:eastAsia="en-US"/>
        </w:rPr>
      </w:pPr>
    </w:p>
    <w:p w14:paraId="5315ECDF" w14:textId="77777777" w:rsidR="00D87EAB" w:rsidRPr="00C21B99" w:rsidRDefault="00D87EAB" w:rsidP="00D87EAB">
      <w:pPr>
        <w:widowControl w:val="0"/>
        <w:tabs>
          <w:tab w:val="left" w:pos="-1440"/>
          <w:tab w:val="left" w:pos="-720"/>
          <w:tab w:val="left" w:pos="567"/>
        </w:tabs>
        <w:rPr>
          <w:b/>
          <w:snapToGrid w:val="0"/>
          <w:szCs w:val="22"/>
          <w:lang w:eastAsia="en-US"/>
        </w:rPr>
      </w:pPr>
    </w:p>
    <w:p w14:paraId="0B2D1AB4" w14:textId="77777777" w:rsidR="00D87EAB" w:rsidRPr="00C21B99" w:rsidRDefault="00D87EAB" w:rsidP="00D87EAB">
      <w:pPr>
        <w:widowControl w:val="0"/>
        <w:tabs>
          <w:tab w:val="left" w:pos="-1440"/>
          <w:tab w:val="left" w:pos="-720"/>
          <w:tab w:val="left" w:pos="567"/>
        </w:tabs>
        <w:rPr>
          <w:b/>
          <w:snapToGrid w:val="0"/>
          <w:szCs w:val="22"/>
          <w:lang w:eastAsia="en-US"/>
        </w:rPr>
      </w:pPr>
    </w:p>
    <w:p w14:paraId="5C663040" w14:textId="77777777" w:rsidR="00D87EAB" w:rsidRPr="00C21B99" w:rsidRDefault="00D87EAB" w:rsidP="00D87EAB">
      <w:pPr>
        <w:widowControl w:val="0"/>
        <w:tabs>
          <w:tab w:val="left" w:pos="-1440"/>
          <w:tab w:val="left" w:pos="-720"/>
          <w:tab w:val="left" w:pos="567"/>
        </w:tabs>
        <w:rPr>
          <w:b/>
          <w:snapToGrid w:val="0"/>
          <w:szCs w:val="22"/>
          <w:lang w:eastAsia="en-US"/>
        </w:rPr>
      </w:pPr>
    </w:p>
    <w:p w14:paraId="5755DE51" w14:textId="77777777" w:rsidR="00D87EAB" w:rsidRPr="00C21B99" w:rsidRDefault="00D87EAB" w:rsidP="00D87EAB">
      <w:pPr>
        <w:widowControl w:val="0"/>
        <w:tabs>
          <w:tab w:val="left" w:pos="-1440"/>
          <w:tab w:val="left" w:pos="-720"/>
          <w:tab w:val="left" w:pos="567"/>
        </w:tabs>
        <w:rPr>
          <w:b/>
          <w:snapToGrid w:val="0"/>
          <w:szCs w:val="22"/>
          <w:lang w:eastAsia="en-US"/>
        </w:rPr>
      </w:pPr>
    </w:p>
    <w:p w14:paraId="143EA5D1" w14:textId="77777777" w:rsidR="00D87EAB" w:rsidRPr="00C21B99" w:rsidRDefault="00D87EAB" w:rsidP="00D87EAB">
      <w:pPr>
        <w:widowControl w:val="0"/>
        <w:tabs>
          <w:tab w:val="left" w:pos="-1440"/>
          <w:tab w:val="left" w:pos="-720"/>
          <w:tab w:val="left" w:pos="567"/>
        </w:tabs>
        <w:rPr>
          <w:b/>
          <w:snapToGrid w:val="0"/>
          <w:szCs w:val="22"/>
          <w:lang w:eastAsia="en-US"/>
        </w:rPr>
      </w:pPr>
    </w:p>
    <w:p w14:paraId="426BF4FA" w14:textId="77777777" w:rsidR="00D87EAB" w:rsidRPr="00C21B99" w:rsidRDefault="00D87EAB" w:rsidP="00D87EAB">
      <w:pPr>
        <w:widowControl w:val="0"/>
        <w:tabs>
          <w:tab w:val="left" w:pos="567"/>
        </w:tabs>
        <w:jc w:val="center"/>
        <w:outlineLvl w:val="1"/>
        <w:rPr>
          <w:b/>
          <w:bCs/>
          <w:iCs/>
          <w:snapToGrid w:val="0"/>
          <w:szCs w:val="22"/>
        </w:rPr>
      </w:pPr>
    </w:p>
    <w:p w14:paraId="42A2018C" w14:textId="77777777" w:rsidR="00D87EAB" w:rsidRPr="00C21B99" w:rsidRDefault="00D87EAB" w:rsidP="00D87EAB">
      <w:pPr>
        <w:widowControl w:val="0"/>
        <w:tabs>
          <w:tab w:val="left" w:pos="567"/>
        </w:tabs>
        <w:jc w:val="center"/>
        <w:outlineLvl w:val="1"/>
        <w:rPr>
          <w:b/>
          <w:snapToGrid w:val="0"/>
          <w:szCs w:val="22"/>
        </w:rPr>
      </w:pPr>
      <w:r w:rsidRPr="00C21B99">
        <w:rPr>
          <w:b/>
          <w:bCs/>
          <w:iCs/>
          <w:snapToGrid w:val="0"/>
          <w:szCs w:val="22"/>
        </w:rPr>
        <w:t>I PRIEDAS</w:t>
      </w:r>
    </w:p>
    <w:p w14:paraId="5C2232D2" w14:textId="77777777" w:rsidR="00D87EAB" w:rsidRPr="00C21B99" w:rsidRDefault="00D87EAB" w:rsidP="00D87EAB">
      <w:pPr>
        <w:widowControl w:val="0"/>
        <w:tabs>
          <w:tab w:val="left" w:pos="567"/>
        </w:tabs>
        <w:rPr>
          <w:snapToGrid w:val="0"/>
          <w:szCs w:val="22"/>
          <w:lang w:eastAsia="en-US"/>
        </w:rPr>
      </w:pPr>
    </w:p>
    <w:p w14:paraId="27048FC3" w14:textId="77777777" w:rsidR="00D87EAB" w:rsidRPr="00C21B99" w:rsidRDefault="00D87EAB" w:rsidP="00D87EAB">
      <w:pPr>
        <w:widowControl w:val="0"/>
        <w:tabs>
          <w:tab w:val="left" w:pos="-1440"/>
          <w:tab w:val="left" w:pos="-720"/>
          <w:tab w:val="left" w:pos="567"/>
        </w:tabs>
        <w:jc w:val="center"/>
        <w:rPr>
          <w:b/>
          <w:snapToGrid w:val="0"/>
          <w:szCs w:val="22"/>
          <w:lang w:eastAsia="en-US"/>
        </w:rPr>
      </w:pPr>
      <w:r w:rsidRPr="00C21B99">
        <w:rPr>
          <w:b/>
          <w:snapToGrid w:val="0"/>
          <w:szCs w:val="22"/>
          <w:lang w:eastAsia="en-US"/>
        </w:rPr>
        <w:t>PREPARATO CHARAKTERISTIKŲ SANTRAUKA</w:t>
      </w:r>
    </w:p>
    <w:p w14:paraId="750BEDC6" w14:textId="77777777" w:rsidR="00D87EAB" w:rsidRPr="00C21B99" w:rsidRDefault="00D87EAB" w:rsidP="00D87EAB">
      <w:pPr>
        <w:widowControl w:val="0"/>
        <w:tabs>
          <w:tab w:val="left" w:pos="567"/>
        </w:tabs>
        <w:outlineLvl w:val="2"/>
        <w:rPr>
          <w:b/>
          <w:bCs/>
          <w:snapToGrid w:val="0"/>
          <w:szCs w:val="22"/>
        </w:rPr>
      </w:pPr>
      <w:r w:rsidRPr="00C21B99">
        <w:rPr>
          <w:snapToGrid w:val="0"/>
          <w:szCs w:val="22"/>
          <w:lang w:eastAsia="zh-CN"/>
        </w:rPr>
        <w:br w:type="page"/>
      </w:r>
      <w:r w:rsidRPr="00C21B99">
        <w:rPr>
          <w:b/>
          <w:bCs/>
          <w:snapToGrid w:val="0"/>
          <w:szCs w:val="22"/>
        </w:rPr>
        <w:lastRenderedPageBreak/>
        <w:t>1.</w:t>
      </w:r>
      <w:r w:rsidRPr="00C21B99">
        <w:rPr>
          <w:b/>
          <w:bCs/>
          <w:snapToGrid w:val="0"/>
          <w:szCs w:val="22"/>
        </w:rPr>
        <w:tab/>
        <w:t>VAISTINIO PREPARATO PAVADINIMAS</w:t>
      </w:r>
    </w:p>
    <w:p w14:paraId="65ADBF23" w14:textId="77777777" w:rsidR="00D87EAB" w:rsidRPr="00C21B99" w:rsidRDefault="00D87EAB" w:rsidP="00D87EAB">
      <w:pPr>
        <w:widowControl w:val="0"/>
        <w:tabs>
          <w:tab w:val="left" w:pos="567"/>
        </w:tabs>
        <w:rPr>
          <w:snapToGrid w:val="0"/>
          <w:szCs w:val="22"/>
          <w:lang w:eastAsia="en-US"/>
        </w:rPr>
      </w:pPr>
    </w:p>
    <w:p w14:paraId="558A8572" w14:textId="77777777" w:rsidR="004E52F9" w:rsidRPr="00C21B99" w:rsidRDefault="00AE301E" w:rsidP="00D87EAB">
      <w:pPr>
        <w:widowControl w:val="0"/>
        <w:tabs>
          <w:tab w:val="left" w:pos="567"/>
        </w:tabs>
        <w:rPr>
          <w:szCs w:val="22"/>
          <w:lang w:eastAsia="en-US"/>
        </w:rPr>
      </w:pPr>
      <w:proofErr w:type="spellStart"/>
      <w:r w:rsidRPr="00C21B99">
        <w:rPr>
          <w:szCs w:val="22"/>
          <w:lang w:eastAsia="en-US"/>
        </w:rPr>
        <w:t>Gefitinib</w:t>
      </w:r>
      <w:proofErr w:type="spellEnd"/>
      <w:r w:rsidRPr="00C21B99">
        <w:rPr>
          <w:szCs w:val="22"/>
          <w:lang w:eastAsia="en-US"/>
        </w:rPr>
        <w:t xml:space="preserve"> </w:t>
      </w:r>
      <w:proofErr w:type="spellStart"/>
      <w:r w:rsidRPr="00C21B99">
        <w:rPr>
          <w:szCs w:val="22"/>
          <w:lang w:eastAsia="en-US"/>
        </w:rPr>
        <w:t>Sandoz</w:t>
      </w:r>
      <w:proofErr w:type="spellEnd"/>
      <w:r w:rsidRPr="00C21B99">
        <w:rPr>
          <w:szCs w:val="22"/>
          <w:lang w:eastAsia="en-US"/>
        </w:rPr>
        <w:t xml:space="preserve"> 250 </w:t>
      </w:r>
      <w:r w:rsidR="004E52F9" w:rsidRPr="00C21B99">
        <w:rPr>
          <w:szCs w:val="22"/>
          <w:lang w:eastAsia="en-US"/>
        </w:rPr>
        <w:t>mg plėvele dengtos tabletės</w:t>
      </w:r>
    </w:p>
    <w:p w14:paraId="3E2E3730" w14:textId="77777777" w:rsidR="004E52F9" w:rsidRPr="00C21B99" w:rsidRDefault="004E52F9" w:rsidP="00D87EAB">
      <w:pPr>
        <w:widowControl w:val="0"/>
        <w:tabs>
          <w:tab w:val="left" w:pos="567"/>
        </w:tabs>
        <w:rPr>
          <w:szCs w:val="22"/>
          <w:lang w:eastAsia="en-US"/>
        </w:rPr>
      </w:pPr>
    </w:p>
    <w:p w14:paraId="0E07FEF0" w14:textId="77777777" w:rsidR="00D87EAB" w:rsidRPr="00C21B99" w:rsidRDefault="00D87EAB" w:rsidP="00D87EAB">
      <w:pPr>
        <w:widowControl w:val="0"/>
        <w:tabs>
          <w:tab w:val="left" w:pos="567"/>
        </w:tabs>
        <w:rPr>
          <w:snapToGrid w:val="0"/>
          <w:szCs w:val="22"/>
          <w:lang w:eastAsia="en-US"/>
        </w:rPr>
      </w:pPr>
    </w:p>
    <w:p w14:paraId="63CBF023" w14:textId="77777777" w:rsidR="00D87EAB" w:rsidRPr="00C21B99" w:rsidRDefault="00D87EAB" w:rsidP="00D87EAB">
      <w:pPr>
        <w:widowControl w:val="0"/>
        <w:tabs>
          <w:tab w:val="left" w:pos="567"/>
        </w:tabs>
        <w:outlineLvl w:val="2"/>
        <w:rPr>
          <w:b/>
          <w:bCs/>
          <w:snapToGrid w:val="0"/>
          <w:szCs w:val="22"/>
        </w:rPr>
      </w:pPr>
      <w:r w:rsidRPr="00C21B99">
        <w:rPr>
          <w:b/>
          <w:bCs/>
          <w:snapToGrid w:val="0"/>
          <w:szCs w:val="22"/>
        </w:rPr>
        <w:t>2.</w:t>
      </w:r>
      <w:r w:rsidRPr="00C21B99">
        <w:rPr>
          <w:b/>
          <w:bCs/>
          <w:snapToGrid w:val="0"/>
          <w:szCs w:val="22"/>
        </w:rPr>
        <w:tab/>
        <w:t>KOKYBINĖ IR KIEKYBINĖ SUDĖTIS</w:t>
      </w:r>
    </w:p>
    <w:p w14:paraId="21C85C56" w14:textId="77777777" w:rsidR="00D87EAB" w:rsidRPr="00C21B99" w:rsidRDefault="00D87EAB" w:rsidP="00D87EAB">
      <w:pPr>
        <w:widowControl w:val="0"/>
        <w:tabs>
          <w:tab w:val="left" w:pos="567"/>
        </w:tabs>
        <w:rPr>
          <w:snapToGrid w:val="0"/>
          <w:szCs w:val="22"/>
          <w:lang w:eastAsia="en-US"/>
        </w:rPr>
      </w:pPr>
    </w:p>
    <w:p w14:paraId="1E8B1F1E" w14:textId="77777777" w:rsidR="00D87EAB" w:rsidRPr="00C21B99" w:rsidRDefault="00D87EAB" w:rsidP="00D87EAB">
      <w:pPr>
        <w:widowControl w:val="0"/>
        <w:tabs>
          <w:tab w:val="left" w:pos="567"/>
        </w:tabs>
        <w:rPr>
          <w:szCs w:val="22"/>
          <w:lang w:eastAsia="en-US"/>
        </w:rPr>
      </w:pPr>
      <w:r w:rsidRPr="00C21B99">
        <w:rPr>
          <w:szCs w:val="22"/>
          <w:lang w:eastAsia="en-US"/>
        </w:rPr>
        <w:t xml:space="preserve">Kiekvienoje </w:t>
      </w:r>
      <w:r w:rsidR="0019155B">
        <w:rPr>
          <w:szCs w:val="22"/>
          <w:lang w:eastAsia="en-US"/>
        </w:rPr>
        <w:t xml:space="preserve">plėvele dengtoje </w:t>
      </w:r>
      <w:r w:rsidRPr="00C21B99">
        <w:rPr>
          <w:szCs w:val="22"/>
          <w:lang w:eastAsia="en-US"/>
        </w:rPr>
        <w:t xml:space="preserve">tabletėje yra </w:t>
      </w:r>
      <w:r w:rsidR="00AE301E" w:rsidRPr="00C21B99">
        <w:rPr>
          <w:szCs w:val="22"/>
          <w:lang w:eastAsia="en-US"/>
        </w:rPr>
        <w:t>250</w:t>
      </w:r>
      <w:r w:rsidRPr="00C21B99">
        <w:rPr>
          <w:szCs w:val="22"/>
          <w:lang w:eastAsia="en-US"/>
        </w:rPr>
        <w:t xml:space="preserve"> mg </w:t>
      </w:r>
      <w:proofErr w:type="spellStart"/>
      <w:r w:rsidR="00AE301E" w:rsidRPr="00C21B99">
        <w:rPr>
          <w:szCs w:val="22"/>
          <w:lang w:eastAsia="en-US"/>
        </w:rPr>
        <w:t>gefitinibo</w:t>
      </w:r>
      <w:proofErr w:type="spellEnd"/>
      <w:r w:rsidRPr="00C21B99">
        <w:rPr>
          <w:szCs w:val="22"/>
          <w:lang w:eastAsia="en-US"/>
        </w:rPr>
        <w:t>.</w:t>
      </w:r>
    </w:p>
    <w:p w14:paraId="5A358D80" w14:textId="77777777" w:rsidR="008E4D2B" w:rsidRPr="00C21B99" w:rsidRDefault="008E4D2B" w:rsidP="00D87EAB">
      <w:pPr>
        <w:widowControl w:val="0"/>
        <w:tabs>
          <w:tab w:val="left" w:pos="567"/>
        </w:tabs>
        <w:rPr>
          <w:snapToGrid w:val="0"/>
          <w:szCs w:val="22"/>
          <w:lang w:eastAsia="en-US"/>
        </w:rPr>
      </w:pPr>
    </w:p>
    <w:p w14:paraId="5C60604A" w14:textId="77777777" w:rsidR="006A4610" w:rsidRDefault="008E4D2B" w:rsidP="00D87EAB">
      <w:pPr>
        <w:widowControl w:val="0"/>
        <w:tabs>
          <w:tab w:val="left" w:pos="567"/>
        </w:tabs>
        <w:rPr>
          <w:snapToGrid w:val="0"/>
          <w:szCs w:val="22"/>
          <w:lang w:eastAsia="en-US"/>
        </w:rPr>
      </w:pPr>
      <w:r w:rsidRPr="00C21B99">
        <w:rPr>
          <w:snapToGrid w:val="0"/>
          <w:szCs w:val="22"/>
          <w:u w:val="single"/>
          <w:lang w:eastAsia="en-US"/>
        </w:rPr>
        <w:t>Pagalbinė medžiaga, kurios poveikis žinomas:</w:t>
      </w:r>
      <w:r w:rsidRPr="00C21B99">
        <w:rPr>
          <w:snapToGrid w:val="0"/>
          <w:szCs w:val="22"/>
          <w:lang w:eastAsia="en-US"/>
        </w:rPr>
        <w:t xml:space="preserve"> </w:t>
      </w:r>
    </w:p>
    <w:p w14:paraId="53824BE7" w14:textId="69038133" w:rsidR="008E4D2B" w:rsidRPr="00C21B99" w:rsidRDefault="006A4610" w:rsidP="00D87EAB">
      <w:pPr>
        <w:widowControl w:val="0"/>
        <w:tabs>
          <w:tab w:val="left" w:pos="567"/>
        </w:tabs>
        <w:rPr>
          <w:snapToGrid w:val="0"/>
          <w:szCs w:val="22"/>
          <w:lang w:eastAsia="en-US"/>
        </w:rPr>
      </w:pPr>
      <w:r>
        <w:rPr>
          <w:snapToGrid w:val="0"/>
          <w:szCs w:val="22"/>
          <w:lang w:eastAsia="en-US"/>
        </w:rPr>
        <w:t>K</w:t>
      </w:r>
      <w:r w:rsidR="008E4D2B" w:rsidRPr="00C21B99">
        <w:rPr>
          <w:snapToGrid w:val="0"/>
          <w:szCs w:val="22"/>
          <w:lang w:eastAsia="en-US"/>
        </w:rPr>
        <w:t>iekvienoje</w:t>
      </w:r>
      <w:r w:rsidR="0019155B">
        <w:rPr>
          <w:snapToGrid w:val="0"/>
          <w:szCs w:val="22"/>
          <w:lang w:eastAsia="en-US"/>
        </w:rPr>
        <w:t xml:space="preserve"> </w:t>
      </w:r>
      <w:r w:rsidR="0019155B">
        <w:rPr>
          <w:szCs w:val="22"/>
          <w:lang w:eastAsia="en-US"/>
        </w:rPr>
        <w:t>plėvele dengtoje</w:t>
      </w:r>
      <w:r w:rsidR="008E4D2B" w:rsidRPr="00C21B99">
        <w:rPr>
          <w:snapToGrid w:val="0"/>
          <w:szCs w:val="22"/>
          <w:lang w:eastAsia="en-US"/>
        </w:rPr>
        <w:t xml:space="preserve"> tabletėje yra </w:t>
      </w:r>
      <w:r w:rsidR="004573B7">
        <w:rPr>
          <w:snapToGrid w:val="0"/>
          <w:szCs w:val="22"/>
          <w:lang w:eastAsia="en-US"/>
        </w:rPr>
        <w:t>155</w:t>
      </w:r>
      <w:r w:rsidR="00AE301E" w:rsidRPr="00C21B99">
        <w:rPr>
          <w:snapToGrid w:val="0"/>
          <w:szCs w:val="22"/>
          <w:lang w:eastAsia="en-US"/>
        </w:rPr>
        <w:t>,</w:t>
      </w:r>
      <w:r w:rsidR="004573B7">
        <w:rPr>
          <w:snapToGrid w:val="0"/>
          <w:szCs w:val="22"/>
          <w:lang w:eastAsia="en-US"/>
        </w:rPr>
        <w:t>3</w:t>
      </w:r>
      <w:r w:rsidR="00EF2C36" w:rsidRPr="00C21B99">
        <w:rPr>
          <w:snapToGrid w:val="0"/>
          <w:szCs w:val="22"/>
          <w:lang w:eastAsia="en-US"/>
        </w:rPr>
        <w:t> </w:t>
      </w:r>
      <w:r w:rsidR="008E4D2B" w:rsidRPr="00C21B99">
        <w:rPr>
          <w:snapToGrid w:val="0"/>
          <w:szCs w:val="22"/>
          <w:lang w:eastAsia="en-US"/>
        </w:rPr>
        <w:t>mg laktozės (</w:t>
      </w:r>
      <w:proofErr w:type="spellStart"/>
      <w:r w:rsidR="008E4D2B" w:rsidRPr="00C21B99">
        <w:rPr>
          <w:snapToGrid w:val="0"/>
          <w:szCs w:val="22"/>
          <w:lang w:eastAsia="en-US"/>
        </w:rPr>
        <w:t>monohidrato</w:t>
      </w:r>
      <w:proofErr w:type="spellEnd"/>
      <w:r w:rsidR="008E4D2B" w:rsidRPr="00C21B99">
        <w:rPr>
          <w:snapToGrid w:val="0"/>
          <w:szCs w:val="22"/>
          <w:lang w:eastAsia="en-US"/>
        </w:rPr>
        <w:t xml:space="preserve"> pavidalu).</w:t>
      </w:r>
    </w:p>
    <w:p w14:paraId="48A6C60B" w14:textId="77777777" w:rsidR="008E4D2B" w:rsidRPr="00C21B99" w:rsidRDefault="008E4D2B" w:rsidP="00D87EAB">
      <w:pPr>
        <w:widowControl w:val="0"/>
        <w:tabs>
          <w:tab w:val="left" w:pos="567"/>
        </w:tabs>
        <w:rPr>
          <w:snapToGrid w:val="0"/>
          <w:szCs w:val="22"/>
          <w:lang w:eastAsia="en-US"/>
        </w:rPr>
      </w:pPr>
    </w:p>
    <w:p w14:paraId="410867C4" w14:textId="77777777" w:rsidR="00D87EAB" w:rsidRPr="00C21B99" w:rsidRDefault="00D87EAB" w:rsidP="00D87EAB">
      <w:pPr>
        <w:widowControl w:val="0"/>
        <w:tabs>
          <w:tab w:val="left" w:pos="567"/>
        </w:tabs>
        <w:rPr>
          <w:snapToGrid w:val="0"/>
          <w:szCs w:val="22"/>
          <w:lang w:eastAsia="en-US"/>
        </w:rPr>
      </w:pPr>
      <w:r w:rsidRPr="00C21B99">
        <w:rPr>
          <w:snapToGrid w:val="0"/>
          <w:szCs w:val="22"/>
          <w:lang w:eastAsia="en-US"/>
        </w:rPr>
        <w:t>Visos pagalbinės medžiagos išvardytos 6.1 skyriuje.</w:t>
      </w:r>
    </w:p>
    <w:p w14:paraId="7A81A6E3" w14:textId="77777777" w:rsidR="00D87EAB" w:rsidRPr="00C21B99" w:rsidRDefault="00D87EAB" w:rsidP="00D87EAB">
      <w:pPr>
        <w:widowControl w:val="0"/>
        <w:tabs>
          <w:tab w:val="left" w:pos="567"/>
        </w:tabs>
        <w:rPr>
          <w:snapToGrid w:val="0"/>
          <w:szCs w:val="22"/>
          <w:lang w:eastAsia="en-US"/>
        </w:rPr>
      </w:pPr>
    </w:p>
    <w:p w14:paraId="5AEC46C1" w14:textId="77777777" w:rsidR="00D87EAB" w:rsidRPr="00C21B99" w:rsidRDefault="00D87EAB" w:rsidP="00D87EAB">
      <w:pPr>
        <w:widowControl w:val="0"/>
        <w:tabs>
          <w:tab w:val="left" w:pos="567"/>
        </w:tabs>
        <w:rPr>
          <w:snapToGrid w:val="0"/>
          <w:szCs w:val="22"/>
          <w:lang w:eastAsia="en-US"/>
        </w:rPr>
      </w:pPr>
    </w:p>
    <w:p w14:paraId="3563305B" w14:textId="77777777" w:rsidR="00D87EAB" w:rsidRPr="00C21B99" w:rsidRDefault="00D87EAB" w:rsidP="00D87EAB">
      <w:pPr>
        <w:widowControl w:val="0"/>
        <w:tabs>
          <w:tab w:val="left" w:pos="567"/>
        </w:tabs>
        <w:outlineLvl w:val="2"/>
        <w:rPr>
          <w:b/>
          <w:bCs/>
          <w:snapToGrid w:val="0"/>
          <w:szCs w:val="22"/>
        </w:rPr>
      </w:pPr>
      <w:r w:rsidRPr="00C21B99">
        <w:rPr>
          <w:b/>
          <w:bCs/>
          <w:snapToGrid w:val="0"/>
          <w:szCs w:val="22"/>
        </w:rPr>
        <w:t>3.</w:t>
      </w:r>
      <w:r w:rsidRPr="00C21B99">
        <w:rPr>
          <w:b/>
          <w:bCs/>
          <w:snapToGrid w:val="0"/>
          <w:szCs w:val="22"/>
        </w:rPr>
        <w:tab/>
        <w:t>FARMACINĖ FORMA</w:t>
      </w:r>
    </w:p>
    <w:p w14:paraId="3942EF85" w14:textId="77777777" w:rsidR="00D87EAB" w:rsidRPr="00C21B99" w:rsidRDefault="00D87EAB" w:rsidP="00D87EAB">
      <w:pPr>
        <w:widowControl w:val="0"/>
        <w:tabs>
          <w:tab w:val="left" w:pos="567"/>
        </w:tabs>
        <w:rPr>
          <w:snapToGrid w:val="0"/>
          <w:szCs w:val="22"/>
          <w:lang w:eastAsia="en-US"/>
        </w:rPr>
      </w:pPr>
    </w:p>
    <w:p w14:paraId="57EBA0B3" w14:textId="77777777" w:rsidR="00D87EAB" w:rsidRPr="00C21B99" w:rsidRDefault="00D87EAB" w:rsidP="00D87EAB">
      <w:pPr>
        <w:widowControl w:val="0"/>
        <w:tabs>
          <w:tab w:val="left" w:pos="567"/>
        </w:tabs>
        <w:rPr>
          <w:szCs w:val="22"/>
          <w:lang w:eastAsia="en-US"/>
        </w:rPr>
      </w:pPr>
      <w:r w:rsidRPr="00C21B99">
        <w:rPr>
          <w:szCs w:val="22"/>
          <w:lang w:eastAsia="en-US"/>
        </w:rPr>
        <w:t>Plėvele dengta tabletė</w:t>
      </w:r>
      <w:r w:rsidR="00AE301E" w:rsidRPr="00C21B99">
        <w:rPr>
          <w:szCs w:val="22"/>
          <w:lang w:eastAsia="en-US"/>
        </w:rPr>
        <w:t>.</w:t>
      </w:r>
      <w:r w:rsidRPr="00C21B99">
        <w:rPr>
          <w:szCs w:val="22"/>
          <w:lang w:eastAsia="en-US"/>
        </w:rPr>
        <w:t xml:space="preserve"> </w:t>
      </w:r>
    </w:p>
    <w:p w14:paraId="0580D5A3" w14:textId="77777777" w:rsidR="00D87EAB" w:rsidRPr="00C21B99" w:rsidRDefault="00D87EAB" w:rsidP="00D87EAB">
      <w:pPr>
        <w:widowControl w:val="0"/>
        <w:tabs>
          <w:tab w:val="left" w:pos="567"/>
        </w:tabs>
        <w:rPr>
          <w:szCs w:val="22"/>
          <w:lang w:eastAsia="en-US"/>
        </w:rPr>
      </w:pPr>
    </w:p>
    <w:p w14:paraId="3A908331" w14:textId="49DB61AB" w:rsidR="00D87EAB" w:rsidRPr="00C21B99" w:rsidRDefault="00AE301E" w:rsidP="00EF2C36">
      <w:pPr>
        <w:widowControl w:val="0"/>
        <w:tabs>
          <w:tab w:val="left" w:pos="567"/>
        </w:tabs>
        <w:rPr>
          <w:szCs w:val="22"/>
          <w:lang w:eastAsia="en-US"/>
        </w:rPr>
      </w:pPr>
      <w:r w:rsidRPr="00C21B99">
        <w:rPr>
          <w:szCs w:val="22"/>
          <w:lang w:eastAsia="en-US"/>
        </w:rPr>
        <w:t>Rudos</w:t>
      </w:r>
      <w:r w:rsidR="00D87EAB" w:rsidRPr="00C21B99">
        <w:rPr>
          <w:szCs w:val="22"/>
          <w:lang w:eastAsia="en-US"/>
        </w:rPr>
        <w:t xml:space="preserve">, </w:t>
      </w:r>
      <w:r w:rsidRPr="00C21B99">
        <w:rPr>
          <w:szCs w:val="22"/>
          <w:lang w:eastAsia="en-US"/>
        </w:rPr>
        <w:t>apvalios</w:t>
      </w:r>
      <w:r w:rsidR="00EF2C36" w:rsidRPr="00C21B99">
        <w:rPr>
          <w:szCs w:val="22"/>
          <w:lang w:eastAsia="en-US"/>
        </w:rPr>
        <w:t>, abipus išgaubtos tabletės</w:t>
      </w:r>
      <w:r w:rsidR="00D87EAB" w:rsidRPr="00C21B99">
        <w:rPr>
          <w:szCs w:val="22"/>
          <w:lang w:eastAsia="en-US"/>
        </w:rPr>
        <w:t xml:space="preserve">, </w:t>
      </w:r>
      <w:r w:rsidR="00EF2C36" w:rsidRPr="00C21B99">
        <w:rPr>
          <w:szCs w:val="22"/>
          <w:lang w:eastAsia="en-US"/>
        </w:rPr>
        <w:t>kurių vienoje pusėje įspausta“25</w:t>
      </w:r>
      <w:r w:rsidRPr="00C21B99">
        <w:rPr>
          <w:szCs w:val="22"/>
          <w:lang w:eastAsia="en-US"/>
        </w:rPr>
        <w:t>0</w:t>
      </w:r>
      <w:r w:rsidR="00EF2C36" w:rsidRPr="00C21B99">
        <w:rPr>
          <w:szCs w:val="22"/>
          <w:lang w:eastAsia="en-US"/>
        </w:rPr>
        <w:t>“</w:t>
      </w:r>
      <w:r w:rsidRPr="00C21B99">
        <w:rPr>
          <w:szCs w:val="22"/>
          <w:lang w:eastAsia="en-US"/>
        </w:rPr>
        <w:t>, kita pusė lygi</w:t>
      </w:r>
      <w:r w:rsidR="00EF2C36" w:rsidRPr="00C21B99">
        <w:rPr>
          <w:szCs w:val="22"/>
          <w:lang w:eastAsia="en-US"/>
        </w:rPr>
        <w:t xml:space="preserve">. </w:t>
      </w:r>
      <w:r w:rsidR="0019155B">
        <w:rPr>
          <w:szCs w:val="22"/>
          <w:lang w:eastAsia="en-US"/>
        </w:rPr>
        <w:t xml:space="preserve">Plėvele dengtos </w:t>
      </w:r>
      <w:r w:rsidRPr="00C21B99">
        <w:rPr>
          <w:szCs w:val="22"/>
          <w:lang w:eastAsia="en-US"/>
        </w:rPr>
        <w:t>tabl</w:t>
      </w:r>
      <w:r w:rsidR="0072150F">
        <w:rPr>
          <w:szCs w:val="22"/>
          <w:lang w:eastAsia="en-US"/>
        </w:rPr>
        <w:t>etės skersmuo yra 11,1 mm</w:t>
      </w:r>
    </w:p>
    <w:p w14:paraId="5505B263" w14:textId="77777777" w:rsidR="00D87EAB" w:rsidRPr="00C21B99" w:rsidRDefault="00D87EAB" w:rsidP="00D87EAB">
      <w:pPr>
        <w:widowControl w:val="0"/>
        <w:tabs>
          <w:tab w:val="left" w:pos="567"/>
        </w:tabs>
        <w:rPr>
          <w:iCs/>
          <w:szCs w:val="22"/>
          <w:lang w:eastAsia="en-US"/>
        </w:rPr>
      </w:pPr>
    </w:p>
    <w:p w14:paraId="569953A9" w14:textId="77777777" w:rsidR="00EF2C36" w:rsidRPr="00C21B99" w:rsidRDefault="00EF2C36" w:rsidP="00D87EAB">
      <w:pPr>
        <w:widowControl w:val="0"/>
        <w:tabs>
          <w:tab w:val="left" w:pos="567"/>
        </w:tabs>
        <w:rPr>
          <w:iCs/>
          <w:szCs w:val="22"/>
          <w:lang w:eastAsia="en-US"/>
        </w:rPr>
      </w:pPr>
    </w:p>
    <w:p w14:paraId="532B501D" w14:textId="77777777" w:rsidR="00D87EAB" w:rsidRPr="00C21B99" w:rsidRDefault="00D87EAB" w:rsidP="00D87EAB">
      <w:pPr>
        <w:widowControl w:val="0"/>
        <w:tabs>
          <w:tab w:val="left" w:pos="567"/>
        </w:tabs>
        <w:outlineLvl w:val="2"/>
        <w:rPr>
          <w:b/>
          <w:bCs/>
          <w:snapToGrid w:val="0"/>
          <w:szCs w:val="22"/>
        </w:rPr>
      </w:pPr>
      <w:r w:rsidRPr="00C21B99">
        <w:rPr>
          <w:b/>
          <w:bCs/>
          <w:snapToGrid w:val="0"/>
          <w:szCs w:val="22"/>
        </w:rPr>
        <w:t>4.</w:t>
      </w:r>
      <w:r w:rsidRPr="00C21B99">
        <w:rPr>
          <w:b/>
          <w:bCs/>
          <w:snapToGrid w:val="0"/>
          <w:szCs w:val="22"/>
        </w:rPr>
        <w:tab/>
        <w:t>KLINIKINĖ INFORMACIJA</w:t>
      </w:r>
    </w:p>
    <w:p w14:paraId="3FAD3A95" w14:textId="77777777" w:rsidR="00D87EAB" w:rsidRPr="00C21B99" w:rsidRDefault="00D87EAB" w:rsidP="00D87EAB">
      <w:pPr>
        <w:widowControl w:val="0"/>
        <w:tabs>
          <w:tab w:val="left" w:pos="567"/>
        </w:tabs>
        <w:rPr>
          <w:snapToGrid w:val="0"/>
          <w:szCs w:val="22"/>
          <w:lang w:eastAsia="en-US"/>
        </w:rPr>
      </w:pPr>
    </w:p>
    <w:p w14:paraId="73AD3BFE" w14:textId="77777777" w:rsidR="00D87EAB" w:rsidRPr="00C21B99" w:rsidRDefault="00D87EAB" w:rsidP="00D87EAB">
      <w:pPr>
        <w:widowControl w:val="0"/>
        <w:tabs>
          <w:tab w:val="left" w:pos="567"/>
        </w:tabs>
        <w:jc w:val="both"/>
        <w:outlineLvl w:val="3"/>
        <w:rPr>
          <w:b/>
          <w:bCs/>
          <w:snapToGrid w:val="0"/>
          <w:szCs w:val="22"/>
        </w:rPr>
      </w:pPr>
      <w:r w:rsidRPr="00C21B99">
        <w:rPr>
          <w:b/>
          <w:bCs/>
          <w:snapToGrid w:val="0"/>
          <w:szCs w:val="22"/>
        </w:rPr>
        <w:t>4.1</w:t>
      </w:r>
      <w:r w:rsidRPr="00C21B99">
        <w:rPr>
          <w:b/>
          <w:bCs/>
          <w:snapToGrid w:val="0"/>
          <w:szCs w:val="22"/>
        </w:rPr>
        <w:tab/>
        <w:t>Terapinės indikacijos</w:t>
      </w:r>
    </w:p>
    <w:p w14:paraId="57E3859E" w14:textId="77777777" w:rsidR="00D87EAB" w:rsidRPr="00C21B99" w:rsidRDefault="00D87EAB" w:rsidP="00D87EAB">
      <w:pPr>
        <w:widowControl w:val="0"/>
        <w:tabs>
          <w:tab w:val="left" w:pos="567"/>
        </w:tabs>
        <w:rPr>
          <w:snapToGrid w:val="0"/>
          <w:szCs w:val="22"/>
          <w:lang w:eastAsia="en-US"/>
        </w:rPr>
      </w:pPr>
    </w:p>
    <w:p w14:paraId="4E89F276" w14:textId="77777777" w:rsidR="00D87EAB" w:rsidRPr="00C21B99" w:rsidRDefault="00F65559" w:rsidP="00F65559">
      <w:pPr>
        <w:autoSpaceDE w:val="0"/>
        <w:autoSpaceDN w:val="0"/>
        <w:adjustRightInd w:val="0"/>
        <w:rPr>
          <w:snapToGrid w:val="0"/>
          <w:szCs w:val="22"/>
          <w:lang w:eastAsia="en-US"/>
        </w:rPr>
      </w:pPr>
      <w:proofErr w:type="spellStart"/>
      <w:r w:rsidRPr="00C21B99">
        <w:rPr>
          <w:rFonts w:eastAsia="TimesNewRoman"/>
          <w:szCs w:val="22"/>
        </w:rPr>
        <w:t>Gefitinib</w:t>
      </w:r>
      <w:proofErr w:type="spellEnd"/>
      <w:r w:rsidRPr="00C21B99">
        <w:rPr>
          <w:rFonts w:eastAsia="TimesNewRoman"/>
          <w:szCs w:val="22"/>
        </w:rPr>
        <w:t xml:space="preserve"> </w:t>
      </w:r>
      <w:proofErr w:type="spellStart"/>
      <w:r w:rsidRPr="00C21B99">
        <w:rPr>
          <w:rFonts w:eastAsia="TimesNewRoman"/>
          <w:szCs w:val="22"/>
        </w:rPr>
        <w:t>Sandoz</w:t>
      </w:r>
      <w:proofErr w:type="spellEnd"/>
      <w:r w:rsidRPr="00C21B99">
        <w:rPr>
          <w:rFonts w:eastAsia="TimesNewRoman"/>
          <w:szCs w:val="22"/>
        </w:rPr>
        <w:t xml:space="preserve"> skirtas suaugusių pacientų lokaliai progresavusio arba </w:t>
      </w:r>
      <w:proofErr w:type="spellStart"/>
      <w:r w:rsidRPr="00C21B99">
        <w:rPr>
          <w:rFonts w:eastAsia="TimesNewRoman"/>
          <w:szCs w:val="22"/>
        </w:rPr>
        <w:t>metastazavusio</w:t>
      </w:r>
      <w:proofErr w:type="spellEnd"/>
      <w:r w:rsidRPr="00C21B99">
        <w:rPr>
          <w:rFonts w:eastAsia="TimesNewRoman"/>
          <w:szCs w:val="22"/>
        </w:rPr>
        <w:t xml:space="preserve"> </w:t>
      </w:r>
      <w:proofErr w:type="spellStart"/>
      <w:r w:rsidR="00846938" w:rsidRPr="00E6710D">
        <w:rPr>
          <w:szCs w:val="22"/>
        </w:rPr>
        <w:t>nesmulkialąstelinio</w:t>
      </w:r>
      <w:proofErr w:type="spellEnd"/>
      <w:r w:rsidRPr="00C21B99">
        <w:rPr>
          <w:rFonts w:eastAsia="TimesNewRoman"/>
          <w:szCs w:val="22"/>
        </w:rPr>
        <w:t xml:space="preserve"> plaučių vėžio, turinčio </w:t>
      </w:r>
      <w:r w:rsidR="00846938" w:rsidRPr="00E6710D">
        <w:t>epidermio augimo faktori</w:t>
      </w:r>
      <w:r w:rsidR="00846938">
        <w:t>a</w:t>
      </w:r>
      <w:r w:rsidR="00846938" w:rsidRPr="00E6710D">
        <w:t xml:space="preserve">us </w:t>
      </w:r>
      <w:r w:rsidR="00846938">
        <w:t xml:space="preserve">receptorių </w:t>
      </w:r>
      <w:proofErr w:type="spellStart"/>
      <w:r w:rsidR="00846938" w:rsidRPr="00E6710D">
        <w:rPr>
          <w:szCs w:val="22"/>
        </w:rPr>
        <w:t>tirozinkinazę</w:t>
      </w:r>
      <w:proofErr w:type="spellEnd"/>
      <w:r w:rsidR="00846938" w:rsidRPr="00E6710D">
        <w:rPr>
          <w:szCs w:val="22"/>
        </w:rPr>
        <w:t xml:space="preserve"> </w:t>
      </w:r>
      <w:r w:rsidR="00846938">
        <w:rPr>
          <w:szCs w:val="22"/>
        </w:rPr>
        <w:t>(</w:t>
      </w:r>
      <w:r w:rsidRPr="00C21B99">
        <w:rPr>
          <w:rFonts w:eastAsia="TimesNewRoman"/>
          <w:szCs w:val="22"/>
        </w:rPr>
        <w:t>EAFR-TK</w:t>
      </w:r>
      <w:r w:rsidR="00846938">
        <w:rPr>
          <w:rFonts w:eastAsia="TimesNewRoman"/>
          <w:szCs w:val="22"/>
        </w:rPr>
        <w:t>)</w:t>
      </w:r>
      <w:r w:rsidRPr="00C21B99">
        <w:rPr>
          <w:rFonts w:eastAsia="TimesNewRoman"/>
          <w:szCs w:val="22"/>
        </w:rPr>
        <w:t xml:space="preserve"> aktyvinančių mutacijų, </w:t>
      </w:r>
      <w:proofErr w:type="spellStart"/>
      <w:r w:rsidRPr="00C21B99">
        <w:rPr>
          <w:rFonts w:eastAsia="TimesNewRoman"/>
          <w:szCs w:val="22"/>
        </w:rPr>
        <w:t>monoterapijai</w:t>
      </w:r>
      <w:proofErr w:type="spellEnd"/>
      <w:r w:rsidRPr="00C21B99">
        <w:rPr>
          <w:rFonts w:eastAsia="TimesNewRoman"/>
          <w:szCs w:val="22"/>
        </w:rPr>
        <w:t xml:space="preserve"> (žr. 4.4 skyrių).</w:t>
      </w:r>
    </w:p>
    <w:p w14:paraId="1D278092" w14:textId="77777777" w:rsidR="00D87EAB" w:rsidRPr="00C21B99" w:rsidRDefault="00D87EAB" w:rsidP="00D87EAB">
      <w:pPr>
        <w:widowControl w:val="0"/>
        <w:tabs>
          <w:tab w:val="left" w:pos="567"/>
        </w:tabs>
        <w:rPr>
          <w:snapToGrid w:val="0"/>
          <w:szCs w:val="22"/>
          <w:lang w:eastAsia="en-US"/>
        </w:rPr>
      </w:pPr>
    </w:p>
    <w:p w14:paraId="0F7C2381" w14:textId="77777777" w:rsidR="00D87EAB" w:rsidRPr="00C21B99" w:rsidRDefault="00D87EAB" w:rsidP="00D87EAB">
      <w:pPr>
        <w:widowControl w:val="0"/>
        <w:tabs>
          <w:tab w:val="left" w:pos="567"/>
        </w:tabs>
        <w:jc w:val="both"/>
        <w:outlineLvl w:val="3"/>
        <w:rPr>
          <w:b/>
          <w:bCs/>
          <w:snapToGrid w:val="0"/>
          <w:szCs w:val="22"/>
        </w:rPr>
      </w:pPr>
      <w:r w:rsidRPr="00C21B99">
        <w:rPr>
          <w:b/>
          <w:bCs/>
          <w:snapToGrid w:val="0"/>
          <w:szCs w:val="22"/>
        </w:rPr>
        <w:t>4.2</w:t>
      </w:r>
      <w:r w:rsidRPr="00C21B99">
        <w:rPr>
          <w:b/>
          <w:bCs/>
          <w:snapToGrid w:val="0"/>
          <w:szCs w:val="22"/>
        </w:rPr>
        <w:tab/>
        <w:t>Dozavimas ir vartojimo metodas</w:t>
      </w:r>
    </w:p>
    <w:p w14:paraId="286AC3C3" w14:textId="77777777" w:rsidR="00D87EAB" w:rsidRPr="00C21B99" w:rsidRDefault="00D87EAB" w:rsidP="00D87EAB">
      <w:pPr>
        <w:widowControl w:val="0"/>
        <w:tabs>
          <w:tab w:val="left" w:pos="567"/>
        </w:tabs>
        <w:rPr>
          <w:snapToGrid w:val="0"/>
          <w:szCs w:val="22"/>
          <w:lang w:eastAsia="en-US"/>
        </w:rPr>
      </w:pPr>
    </w:p>
    <w:p w14:paraId="22E4D6A6"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 xml:space="preserve">Gydymą </w:t>
      </w:r>
      <w:proofErr w:type="spellStart"/>
      <w:r w:rsidRPr="00C21B99">
        <w:rPr>
          <w:rFonts w:eastAsia="TimesNewRoman"/>
          <w:szCs w:val="22"/>
        </w:rPr>
        <w:t>Gefitinib</w:t>
      </w:r>
      <w:proofErr w:type="spellEnd"/>
      <w:r w:rsidRPr="00C21B99">
        <w:rPr>
          <w:rFonts w:eastAsia="TimesNewRoman"/>
          <w:szCs w:val="22"/>
        </w:rPr>
        <w:t xml:space="preserve"> </w:t>
      </w:r>
      <w:proofErr w:type="spellStart"/>
      <w:r w:rsidRPr="00C21B99">
        <w:rPr>
          <w:rFonts w:eastAsia="TimesNewRoman"/>
          <w:szCs w:val="22"/>
        </w:rPr>
        <w:t>Sandoz</w:t>
      </w:r>
      <w:proofErr w:type="spellEnd"/>
      <w:r w:rsidRPr="00C21B99">
        <w:rPr>
          <w:snapToGrid w:val="0"/>
          <w:szCs w:val="22"/>
          <w:lang w:eastAsia="en-US"/>
        </w:rPr>
        <w:t xml:space="preserve"> turi pradėti ir prižiūrėti gydytojas, turintis gydymo vaistiniais preparatais nuo vėžio patirties.</w:t>
      </w:r>
    </w:p>
    <w:p w14:paraId="400B6ABB" w14:textId="77777777" w:rsidR="00F65559" w:rsidRPr="00C21B99" w:rsidRDefault="00F65559" w:rsidP="00F65559">
      <w:pPr>
        <w:widowControl w:val="0"/>
        <w:tabs>
          <w:tab w:val="left" w:pos="567"/>
        </w:tabs>
        <w:rPr>
          <w:snapToGrid w:val="0"/>
          <w:szCs w:val="22"/>
          <w:u w:val="single"/>
          <w:lang w:eastAsia="en-US"/>
        </w:rPr>
      </w:pPr>
    </w:p>
    <w:p w14:paraId="110A6C44" w14:textId="77777777" w:rsidR="00F65559" w:rsidRPr="00C21B99" w:rsidRDefault="00F65559" w:rsidP="00F65559">
      <w:pPr>
        <w:widowControl w:val="0"/>
        <w:tabs>
          <w:tab w:val="left" w:pos="567"/>
        </w:tabs>
        <w:rPr>
          <w:snapToGrid w:val="0"/>
          <w:szCs w:val="22"/>
          <w:u w:val="single"/>
          <w:lang w:eastAsia="en-US"/>
        </w:rPr>
      </w:pPr>
      <w:r w:rsidRPr="00C21B99">
        <w:rPr>
          <w:snapToGrid w:val="0"/>
          <w:szCs w:val="22"/>
          <w:u w:val="single"/>
          <w:lang w:eastAsia="en-US"/>
        </w:rPr>
        <w:t>Dozavimas</w:t>
      </w:r>
    </w:p>
    <w:p w14:paraId="57E8287F"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 xml:space="preserve">Rekomenduojama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r w:rsidRPr="00C21B99">
        <w:rPr>
          <w:snapToGrid w:val="0"/>
          <w:szCs w:val="22"/>
          <w:lang w:eastAsia="en-US"/>
        </w:rPr>
        <w:t xml:space="preserve"> dozė yra viena 250 mg tabletė 1 kartą per parą. Jeigu dozė yra praleista, ją pacientas turi išgerti iš karto prisiminęs. </w:t>
      </w:r>
      <w:r w:rsidR="00DA1638" w:rsidRPr="00C21B99">
        <w:rPr>
          <w:snapToGrid w:val="0"/>
          <w:szCs w:val="22"/>
          <w:lang w:eastAsia="en-US"/>
        </w:rPr>
        <w:t>J</w:t>
      </w:r>
      <w:r w:rsidRPr="00C21B99">
        <w:rPr>
          <w:snapToGrid w:val="0"/>
          <w:szCs w:val="22"/>
          <w:lang w:eastAsia="en-US"/>
        </w:rPr>
        <w:t xml:space="preserve">eigu iki </w:t>
      </w:r>
      <w:r w:rsidR="00DA1638" w:rsidRPr="00C21B99">
        <w:rPr>
          <w:snapToGrid w:val="0"/>
          <w:szCs w:val="22"/>
          <w:lang w:eastAsia="en-US"/>
        </w:rPr>
        <w:t>kitos dozės vartojimo laiko</w:t>
      </w:r>
      <w:r w:rsidRPr="00C21B99">
        <w:rPr>
          <w:snapToGrid w:val="0"/>
          <w:szCs w:val="22"/>
          <w:lang w:eastAsia="en-US"/>
        </w:rPr>
        <w:t xml:space="preserve"> liko mažiau kaip 12 val.,</w:t>
      </w:r>
      <w:r w:rsidR="003C5CAF" w:rsidRPr="00C21B99">
        <w:rPr>
          <w:snapToGrid w:val="0"/>
          <w:szCs w:val="22"/>
          <w:lang w:eastAsia="en-US"/>
        </w:rPr>
        <w:t xml:space="preserve"> </w:t>
      </w:r>
      <w:r w:rsidRPr="00C21B99">
        <w:rPr>
          <w:snapToGrid w:val="0"/>
          <w:szCs w:val="22"/>
          <w:lang w:eastAsia="en-US"/>
        </w:rPr>
        <w:t>praleistos</w:t>
      </w:r>
      <w:r w:rsidR="00DA1638" w:rsidRPr="00C21B99">
        <w:rPr>
          <w:snapToGrid w:val="0"/>
          <w:szCs w:val="22"/>
          <w:lang w:eastAsia="en-US"/>
        </w:rPr>
        <w:t xml:space="preserve"> dozės pacientas turi negerti</w:t>
      </w:r>
      <w:r w:rsidRPr="00C21B99">
        <w:rPr>
          <w:snapToGrid w:val="0"/>
          <w:szCs w:val="22"/>
          <w:lang w:eastAsia="en-US"/>
        </w:rPr>
        <w:t>. Taip pat negalima gerti dvigubos dozės (</w:t>
      </w:r>
      <w:proofErr w:type="spellStart"/>
      <w:r w:rsidRPr="00C21B99">
        <w:rPr>
          <w:snapToGrid w:val="0"/>
          <w:szCs w:val="22"/>
          <w:lang w:eastAsia="en-US"/>
        </w:rPr>
        <w:t>t.y</w:t>
      </w:r>
      <w:proofErr w:type="spellEnd"/>
      <w:r w:rsidRPr="00C21B99">
        <w:rPr>
          <w:snapToGrid w:val="0"/>
          <w:szCs w:val="22"/>
          <w:lang w:eastAsia="en-US"/>
        </w:rPr>
        <w:t>. dviejų dozių iš karto) norint</w:t>
      </w:r>
      <w:r w:rsidR="00DA1638" w:rsidRPr="00C21B99">
        <w:rPr>
          <w:snapToGrid w:val="0"/>
          <w:szCs w:val="22"/>
          <w:lang w:eastAsia="en-US"/>
        </w:rPr>
        <w:t xml:space="preserve"> </w:t>
      </w:r>
      <w:r w:rsidRPr="00C21B99">
        <w:rPr>
          <w:snapToGrid w:val="0"/>
          <w:szCs w:val="22"/>
          <w:lang w:eastAsia="en-US"/>
        </w:rPr>
        <w:t>kompensuoti praleistą dozę.</w:t>
      </w:r>
    </w:p>
    <w:p w14:paraId="00666808" w14:textId="77777777" w:rsidR="00DA1638" w:rsidRPr="00C21B99" w:rsidRDefault="00DA1638" w:rsidP="00F65559">
      <w:pPr>
        <w:widowControl w:val="0"/>
        <w:tabs>
          <w:tab w:val="left" w:pos="567"/>
        </w:tabs>
        <w:rPr>
          <w:snapToGrid w:val="0"/>
          <w:szCs w:val="22"/>
          <w:lang w:eastAsia="en-US"/>
        </w:rPr>
      </w:pPr>
    </w:p>
    <w:p w14:paraId="73B1B0DA" w14:textId="77777777" w:rsidR="00F65559" w:rsidRPr="00C21B99" w:rsidRDefault="00F65559" w:rsidP="00F65559">
      <w:pPr>
        <w:widowControl w:val="0"/>
        <w:tabs>
          <w:tab w:val="left" w:pos="567"/>
        </w:tabs>
        <w:rPr>
          <w:i/>
          <w:snapToGrid w:val="0"/>
          <w:szCs w:val="22"/>
          <w:lang w:eastAsia="en-US"/>
        </w:rPr>
      </w:pPr>
      <w:r w:rsidRPr="00C21B99">
        <w:rPr>
          <w:i/>
          <w:snapToGrid w:val="0"/>
          <w:szCs w:val="22"/>
          <w:lang w:eastAsia="en-US"/>
        </w:rPr>
        <w:t>Vaikų populiacija</w:t>
      </w:r>
    </w:p>
    <w:p w14:paraId="02DA9303" w14:textId="77777777" w:rsidR="00DA1638" w:rsidRPr="00C21B99" w:rsidRDefault="00DA1638" w:rsidP="00F65559">
      <w:pPr>
        <w:widowControl w:val="0"/>
        <w:tabs>
          <w:tab w:val="left" w:pos="567"/>
        </w:tabs>
        <w:rPr>
          <w:snapToGrid w:val="0"/>
          <w:szCs w:val="22"/>
          <w:lang w:eastAsia="en-US"/>
        </w:rPr>
      </w:pPr>
      <w:proofErr w:type="spellStart"/>
      <w:r w:rsidRPr="00C21B99">
        <w:rPr>
          <w:snapToGrid w:val="0"/>
          <w:szCs w:val="22"/>
          <w:lang w:eastAsia="en-US"/>
        </w:rPr>
        <w:t>Gef</w:t>
      </w:r>
      <w:r w:rsidR="003C5CAF" w:rsidRPr="00C21B99">
        <w:rPr>
          <w:snapToGrid w:val="0"/>
          <w:szCs w:val="22"/>
          <w:lang w:eastAsia="en-US"/>
        </w:rPr>
        <w:t>i</w:t>
      </w:r>
      <w:r w:rsidRPr="00C21B99">
        <w:rPr>
          <w:snapToGrid w:val="0"/>
          <w:szCs w:val="22"/>
          <w:lang w:eastAsia="en-US"/>
        </w:rPr>
        <w:t>tinibo</w:t>
      </w:r>
      <w:proofErr w:type="spellEnd"/>
      <w:r w:rsidR="00F65559" w:rsidRPr="00C21B99">
        <w:rPr>
          <w:snapToGrid w:val="0"/>
          <w:szCs w:val="22"/>
          <w:lang w:eastAsia="en-US"/>
        </w:rPr>
        <w:t xml:space="preserve"> saugumas ir veiksmingumas vaikams ir paaugliams iki 18 metų amžiaus </w:t>
      </w:r>
      <w:r w:rsidRPr="00C21B99">
        <w:rPr>
          <w:noProof/>
          <w:szCs w:val="24"/>
        </w:rPr>
        <w:t xml:space="preserve">dar neištirti. </w:t>
      </w:r>
      <w:r w:rsidR="00F65559" w:rsidRPr="00C21B99">
        <w:rPr>
          <w:snapToGrid w:val="0"/>
          <w:szCs w:val="22"/>
          <w:lang w:eastAsia="en-US"/>
        </w:rPr>
        <w:t>Vaikų populiacij</w:t>
      </w:r>
      <w:r w:rsidRPr="00C21B99">
        <w:rPr>
          <w:snapToGrid w:val="0"/>
          <w:szCs w:val="22"/>
          <w:lang w:eastAsia="en-US"/>
        </w:rPr>
        <w:t>oje</w:t>
      </w:r>
      <w:r w:rsidR="00AD33A0" w:rsidRPr="00C21B99">
        <w:rPr>
          <w:snapToGrid w:val="0"/>
          <w:szCs w:val="22"/>
          <w:lang w:eastAsia="en-US"/>
        </w:rPr>
        <w:t xml:space="preserve"> </w:t>
      </w:r>
      <w:proofErr w:type="spellStart"/>
      <w:r w:rsidR="00AD33A0" w:rsidRPr="00C21B99">
        <w:rPr>
          <w:snapToGrid w:val="0"/>
          <w:szCs w:val="22"/>
          <w:lang w:eastAsia="en-US"/>
        </w:rPr>
        <w:t>gefitinibo</w:t>
      </w:r>
      <w:proofErr w:type="spellEnd"/>
      <w:r w:rsidR="00AD33A0" w:rsidRPr="00C21B99">
        <w:rPr>
          <w:snapToGrid w:val="0"/>
          <w:szCs w:val="22"/>
          <w:lang w:eastAsia="en-US"/>
        </w:rPr>
        <w:t xml:space="preserve"> vartojimas pagal </w:t>
      </w:r>
      <w:r w:rsidR="00E52970" w:rsidRPr="00C21B99">
        <w:rPr>
          <w:rFonts w:eastAsia="TimesNewRoman"/>
          <w:szCs w:val="22"/>
        </w:rPr>
        <w:t>nesmulkiųjų ląstelių</w:t>
      </w:r>
      <w:r w:rsidR="00AD33A0" w:rsidRPr="00C21B99">
        <w:rPr>
          <w:snapToGrid w:val="0"/>
          <w:szCs w:val="22"/>
          <w:lang w:eastAsia="en-US"/>
        </w:rPr>
        <w:t xml:space="preserve"> plaučių vėžio indikaciją nėra įteisintas. </w:t>
      </w:r>
    </w:p>
    <w:p w14:paraId="164686AD" w14:textId="77777777" w:rsidR="00F65559" w:rsidRPr="00C21B99" w:rsidRDefault="00F65559" w:rsidP="00F65559">
      <w:pPr>
        <w:widowControl w:val="0"/>
        <w:tabs>
          <w:tab w:val="left" w:pos="567"/>
        </w:tabs>
        <w:rPr>
          <w:snapToGrid w:val="0"/>
          <w:szCs w:val="22"/>
          <w:lang w:eastAsia="en-US"/>
        </w:rPr>
      </w:pPr>
    </w:p>
    <w:p w14:paraId="2AA95140" w14:textId="77777777" w:rsidR="00AD33A0" w:rsidRPr="00C21B99" w:rsidRDefault="00AD33A0" w:rsidP="00F65559">
      <w:pPr>
        <w:widowControl w:val="0"/>
        <w:tabs>
          <w:tab w:val="left" w:pos="567"/>
        </w:tabs>
        <w:rPr>
          <w:snapToGrid w:val="0"/>
          <w:szCs w:val="22"/>
          <w:lang w:eastAsia="en-US"/>
        </w:rPr>
      </w:pPr>
      <w:r w:rsidRPr="00C21B99">
        <w:rPr>
          <w:i/>
          <w:iCs/>
          <w:color w:val="000000"/>
          <w:szCs w:val="22"/>
        </w:rPr>
        <w:t>Pacientams, kurių kepenų funkcija sutrikusi</w:t>
      </w:r>
      <w:r w:rsidRPr="00C21B99">
        <w:rPr>
          <w:snapToGrid w:val="0"/>
          <w:szCs w:val="22"/>
          <w:lang w:eastAsia="en-US"/>
        </w:rPr>
        <w:t xml:space="preserve"> </w:t>
      </w:r>
    </w:p>
    <w:p w14:paraId="3C9EC9C9"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Pacient</w:t>
      </w:r>
      <w:r w:rsidR="00476745" w:rsidRPr="00C21B99">
        <w:rPr>
          <w:snapToGrid w:val="0"/>
          <w:szCs w:val="22"/>
          <w:lang w:eastAsia="en-US"/>
        </w:rPr>
        <w:t>ams</w:t>
      </w:r>
      <w:r w:rsidRPr="00C21B99">
        <w:rPr>
          <w:snapToGrid w:val="0"/>
          <w:szCs w:val="22"/>
          <w:lang w:eastAsia="en-US"/>
        </w:rPr>
        <w:t xml:space="preserve">, </w:t>
      </w:r>
      <w:r w:rsidR="00476745" w:rsidRPr="00C21B99">
        <w:rPr>
          <w:snapToGrid w:val="0"/>
          <w:szCs w:val="22"/>
          <w:lang w:eastAsia="en-US"/>
        </w:rPr>
        <w:t xml:space="preserve">kuriems dėl cirozės yra </w:t>
      </w:r>
      <w:r w:rsidRPr="00C21B99">
        <w:rPr>
          <w:snapToGrid w:val="0"/>
          <w:szCs w:val="22"/>
          <w:lang w:eastAsia="en-US"/>
        </w:rPr>
        <w:t>vidutini</w:t>
      </w:r>
      <w:r w:rsidR="00476745" w:rsidRPr="00C21B99">
        <w:rPr>
          <w:snapToGrid w:val="0"/>
          <w:szCs w:val="22"/>
          <w:lang w:eastAsia="en-US"/>
        </w:rPr>
        <w:t>o sunkumo</w:t>
      </w:r>
      <w:r w:rsidRPr="00C21B99">
        <w:rPr>
          <w:snapToGrid w:val="0"/>
          <w:szCs w:val="22"/>
          <w:lang w:eastAsia="en-US"/>
        </w:rPr>
        <w:t xml:space="preserve"> ar sunk</w:t>
      </w:r>
      <w:r w:rsidR="00476745" w:rsidRPr="00C21B99">
        <w:rPr>
          <w:snapToGrid w:val="0"/>
          <w:szCs w:val="22"/>
          <w:lang w:eastAsia="en-US"/>
        </w:rPr>
        <w:t>us</w:t>
      </w:r>
      <w:r w:rsidRPr="00C21B99">
        <w:rPr>
          <w:snapToGrid w:val="0"/>
          <w:szCs w:val="22"/>
          <w:lang w:eastAsia="en-US"/>
        </w:rPr>
        <w:t xml:space="preserve"> kepenų </w:t>
      </w:r>
      <w:r w:rsidR="00476745" w:rsidRPr="00C21B99">
        <w:rPr>
          <w:snapToGrid w:val="0"/>
          <w:szCs w:val="22"/>
          <w:lang w:eastAsia="en-US"/>
        </w:rPr>
        <w:t>funkcijos sutrikimas</w:t>
      </w:r>
      <w:r w:rsidRPr="00C21B99">
        <w:rPr>
          <w:snapToGrid w:val="0"/>
          <w:szCs w:val="22"/>
          <w:lang w:eastAsia="en-US"/>
        </w:rPr>
        <w:t xml:space="preserve"> (</w:t>
      </w:r>
      <w:proofErr w:type="spellStart"/>
      <w:r w:rsidRPr="006675D7">
        <w:rPr>
          <w:i/>
          <w:snapToGrid w:val="0"/>
          <w:szCs w:val="22"/>
          <w:lang w:eastAsia="en-US"/>
        </w:rPr>
        <w:t>Child-Pugh</w:t>
      </w:r>
      <w:proofErr w:type="spellEnd"/>
      <w:r w:rsidRPr="00C21B99">
        <w:rPr>
          <w:snapToGrid w:val="0"/>
          <w:szCs w:val="22"/>
          <w:lang w:eastAsia="en-US"/>
        </w:rPr>
        <w:t xml:space="preserve"> B arba C)</w:t>
      </w:r>
      <w:r w:rsidR="00476745" w:rsidRPr="00C21B99">
        <w:rPr>
          <w:snapToGrid w:val="0"/>
          <w:szCs w:val="22"/>
          <w:lang w:eastAsia="en-US"/>
        </w:rPr>
        <w:t xml:space="preserve"> kraujo plazmoje būna </w:t>
      </w:r>
      <w:r w:rsidRPr="00C21B99">
        <w:rPr>
          <w:snapToGrid w:val="0"/>
          <w:szCs w:val="22"/>
          <w:lang w:eastAsia="en-US"/>
        </w:rPr>
        <w:t>didesnė</w:t>
      </w:r>
      <w:r w:rsidR="00476745" w:rsidRPr="00C21B99">
        <w:rPr>
          <w:snapToGrid w:val="0"/>
          <w:szCs w:val="22"/>
          <w:lang w:eastAsia="en-US"/>
        </w:rPr>
        <w:t>s</w:t>
      </w:r>
      <w:r w:rsidRPr="00C21B99">
        <w:rPr>
          <w:snapToGrid w:val="0"/>
          <w:szCs w:val="22"/>
          <w:lang w:eastAsia="en-US"/>
        </w:rPr>
        <w:t xml:space="preserve"> </w:t>
      </w:r>
      <w:proofErr w:type="spellStart"/>
      <w:r w:rsidRPr="00C21B99">
        <w:rPr>
          <w:snapToGrid w:val="0"/>
          <w:szCs w:val="22"/>
          <w:lang w:eastAsia="en-US"/>
        </w:rPr>
        <w:t>gefitinibo</w:t>
      </w:r>
      <w:proofErr w:type="spellEnd"/>
      <w:r w:rsidRPr="00C21B99">
        <w:rPr>
          <w:snapToGrid w:val="0"/>
          <w:szCs w:val="22"/>
          <w:lang w:eastAsia="en-US"/>
        </w:rPr>
        <w:t xml:space="preserve"> koncentracij</w:t>
      </w:r>
      <w:r w:rsidR="00476745" w:rsidRPr="00C21B99">
        <w:rPr>
          <w:snapToGrid w:val="0"/>
          <w:szCs w:val="22"/>
          <w:lang w:eastAsia="en-US"/>
        </w:rPr>
        <w:t>os</w:t>
      </w:r>
      <w:r w:rsidRPr="00C21B99">
        <w:rPr>
          <w:snapToGrid w:val="0"/>
          <w:szCs w:val="22"/>
          <w:lang w:eastAsia="en-US"/>
        </w:rPr>
        <w:t xml:space="preserve">. Tokius pacientus reikia atidžiai stebėti dėl nepageidaujamų reiškinių. </w:t>
      </w:r>
      <w:r w:rsidR="00D3301E" w:rsidRPr="00C21B99">
        <w:rPr>
          <w:snapToGrid w:val="0"/>
          <w:szCs w:val="22"/>
          <w:lang w:eastAsia="en-US"/>
        </w:rPr>
        <w:t>Vaistinio preparato koncentracija plazmoje nebuvo padidėjusi pacientams, kuriems</w:t>
      </w:r>
      <w:r w:rsidRPr="00C21B99">
        <w:rPr>
          <w:snapToGrid w:val="0"/>
          <w:szCs w:val="22"/>
          <w:lang w:eastAsia="en-US"/>
        </w:rPr>
        <w:t xml:space="preserve"> </w:t>
      </w:r>
      <w:r w:rsidR="00D3301E" w:rsidRPr="00C21B99">
        <w:rPr>
          <w:snapToGrid w:val="0"/>
          <w:szCs w:val="22"/>
          <w:lang w:eastAsia="en-US"/>
        </w:rPr>
        <w:t xml:space="preserve">dėl metastazių kepenyse buvo padidėję </w:t>
      </w:r>
      <w:proofErr w:type="spellStart"/>
      <w:r w:rsidRPr="00C21B99">
        <w:rPr>
          <w:snapToGrid w:val="0"/>
          <w:szCs w:val="22"/>
          <w:lang w:eastAsia="en-US"/>
        </w:rPr>
        <w:t>aspartato</w:t>
      </w:r>
      <w:proofErr w:type="spellEnd"/>
      <w:r w:rsidRPr="00C21B99">
        <w:rPr>
          <w:snapToGrid w:val="0"/>
          <w:szCs w:val="22"/>
          <w:lang w:eastAsia="en-US"/>
        </w:rPr>
        <w:t xml:space="preserve"> </w:t>
      </w:r>
      <w:proofErr w:type="spellStart"/>
      <w:r w:rsidRPr="00C21B99">
        <w:rPr>
          <w:snapToGrid w:val="0"/>
          <w:szCs w:val="22"/>
          <w:lang w:eastAsia="en-US"/>
        </w:rPr>
        <w:t>transaminazės</w:t>
      </w:r>
      <w:proofErr w:type="spellEnd"/>
      <w:r w:rsidRPr="00C21B99">
        <w:rPr>
          <w:snapToGrid w:val="0"/>
          <w:szCs w:val="22"/>
          <w:lang w:eastAsia="en-US"/>
        </w:rPr>
        <w:t xml:space="preserve"> (AST), šarminės </w:t>
      </w:r>
      <w:proofErr w:type="spellStart"/>
      <w:r w:rsidRPr="00C21B99">
        <w:rPr>
          <w:snapToGrid w:val="0"/>
          <w:szCs w:val="22"/>
          <w:lang w:eastAsia="en-US"/>
        </w:rPr>
        <w:t>fosfatazės</w:t>
      </w:r>
      <w:proofErr w:type="spellEnd"/>
      <w:r w:rsidRPr="00C21B99">
        <w:rPr>
          <w:snapToGrid w:val="0"/>
          <w:szCs w:val="22"/>
          <w:lang w:eastAsia="en-US"/>
        </w:rPr>
        <w:t xml:space="preserve"> </w:t>
      </w:r>
      <w:r w:rsidR="00D3301E" w:rsidRPr="00C21B99">
        <w:rPr>
          <w:snapToGrid w:val="0"/>
          <w:szCs w:val="22"/>
          <w:lang w:eastAsia="en-US"/>
        </w:rPr>
        <w:t>aktyvumas</w:t>
      </w:r>
      <w:r w:rsidRPr="00C21B99">
        <w:rPr>
          <w:snapToGrid w:val="0"/>
          <w:szCs w:val="22"/>
          <w:lang w:eastAsia="en-US"/>
        </w:rPr>
        <w:t xml:space="preserve"> </w:t>
      </w:r>
      <w:r w:rsidR="00D3301E" w:rsidRPr="00C21B99">
        <w:rPr>
          <w:snapToGrid w:val="0"/>
          <w:szCs w:val="22"/>
          <w:lang w:eastAsia="en-US"/>
        </w:rPr>
        <w:t xml:space="preserve">ar </w:t>
      </w:r>
      <w:proofErr w:type="spellStart"/>
      <w:r w:rsidRPr="00C21B99">
        <w:rPr>
          <w:snapToGrid w:val="0"/>
          <w:szCs w:val="22"/>
          <w:lang w:eastAsia="en-US"/>
        </w:rPr>
        <w:t>bilirubino</w:t>
      </w:r>
      <w:proofErr w:type="spellEnd"/>
      <w:r w:rsidR="00D3301E" w:rsidRPr="00C21B99">
        <w:rPr>
          <w:snapToGrid w:val="0"/>
          <w:szCs w:val="22"/>
          <w:lang w:eastAsia="en-US"/>
        </w:rPr>
        <w:t xml:space="preserve"> kiekis</w:t>
      </w:r>
      <w:r w:rsidRPr="00C21B99">
        <w:rPr>
          <w:snapToGrid w:val="0"/>
          <w:szCs w:val="22"/>
          <w:lang w:eastAsia="en-US"/>
        </w:rPr>
        <w:t xml:space="preserve"> (žr. 5.2 skyrių).</w:t>
      </w:r>
    </w:p>
    <w:p w14:paraId="32AFED13" w14:textId="77777777" w:rsidR="00D3301E" w:rsidRPr="00C21B99" w:rsidRDefault="00D3301E" w:rsidP="00F65559">
      <w:pPr>
        <w:widowControl w:val="0"/>
        <w:tabs>
          <w:tab w:val="left" w:pos="567"/>
        </w:tabs>
        <w:rPr>
          <w:snapToGrid w:val="0"/>
          <w:szCs w:val="22"/>
          <w:lang w:eastAsia="en-US"/>
        </w:rPr>
      </w:pPr>
    </w:p>
    <w:p w14:paraId="2226CF91" w14:textId="77777777" w:rsidR="00D3301E" w:rsidRPr="00C21B99" w:rsidRDefault="00D3301E" w:rsidP="00D3301E">
      <w:pPr>
        <w:widowControl w:val="0"/>
        <w:tabs>
          <w:tab w:val="left" w:pos="567"/>
        </w:tabs>
        <w:rPr>
          <w:snapToGrid w:val="0"/>
          <w:szCs w:val="22"/>
          <w:lang w:eastAsia="en-US"/>
        </w:rPr>
      </w:pPr>
      <w:r w:rsidRPr="00C21B99">
        <w:rPr>
          <w:i/>
          <w:iCs/>
          <w:color w:val="000000"/>
          <w:szCs w:val="22"/>
        </w:rPr>
        <w:t>Pacientams, kurių inkstų funkcija sutrikusi</w:t>
      </w:r>
      <w:r w:rsidRPr="00C21B99">
        <w:rPr>
          <w:snapToGrid w:val="0"/>
          <w:szCs w:val="22"/>
          <w:lang w:eastAsia="en-US"/>
        </w:rPr>
        <w:t xml:space="preserve"> </w:t>
      </w:r>
    </w:p>
    <w:p w14:paraId="45F5A31A"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 xml:space="preserve">Kai kreatinino klirensas &gt; 20 ml/min., </w:t>
      </w:r>
      <w:r w:rsidR="00D3301E" w:rsidRPr="00C21B99">
        <w:rPr>
          <w:snapToGrid w:val="0"/>
          <w:szCs w:val="22"/>
          <w:lang w:eastAsia="en-US"/>
        </w:rPr>
        <w:t>pacientams , kuriems yra sutrikusi inkstų funkcija,</w:t>
      </w:r>
      <w:r w:rsidRPr="00C21B99">
        <w:rPr>
          <w:snapToGrid w:val="0"/>
          <w:szCs w:val="22"/>
          <w:lang w:eastAsia="en-US"/>
        </w:rPr>
        <w:t xml:space="preserve"> dozės</w:t>
      </w:r>
      <w:r w:rsidR="00D3301E" w:rsidRPr="00C21B99">
        <w:rPr>
          <w:snapToGrid w:val="0"/>
          <w:szCs w:val="22"/>
          <w:lang w:eastAsia="en-US"/>
        </w:rPr>
        <w:t xml:space="preserve"> </w:t>
      </w:r>
      <w:r w:rsidRPr="00C21B99">
        <w:rPr>
          <w:snapToGrid w:val="0"/>
          <w:szCs w:val="22"/>
          <w:lang w:eastAsia="en-US"/>
        </w:rPr>
        <w:t>k</w:t>
      </w:r>
      <w:r w:rsidR="00D3301E" w:rsidRPr="00C21B99">
        <w:rPr>
          <w:snapToGrid w:val="0"/>
          <w:szCs w:val="22"/>
          <w:lang w:eastAsia="en-US"/>
        </w:rPr>
        <w:t>eisti</w:t>
      </w:r>
      <w:r w:rsidRPr="00C21B99">
        <w:rPr>
          <w:snapToGrid w:val="0"/>
          <w:szCs w:val="22"/>
          <w:lang w:eastAsia="en-US"/>
        </w:rPr>
        <w:t xml:space="preserve"> nereikia. Duomenų apie šio vaistinio preparato vartojimą, kai kreatinino klirensas</w:t>
      </w:r>
      <w:r w:rsidR="00D3301E" w:rsidRPr="00C21B99">
        <w:rPr>
          <w:snapToGrid w:val="0"/>
          <w:szCs w:val="22"/>
          <w:lang w:eastAsia="en-US"/>
        </w:rPr>
        <w:t xml:space="preserve"> ≤</w:t>
      </w:r>
      <w:r w:rsidRPr="00C21B99">
        <w:rPr>
          <w:snapToGrid w:val="0"/>
          <w:szCs w:val="22"/>
          <w:lang w:eastAsia="en-US"/>
        </w:rPr>
        <w:t xml:space="preserve"> 20 ml/min, yra mažai, todėl toki</w:t>
      </w:r>
      <w:r w:rsidR="00D3301E" w:rsidRPr="00C21B99">
        <w:rPr>
          <w:snapToGrid w:val="0"/>
          <w:szCs w:val="22"/>
          <w:lang w:eastAsia="en-US"/>
        </w:rPr>
        <w:t>ų pacientų atveju patartina laikytis atsargumo</w:t>
      </w:r>
      <w:r w:rsidRPr="00C21B99">
        <w:rPr>
          <w:snapToGrid w:val="0"/>
          <w:szCs w:val="22"/>
          <w:lang w:eastAsia="en-US"/>
        </w:rPr>
        <w:t xml:space="preserve"> (žr. 5.2 skyrių).</w:t>
      </w:r>
    </w:p>
    <w:p w14:paraId="7B7EE379" w14:textId="77777777" w:rsidR="00F65559" w:rsidRPr="00C21B99" w:rsidRDefault="00F65559" w:rsidP="00F65559">
      <w:pPr>
        <w:widowControl w:val="0"/>
        <w:tabs>
          <w:tab w:val="left" w:pos="567"/>
        </w:tabs>
        <w:rPr>
          <w:snapToGrid w:val="0"/>
          <w:szCs w:val="22"/>
          <w:lang w:eastAsia="en-US"/>
        </w:rPr>
      </w:pPr>
    </w:p>
    <w:p w14:paraId="4DE9A0A7" w14:textId="77777777" w:rsidR="00F65559" w:rsidRPr="00C21B99" w:rsidRDefault="00F65559" w:rsidP="00F65559">
      <w:pPr>
        <w:widowControl w:val="0"/>
        <w:tabs>
          <w:tab w:val="left" w:pos="567"/>
        </w:tabs>
        <w:rPr>
          <w:i/>
          <w:snapToGrid w:val="0"/>
          <w:szCs w:val="22"/>
          <w:lang w:eastAsia="en-US"/>
        </w:rPr>
      </w:pPr>
      <w:r w:rsidRPr="00C21B99">
        <w:rPr>
          <w:i/>
          <w:snapToGrid w:val="0"/>
          <w:szCs w:val="22"/>
          <w:lang w:eastAsia="en-US"/>
        </w:rPr>
        <w:t>Senyv</w:t>
      </w:r>
      <w:r w:rsidR="00D3301E" w:rsidRPr="00C21B99">
        <w:rPr>
          <w:i/>
          <w:snapToGrid w:val="0"/>
          <w:szCs w:val="22"/>
          <w:lang w:eastAsia="en-US"/>
        </w:rPr>
        <w:t>i</w:t>
      </w:r>
      <w:r w:rsidR="00047366">
        <w:rPr>
          <w:i/>
          <w:snapToGrid w:val="0"/>
          <w:szCs w:val="22"/>
          <w:lang w:eastAsia="en-US"/>
        </w:rPr>
        <w:t>ems</w:t>
      </w:r>
      <w:r w:rsidR="00D3301E" w:rsidRPr="00C21B99">
        <w:rPr>
          <w:i/>
          <w:snapToGrid w:val="0"/>
          <w:szCs w:val="22"/>
          <w:lang w:eastAsia="en-US"/>
        </w:rPr>
        <w:t xml:space="preserve"> pacienta</w:t>
      </w:r>
      <w:r w:rsidR="00047366">
        <w:rPr>
          <w:i/>
          <w:snapToGrid w:val="0"/>
          <w:szCs w:val="22"/>
          <w:lang w:eastAsia="en-US"/>
        </w:rPr>
        <w:t>ms</w:t>
      </w:r>
    </w:p>
    <w:p w14:paraId="16C4FEB6"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 xml:space="preserve">Dėl paciento amžiaus dozės </w:t>
      </w:r>
      <w:r w:rsidR="004C71CA" w:rsidRPr="00C21B99">
        <w:rPr>
          <w:snapToGrid w:val="0"/>
          <w:szCs w:val="22"/>
          <w:lang w:eastAsia="en-US"/>
        </w:rPr>
        <w:t>keisti</w:t>
      </w:r>
      <w:r w:rsidRPr="00C21B99">
        <w:rPr>
          <w:snapToGrid w:val="0"/>
          <w:szCs w:val="22"/>
          <w:lang w:eastAsia="en-US"/>
        </w:rPr>
        <w:t xml:space="preserve"> nereikia (žr. 5.2 skyrių).</w:t>
      </w:r>
    </w:p>
    <w:p w14:paraId="1E6C5001" w14:textId="77777777" w:rsidR="004C71CA" w:rsidRPr="00C21B99" w:rsidRDefault="004C71CA" w:rsidP="00F65559">
      <w:pPr>
        <w:widowControl w:val="0"/>
        <w:tabs>
          <w:tab w:val="left" w:pos="567"/>
        </w:tabs>
        <w:rPr>
          <w:snapToGrid w:val="0"/>
          <w:szCs w:val="22"/>
          <w:lang w:eastAsia="en-US"/>
        </w:rPr>
      </w:pPr>
    </w:p>
    <w:p w14:paraId="3C45FF92" w14:textId="77777777" w:rsidR="00F65559" w:rsidRPr="00C21B99" w:rsidRDefault="004C71CA" w:rsidP="00F65559">
      <w:pPr>
        <w:widowControl w:val="0"/>
        <w:tabs>
          <w:tab w:val="left" w:pos="567"/>
        </w:tabs>
        <w:rPr>
          <w:i/>
          <w:snapToGrid w:val="0"/>
          <w:szCs w:val="22"/>
          <w:lang w:eastAsia="en-US"/>
        </w:rPr>
      </w:pPr>
      <w:r w:rsidRPr="00C21B99">
        <w:rPr>
          <w:i/>
          <w:snapToGrid w:val="0"/>
          <w:szCs w:val="22"/>
          <w:lang w:eastAsia="en-US"/>
        </w:rPr>
        <w:t xml:space="preserve">Silpni </w:t>
      </w:r>
      <w:r w:rsidR="00F65559" w:rsidRPr="00C21B99">
        <w:rPr>
          <w:i/>
          <w:snapToGrid w:val="0"/>
          <w:szCs w:val="22"/>
          <w:lang w:eastAsia="en-US"/>
        </w:rPr>
        <w:t xml:space="preserve">CYP2D6 </w:t>
      </w:r>
      <w:proofErr w:type="spellStart"/>
      <w:r w:rsidR="00F65559" w:rsidRPr="00C21B99">
        <w:rPr>
          <w:i/>
          <w:snapToGrid w:val="0"/>
          <w:szCs w:val="22"/>
          <w:lang w:eastAsia="en-US"/>
        </w:rPr>
        <w:t>metabolizuotoja</w:t>
      </w:r>
      <w:r w:rsidRPr="00C21B99">
        <w:rPr>
          <w:i/>
          <w:snapToGrid w:val="0"/>
          <w:szCs w:val="22"/>
          <w:lang w:eastAsia="en-US"/>
        </w:rPr>
        <w:t>i</w:t>
      </w:r>
      <w:proofErr w:type="spellEnd"/>
    </w:p>
    <w:p w14:paraId="646A4945" w14:textId="77777777" w:rsidR="00F65559" w:rsidRPr="00C21B99" w:rsidRDefault="00D66D0F" w:rsidP="00F65559">
      <w:pPr>
        <w:widowControl w:val="0"/>
        <w:tabs>
          <w:tab w:val="left" w:pos="567"/>
        </w:tabs>
        <w:rPr>
          <w:snapToGrid w:val="0"/>
          <w:szCs w:val="22"/>
          <w:lang w:eastAsia="en-US"/>
        </w:rPr>
      </w:pPr>
      <w:r w:rsidRPr="00C21B99">
        <w:rPr>
          <w:snapToGrid w:val="0"/>
          <w:szCs w:val="22"/>
          <w:lang w:eastAsia="en-US"/>
        </w:rPr>
        <w:t>Pacient</w:t>
      </w:r>
      <w:r w:rsidR="000D1F09" w:rsidRPr="00C21B99">
        <w:rPr>
          <w:snapToGrid w:val="0"/>
          <w:szCs w:val="22"/>
          <w:lang w:eastAsia="en-US"/>
        </w:rPr>
        <w:t>a</w:t>
      </w:r>
      <w:r w:rsidRPr="00C21B99">
        <w:rPr>
          <w:snapToGrid w:val="0"/>
          <w:szCs w:val="22"/>
          <w:lang w:eastAsia="en-US"/>
        </w:rPr>
        <w:t>ms, kurie pagal genotipą yra silpni</w:t>
      </w:r>
      <w:r w:rsidR="00F65559" w:rsidRPr="00C21B99">
        <w:rPr>
          <w:snapToGrid w:val="0"/>
          <w:szCs w:val="22"/>
          <w:lang w:eastAsia="en-US"/>
        </w:rPr>
        <w:t xml:space="preserve"> CYP2D6 </w:t>
      </w:r>
      <w:proofErr w:type="spellStart"/>
      <w:r w:rsidR="00F65559" w:rsidRPr="00C21B99">
        <w:rPr>
          <w:snapToGrid w:val="0"/>
          <w:szCs w:val="22"/>
          <w:lang w:eastAsia="en-US"/>
        </w:rPr>
        <w:t>metaboliz</w:t>
      </w:r>
      <w:r w:rsidRPr="00C21B99">
        <w:rPr>
          <w:snapToGrid w:val="0"/>
          <w:szCs w:val="22"/>
          <w:lang w:eastAsia="en-US"/>
        </w:rPr>
        <w:t>uotojai</w:t>
      </w:r>
      <w:proofErr w:type="spellEnd"/>
      <w:r w:rsidRPr="00C21B99">
        <w:rPr>
          <w:snapToGrid w:val="0"/>
          <w:szCs w:val="22"/>
          <w:lang w:eastAsia="en-US"/>
        </w:rPr>
        <w:t>,</w:t>
      </w:r>
      <w:r w:rsidR="00F65559" w:rsidRPr="00C21B99">
        <w:rPr>
          <w:snapToGrid w:val="0"/>
          <w:szCs w:val="22"/>
          <w:lang w:eastAsia="en-US"/>
        </w:rPr>
        <w:t xml:space="preserve"> dozės specifiškai </w:t>
      </w:r>
      <w:r w:rsidRPr="00C21B99">
        <w:rPr>
          <w:snapToGrid w:val="0"/>
          <w:szCs w:val="22"/>
          <w:lang w:eastAsia="en-US"/>
        </w:rPr>
        <w:t>keisti</w:t>
      </w:r>
      <w:r w:rsidR="00F65559" w:rsidRPr="00C21B99">
        <w:rPr>
          <w:snapToGrid w:val="0"/>
          <w:szCs w:val="22"/>
          <w:lang w:eastAsia="en-US"/>
        </w:rPr>
        <w:t xml:space="preserve"> nereikia, tačiau juos</w:t>
      </w:r>
      <w:r w:rsidRPr="00C21B99">
        <w:rPr>
          <w:snapToGrid w:val="0"/>
          <w:szCs w:val="22"/>
          <w:lang w:eastAsia="en-US"/>
        </w:rPr>
        <w:t xml:space="preserve"> </w:t>
      </w:r>
      <w:r w:rsidR="00F65559" w:rsidRPr="00C21B99">
        <w:rPr>
          <w:snapToGrid w:val="0"/>
          <w:szCs w:val="22"/>
          <w:lang w:eastAsia="en-US"/>
        </w:rPr>
        <w:t>reikia atidžiai stebėti dėl galimų nepageidaujamų reiškinių (žr. 5.2 skyrių).</w:t>
      </w:r>
    </w:p>
    <w:p w14:paraId="5C89D5F9" w14:textId="77777777" w:rsidR="00D66D0F" w:rsidRPr="00C21B99" w:rsidRDefault="00D66D0F" w:rsidP="00F65559">
      <w:pPr>
        <w:widowControl w:val="0"/>
        <w:tabs>
          <w:tab w:val="left" w:pos="567"/>
        </w:tabs>
        <w:rPr>
          <w:snapToGrid w:val="0"/>
          <w:szCs w:val="22"/>
          <w:lang w:eastAsia="en-US"/>
        </w:rPr>
      </w:pPr>
    </w:p>
    <w:p w14:paraId="2EE29F9A" w14:textId="77777777" w:rsidR="00F65559" w:rsidRPr="00C21B99" w:rsidRDefault="00F65559" w:rsidP="00F65559">
      <w:pPr>
        <w:widowControl w:val="0"/>
        <w:tabs>
          <w:tab w:val="left" w:pos="567"/>
        </w:tabs>
        <w:rPr>
          <w:i/>
          <w:snapToGrid w:val="0"/>
          <w:szCs w:val="22"/>
          <w:lang w:eastAsia="en-US"/>
        </w:rPr>
      </w:pPr>
      <w:r w:rsidRPr="00C21B99">
        <w:rPr>
          <w:i/>
          <w:snapToGrid w:val="0"/>
          <w:szCs w:val="22"/>
          <w:lang w:eastAsia="en-US"/>
        </w:rPr>
        <w:t xml:space="preserve">Dozės </w:t>
      </w:r>
      <w:r w:rsidR="00D66D0F" w:rsidRPr="00C21B99">
        <w:rPr>
          <w:i/>
          <w:snapToGrid w:val="0"/>
          <w:szCs w:val="22"/>
          <w:lang w:eastAsia="en-US"/>
        </w:rPr>
        <w:t>keitimas</w:t>
      </w:r>
      <w:r w:rsidR="003C5CAF" w:rsidRPr="00C21B99">
        <w:rPr>
          <w:i/>
          <w:snapToGrid w:val="0"/>
          <w:szCs w:val="22"/>
          <w:lang w:eastAsia="en-US"/>
        </w:rPr>
        <w:t xml:space="preserve"> </w:t>
      </w:r>
      <w:r w:rsidRPr="00C21B99">
        <w:rPr>
          <w:i/>
          <w:snapToGrid w:val="0"/>
          <w:szCs w:val="22"/>
          <w:lang w:eastAsia="en-US"/>
        </w:rPr>
        <w:t>dėl toksinio poveikio</w:t>
      </w:r>
    </w:p>
    <w:p w14:paraId="4711B13C"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Pacientams, kurie blogai toleruoja viduriavimą arba nepageidaujamas odos reakcijas, gali padėti</w:t>
      </w:r>
      <w:r w:rsidR="00D66D0F" w:rsidRPr="00C21B99">
        <w:rPr>
          <w:snapToGrid w:val="0"/>
          <w:szCs w:val="22"/>
          <w:lang w:eastAsia="en-US"/>
        </w:rPr>
        <w:t xml:space="preserve"> </w:t>
      </w:r>
      <w:r w:rsidRPr="00C21B99">
        <w:rPr>
          <w:snapToGrid w:val="0"/>
          <w:szCs w:val="22"/>
          <w:lang w:eastAsia="en-US"/>
        </w:rPr>
        <w:t xml:space="preserve">trumpas (iki 14 </w:t>
      </w:r>
      <w:r w:rsidR="00D66D0F" w:rsidRPr="00C21B99">
        <w:rPr>
          <w:snapToGrid w:val="0"/>
          <w:szCs w:val="22"/>
          <w:lang w:eastAsia="en-US"/>
        </w:rPr>
        <w:t>parų</w:t>
      </w:r>
      <w:r w:rsidRPr="00C21B99">
        <w:rPr>
          <w:snapToGrid w:val="0"/>
          <w:szCs w:val="22"/>
          <w:lang w:eastAsia="en-US"/>
        </w:rPr>
        <w:t>) šio vaistinio preparato vartojimo nutraukimas, po kurio vėl vartojama 250 mg</w:t>
      </w:r>
      <w:r w:rsidR="00D66D0F" w:rsidRPr="00C21B99">
        <w:rPr>
          <w:snapToGrid w:val="0"/>
          <w:szCs w:val="22"/>
          <w:lang w:eastAsia="en-US"/>
        </w:rPr>
        <w:t xml:space="preserve"> </w:t>
      </w:r>
      <w:r w:rsidRPr="00C21B99">
        <w:rPr>
          <w:snapToGrid w:val="0"/>
          <w:szCs w:val="22"/>
          <w:lang w:eastAsia="en-US"/>
        </w:rPr>
        <w:t>dozė (žr. 4.8 skyrių). Jeigu ir po vartojimo nutraukimo pacientas ne</w:t>
      </w:r>
      <w:r w:rsidR="00D66D0F" w:rsidRPr="00C21B99">
        <w:rPr>
          <w:snapToGrid w:val="0"/>
          <w:szCs w:val="22"/>
          <w:lang w:eastAsia="en-US"/>
        </w:rPr>
        <w:t>toleruoja gydymo</w:t>
      </w:r>
      <w:r w:rsidRPr="00C21B99">
        <w:rPr>
          <w:snapToGrid w:val="0"/>
          <w:szCs w:val="22"/>
          <w:lang w:eastAsia="en-US"/>
        </w:rPr>
        <w:t xml:space="preserve">, </w:t>
      </w:r>
      <w:r w:rsidR="00D66D0F" w:rsidRPr="00C21B99">
        <w:rPr>
          <w:snapToGrid w:val="0"/>
          <w:szCs w:val="22"/>
          <w:lang w:eastAsia="en-US"/>
        </w:rPr>
        <w:t>turi būti</w:t>
      </w:r>
      <w:r w:rsidRPr="00C21B99">
        <w:rPr>
          <w:snapToGrid w:val="0"/>
          <w:szCs w:val="22"/>
          <w:lang w:eastAsia="en-US"/>
        </w:rPr>
        <w:t xml:space="preserve"> nutraukt</w:t>
      </w:r>
      <w:r w:rsidR="00D66D0F" w:rsidRPr="00C21B99">
        <w:rPr>
          <w:snapToGrid w:val="0"/>
          <w:szCs w:val="22"/>
          <w:lang w:eastAsia="en-US"/>
        </w:rPr>
        <w:t>as</w:t>
      </w:r>
      <w:r w:rsidRPr="00C21B99">
        <w:rPr>
          <w:snapToGrid w:val="0"/>
          <w:szCs w:val="22"/>
          <w:lang w:eastAsia="en-US"/>
        </w:rPr>
        <w:t xml:space="preserve"> </w:t>
      </w:r>
      <w:proofErr w:type="spellStart"/>
      <w:r w:rsidRPr="00C21B99">
        <w:rPr>
          <w:snapToGrid w:val="0"/>
          <w:szCs w:val="22"/>
          <w:lang w:eastAsia="en-US"/>
        </w:rPr>
        <w:t>gefitinibo</w:t>
      </w:r>
      <w:proofErr w:type="spellEnd"/>
      <w:r w:rsidRPr="00C21B99">
        <w:rPr>
          <w:snapToGrid w:val="0"/>
          <w:szCs w:val="22"/>
          <w:lang w:eastAsia="en-US"/>
        </w:rPr>
        <w:t xml:space="preserve"> vartojim</w:t>
      </w:r>
      <w:r w:rsidR="00D66D0F" w:rsidRPr="00C21B99">
        <w:rPr>
          <w:snapToGrid w:val="0"/>
          <w:szCs w:val="22"/>
          <w:lang w:eastAsia="en-US"/>
        </w:rPr>
        <w:t>as</w:t>
      </w:r>
      <w:r w:rsidRPr="00C21B99">
        <w:rPr>
          <w:snapToGrid w:val="0"/>
          <w:szCs w:val="22"/>
          <w:lang w:eastAsia="en-US"/>
        </w:rPr>
        <w:t xml:space="preserve"> ir </w:t>
      </w:r>
      <w:r w:rsidR="00D66D0F" w:rsidRPr="00C21B99">
        <w:rPr>
          <w:snapToGrid w:val="0"/>
          <w:szCs w:val="22"/>
          <w:lang w:eastAsia="en-US"/>
        </w:rPr>
        <w:t>apgalvotas alternatyvus</w:t>
      </w:r>
      <w:r w:rsidRPr="00C21B99">
        <w:rPr>
          <w:snapToGrid w:val="0"/>
          <w:szCs w:val="22"/>
          <w:lang w:eastAsia="en-US"/>
        </w:rPr>
        <w:t xml:space="preserve"> gydym</w:t>
      </w:r>
      <w:r w:rsidR="00D66D0F" w:rsidRPr="00C21B99">
        <w:rPr>
          <w:snapToGrid w:val="0"/>
          <w:szCs w:val="22"/>
          <w:lang w:eastAsia="en-US"/>
        </w:rPr>
        <w:t>as</w:t>
      </w:r>
      <w:r w:rsidRPr="00C21B99">
        <w:rPr>
          <w:snapToGrid w:val="0"/>
          <w:szCs w:val="22"/>
          <w:lang w:eastAsia="en-US"/>
        </w:rPr>
        <w:t>.</w:t>
      </w:r>
    </w:p>
    <w:p w14:paraId="0CC91FEB" w14:textId="77777777" w:rsidR="00D66D0F" w:rsidRPr="00C21B99" w:rsidRDefault="00D66D0F" w:rsidP="00F65559">
      <w:pPr>
        <w:widowControl w:val="0"/>
        <w:tabs>
          <w:tab w:val="left" w:pos="567"/>
        </w:tabs>
        <w:rPr>
          <w:snapToGrid w:val="0"/>
          <w:szCs w:val="22"/>
          <w:lang w:eastAsia="en-US"/>
        </w:rPr>
      </w:pPr>
    </w:p>
    <w:p w14:paraId="1ADA3B09" w14:textId="77777777" w:rsidR="00F65559" w:rsidRPr="00C21B99" w:rsidRDefault="00F65559" w:rsidP="00F65559">
      <w:pPr>
        <w:widowControl w:val="0"/>
        <w:tabs>
          <w:tab w:val="left" w:pos="567"/>
        </w:tabs>
        <w:rPr>
          <w:snapToGrid w:val="0"/>
          <w:szCs w:val="22"/>
          <w:u w:val="single"/>
          <w:lang w:eastAsia="en-US"/>
        </w:rPr>
      </w:pPr>
      <w:r w:rsidRPr="00C21B99">
        <w:rPr>
          <w:snapToGrid w:val="0"/>
          <w:szCs w:val="22"/>
          <w:u w:val="single"/>
          <w:lang w:eastAsia="en-US"/>
        </w:rPr>
        <w:t>Vartojimo metodas</w:t>
      </w:r>
    </w:p>
    <w:p w14:paraId="411798BE"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 xml:space="preserve">Tabletes galima gerti valgant arba </w:t>
      </w:r>
      <w:r w:rsidR="00D66D0F" w:rsidRPr="00C21B99">
        <w:rPr>
          <w:snapToGrid w:val="0"/>
          <w:szCs w:val="22"/>
          <w:lang w:eastAsia="en-US"/>
        </w:rPr>
        <w:t>kitu laiku</w:t>
      </w:r>
      <w:r w:rsidRPr="00C21B99">
        <w:rPr>
          <w:snapToGrid w:val="0"/>
          <w:szCs w:val="22"/>
          <w:lang w:eastAsia="en-US"/>
        </w:rPr>
        <w:t xml:space="preserve">, kasdien maždaug tuo pačiu </w:t>
      </w:r>
      <w:r w:rsidR="00D66D0F" w:rsidRPr="00C21B99">
        <w:rPr>
          <w:snapToGrid w:val="0"/>
          <w:szCs w:val="22"/>
          <w:lang w:eastAsia="en-US"/>
        </w:rPr>
        <w:t>metu</w:t>
      </w:r>
      <w:r w:rsidRPr="00C21B99">
        <w:rPr>
          <w:snapToGrid w:val="0"/>
          <w:szCs w:val="22"/>
          <w:lang w:eastAsia="en-US"/>
        </w:rPr>
        <w:t>. Tabletę galima</w:t>
      </w:r>
      <w:r w:rsidR="00D66D0F" w:rsidRPr="00C21B99">
        <w:rPr>
          <w:snapToGrid w:val="0"/>
          <w:szCs w:val="22"/>
          <w:lang w:eastAsia="en-US"/>
        </w:rPr>
        <w:t xml:space="preserve"> </w:t>
      </w:r>
      <w:r w:rsidRPr="00C21B99">
        <w:rPr>
          <w:snapToGrid w:val="0"/>
          <w:szCs w:val="22"/>
          <w:lang w:eastAsia="en-US"/>
        </w:rPr>
        <w:t xml:space="preserve">nuryti nepažeistą, užgeriant vandeniu. Jeigu </w:t>
      </w:r>
      <w:r w:rsidR="00D66D0F" w:rsidRPr="00C21B99">
        <w:rPr>
          <w:snapToGrid w:val="0"/>
          <w:szCs w:val="22"/>
          <w:lang w:eastAsia="en-US"/>
        </w:rPr>
        <w:t>dozavimas sveikomis tabletėmis yra neįmanomas,</w:t>
      </w:r>
      <w:r w:rsidRPr="00C21B99">
        <w:rPr>
          <w:snapToGrid w:val="0"/>
          <w:szCs w:val="22"/>
          <w:lang w:eastAsia="en-US"/>
        </w:rPr>
        <w:t xml:space="preserve"> j</w:t>
      </w:r>
      <w:r w:rsidR="00D66D0F" w:rsidRPr="00C21B99">
        <w:rPr>
          <w:snapToGrid w:val="0"/>
          <w:szCs w:val="22"/>
          <w:lang w:eastAsia="en-US"/>
        </w:rPr>
        <w:t>as</w:t>
      </w:r>
      <w:r w:rsidRPr="00C21B99">
        <w:rPr>
          <w:snapToGrid w:val="0"/>
          <w:szCs w:val="22"/>
          <w:lang w:eastAsia="en-US"/>
        </w:rPr>
        <w:t xml:space="preserve"> galima</w:t>
      </w:r>
      <w:r w:rsidR="00D66D0F" w:rsidRPr="00C21B99">
        <w:rPr>
          <w:snapToGrid w:val="0"/>
          <w:szCs w:val="22"/>
          <w:lang w:eastAsia="en-US"/>
        </w:rPr>
        <w:t xml:space="preserve"> vartoti dispersijos</w:t>
      </w:r>
      <w:r w:rsidRPr="00C21B99">
        <w:rPr>
          <w:snapToGrid w:val="0"/>
          <w:szCs w:val="22"/>
          <w:lang w:eastAsia="en-US"/>
        </w:rPr>
        <w:t xml:space="preserve"> negazuotame vandenyje</w:t>
      </w:r>
      <w:r w:rsidR="00D66D0F" w:rsidRPr="00C21B99">
        <w:rPr>
          <w:snapToGrid w:val="0"/>
          <w:szCs w:val="22"/>
          <w:lang w:eastAsia="en-US"/>
        </w:rPr>
        <w:t xml:space="preserve"> pavidalu. K</w:t>
      </w:r>
      <w:r w:rsidRPr="00C21B99">
        <w:rPr>
          <w:snapToGrid w:val="0"/>
          <w:szCs w:val="22"/>
          <w:lang w:eastAsia="en-US"/>
        </w:rPr>
        <w:t>it</w:t>
      </w:r>
      <w:r w:rsidR="00D66D0F" w:rsidRPr="00C21B99">
        <w:rPr>
          <w:snapToGrid w:val="0"/>
          <w:szCs w:val="22"/>
          <w:lang w:eastAsia="en-US"/>
        </w:rPr>
        <w:t>okių</w:t>
      </w:r>
      <w:r w:rsidRPr="00C21B99">
        <w:rPr>
          <w:snapToGrid w:val="0"/>
          <w:szCs w:val="22"/>
          <w:lang w:eastAsia="en-US"/>
        </w:rPr>
        <w:t xml:space="preserve"> skysčių </w:t>
      </w:r>
      <w:r w:rsidR="00A07FD0" w:rsidRPr="00C21B99">
        <w:rPr>
          <w:snapToGrid w:val="0"/>
          <w:szCs w:val="22"/>
          <w:lang w:eastAsia="en-US"/>
        </w:rPr>
        <w:t>vartoti</w:t>
      </w:r>
      <w:r w:rsidRPr="00C21B99">
        <w:rPr>
          <w:snapToGrid w:val="0"/>
          <w:szCs w:val="22"/>
          <w:lang w:eastAsia="en-US"/>
        </w:rPr>
        <w:t xml:space="preserve"> negalima. Reikia įmesti nesutraiškytą</w:t>
      </w:r>
      <w:r w:rsidR="00A07FD0" w:rsidRPr="00C21B99">
        <w:rPr>
          <w:snapToGrid w:val="0"/>
          <w:szCs w:val="22"/>
          <w:lang w:eastAsia="en-US"/>
        </w:rPr>
        <w:t xml:space="preserve"> </w:t>
      </w:r>
      <w:r w:rsidRPr="00C21B99">
        <w:rPr>
          <w:snapToGrid w:val="0"/>
          <w:szCs w:val="22"/>
          <w:lang w:eastAsia="en-US"/>
        </w:rPr>
        <w:t xml:space="preserve">tabletę į pusę stiklinės geriamojo vandens, paskui </w:t>
      </w:r>
      <w:r w:rsidR="00A07FD0" w:rsidRPr="00C21B99">
        <w:rPr>
          <w:snapToGrid w:val="0"/>
          <w:szCs w:val="22"/>
          <w:lang w:eastAsia="en-US"/>
        </w:rPr>
        <w:t>retkarčiais</w:t>
      </w:r>
      <w:r w:rsidRPr="00C21B99">
        <w:rPr>
          <w:snapToGrid w:val="0"/>
          <w:szCs w:val="22"/>
          <w:lang w:eastAsia="en-US"/>
        </w:rPr>
        <w:t xml:space="preserve"> pasukioti stiklinę, kol tabletė</w:t>
      </w:r>
      <w:r w:rsidR="00A07FD0" w:rsidRPr="00C21B99">
        <w:rPr>
          <w:snapToGrid w:val="0"/>
          <w:szCs w:val="22"/>
          <w:lang w:eastAsia="en-US"/>
        </w:rPr>
        <w:t xml:space="preserve"> </w:t>
      </w:r>
      <w:r w:rsidRPr="00C21B99">
        <w:rPr>
          <w:snapToGrid w:val="0"/>
          <w:szCs w:val="22"/>
          <w:lang w:eastAsia="en-US"/>
        </w:rPr>
        <w:t>disperguosis (tai gali užtrukti iki 20 min.). Dispersiją reikia išgerti, kai tik tabletė baigs disperguotis</w:t>
      </w:r>
      <w:r w:rsidR="00A07FD0" w:rsidRPr="00C21B99">
        <w:rPr>
          <w:snapToGrid w:val="0"/>
          <w:szCs w:val="22"/>
          <w:lang w:eastAsia="en-US"/>
        </w:rPr>
        <w:t xml:space="preserve"> </w:t>
      </w:r>
      <w:r w:rsidRPr="00C21B99">
        <w:rPr>
          <w:snapToGrid w:val="0"/>
          <w:szCs w:val="22"/>
          <w:lang w:eastAsia="en-US"/>
        </w:rPr>
        <w:t>(</w:t>
      </w:r>
      <w:proofErr w:type="spellStart"/>
      <w:r w:rsidRPr="00C21B99">
        <w:rPr>
          <w:snapToGrid w:val="0"/>
          <w:szCs w:val="22"/>
          <w:lang w:eastAsia="en-US"/>
        </w:rPr>
        <w:t>t.y</w:t>
      </w:r>
      <w:proofErr w:type="spellEnd"/>
      <w:r w:rsidRPr="00C21B99">
        <w:rPr>
          <w:snapToGrid w:val="0"/>
          <w:szCs w:val="22"/>
          <w:lang w:eastAsia="en-US"/>
        </w:rPr>
        <w:t>. per 60 min.). Paskui stiklinę reikia praskalauti puse stiklinės vandens ir jį taip pat išgerti.</w:t>
      </w:r>
      <w:r w:rsidR="00A07FD0" w:rsidRPr="00C21B99">
        <w:rPr>
          <w:snapToGrid w:val="0"/>
          <w:szCs w:val="22"/>
          <w:lang w:eastAsia="en-US"/>
        </w:rPr>
        <w:t xml:space="preserve"> </w:t>
      </w:r>
      <w:r w:rsidRPr="00C21B99">
        <w:rPr>
          <w:snapToGrid w:val="0"/>
          <w:szCs w:val="22"/>
          <w:lang w:eastAsia="en-US"/>
        </w:rPr>
        <w:t xml:space="preserve">Dispersiją taip pat galima vartoti per nosies-skrandžio arba </w:t>
      </w:r>
      <w:proofErr w:type="spellStart"/>
      <w:r w:rsidRPr="00C21B99">
        <w:rPr>
          <w:snapToGrid w:val="0"/>
          <w:szCs w:val="22"/>
          <w:lang w:eastAsia="en-US"/>
        </w:rPr>
        <w:t>gastrostomos</w:t>
      </w:r>
      <w:proofErr w:type="spellEnd"/>
      <w:r w:rsidRPr="00C21B99">
        <w:rPr>
          <w:snapToGrid w:val="0"/>
          <w:szCs w:val="22"/>
          <w:lang w:eastAsia="en-US"/>
        </w:rPr>
        <w:t xml:space="preserve"> vamzdelį.</w:t>
      </w:r>
    </w:p>
    <w:p w14:paraId="414B8E02" w14:textId="77777777" w:rsidR="00A07FD0" w:rsidRPr="00C21B99" w:rsidRDefault="00A07FD0" w:rsidP="00F65559">
      <w:pPr>
        <w:widowControl w:val="0"/>
        <w:tabs>
          <w:tab w:val="left" w:pos="567"/>
        </w:tabs>
        <w:rPr>
          <w:snapToGrid w:val="0"/>
          <w:szCs w:val="22"/>
          <w:lang w:eastAsia="en-US"/>
        </w:rPr>
      </w:pPr>
    </w:p>
    <w:p w14:paraId="0A93CC87" w14:textId="77777777" w:rsidR="00F65559" w:rsidRPr="00C21B99" w:rsidRDefault="00F65559" w:rsidP="00F65559">
      <w:pPr>
        <w:widowControl w:val="0"/>
        <w:tabs>
          <w:tab w:val="left" w:pos="567"/>
        </w:tabs>
        <w:rPr>
          <w:b/>
          <w:snapToGrid w:val="0"/>
          <w:szCs w:val="22"/>
          <w:lang w:eastAsia="en-US"/>
        </w:rPr>
      </w:pPr>
      <w:r w:rsidRPr="00C21B99">
        <w:rPr>
          <w:b/>
          <w:snapToGrid w:val="0"/>
          <w:szCs w:val="22"/>
          <w:lang w:eastAsia="en-US"/>
        </w:rPr>
        <w:t>4.3</w:t>
      </w:r>
      <w:r w:rsidR="00A07FD0" w:rsidRPr="00C21B99">
        <w:rPr>
          <w:b/>
          <w:snapToGrid w:val="0"/>
          <w:szCs w:val="22"/>
          <w:lang w:eastAsia="en-US"/>
        </w:rPr>
        <w:tab/>
      </w:r>
      <w:r w:rsidRPr="00C21B99">
        <w:rPr>
          <w:b/>
          <w:snapToGrid w:val="0"/>
          <w:szCs w:val="22"/>
          <w:lang w:eastAsia="en-US"/>
        </w:rPr>
        <w:t>Kontraindikacijos</w:t>
      </w:r>
    </w:p>
    <w:p w14:paraId="631A1CCD" w14:textId="77777777" w:rsidR="00A07FD0" w:rsidRPr="00C21B99" w:rsidRDefault="00A07FD0" w:rsidP="00F65559">
      <w:pPr>
        <w:widowControl w:val="0"/>
        <w:tabs>
          <w:tab w:val="left" w:pos="567"/>
        </w:tabs>
        <w:rPr>
          <w:snapToGrid w:val="0"/>
          <w:szCs w:val="22"/>
          <w:lang w:eastAsia="en-US"/>
        </w:rPr>
      </w:pPr>
    </w:p>
    <w:p w14:paraId="7BCFC26E"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Padidėjęs jautrumas veikliajai arba bet kuriai 6.1 skyriuje nurodytai pagalbinei medžiagai.</w:t>
      </w:r>
    </w:p>
    <w:p w14:paraId="6C62ED9E"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Žindymas (žr. 4.6 skyrių).</w:t>
      </w:r>
    </w:p>
    <w:p w14:paraId="2A42C9C0" w14:textId="77777777" w:rsidR="00A07FD0" w:rsidRPr="00C21B99" w:rsidRDefault="00A07FD0" w:rsidP="00F65559">
      <w:pPr>
        <w:widowControl w:val="0"/>
        <w:tabs>
          <w:tab w:val="left" w:pos="567"/>
        </w:tabs>
        <w:rPr>
          <w:snapToGrid w:val="0"/>
          <w:szCs w:val="22"/>
          <w:lang w:eastAsia="en-US"/>
        </w:rPr>
      </w:pPr>
    </w:p>
    <w:p w14:paraId="5F428E42" w14:textId="77777777" w:rsidR="00F65559" w:rsidRPr="00C21B99" w:rsidRDefault="00F65559" w:rsidP="00F65559">
      <w:pPr>
        <w:widowControl w:val="0"/>
        <w:tabs>
          <w:tab w:val="left" w:pos="567"/>
        </w:tabs>
        <w:rPr>
          <w:b/>
          <w:snapToGrid w:val="0"/>
          <w:szCs w:val="22"/>
          <w:lang w:eastAsia="en-US"/>
        </w:rPr>
      </w:pPr>
      <w:r w:rsidRPr="00C21B99">
        <w:rPr>
          <w:b/>
          <w:snapToGrid w:val="0"/>
          <w:szCs w:val="22"/>
          <w:lang w:eastAsia="en-US"/>
        </w:rPr>
        <w:t>4.4</w:t>
      </w:r>
      <w:r w:rsidR="00A07FD0" w:rsidRPr="00C21B99">
        <w:rPr>
          <w:b/>
          <w:snapToGrid w:val="0"/>
          <w:szCs w:val="22"/>
          <w:lang w:eastAsia="en-US"/>
        </w:rPr>
        <w:tab/>
      </w:r>
      <w:r w:rsidRPr="00C21B99">
        <w:rPr>
          <w:b/>
          <w:snapToGrid w:val="0"/>
          <w:szCs w:val="22"/>
          <w:lang w:eastAsia="en-US"/>
        </w:rPr>
        <w:t>Specialūs įspėjimai ir atsargumo priemonės</w:t>
      </w:r>
    </w:p>
    <w:p w14:paraId="17586D12" w14:textId="77777777" w:rsidR="00A07FD0" w:rsidRPr="00C21B99" w:rsidRDefault="00A07FD0" w:rsidP="00F65559">
      <w:pPr>
        <w:widowControl w:val="0"/>
        <w:tabs>
          <w:tab w:val="left" w:pos="567"/>
        </w:tabs>
        <w:rPr>
          <w:snapToGrid w:val="0"/>
          <w:szCs w:val="22"/>
          <w:lang w:eastAsia="en-US"/>
        </w:rPr>
      </w:pPr>
    </w:p>
    <w:p w14:paraId="365CFF04" w14:textId="77777777" w:rsidR="00F65559" w:rsidRPr="00C21B99" w:rsidRDefault="00E52970" w:rsidP="00F65559">
      <w:pPr>
        <w:widowControl w:val="0"/>
        <w:tabs>
          <w:tab w:val="left" w:pos="567"/>
        </w:tabs>
        <w:rPr>
          <w:snapToGrid w:val="0"/>
          <w:szCs w:val="22"/>
          <w:lang w:eastAsia="en-US"/>
        </w:rPr>
      </w:pPr>
      <w:r w:rsidRPr="00C21B99">
        <w:rPr>
          <w:snapToGrid w:val="0"/>
          <w:szCs w:val="22"/>
          <w:lang w:eastAsia="en-US"/>
        </w:rPr>
        <w:t xml:space="preserve">Apgalvojant </w:t>
      </w:r>
      <w:proofErr w:type="spellStart"/>
      <w:r w:rsidRPr="00C21B99">
        <w:rPr>
          <w:snapToGrid w:val="0"/>
          <w:szCs w:val="22"/>
          <w:lang w:eastAsia="en-US"/>
        </w:rPr>
        <w:t>gefitinibo</w:t>
      </w:r>
      <w:proofErr w:type="spellEnd"/>
      <w:r w:rsidR="00F65559" w:rsidRPr="00C21B99">
        <w:rPr>
          <w:snapToGrid w:val="0"/>
          <w:szCs w:val="22"/>
          <w:lang w:eastAsia="en-US"/>
        </w:rPr>
        <w:t xml:space="preserve"> vartojim</w:t>
      </w:r>
      <w:r w:rsidRPr="00C21B99">
        <w:rPr>
          <w:snapToGrid w:val="0"/>
          <w:szCs w:val="22"/>
          <w:lang w:eastAsia="en-US"/>
        </w:rPr>
        <w:t>ą</w:t>
      </w:r>
      <w:r w:rsidR="00F65559" w:rsidRPr="00C21B99">
        <w:rPr>
          <w:snapToGrid w:val="0"/>
          <w:szCs w:val="22"/>
          <w:lang w:eastAsia="en-US"/>
        </w:rPr>
        <w:t xml:space="preserve"> lokaliai progresavusiam ar </w:t>
      </w:r>
      <w:proofErr w:type="spellStart"/>
      <w:r w:rsidR="00F65559" w:rsidRPr="00C21B99">
        <w:rPr>
          <w:snapToGrid w:val="0"/>
          <w:szCs w:val="22"/>
          <w:lang w:eastAsia="en-US"/>
        </w:rPr>
        <w:t>metastazavusiam</w:t>
      </w:r>
      <w:proofErr w:type="spellEnd"/>
      <w:r w:rsidR="00F65559" w:rsidRPr="00C21B99">
        <w:rPr>
          <w:snapToGrid w:val="0"/>
          <w:szCs w:val="22"/>
          <w:lang w:eastAsia="en-US"/>
        </w:rPr>
        <w:t xml:space="preserve"> </w:t>
      </w:r>
      <w:r w:rsidRPr="00C21B99">
        <w:rPr>
          <w:rFonts w:eastAsia="TimesNewRoman"/>
          <w:szCs w:val="22"/>
        </w:rPr>
        <w:t xml:space="preserve">nesmulkiųjų ląstelių </w:t>
      </w:r>
      <w:r w:rsidR="00F65559" w:rsidRPr="00C21B99">
        <w:rPr>
          <w:snapToGrid w:val="0"/>
          <w:szCs w:val="22"/>
          <w:lang w:eastAsia="en-US"/>
        </w:rPr>
        <w:t>plaučių</w:t>
      </w:r>
      <w:r w:rsidRPr="00C21B99">
        <w:rPr>
          <w:snapToGrid w:val="0"/>
          <w:szCs w:val="22"/>
          <w:lang w:eastAsia="en-US"/>
        </w:rPr>
        <w:t xml:space="preserve"> </w:t>
      </w:r>
      <w:r w:rsidR="00F65559" w:rsidRPr="00C21B99">
        <w:rPr>
          <w:snapToGrid w:val="0"/>
          <w:szCs w:val="22"/>
          <w:lang w:eastAsia="en-US"/>
        </w:rPr>
        <w:t>vėžiui gydyti tikslingumą, visais atvejais svarbu pamėginti įvertinti navikinio audinio EAFR</w:t>
      </w:r>
      <w:r w:rsidRPr="00C21B99">
        <w:rPr>
          <w:snapToGrid w:val="0"/>
          <w:szCs w:val="22"/>
          <w:lang w:eastAsia="en-US"/>
        </w:rPr>
        <w:t xml:space="preserve"> </w:t>
      </w:r>
      <w:r w:rsidR="00F65559" w:rsidRPr="00C21B99">
        <w:rPr>
          <w:snapToGrid w:val="0"/>
          <w:szCs w:val="22"/>
          <w:lang w:eastAsia="en-US"/>
        </w:rPr>
        <w:t xml:space="preserve">mutacijas. Jei naviko mėginys tam netinka, </w:t>
      </w:r>
      <w:r w:rsidRPr="00C21B99">
        <w:rPr>
          <w:snapToGrid w:val="0"/>
          <w:szCs w:val="22"/>
          <w:lang w:eastAsia="en-US"/>
        </w:rPr>
        <w:t>gali būti</w:t>
      </w:r>
      <w:r w:rsidR="00F65559" w:rsidRPr="00C21B99">
        <w:rPr>
          <w:snapToGrid w:val="0"/>
          <w:szCs w:val="22"/>
          <w:lang w:eastAsia="en-US"/>
        </w:rPr>
        <w:t xml:space="preserve"> naudo</w:t>
      </w:r>
      <w:r w:rsidRPr="00C21B99">
        <w:rPr>
          <w:snapToGrid w:val="0"/>
          <w:szCs w:val="22"/>
          <w:lang w:eastAsia="en-US"/>
        </w:rPr>
        <w:t>jama</w:t>
      </w:r>
      <w:r w:rsidR="00F65559" w:rsidRPr="00C21B99">
        <w:rPr>
          <w:snapToGrid w:val="0"/>
          <w:szCs w:val="22"/>
          <w:lang w:eastAsia="en-US"/>
        </w:rPr>
        <w:t xml:space="preserve"> </w:t>
      </w:r>
      <w:r w:rsidRPr="00C21B99">
        <w:rPr>
          <w:snapToGrid w:val="0"/>
          <w:szCs w:val="22"/>
          <w:lang w:eastAsia="en-US"/>
        </w:rPr>
        <w:t xml:space="preserve">išskirta iš kraujo (plazmos) mėginio </w:t>
      </w:r>
      <w:r w:rsidR="00F65559" w:rsidRPr="00C21B99">
        <w:rPr>
          <w:snapToGrid w:val="0"/>
          <w:szCs w:val="22"/>
          <w:lang w:eastAsia="en-US"/>
        </w:rPr>
        <w:t>cirkuliuojan</w:t>
      </w:r>
      <w:r w:rsidRPr="00C21B99">
        <w:rPr>
          <w:snapToGrid w:val="0"/>
          <w:szCs w:val="22"/>
          <w:lang w:eastAsia="en-US"/>
        </w:rPr>
        <w:t>ti</w:t>
      </w:r>
      <w:r w:rsidR="00F65559" w:rsidRPr="00C21B99">
        <w:rPr>
          <w:snapToGrid w:val="0"/>
          <w:szCs w:val="22"/>
          <w:lang w:eastAsia="en-US"/>
        </w:rPr>
        <w:t xml:space="preserve"> navik</w:t>
      </w:r>
      <w:r w:rsidRPr="00C21B99">
        <w:rPr>
          <w:snapToGrid w:val="0"/>
          <w:szCs w:val="22"/>
          <w:lang w:eastAsia="en-US"/>
        </w:rPr>
        <w:t>o</w:t>
      </w:r>
      <w:r w:rsidR="00F65559" w:rsidRPr="00C21B99">
        <w:rPr>
          <w:snapToGrid w:val="0"/>
          <w:szCs w:val="22"/>
          <w:lang w:eastAsia="en-US"/>
        </w:rPr>
        <w:t xml:space="preserve"> DNR</w:t>
      </w:r>
      <w:r w:rsidRPr="00C21B99">
        <w:rPr>
          <w:snapToGrid w:val="0"/>
          <w:szCs w:val="22"/>
          <w:lang w:eastAsia="en-US"/>
        </w:rPr>
        <w:t xml:space="preserve"> </w:t>
      </w:r>
      <w:r w:rsidR="00F65559" w:rsidRPr="00C21B99">
        <w:rPr>
          <w:snapToGrid w:val="0"/>
          <w:szCs w:val="22"/>
          <w:lang w:eastAsia="en-US"/>
        </w:rPr>
        <w:t>(</w:t>
      </w:r>
      <w:proofErr w:type="spellStart"/>
      <w:r w:rsidR="00F65559" w:rsidRPr="00C21B99">
        <w:rPr>
          <w:snapToGrid w:val="0"/>
          <w:szCs w:val="22"/>
          <w:lang w:eastAsia="en-US"/>
        </w:rPr>
        <w:t>cnDNR</w:t>
      </w:r>
      <w:proofErr w:type="spellEnd"/>
      <w:r w:rsidR="00F65559" w:rsidRPr="00C21B99">
        <w:rPr>
          <w:snapToGrid w:val="0"/>
          <w:szCs w:val="22"/>
          <w:lang w:eastAsia="en-US"/>
        </w:rPr>
        <w:t>).</w:t>
      </w:r>
    </w:p>
    <w:p w14:paraId="28B00E20"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 xml:space="preserve">Būtina pasirinkti tinkamą, patikimą ir jautrų metodą ar metodus, kurio (kurių) nauda navikų ar </w:t>
      </w:r>
      <w:proofErr w:type="spellStart"/>
      <w:r w:rsidRPr="00C21B99">
        <w:rPr>
          <w:snapToGrid w:val="0"/>
          <w:szCs w:val="22"/>
          <w:lang w:eastAsia="en-US"/>
        </w:rPr>
        <w:t>cnDNR</w:t>
      </w:r>
      <w:proofErr w:type="spellEnd"/>
      <w:r w:rsidR="00A56BDF" w:rsidRPr="00C21B99">
        <w:rPr>
          <w:snapToGrid w:val="0"/>
          <w:szCs w:val="22"/>
          <w:lang w:eastAsia="en-US"/>
        </w:rPr>
        <w:t xml:space="preserve"> </w:t>
      </w:r>
      <w:r w:rsidRPr="00C21B99">
        <w:rPr>
          <w:snapToGrid w:val="0"/>
          <w:szCs w:val="22"/>
          <w:lang w:eastAsia="en-US"/>
        </w:rPr>
        <w:t xml:space="preserve">EAFR mutacijų būklei vertinti yra įrodyta, kad </w:t>
      </w:r>
      <w:r w:rsidR="00A56BDF" w:rsidRPr="00C21B99">
        <w:rPr>
          <w:snapToGrid w:val="0"/>
          <w:szCs w:val="22"/>
          <w:lang w:eastAsia="en-US"/>
        </w:rPr>
        <w:t xml:space="preserve">išvengti apgaulingų </w:t>
      </w:r>
      <w:r w:rsidRPr="00C21B99">
        <w:rPr>
          <w:snapToGrid w:val="0"/>
          <w:szCs w:val="22"/>
          <w:lang w:eastAsia="en-US"/>
        </w:rPr>
        <w:t>neigiam</w:t>
      </w:r>
      <w:r w:rsidR="00A56BDF" w:rsidRPr="00C21B99">
        <w:rPr>
          <w:snapToGrid w:val="0"/>
          <w:szCs w:val="22"/>
          <w:lang w:eastAsia="en-US"/>
        </w:rPr>
        <w:t>ų</w:t>
      </w:r>
      <w:r w:rsidRPr="00C21B99">
        <w:rPr>
          <w:snapToGrid w:val="0"/>
          <w:szCs w:val="22"/>
          <w:lang w:eastAsia="en-US"/>
        </w:rPr>
        <w:t xml:space="preserve"> ar </w:t>
      </w:r>
      <w:r w:rsidR="00A56BDF" w:rsidRPr="00C21B99">
        <w:rPr>
          <w:snapToGrid w:val="0"/>
          <w:szCs w:val="22"/>
          <w:lang w:eastAsia="en-US"/>
        </w:rPr>
        <w:t>apgaulingų</w:t>
      </w:r>
      <w:r w:rsidRPr="00C21B99">
        <w:rPr>
          <w:snapToGrid w:val="0"/>
          <w:szCs w:val="22"/>
          <w:lang w:eastAsia="en-US"/>
        </w:rPr>
        <w:t xml:space="preserve"> teigiam</w:t>
      </w:r>
      <w:r w:rsidR="00A56BDF" w:rsidRPr="00C21B99">
        <w:rPr>
          <w:snapToGrid w:val="0"/>
          <w:szCs w:val="22"/>
          <w:lang w:eastAsia="en-US"/>
        </w:rPr>
        <w:t>ų</w:t>
      </w:r>
      <w:r w:rsidR="00E52970" w:rsidRPr="00C21B99">
        <w:rPr>
          <w:snapToGrid w:val="0"/>
          <w:szCs w:val="22"/>
          <w:lang w:eastAsia="en-US"/>
        </w:rPr>
        <w:t xml:space="preserve"> </w:t>
      </w:r>
      <w:r w:rsidRPr="00C21B99">
        <w:rPr>
          <w:snapToGrid w:val="0"/>
          <w:szCs w:val="22"/>
          <w:lang w:eastAsia="en-US"/>
        </w:rPr>
        <w:t>duomen</w:t>
      </w:r>
      <w:r w:rsidR="00A56BDF" w:rsidRPr="00C21B99">
        <w:rPr>
          <w:snapToGrid w:val="0"/>
          <w:szCs w:val="22"/>
          <w:lang w:eastAsia="en-US"/>
        </w:rPr>
        <w:t>ų</w:t>
      </w:r>
      <w:r w:rsidRPr="00C21B99">
        <w:rPr>
          <w:snapToGrid w:val="0"/>
          <w:szCs w:val="22"/>
          <w:lang w:eastAsia="en-US"/>
        </w:rPr>
        <w:t xml:space="preserve"> (žr. 5.1 skyrių).</w:t>
      </w:r>
    </w:p>
    <w:p w14:paraId="051ABB05" w14:textId="77777777" w:rsidR="00A56BDF" w:rsidRPr="00C21B99" w:rsidRDefault="00A56BDF" w:rsidP="00F65559">
      <w:pPr>
        <w:widowControl w:val="0"/>
        <w:tabs>
          <w:tab w:val="left" w:pos="567"/>
        </w:tabs>
        <w:rPr>
          <w:snapToGrid w:val="0"/>
          <w:szCs w:val="22"/>
          <w:lang w:eastAsia="en-US"/>
        </w:rPr>
      </w:pPr>
    </w:p>
    <w:p w14:paraId="6D8556AD" w14:textId="77777777" w:rsidR="00F65559" w:rsidRPr="00C21B99" w:rsidRDefault="00F65559" w:rsidP="00F65559">
      <w:pPr>
        <w:widowControl w:val="0"/>
        <w:tabs>
          <w:tab w:val="left" w:pos="567"/>
        </w:tabs>
        <w:rPr>
          <w:i/>
          <w:snapToGrid w:val="0"/>
          <w:szCs w:val="22"/>
          <w:lang w:eastAsia="en-US"/>
        </w:rPr>
      </w:pPr>
      <w:proofErr w:type="spellStart"/>
      <w:r w:rsidRPr="00C21B99">
        <w:rPr>
          <w:i/>
          <w:snapToGrid w:val="0"/>
          <w:szCs w:val="22"/>
          <w:lang w:eastAsia="en-US"/>
        </w:rPr>
        <w:t>Intersticinė</w:t>
      </w:r>
      <w:proofErr w:type="spellEnd"/>
      <w:r w:rsidRPr="00C21B99">
        <w:rPr>
          <w:i/>
          <w:snapToGrid w:val="0"/>
          <w:szCs w:val="22"/>
          <w:lang w:eastAsia="en-US"/>
        </w:rPr>
        <w:t xml:space="preserve"> plaučių liga</w:t>
      </w:r>
    </w:p>
    <w:p w14:paraId="2F5B1CF7" w14:textId="77777777" w:rsidR="00F65559" w:rsidRPr="00C21B99" w:rsidRDefault="00F65559" w:rsidP="00F65559">
      <w:pPr>
        <w:widowControl w:val="0"/>
        <w:tabs>
          <w:tab w:val="left" w:pos="567"/>
        </w:tabs>
        <w:rPr>
          <w:snapToGrid w:val="0"/>
          <w:szCs w:val="22"/>
          <w:lang w:eastAsia="en-US"/>
        </w:rPr>
      </w:pPr>
      <w:r w:rsidRPr="00C21B99">
        <w:rPr>
          <w:snapToGrid w:val="0"/>
          <w:szCs w:val="22"/>
          <w:lang w:eastAsia="en-US"/>
        </w:rPr>
        <w:t xml:space="preserve">1,3% pacientų, vartojusių </w:t>
      </w:r>
      <w:proofErr w:type="spellStart"/>
      <w:r w:rsidRPr="00C21B99">
        <w:rPr>
          <w:snapToGrid w:val="0"/>
          <w:szCs w:val="22"/>
          <w:lang w:eastAsia="en-US"/>
        </w:rPr>
        <w:t>gefitinib</w:t>
      </w:r>
      <w:r w:rsidR="00A56BDF" w:rsidRPr="00C21B99">
        <w:rPr>
          <w:snapToGrid w:val="0"/>
          <w:szCs w:val="22"/>
          <w:lang w:eastAsia="en-US"/>
        </w:rPr>
        <w:t>o</w:t>
      </w:r>
      <w:proofErr w:type="spellEnd"/>
      <w:r w:rsidRPr="00C21B99">
        <w:rPr>
          <w:snapToGrid w:val="0"/>
          <w:szCs w:val="22"/>
          <w:lang w:eastAsia="en-US"/>
        </w:rPr>
        <w:t xml:space="preserve">, pasireiškė </w:t>
      </w:r>
      <w:proofErr w:type="spellStart"/>
      <w:r w:rsidRPr="00C21B99">
        <w:rPr>
          <w:snapToGrid w:val="0"/>
          <w:szCs w:val="22"/>
          <w:lang w:eastAsia="en-US"/>
        </w:rPr>
        <w:t>intersticinė</w:t>
      </w:r>
      <w:proofErr w:type="spellEnd"/>
      <w:r w:rsidRPr="00C21B99">
        <w:rPr>
          <w:snapToGrid w:val="0"/>
          <w:szCs w:val="22"/>
          <w:lang w:eastAsia="en-US"/>
        </w:rPr>
        <w:t xml:space="preserve"> plaučių liga, kuri gali prasidėti ūmiai. Kai</w:t>
      </w:r>
      <w:r w:rsidR="00A56BDF" w:rsidRPr="00C21B99">
        <w:rPr>
          <w:snapToGrid w:val="0"/>
          <w:szCs w:val="22"/>
          <w:lang w:eastAsia="en-US"/>
        </w:rPr>
        <w:t xml:space="preserve"> </w:t>
      </w:r>
      <w:r w:rsidRPr="00C21B99">
        <w:rPr>
          <w:snapToGrid w:val="0"/>
          <w:szCs w:val="22"/>
          <w:lang w:eastAsia="en-US"/>
        </w:rPr>
        <w:t xml:space="preserve">kuriais atvejais ši liga </w:t>
      </w:r>
      <w:r w:rsidR="00A56BDF" w:rsidRPr="00C21B99">
        <w:rPr>
          <w:snapToGrid w:val="0"/>
          <w:szCs w:val="22"/>
          <w:lang w:eastAsia="en-US"/>
        </w:rPr>
        <w:t>baigėsi mirtimi</w:t>
      </w:r>
      <w:r w:rsidRPr="00C21B99">
        <w:rPr>
          <w:snapToGrid w:val="0"/>
          <w:szCs w:val="22"/>
          <w:lang w:eastAsia="en-US"/>
        </w:rPr>
        <w:t xml:space="preserve"> (žr. 4.8 skyrių). Pasunkėjus kvėpavimo sutrikimams (pvz., dusuliui,</w:t>
      </w:r>
      <w:r w:rsidR="00A56BDF" w:rsidRPr="00C21B99">
        <w:rPr>
          <w:snapToGrid w:val="0"/>
          <w:szCs w:val="22"/>
          <w:lang w:eastAsia="en-US"/>
        </w:rPr>
        <w:t xml:space="preserve"> </w:t>
      </w:r>
      <w:r w:rsidRPr="00C21B99">
        <w:rPr>
          <w:snapToGrid w:val="0"/>
          <w:szCs w:val="22"/>
          <w:lang w:eastAsia="en-US"/>
        </w:rPr>
        <w:t xml:space="preserve">kosuliui ir karščiavimui), </w:t>
      </w:r>
      <w:proofErr w:type="spellStart"/>
      <w:r w:rsidR="00A56BDF" w:rsidRPr="00C21B99">
        <w:rPr>
          <w:snapToGrid w:val="0"/>
          <w:szCs w:val="22"/>
          <w:lang w:eastAsia="en-US"/>
        </w:rPr>
        <w:t>gefitinibo</w:t>
      </w:r>
      <w:proofErr w:type="spellEnd"/>
      <w:r w:rsidR="00A56BDF" w:rsidRPr="00C21B99">
        <w:rPr>
          <w:snapToGrid w:val="0"/>
          <w:szCs w:val="22"/>
          <w:lang w:eastAsia="en-US"/>
        </w:rPr>
        <w:t xml:space="preserve"> </w:t>
      </w:r>
      <w:r w:rsidRPr="00C21B99">
        <w:rPr>
          <w:snapToGrid w:val="0"/>
          <w:szCs w:val="22"/>
          <w:lang w:eastAsia="en-US"/>
        </w:rPr>
        <w:t>vartojim</w:t>
      </w:r>
      <w:r w:rsidR="00A56BDF" w:rsidRPr="00C21B99">
        <w:rPr>
          <w:snapToGrid w:val="0"/>
          <w:szCs w:val="22"/>
          <w:lang w:eastAsia="en-US"/>
        </w:rPr>
        <w:t xml:space="preserve">as turi būti </w:t>
      </w:r>
      <w:r w:rsidR="001813F2" w:rsidRPr="00C21B99">
        <w:rPr>
          <w:snapToGrid w:val="0"/>
          <w:szCs w:val="22"/>
          <w:lang w:eastAsia="en-US"/>
        </w:rPr>
        <w:t>pertrauktas</w:t>
      </w:r>
      <w:r w:rsidRPr="00C21B99">
        <w:rPr>
          <w:snapToGrid w:val="0"/>
          <w:szCs w:val="22"/>
          <w:lang w:eastAsia="en-US"/>
        </w:rPr>
        <w:t xml:space="preserve"> ir </w:t>
      </w:r>
      <w:r w:rsidR="001813F2" w:rsidRPr="00C21B99">
        <w:rPr>
          <w:snapToGrid w:val="0"/>
          <w:szCs w:val="22"/>
          <w:lang w:eastAsia="en-US"/>
        </w:rPr>
        <w:t>pacientas skubiai</w:t>
      </w:r>
      <w:r w:rsidRPr="00C21B99">
        <w:rPr>
          <w:snapToGrid w:val="0"/>
          <w:szCs w:val="22"/>
          <w:lang w:eastAsia="en-US"/>
        </w:rPr>
        <w:t xml:space="preserve"> </w:t>
      </w:r>
      <w:r w:rsidR="001813F2" w:rsidRPr="00C21B99">
        <w:rPr>
          <w:snapToGrid w:val="0"/>
          <w:szCs w:val="22"/>
          <w:lang w:eastAsia="en-US"/>
        </w:rPr>
        <w:t>ištirtas</w:t>
      </w:r>
      <w:r w:rsidRPr="00C21B99">
        <w:rPr>
          <w:snapToGrid w:val="0"/>
          <w:szCs w:val="22"/>
          <w:lang w:eastAsia="en-US"/>
        </w:rPr>
        <w:t>. Jeigu</w:t>
      </w:r>
      <w:r w:rsidR="001813F2" w:rsidRPr="00C21B99">
        <w:rPr>
          <w:snapToGrid w:val="0"/>
          <w:szCs w:val="22"/>
          <w:lang w:eastAsia="en-US"/>
        </w:rPr>
        <w:t xml:space="preserve"> </w:t>
      </w:r>
      <w:proofErr w:type="spellStart"/>
      <w:r w:rsidRPr="00C21B99">
        <w:rPr>
          <w:snapToGrid w:val="0"/>
          <w:szCs w:val="22"/>
          <w:lang w:eastAsia="en-US"/>
        </w:rPr>
        <w:t>intersticinės</w:t>
      </w:r>
      <w:proofErr w:type="spellEnd"/>
      <w:r w:rsidRPr="00C21B99">
        <w:rPr>
          <w:snapToGrid w:val="0"/>
          <w:szCs w:val="22"/>
          <w:lang w:eastAsia="en-US"/>
        </w:rPr>
        <w:t xml:space="preserve"> plaučių lig</w:t>
      </w:r>
      <w:r w:rsidR="001813F2" w:rsidRPr="00C21B99">
        <w:rPr>
          <w:snapToGrid w:val="0"/>
          <w:szCs w:val="22"/>
          <w:lang w:eastAsia="en-US"/>
        </w:rPr>
        <w:t>a pavirtinama</w:t>
      </w:r>
      <w:r w:rsidRPr="00C21B99">
        <w:rPr>
          <w:snapToGrid w:val="0"/>
          <w:szCs w:val="22"/>
          <w:lang w:eastAsia="en-US"/>
        </w:rPr>
        <w:t xml:space="preserve">, </w:t>
      </w:r>
      <w:proofErr w:type="spellStart"/>
      <w:r w:rsidR="001813F2" w:rsidRPr="00C21B99">
        <w:rPr>
          <w:snapToGrid w:val="0"/>
          <w:szCs w:val="22"/>
          <w:lang w:eastAsia="en-US"/>
        </w:rPr>
        <w:t>gefitinibo</w:t>
      </w:r>
      <w:proofErr w:type="spellEnd"/>
      <w:r w:rsidRPr="00C21B99">
        <w:rPr>
          <w:snapToGrid w:val="0"/>
          <w:szCs w:val="22"/>
          <w:lang w:eastAsia="en-US"/>
        </w:rPr>
        <w:t xml:space="preserve"> vartojim</w:t>
      </w:r>
      <w:r w:rsidR="001813F2" w:rsidRPr="00C21B99">
        <w:rPr>
          <w:snapToGrid w:val="0"/>
          <w:szCs w:val="22"/>
          <w:lang w:eastAsia="en-US"/>
        </w:rPr>
        <w:t>as turi būti nutrauktas</w:t>
      </w:r>
      <w:r w:rsidRPr="00C21B99">
        <w:rPr>
          <w:snapToGrid w:val="0"/>
          <w:szCs w:val="22"/>
          <w:lang w:eastAsia="en-US"/>
        </w:rPr>
        <w:t xml:space="preserve"> ir</w:t>
      </w:r>
      <w:r w:rsidR="001813F2" w:rsidRPr="00C21B99">
        <w:rPr>
          <w:snapToGrid w:val="0"/>
          <w:szCs w:val="22"/>
          <w:lang w:eastAsia="en-US"/>
        </w:rPr>
        <w:t xml:space="preserve"> pacientui paskirtas tinkamas gydymas.</w:t>
      </w:r>
    </w:p>
    <w:p w14:paraId="5572FBC8" w14:textId="77777777" w:rsidR="006D6B75" w:rsidRPr="00C21B99" w:rsidRDefault="00F65559" w:rsidP="006D6B75">
      <w:pPr>
        <w:widowControl w:val="0"/>
        <w:tabs>
          <w:tab w:val="left" w:pos="567"/>
        </w:tabs>
        <w:rPr>
          <w:snapToGrid w:val="0"/>
          <w:szCs w:val="22"/>
          <w:lang w:eastAsia="en-US"/>
        </w:rPr>
      </w:pPr>
      <w:r w:rsidRPr="00C21B99">
        <w:rPr>
          <w:snapToGrid w:val="0"/>
          <w:szCs w:val="22"/>
          <w:lang w:eastAsia="en-US"/>
        </w:rPr>
        <w:t xml:space="preserve">Japonijoje atliktas </w:t>
      </w:r>
      <w:proofErr w:type="spellStart"/>
      <w:r w:rsidRPr="00C21B99">
        <w:rPr>
          <w:snapToGrid w:val="0"/>
          <w:szCs w:val="22"/>
          <w:lang w:eastAsia="en-US"/>
        </w:rPr>
        <w:t>farmakoepidemiologinis</w:t>
      </w:r>
      <w:proofErr w:type="spellEnd"/>
      <w:r w:rsidRPr="00C21B99">
        <w:rPr>
          <w:snapToGrid w:val="0"/>
          <w:szCs w:val="22"/>
          <w:lang w:eastAsia="en-US"/>
        </w:rPr>
        <w:t xml:space="preserve"> atvejų kontrolės tyrimas. Į jį įtraukti 3159 nesmulkiųjų</w:t>
      </w:r>
      <w:r w:rsidR="001813F2" w:rsidRPr="00C21B99">
        <w:rPr>
          <w:snapToGrid w:val="0"/>
          <w:szCs w:val="22"/>
          <w:lang w:eastAsia="en-US"/>
        </w:rPr>
        <w:t xml:space="preserve"> </w:t>
      </w:r>
      <w:r w:rsidRPr="00C21B99">
        <w:rPr>
          <w:snapToGrid w:val="0"/>
          <w:szCs w:val="22"/>
          <w:lang w:eastAsia="en-US"/>
        </w:rPr>
        <w:t xml:space="preserve">ląstelių plaučių vėžiu sirgę pacientai, kuriems taikytas gydymas </w:t>
      </w:r>
      <w:proofErr w:type="spellStart"/>
      <w:r w:rsidRPr="00C21B99">
        <w:rPr>
          <w:snapToGrid w:val="0"/>
          <w:szCs w:val="22"/>
          <w:lang w:eastAsia="en-US"/>
        </w:rPr>
        <w:t>gefitinibu</w:t>
      </w:r>
      <w:proofErr w:type="spellEnd"/>
      <w:r w:rsidRPr="00C21B99">
        <w:rPr>
          <w:snapToGrid w:val="0"/>
          <w:szCs w:val="22"/>
          <w:lang w:eastAsia="en-US"/>
        </w:rPr>
        <w:t xml:space="preserve"> arba chemoterapija. Šiuos</w:t>
      </w:r>
      <w:r w:rsidR="001813F2" w:rsidRPr="00C21B99">
        <w:rPr>
          <w:snapToGrid w:val="0"/>
          <w:szCs w:val="22"/>
          <w:lang w:eastAsia="en-US"/>
        </w:rPr>
        <w:t xml:space="preserve"> </w:t>
      </w:r>
      <w:r w:rsidRPr="00C21B99">
        <w:rPr>
          <w:snapToGrid w:val="0"/>
          <w:szCs w:val="22"/>
          <w:lang w:eastAsia="en-US"/>
        </w:rPr>
        <w:t xml:space="preserve">pacientus stebėjus iki 12 savaičių, </w:t>
      </w:r>
      <w:r w:rsidR="001813F2" w:rsidRPr="00C21B99">
        <w:rPr>
          <w:snapToGrid w:val="0"/>
          <w:szCs w:val="22"/>
          <w:lang w:eastAsia="en-US"/>
        </w:rPr>
        <w:t>nustatyti</w:t>
      </w:r>
      <w:r w:rsidRPr="00C21B99">
        <w:rPr>
          <w:snapToGrid w:val="0"/>
          <w:szCs w:val="22"/>
          <w:lang w:eastAsia="en-US"/>
        </w:rPr>
        <w:t xml:space="preserve"> tokie </w:t>
      </w:r>
      <w:proofErr w:type="spellStart"/>
      <w:r w:rsidRPr="00C21B99">
        <w:rPr>
          <w:snapToGrid w:val="0"/>
          <w:szCs w:val="22"/>
          <w:lang w:eastAsia="en-US"/>
        </w:rPr>
        <w:t>intersticinės</w:t>
      </w:r>
      <w:proofErr w:type="spellEnd"/>
      <w:r w:rsidRPr="00C21B99">
        <w:rPr>
          <w:snapToGrid w:val="0"/>
          <w:szCs w:val="22"/>
          <w:lang w:eastAsia="en-US"/>
        </w:rPr>
        <w:t xml:space="preserve"> plaučių ligos rizikos veiksniai</w:t>
      </w:r>
      <w:r w:rsidR="001813F2" w:rsidRPr="00C21B99">
        <w:rPr>
          <w:snapToGrid w:val="0"/>
          <w:szCs w:val="22"/>
          <w:lang w:eastAsia="en-US"/>
        </w:rPr>
        <w:t xml:space="preserve"> </w:t>
      </w:r>
      <w:r w:rsidRPr="00C21B99">
        <w:rPr>
          <w:snapToGrid w:val="0"/>
          <w:szCs w:val="22"/>
          <w:lang w:eastAsia="en-US"/>
        </w:rPr>
        <w:t>(nepriklausomai nuo</w:t>
      </w:r>
      <w:r w:rsidR="001813F2" w:rsidRPr="00C21B99">
        <w:rPr>
          <w:snapToGrid w:val="0"/>
          <w:szCs w:val="22"/>
          <w:lang w:eastAsia="en-US"/>
        </w:rPr>
        <w:t xml:space="preserve"> to</w:t>
      </w:r>
      <w:r w:rsidRPr="00C21B99">
        <w:rPr>
          <w:snapToGrid w:val="0"/>
          <w:szCs w:val="22"/>
          <w:lang w:eastAsia="en-US"/>
        </w:rPr>
        <w:t xml:space="preserve">, ar pacientui taikytas gydymas </w:t>
      </w:r>
      <w:proofErr w:type="spellStart"/>
      <w:r w:rsidRPr="00C21B99">
        <w:rPr>
          <w:snapToGrid w:val="0"/>
          <w:szCs w:val="22"/>
          <w:lang w:eastAsia="en-US"/>
        </w:rPr>
        <w:t>gefitinibu</w:t>
      </w:r>
      <w:proofErr w:type="spellEnd"/>
      <w:r w:rsidRPr="00C21B99">
        <w:rPr>
          <w:snapToGrid w:val="0"/>
          <w:szCs w:val="22"/>
          <w:lang w:eastAsia="en-US"/>
        </w:rPr>
        <w:t>, ar chemoterapija): rūkymas,</w:t>
      </w:r>
      <w:r w:rsidR="001813F2" w:rsidRPr="00C21B99">
        <w:rPr>
          <w:snapToGrid w:val="0"/>
          <w:szCs w:val="22"/>
          <w:lang w:eastAsia="en-US"/>
        </w:rPr>
        <w:t xml:space="preserve"> </w:t>
      </w:r>
      <w:r w:rsidR="004E1602" w:rsidRPr="00C21B99">
        <w:rPr>
          <w:snapToGrid w:val="0"/>
          <w:szCs w:val="22"/>
          <w:lang w:eastAsia="en-US"/>
        </w:rPr>
        <w:t>prasta darbinė būsena</w:t>
      </w:r>
      <w:r w:rsidRPr="00C21B99">
        <w:rPr>
          <w:snapToGrid w:val="0"/>
          <w:szCs w:val="22"/>
          <w:lang w:eastAsia="en-US"/>
        </w:rPr>
        <w:t xml:space="preserve"> (PS ≥ 2), kompiuterinės tomografijos būdu nustatytas sumažėjęs normalus</w:t>
      </w:r>
      <w:r w:rsidR="004E1602" w:rsidRPr="00C21B99">
        <w:rPr>
          <w:snapToGrid w:val="0"/>
          <w:szCs w:val="22"/>
          <w:lang w:eastAsia="en-US"/>
        </w:rPr>
        <w:t xml:space="preserve"> </w:t>
      </w:r>
      <w:r w:rsidRPr="00C21B99">
        <w:rPr>
          <w:snapToGrid w:val="0"/>
          <w:szCs w:val="22"/>
          <w:lang w:eastAsia="en-US"/>
        </w:rPr>
        <w:t>plautis (≤</w:t>
      </w:r>
      <w:r w:rsidR="004E1602" w:rsidRPr="00C21B99">
        <w:rPr>
          <w:snapToGrid w:val="0"/>
          <w:szCs w:val="22"/>
          <w:lang w:eastAsia="en-US"/>
        </w:rPr>
        <w:t> </w:t>
      </w:r>
      <w:r w:rsidRPr="00C21B99">
        <w:rPr>
          <w:snapToGrid w:val="0"/>
          <w:szCs w:val="22"/>
          <w:lang w:eastAsia="en-US"/>
        </w:rPr>
        <w:t>50%), neseniai (mažiau kaip prieš 6 mėn.) diagnozuotas nesmulkiųjų ląstelių plaučių vėžys,</w:t>
      </w:r>
      <w:r w:rsidR="004E1602" w:rsidRPr="00C21B99">
        <w:rPr>
          <w:snapToGrid w:val="0"/>
          <w:szCs w:val="22"/>
          <w:lang w:eastAsia="en-US"/>
        </w:rPr>
        <w:t xml:space="preserve"> iš anksčiau esanti</w:t>
      </w:r>
      <w:r w:rsidRPr="00C21B99">
        <w:rPr>
          <w:snapToGrid w:val="0"/>
          <w:szCs w:val="22"/>
          <w:lang w:eastAsia="en-US"/>
        </w:rPr>
        <w:t xml:space="preserve"> </w:t>
      </w:r>
      <w:proofErr w:type="spellStart"/>
      <w:r w:rsidRPr="00C21B99">
        <w:rPr>
          <w:snapToGrid w:val="0"/>
          <w:szCs w:val="22"/>
          <w:lang w:eastAsia="en-US"/>
        </w:rPr>
        <w:t>intersticinė</w:t>
      </w:r>
      <w:proofErr w:type="spellEnd"/>
      <w:r w:rsidRPr="00C21B99">
        <w:rPr>
          <w:snapToGrid w:val="0"/>
          <w:szCs w:val="22"/>
          <w:lang w:eastAsia="en-US"/>
        </w:rPr>
        <w:t xml:space="preserve"> plaučių liga, vyresnis (≥</w:t>
      </w:r>
      <w:r w:rsidR="004E1602" w:rsidRPr="00C21B99">
        <w:rPr>
          <w:snapToGrid w:val="0"/>
          <w:szCs w:val="22"/>
          <w:lang w:eastAsia="en-US"/>
        </w:rPr>
        <w:t> </w:t>
      </w:r>
      <w:r w:rsidRPr="00C21B99">
        <w:rPr>
          <w:snapToGrid w:val="0"/>
          <w:szCs w:val="22"/>
          <w:lang w:eastAsia="en-US"/>
        </w:rPr>
        <w:t xml:space="preserve">55 metai) amžius ir </w:t>
      </w:r>
      <w:r w:rsidR="004E1602" w:rsidRPr="00C21B99">
        <w:rPr>
          <w:snapToGrid w:val="0"/>
          <w:szCs w:val="22"/>
          <w:lang w:eastAsia="en-US"/>
        </w:rPr>
        <w:t>tuo pačiu laiku esanti</w:t>
      </w:r>
      <w:r w:rsidRPr="00C21B99">
        <w:rPr>
          <w:snapToGrid w:val="0"/>
          <w:szCs w:val="22"/>
          <w:lang w:eastAsia="en-US"/>
        </w:rPr>
        <w:t xml:space="preserve"> širdies liga.</w:t>
      </w:r>
      <w:r w:rsidR="004E1602" w:rsidRPr="00C21B99">
        <w:rPr>
          <w:snapToGrid w:val="0"/>
          <w:szCs w:val="22"/>
          <w:lang w:eastAsia="en-US"/>
        </w:rPr>
        <w:t xml:space="preserve"> </w:t>
      </w:r>
      <w:proofErr w:type="spellStart"/>
      <w:r w:rsidRPr="00C21B99">
        <w:rPr>
          <w:snapToGrid w:val="0"/>
          <w:szCs w:val="22"/>
          <w:lang w:eastAsia="en-US"/>
        </w:rPr>
        <w:t>Intersticinės</w:t>
      </w:r>
      <w:proofErr w:type="spellEnd"/>
      <w:r w:rsidRPr="00C21B99">
        <w:rPr>
          <w:snapToGrid w:val="0"/>
          <w:szCs w:val="22"/>
          <w:lang w:eastAsia="en-US"/>
        </w:rPr>
        <w:t xml:space="preserve"> plaučių ligos rizikos padidėjimas vartojant </w:t>
      </w:r>
      <w:proofErr w:type="spellStart"/>
      <w:r w:rsidRPr="00C21B99">
        <w:rPr>
          <w:snapToGrid w:val="0"/>
          <w:szCs w:val="22"/>
          <w:lang w:eastAsia="en-US"/>
        </w:rPr>
        <w:t>gefitinib</w:t>
      </w:r>
      <w:r w:rsidR="004E1602" w:rsidRPr="00C21B99">
        <w:rPr>
          <w:snapToGrid w:val="0"/>
          <w:szCs w:val="22"/>
          <w:lang w:eastAsia="en-US"/>
        </w:rPr>
        <w:t>o</w:t>
      </w:r>
      <w:proofErr w:type="spellEnd"/>
      <w:r w:rsidRPr="00C21B99">
        <w:rPr>
          <w:snapToGrid w:val="0"/>
          <w:szCs w:val="22"/>
          <w:lang w:eastAsia="en-US"/>
        </w:rPr>
        <w:t xml:space="preserve"> (palyginus su chemoterapija) buvo</w:t>
      </w:r>
      <w:r w:rsidR="004E1602" w:rsidRPr="00C21B99">
        <w:rPr>
          <w:snapToGrid w:val="0"/>
          <w:szCs w:val="22"/>
          <w:lang w:eastAsia="en-US"/>
        </w:rPr>
        <w:t xml:space="preserve"> </w:t>
      </w:r>
      <w:r w:rsidRPr="00C21B99">
        <w:rPr>
          <w:snapToGrid w:val="0"/>
          <w:szCs w:val="22"/>
          <w:lang w:eastAsia="en-US"/>
        </w:rPr>
        <w:t>ypač ryškus per pirmąsias 4 gydymo savaites (koreguotas šansų santykis – 3,8, 95% PI – 1,9-7,7),</w:t>
      </w:r>
      <w:r w:rsidR="004E1602" w:rsidRPr="00C21B99">
        <w:rPr>
          <w:snapToGrid w:val="0"/>
          <w:szCs w:val="22"/>
          <w:lang w:eastAsia="en-US"/>
        </w:rPr>
        <w:t xml:space="preserve"> </w:t>
      </w:r>
      <w:r w:rsidRPr="00C21B99">
        <w:rPr>
          <w:snapToGrid w:val="0"/>
          <w:szCs w:val="22"/>
          <w:lang w:eastAsia="en-US"/>
        </w:rPr>
        <w:t xml:space="preserve">vėliau santykinė rizika buvo mažesnė (koreguotas šansų santykis – 2,5, 95% PI – 1,1-5,8). </w:t>
      </w:r>
      <w:proofErr w:type="spellStart"/>
      <w:r w:rsidRPr="00C21B99">
        <w:rPr>
          <w:snapToGrid w:val="0"/>
          <w:szCs w:val="22"/>
          <w:lang w:eastAsia="en-US"/>
        </w:rPr>
        <w:t>Intersticine</w:t>
      </w:r>
      <w:proofErr w:type="spellEnd"/>
      <w:r w:rsidR="004E1602" w:rsidRPr="00C21B99">
        <w:rPr>
          <w:snapToGrid w:val="0"/>
          <w:szCs w:val="22"/>
          <w:lang w:eastAsia="en-US"/>
        </w:rPr>
        <w:t xml:space="preserve"> </w:t>
      </w:r>
      <w:r w:rsidRPr="00C21B99">
        <w:rPr>
          <w:snapToGrid w:val="0"/>
          <w:szCs w:val="22"/>
          <w:lang w:eastAsia="en-US"/>
        </w:rPr>
        <w:t xml:space="preserve">plaučių liga susirgusių pacientų mirties riziką </w:t>
      </w:r>
      <w:proofErr w:type="spellStart"/>
      <w:r w:rsidRPr="00C21B99">
        <w:rPr>
          <w:snapToGrid w:val="0"/>
          <w:szCs w:val="22"/>
          <w:lang w:eastAsia="en-US"/>
        </w:rPr>
        <w:t>gefitinibo</w:t>
      </w:r>
      <w:proofErr w:type="spellEnd"/>
      <w:r w:rsidRPr="00C21B99">
        <w:rPr>
          <w:snapToGrid w:val="0"/>
          <w:szCs w:val="22"/>
          <w:lang w:eastAsia="en-US"/>
        </w:rPr>
        <w:t xml:space="preserve"> ir chemoterapijos grupėse didino šie rizikos</w:t>
      </w:r>
      <w:r w:rsidR="004E1602" w:rsidRPr="00C21B99">
        <w:rPr>
          <w:snapToGrid w:val="0"/>
          <w:szCs w:val="22"/>
          <w:lang w:eastAsia="en-US"/>
        </w:rPr>
        <w:t xml:space="preserve"> </w:t>
      </w:r>
      <w:r w:rsidRPr="00C21B99">
        <w:rPr>
          <w:snapToGrid w:val="0"/>
          <w:szCs w:val="22"/>
          <w:lang w:eastAsia="en-US"/>
        </w:rPr>
        <w:t>veiksniai: rūkymas, kompiuterinės tomografijos būdu nustatytas sumažėjęs normalus plautis (≤ 50%),</w:t>
      </w:r>
      <w:r w:rsidR="006D6B75" w:rsidRPr="00C21B99">
        <w:rPr>
          <w:snapToGrid w:val="0"/>
          <w:szCs w:val="22"/>
          <w:lang w:eastAsia="en-US"/>
        </w:rPr>
        <w:t xml:space="preserve"> iš anksčiau esanti  </w:t>
      </w:r>
      <w:proofErr w:type="spellStart"/>
      <w:r w:rsidR="006D6B75" w:rsidRPr="00C21B99">
        <w:rPr>
          <w:snapToGrid w:val="0"/>
          <w:szCs w:val="22"/>
          <w:lang w:eastAsia="en-US"/>
        </w:rPr>
        <w:t>intersticinė</w:t>
      </w:r>
      <w:proofErr w:type="spellEnd"/>
      <w:r w:rsidR="006D6B75" w:rsidRPr="00C21B99">
        <w:rPr>
          <w:snapToGrid w:val="0"/>
          <w:szCs w:val="22"/>
          <w:lang w:eastAsia="en-US"/>
        </w:rPr>
        <w:t xml:space="preserve"> plaučių liga, vyresnis (≥ 65 metai) amžius ir dideli </w:t>
      </w:r>
      <w:r w:rsidR="006D6B75" w:rsidRPr="00C21B99">
        <w:rPr>
          <w:snapToGrid w:val="0"/>
          <w:szCs w:val="22"/>
          <w:lang w:eastAsia="en-US"/>
        </w:rPr>
        <w:lastRenderedPageBreak/>
        <w:t>prigudimo prie pleuros plotai (≥ 50%).</w:t>
      </w:r>
    </w:p>
    <w:p w14:paraId="37320F82" w14:textId="77777777" w:rsidR="006D6B75" w:rsidRPr="00C21B99" w:rsidRDefault="006D6B75" w:rsidP="006D6B75">
      <w:pPr>
        <w:widowControl w:val="0"/>
        <w:tabs>
          <w:tab w:val="left" w:pos="567"/>
        </w:tabs>
        <w:rPr>
          <w:snapToGrid w:val="0"/>
          <w:szCs w:val="22"/>
          <w:lang w:eastAsia="en-US"/>
        </w:rPr>
      </w:pPr>
    </w:p>
    <w:p w14:paraId="1689BEA1" w14:textId="77777777" w:rsidR="006D6B75" w:rsidRPr="00C21B99" w:rsidRDefault="006D6B75" w:rsidP="006D6B75">
      <w:pPr>
        <w:widowControl w:val="0"/>
        <w:tabs>
          <w:tab w:val="left" w:pos="567"/>
        </w:tabs>
        <w:rPr>
          <w:i/>
          <w:snapToGrid w:val="0"/>
          <w:szCs w:val="22"/>
          <w:lang w:eastAsia="en-US"/>
        </w:rPr>
      </w:pPr>
      <w:proofErr w:type="spellStart"/>
      <w:r w:rsidRPr="00C21B99">
        <w:rPr>
          <w:i/>
          <w:snapToGrid w:val="0"/>
          <w:szCs w:val="22"/>
          <w:lang w:eastAsia="en-US"/>
        </w:rPr>
        <w:t>Hepatotoksinis</w:t>
      </w:r>
      <w:proofErr w:type="spellEnd"/>
      <w:r w:rsidRPr="00C21B99">
        <w:rPr>
          <w:i/>
          <w:snapToGrid w:val="0"/>
          <w:szCs w:val="22"/>
          <w:lang w:eastAsia="en-US"/>
        </w:rPr>
        <w:t xml:space="preserve"> poveikis ir kepenų funkcijos sutrikimas</w:t>
      </w:r>
    </w:p>
    <w:p w14:paraId="3D62D625"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Buvo pastebėta  kepenų funkcijos tyrimų </w:t>
      </w:r>
      <w:proofErr w:type="spellStart"/>
      <w:r w:rsidRPr="00C21B99">
        <w:rPr>
          <w:snapToGrid w:val="0"/>
          <w:szCs w:val="22"/>
          <w:lang w:eastAsia="en-US"/>
        </w:rPr>
        <w:t>nenormalumų</w:t>
      </w:r>
      <w:proofErr w:type="spellEnd"/>
      <w:r w:rsidRPr="00C21B99">
        <w:rPr>
          <w:snapToGrid w:val="0"/>
          <w:szCs w:val="22"/>
          <w:lang w:eastAsia="en-US"/>
        </w:rPr>
        <w:t xml:space="preserve"> ( įskaitant</w:t>
      </w:r>
      <w:r w:rsidR="003C5CAF" w:rsidRPr="00C21B99">
        <w:rPr>
          <w:snapToGrid w:val="0"/>
          <w:szCs w:val="22"/>
          <w:lang w:eastAsia="en-US"/>
        </w:rPr>
        <w:t xml:space="preserve"> </w:t>
      </w:r>
      <w:proofErr w:type="spellStart"/>
      <w:r w:rsidRPr="00C21B99">
        <w:rPr>
          <w:snapToGrid w:val="0"/>
          <w:szCs w:val="22"/>
          <w:lang w:eastAsia="en-US"/>
        </w:rPr>
        <w:t>alanino</w:t>
      </w:r>
      <w:proofErr w:type="spellEnd"/>
      <w:r w:rsidRPr="00C21B99">
        <w:rPr>
          <w:snapToGrid w:val="0"/>
          <w:szCs w:val="22"/>
          <w:lang w:eastAsia="en-US"/>
        </w:rPr>
        <w:t xml:space="preserve"> </w:t>
      </w:r>
      <w:proofErr w:type="spellStart"/>
      <w:r w:rsidRPr="00C21B99">
        <w:rPr>
          <w:snapToGrid w:val="0"/>
          <w:szCs w:val="22"/>
          <w:lang w:eastAsia="en-US"/>
        </w:rPr>
        <w:t>aminotransferazės</w:t>
      </w:r>
      <w:proofErr w:type="spellEnd"/>
      <w:r w:rsidRPr="00C21B99">
        <w:rPr>
          <w:snapToGrid w:val="0"/>
          <w:szCs w:val="22"/>
          <w:lang w:eastAsia="en-US"/>
        </w:rPr>
        <w:t xml:space="preserve">, </w:t>
      </w:r>
      <w:proofErr w:type="spellStart"/>
      <w:r w:rsidRPr="00C21B99">
        <w:rPr>
          <w:snapToGrid w:val="0"/>
          <w:szCs w:val="22"/>
          <w:lang w:eastAsia="en-US"/>
        </w:rPr>
        <w:t>aspartato</w:t>
      </w:r>
      <w:proofErr w:type="spellEnd"/>
      <w:r w:rsidRPr="00C21B99">
        <w:rPr>
          <w:snapToGrid w:val="0"/>
          <w:szCs w:val="22"/>
          <w:lang w:eastAsia="en-US"/>
        </w:rPr>
        <w:t xml:space="preserve"> </w:t>
      </w:r>
      <w:proofErr w:type="spellStart"/>
      <w:r w:rsidRPr="00C21B99">
        <w:rPr>
          <w:snapToGrid w:val="0"/>
          <w:szCs w:val="22"/>
          <w:lang w:eastAsia="en-US"/>
        </w:rPr>
        <w:t>aminotransferazės</w:t>
      </w:r>
      <w:proofErr w:type="spellEnd"/>
      <w:r w:rsidRPr="00C21B99">
        <w:rPr>
          <w:snapToGrid w:val="0"/>
          <w:szCs w:val="22"/>
          <w:lang w:eastAsia="en-US"/>
        </w:rPr>
        <w:t xml:space="preserve"> aktyvumo ir </w:t>
      </w:r>
      <w:proofErr w:type="spellStart"/>
      <w:r w:rsidRPr="00C21B99">
        <w:rPr>
          <w:snapToGrid w:val="0"/>
          <w:szCs w:val="22"/>
          <w:lang w:eastAsia="en-US"/>
        </w:rPr>
        <w:t>bilirubino</w:t>
      </w:r>
      <w:proofErr w:type="spellEnd"/>
      <w:r w:rsidRPr="00C21B99">
        <w:rPr>
          <w:snapToGrid w:val="0"/>
          <w:szCs w:val="22"/>
          <w:lang w:eastAsia="en-US"/>
        </w:rPr>
        <w:t xml:space="preserve"> kiekio padidėjimą), kurie nedažnai pasireiškė kaip hepatitas (žr. 4.8 skyrių).</w:t>
      </w:r>
      <w:r w:rsidR="003C5CAF" w:rsidRPr="00C21B99">
        <w:rPr>
          <w:snapToGrid w:val="0"/>
          <w:szCs w:val="22"/>
          <w:lang w:eastAsia="en-US"/>
        </w:rPr>
        <w:t xml:space="preserve"> </w:t>
      </w:r>
      <w:r w:rsidRPr="00C21B99">
        <w:rPr>
          <w:snapToGrid w:val="0"/>
          <w:szCs w:val="22"/>
          <w:lang w:eastAsia="en-US"/>
        </w:rPr>
        <w:t>Gauta pavienių pranešimų apie kepenų nepakankamumą, kurio keli atvejai baigėsi mirtimi. Dėl to rekomenduojama periodiškai tirti kepenų funkciją. Nustačius lengv</w:t>
      </w:r>
      <w:r w:rsidR="009E13E7" w:rsidRPr="00C21B99">
        <w:rPr>
          <w:snapToGrid w:val="0"/>
          <w:szCs w:val="22"/>
          <w:lang w:eastAsia="en-US"/>
        </w:rPr>
        <w:t>ų</w:t>
      </w:r>
      <w:r w:rsidRPr="00C21B99">
        <w:rPr>
          <w:snapToGrid w:val="0"/>
          <w:szCs w:val="22"/>
          <w:lang w:eastAsia="en-US"/>
        </w:rPr>
        <w:t xml:space="preserve"> arba vidutinio </w:t>
      </w:r>
      <w:r w:rsidR="009E13E7" w:rsidRPr="00C21B99">
        <w:rPr>
          <w:snapToGrid w:val="0"/>
          <w:szCs w:val="22"/>
          <w:lang w:eastAsia="en-US"/>
        </w:rPr>
        <w:t>sunkumo</w:t>
      </w:r>
      <w:r w:rsidRPr="00C21B99">
        <w:rPr>
          <w:snapToGrid w:val="0"/>
          <w:szCs w:val="22"/>
          <w:lang w:eastAsia="en-US"/>
        </w:rPr>
        <w:t xml:space="preserve"> kepenų funkcijos </w:t>
      </w:r>
      <w:r w:rsidR="009E13E7" w:rsidRPr="00C21B99">
        <w:rPr>
          <w:snapToGrid w:val="0"/>
          <w:szCs w:val="22"/>
          <w:lang w:eastAsia="en-US"/>
        </w:rPr>
        <w:t>pokyčių</w:t>
      </w:r>
      <w:r w:rsidRPr="00C21B99">
        <w:rPr>
          <w:snapToGrid w:val="0"/>
          <w:szCs w:val="22"/>
          <w:lang w:eastAsia="en-US"/>
        </w:rPr>
        <w:t xml:space="preserve">, </w:t>
      </w:r>
      <w:proofErr w:type="spellStart"/>
      <w:r w:rsidRPr="00C21B99">
        <w:rPr>
          <w:snapToGrid w:val="0"/>
          <w:szCs w:val="22"/>
          <w:lang w:eastAsia="en-US"/>
        </w:rPr>
        <w:t>gefitinibo</w:t>
      </w:r>
      <w:proofErr w:type="spellEnd"/>
      <w:r w:rsidRPr="00C21B99">
        <w:rPr>
          <w:snapToGrid w:val="0"/>
          <w:szCs w:val="22"/>
          <w:lang w:eastAsia="en-US"/>
        </w:rPr>
        <w:t xml:space="preserve"> </w:t>
      </w:r>
      <w:r w:rsidR="009E13E7" w:rsidRPr="00C21B99">
        <w:rPr>
          <w:snapToGrid w:val="0"/>
          <w:szCs w:val="22"/>
          <w:lang w:eastAsia="en-US"/>
        </w:rPr>
        <w:t>turi būti</w:t>
      </w:r>
      <w:r w:rsidR="003C5CAF" w:rsidRPr="00C21B99">
        <w:rPr>
          <w:snapToGrid w:val="0"/>
          <w:szCs w:val="22"/>
          <w:lang w:eastAsia="en-US"/>
        </w:rPr>
        <w:t xml:space="preserve"> </w:t>
      </w:r>
      <w:r w:rsidRPr="00C21B99">
        <w:rPr>
          <w:snapToGrid w:val="0"/>
          <w:szCs w:val="22"/>
          <w:lang w:eastAsia="en-US"/>
        </w:rPr>
        <w:t>vartojama atsargiai. Jei</w:t>
      </w:r>
      <w:r w:rsidR="009E13E7" w:rsidRPr="00C21B99">
        <w:rPr>
          <w:snapToGrid w:val="0"/>
          <w:szCs w:val="22"/>
          <w:lang w:eastAsia="en-US"/>
        </w:rPr>
        <w:t xml:space="preserve">gu pokyčiai  sunkūs, turi būti apgalvotas </w:t>
      </w:r>
      <w:r w:rsidRPr="00C21B99">
        <w:rPr>
          <w:snapToGrid w:val="0"/>
          <w:szCs w:val="22"/>
          <w:lang w:eastAsia="en-US"/>
        </w:rPr>
        <w:t>vaistinio preparato vartojimo nutraukim</w:t>
      </w:r>
      <w:r w:rsidR="009E13E7" w:rsidRPr="00C21B99">
        <w:rPr>
          <w:snapToGrid w:val="0"/>
          <w:szCs w:val="22"/>
          <w:lang w:eastAsia="en-US"/>
        </w:rPr>
        <w:t>as</w:t>
      </w:r>
      <w:r w:rsidRPr="00C21B99">
        <w:rPr>
          <w:snapToGrid w:val="0"/>
          <w:szCs w:val="22"/>
          <w:lang w:eastAsia="en-US"/>
        </w:rPr>
        <w:t>.</w:t>
      </w:r>
    </w:p>
    <w:p w14:paraId="13BE1100"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Nustatyta, kad </w:t>
      </w:r>
      <w:r w:rsidR="009E13E7" w:rsidRPr="00C21B99">
        <w:rPr>
          <w:snapToGrid w:val="0"/>
          <w:szCs w:val="22"/>
          <w:lang w:eastAsia="en-US"/>
        </w:rPr>
        <w:t xml:space="preserve">dėl cirozės sutrikusi </w:t>
      </w:r>
      <w:r w:rsidRPr="00C21B99">
        <w:rPr>
          <w:snapToGrid w:val="0"/>
          <w:szCs w:val="22"/>
          <w:lang w:eastAsia="en-US"/>
        </w:rPr>
        <w:t>kepenų funkcij</w:t>
      </w:r>
      <w:r w:rsidR="009E13E7" w:rsidRPr="00C21B99">
        <w:rPr>
          <w:snapToGrid w:val="0"/>
          <w:szCs w:val="22"/>
          <w:lang w:eastAsia="en-US"/>
        </w:rPr>
        <w:t xml:space="preserve">a sukelia </w:t>
      </w:r>
      <w:proofErr w:type="spellStart"/>
      <w:r w:rsidR="009E13E7" w:rsidRPr="00C21B99">
        <w:rPr>
          <w:snapToGrid w:val="0"/>
          <w:szCs w:val="22"/>
          <w:lang w:eastAsia="en-US"/>
        </w:rPr>
        <w:t>gefitinibo</w:t>
      </w:r>
      <w:proofErr w:type="spellEnd"/>
      <w:r w:rsidR="009E13E7" w:rsidRPr="00C21B99">
        <w:rPr>
          <w:snapToGrid w:val="0"/>
          <w:szCs w:val="22"/>
          <w:lang w:eastAsia="en-US"/>
        </w:rPr>
        <w:t xml:space="preserve"> koncentracijų plazmoje padidėjimą </w:t>
      </w:r>
      <w:r w:rsidRPr="00C21B99">
        <w:rPr>
          <w:snapToGrid w:val="0"/>
          <w:szCs w:val="22"/>
          <w:lang w:eastAsia="en-US"/>
        </w:rPr>
        <w:t>(žr. 5.2 skyrių).</w:t>
      </w:r>
    </w:p>
    <w:p w14:paraId="7D9EF261" w14:textId="77777777" w:rsidR="009E13E7" w:rsidRPr="00C21B99" w:rsidRDefault="009E13E7" w:rsidP="006D6B75">
      <w:pPr>
        <w:widowControl w:val="0"/>
        <w:tabs>
          <w:tab w:val="left" w:pos="567"/>
        </w:tabs>
        <w:rPr>
          <w:snapToGrid w:val="0"/>
          <w:szCs w:val="22"/>
          <w:lang w:eastAsia="en-US"/>
        </w:rPr>
      </w:pPr>
    </w:p>
    <w:p w14:paraId="55C57B15" w14:textId="77777777" w:rsidR="006D6B75" w:rsidRPr="00C21B99" w:rsidRDefault="006D6B75" w:rsidP="006D6B75">
      <w:pPr>
        <w:widowControl w:val="0"/>
        <w:tabs>
          <w:tab w:val="left" w:pos="567"/>
        </w:tabs>
        <w:rPr>
          <w:i/>
          <w:snapToGrid w:val="0"/>
          <w:szCs w:val="22"/>
          <w:lang w:eastAsia="en-US"/>
        </w:rPr>
      </w:pPr>
      <w:r w:rsidRPr="00C21B99">
        <w:rPr>
          <w:i/>
          <w:snapToGrid w:val="0"/>
          <w:szCs w:val="22"/>
          <w:lang w:eastAsia="en-US"/>
        </w:rPr>
        <w:t>Sąveika su kitais vaistiniais preparatais</w:t>
      </w:r>
    </w:p>
    <w:p w14:paraId="140FBA9C"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CYP3A4 </w:t>
      </w:r>
      <w:proofErr w:type="spellStart"/>
      <w:r w:rsidRPr="00C21B99">
        <w:rPr>
          <w:snapToGrid w:val="0"/>
          <w:szCs w:val="22"/>
          <w:lang w:eastAsia="en-US"/>
        </w:rPr>
        <w:t>induktoriai</w:t>
      </w:r>
      <w:proofErr w:type="spellEnd"/>
      <w:r w:rsidRPr="00C21B99">
        <w:rPr>
          <w:snapToGrid w:val="0"/>
          <w:szCs w:val="22"/>
          <w:lang w:eastAsia="en-US"/>
        </w:rPr>
        <w:t xml:space="preserve"> gali pagreitinti </w:t>
      </w:r>
      <w:proofErr w:type="spellStart"/>
      <w:r w:rsidRPr="00C21B99">
        <w:rPr>
          <w:snapToGrid w:val="0"/>
          <w:szCs w:val="22"/>
          <w:lang w:eastAsia="en-US"/>
        </w:rPr>
        <w:t>gefitinibo</w:t>
      </w:r>
      <w:proofErr w:type="spellEnd"/>
      <w:r w:rsidRPr="00C21B99">
        <w:rPr>
          <w:snapToGrid w:val="0"/>
          <w:szCs w:val="22"/>
          <w:lang w:eastAsia="en-US"/>
        </w:rPr>
        <w:t xml:space="preserve"> metabolizmą ir sumažinti jo koncentracij</w:t>
      </w:r>
      <w:r w:rsidR="009E13E7" w:rsidRPr="00C21B99">
        <w:rPr>
          <w:snapToGrid w:val="0"/>
          <w:szCs w:val="22"/>
          <w:lang w:eastAsia="en-US"/>
        </w:rPr>
        <w:t>as kraujo</w:t>
      </w:r>
      <w:r w:rsidRPr="00C21B99">
        <w:rPr>
          <w:snapToGrid w:val="0"/>
          <w:szCs w:val="22"/>
          <w:lang w:eastAsia="en-US"/>
        </w:rPr>
        <w:t xml:space="preserve"> plazmoje.</w:t>
      </w:r>
      <w:r w:rsidR="009E13E7" w:rsidRPr="00C21B99">
        <w:rPr>
          <w:snapToGrid w:val="0"/>
          <w:szCs w:val="22"/>
          <w:lang w:eastAsia="en-US"/>
        </w:rPr>
        <w:t xml:space="preserve"> </w:t>
      </w:r>
      <w:r w:rsidRPr="00C21B99">
        <w:rPr>
          <w:snapToGrid w:val="0"/>
          <w:szCs w:val="22"/>
          <w:lang w:eastAsia="en-US"/>
        </w:rPr>
        <w:t xml:space="preserve">Vartojami kartu, jie </w:t>
      </w:r>
      <w:r w:rsidR="009E13E7" w:rsidRPr="00C21B99">
        <w:rPr>
          <w:snapToGrid w:val="0"/>
          <w:szCs w:val="22"/>
          <w:lang w:eastAsia="en-US"/>
        </w:rPr>
        <w:t>[</w:t>
      </w:r>
      <w:r w:rsidRPr="00C21B99">
        <w:rPr>
          <w:snapToGrid w:val="0"/>
          <w:szCs w:val="22"/>
          <w:lang w:eastAsia="en-US"/>
        </w:rPr>
        <w:t xml:space="preserve">pvz., </w:t>
      </w:r>
      <w:proofErr w:type="spellStart"/>
      <w:r w:rsidRPr="00C21B99">
        <w:rPr>
          <w:snapToGrid w:val="0"/>
          <w:szCs w:val="22"/>
          <w:lang w:eastAsia="en-US"/>
        </w:rPr>
        <w:t>fenitoinas</w:t>
      </w:r>
      <w:proofErr w:type="spellEnd"/>
      <w:r w:rsidRPr="00C21B99">
        <w:rPr>
          <w:snapToGrid w:val="0"/>
          <w:szCs w:val="22"/>
          <w:lang w:eastAsia="en-US"/>
        </w:rPr>
        <w:t xml:space="preserve">, </w:t>
      </w:r>
      <w:proofErr w:type="spellStart"/>
      <w:r w:rsidRPr="00C21B99">
        <w:rPr>
          <w:snapToGrid w:val="0"/>
          <w:szCs w:val="22"/>
          <w:lang w:eastAsia="en-US"/>
        </w:rPr>
        <w:t>karbamazepinas</w:t>
      </w:r>
      <w:proofErr w:type="spellEnd"/>
      <w:r w:rsidRPr="00C21B99">
        <w:rPr>
          <w:snapToGrid w:val="0"/>
          <w:szCs w:val="22"/>
          <w:lang w:eastAsia="en-US"/>
        </w:rPr>
        <w:t xml:space="preserve">, </w:t>
      </w:r>
      <w:proofErr w:type="spellStart"/>
      <w:r w:rsidRPr="00C21B99">
        <w:rPr>
          <w:snapToGrid w:val="0"/>
          <w:szCs w:val="22"/>
          <w:lang w:eastAsia="en-US"/>
        </w:rPr>
        <w:t>rifampicinas</w:t>
      </w:r>
      <w:proofErr w:type="spellEnd"/>
      <w:r w:rsidRPr="00C21B99">
        <w:rPr>
          <w:snapToGrid w:val="0"/>
          <w:szCs w:val="22"/>
          <w:lang w:eastAsia="en-US"/>
        </w:rPr>
        <w:t>, barbitūratai ar augaliniai</w:t>
      </w:r>
      <w:r w:rsidR="009E13E7" w:rsidRPr="00C21B99">
        <w:rPr>
          <w:snapToGrid w:val="0"/>
          <w:szCs w:val="22"/>
          <w:lang w:eastAsia="en-US"/>
        </w:rPr>
        <w:t xml:space="preserve"> </w:t>
      </w:r>
      <w:r w:rsidRPr="00C21B99">
        <w:rPr>
          <w:snapToGrid w:val="0"/>
          <w:szCs w:val="22"/>
          <w:lang w:eastAsia="en-US"/>
        </w:rPr>
        <w:t>preparatai, kurių sudėtyje yra jonažol</w:t>
      </w:r>
      <w:r w:rsidR="009E13E7" w:rsidRPr="00C21B99">
        <w:rPr>
          <w:snapToGrid w:val="0"/>
          <w:szCs w:val="22"/>
          <w:lang w:eastAsia="en-US"/>
        </w:rPr>
        <w:t xml:space="preserve">ių </w:t>
      </w:r>
      <w:r w:rsidR="009E13E7" w:rsidRPr="00C21B99">
        <w:rPr>
          <w:i/>
          <w:snapToGrid w:val="0"/>
          <w:szCs w:val="22"/>
          <w:lang w:eastAsia="en-US"/>
        </w:rPr>
        <w:t>(</w:t>
      </w:r>
      <w:proofErr w:type="spellStart"/>
      <w:r w:rsidRPr="00C21B99">
        <w:rPr>
          <w:i/>
          <w:snapToGrid w:val="0"/>
          <w:szCs w:val="22"/>
          <w:lang w:eastAsia="en-US"/>
        </w:rPr>
        <w:t>Hypericum</w:t>
      </w:r>
      <w:proofErr w:type="spellEnd"/>
      <w:r w:rsidRPr="00C21B99">
        <w:rPr>
          <w:i/>
          <w:snapToGrid w:val="0"/>
          <w:szCs w:val="22"/>
          <w:lang w:eastAsia="en-US"/>
        </w:rPr>
        <w:t xml:space="preserve"> </w:t>
      </w:r>
      <w:proofErr w:type="spellStart"/>
      <w:r w:rsidRPr="00C21B99">
        <w:rPr>
          <w:i/>
          <w:snapToGrid w:val="0"/>
          <w:szCs w:val="22"/>
          <w:lang w:eastAsia="en-US"/>
        </w:rPr>
        <w:t>perforatum</w:t>
      </w:r>
      <w:proofErr w:type="spellEnd"/>
      <w:r w:rsidRPr="00C21B99">
        <w:rPr>
          <w:i/>
          <w:snapToGrid w:val="0"/>
          <w:szCs w:val="22"/>
          <w:lang w:eastAsia="en-US"/>
        </w:rPr>
        <w:t>)</w:t>
      </w:r>
      <w:r w:rsidR="009E13E7" w:rsidRPr="00C21B99">
        <w:rPr>
          <w:snapToGrid w:val="0"/>
          <w:szCs w:val="22"/>
          <w:lang w:eastAsia="en-US"/>
        </w:rPr>
        <w:t>]</w:t>
      </w:r>
      <w:r w:rsidRPr="00C21B99">
        <w:rPr>
          <w:snapToGrid w:val="0"/>
          <w:szCs w:val="22"/>
          <w:lang w:eastAsia="en-US"/>
        </w:rPr>
        <w:t xml:space="preserve"> gali sumažinti </w:t>
      </w:r>
      <w:r w:rsidR="009E13E7" w:rsidRPr="00C21B99">
        <w:rPr>
          <w:snapToGrid w:val="0"/>
          <w:szCs w:val="22"/>
          <w:lang w:eastAsia="en-US"/>
        </w:rPr>
        <w:t>gydymo</w:t>
      </w:r>
      <w:r w:rsidR="003C5CAF" w:rsidRPr="00C21B99">
        <w:rPr>
          <w:snapToGrid w:val="0"/>
          <w:szCs w:val="22"/>
          <w:lang w:eastAsia="en-US"/>
        </w:rPr>
        <w:t xml:space="preserve"> </w:t>
      </w:r>
      <w:r w:rsidRPr="00C21B99">
        <w:rPr>
          <w:snapToGrid w:val="0"/>
          <w:szCs w:val="22"/>
          <w:lang w:eastAsia="en-US"/>
        </w:rPr>
        <w:t xml:space="preserve">veiksmingumą, todėl </w:t>
      </w:r>
      <w:r w:rsidR="009E13E7" w:rsidRPr="00C21B99">
        <w:rPr>
          <w:snapToGrid w:val="0"/>
          <w:szCs w:val="22"/>
          <w:lang w:eastAsia="en-US"/>
        </w:rPr>
        <w:t xml:space="preserve">CYP3A4 </w:t>
      </w:r>
      <w:proofErr w:type="spellStart"/>
      <w:r w:rsidR="009E13E7" w:rsidRPr="00C21B99">
        <w:rPr>
          <w:snapToGrid w:val="0"/>
          <w:szCs w:val="22"/>
          <w:lang w:eastAsia="en-US"/>
        </w:rPr>
        <w:t>induktorių</w:t>
      </w:r>
      <w:proofErr w:type="spellEnd"/>
      <w:r w:rsidR="009E13E7" w:rsidRPr="00C21B99">
        <w:rPr>
          <w:snapToGrid w:val="0"/>
          <w:szCs w:val="22"/>
          <w:lang w:eastAsia="en-US"/>
        </w:rPr>
        <w:t xml:space="preserve">  ir </w:t>
      </w:r>
      <w:proofErr w:type="spellStart"/>
      <w:r w:rsidR="009E13E7" w:rsidRPr="00C21B99">
        <w:rPr>
          <w:snapToGrid w:val="0"/>
          <w:szCs w:val="22"/>
          <w:lang w:eastAsia="en-US"/>
        </w:rPr>
        <w:t>gefitini</w:t>
      </w:r>
      <w:r w:rsidR="000D1F09" w:rsidRPr="00C21B99">
        <w:rPr>
          <w:snapToGrid w:val="0"/>
          <w:szCs w:val="22"/>
          <w:lang w:eastAsia="en-US"/>
        </w:rPr>
        <w:t>b</w:t>
      </w:r>
      <w:r w:rsidR="009E13E7" w:rsidRPr="00C21B99">
        <w:rPr>
          <w:snapToGrid w:val="0"/>
          <w:szCs w:val="22"/>
          <w:lang w:eastAsia="en-US"/>
        </w:rPr>
        <w:t>o</w:t>
      </w:r>
      <w:proofErr w:type="spellEnd"/>
      <w:r w:rsidR="003C5CAF" w:rsidRPr="00C21B99">
        <w:rPr>
          <w:snapToGrid w:val="0"/>
          <w:szCs w:val="22"/>
          <w:lang w:eastAsia="en-US"/>
        </w:rPr>
        <w:t xml:space="preserve"> </w:t>
      </w:r>
      <w:r w:rsidR="009E13E7" w:rsidRPr="00C21B99">
        <w:rPr>
          <w:snapToGrid w:val="0"/>
          <w:szCs w:val="22"/>
          <w:lang w:eastAsia="en-US"/>
        </w:rPr>
        <w:t xml:space="preserve">vartoti </w:t>
      </w:r>
      <w:r w:rsidRPr="00C21B99">
        <w:rPr>
          <w:snapToGrid w:val="0"/>
          <w:szCs w:val="22"/>
          <w:lang w:eastAsia="en-US"/>
        </w:rPr>
        <w:t xml:space="preserve">kartu </w:t>
      </w:r>
      <w:r w:rsidR="009E13E7" w:rsidRPr="00C21B99">
        <w:rPr>
          <w:snapToGrid w:val="0"/>
          <w:szCs w:val="22"/>
          <w:lang w:eastAsia="en-US"/>
        </w:rPr>
        <w:t>turi būti vengiama</w:t>
      </w:r>
      <w:r w:rsidRPr="00C21B99">
        <w:rPr>
          <w:snapToGrid w:val="0"/>
          <w:szCs w:val="22"/>
          <w:lang w:eastAsia="en-US"/>
        </w:rPr>
        <w:t xml:space="preserve"> (žr. 4.5 skyrių).</w:t>
      </w:r>
    </w:p>
    <w:p w14:paraId="3A76AE51" w14:textId="77777777" w:rsidR="006D6B75" w:rsidRPr="00C21B99" w:rsidRDefault="000D1F09" w:rsidP="006D6B75">
      <w:pPr>
        <w:widowControl w:val="0"/>
        <w:tabs>
          <w:tab w:val="left" w:pos="567"/>
        </w:tabs>
        <w:rPr>
          <w:snapToGrid w:val="0"/>
          <w:szCs w:val="22"/>
          <w:lang w:eastAsia="en-US"/>
        </w:rPr>
      </w:pPr>
      <w:r w:rsidRPr="00C21B99">
        <w:rPr>
          <w:snapToGrid w:val="0"/>
          <w:szCs w:val="22"/>
          <w:lang w:eastAsia="en-US"/>
        </w:rPr>
        <w:t xml:space="preserve">Konkretiems pacientams, kurie pagal genotipą yra silpni CYP2D6 </w:t>
      </w:r>
      <w:proofErr w:type="spellStart"/>
      <w:r w:rsidRPr="00C21B99">
        <w:rPr>
          <w:snapToGrid w:val="0"/>
          <w:szCs w:val="22"/>
          <w:lang w:eastAsia="en-US"/>
        </w:rPr>
        <w:t>metabolizuotojai</w:t>
      </w:r>
      <w:proofErr w:type="spellEnd"/>
      <w:r w:rsidR="006D6B75" w:rsidRPr="00C21B99">
        <w:rPr>
          <w:snapToGrid w:val="0"/>
          <w:szCs w:val="22"/>
          <w:lang w:eastAsia="en-US"/>
        </w:rPr>
        <w:t xml:space="preserve">, </w:t>
      </w:r>
      <w:r w:rsidRPr="00C21B99">
        <w:rPr>
          <w:snapToGrid w:val="0"/>
          <w:szCs w:val="22"/>
          <w:lang w:eastAsia="en-US"/>
        </w:rPr>
        <w:t>gydymas</w:t>
      </w:r>
      <w:r w:rsidR="006D6B75" w:rsidRPr="00C21B99">
        <w:rPr>
          <w:snapToGrid w:val="0"/>
          <w:szCs w:val="22"/>
          <w:lang w:eastAsia="en-US"/>
        </w:rPr>
        <w:t xml:space="preserve"> </w:t>
      </w:r>
      <w:r w:rsidRPr="00C21B99">
        <w:rPr>
          <w:snapToGrid w:val="0"/>
          <w:szCs w:val="22"/>
          <w:lang w:eastAsia="en-US"/>
        </w:rPr>
        <w:t xml:space="preserve">stipriais </w:t>
      </w:r>
      <w:r w:rsidR="006D6B75" w:rsidRPr="00C21B99">
        <w:rPr>
          <w:snapToGrid w:val="0"/>
          <w:szCs w:val="22"/>
          <w:lang w:eastAsia="en-US"/>
        </w:rPr>
        <w:t>CYP3A4</w:t>
      </w:r>
      <w:r w:rsidRPr="00C21B99">
        <w:rPr>
          <w:snapToGrid w:val="0"/>
          <w:szCs w:val="22"/>
          <w:lang w:eastAsia="en-US"/>
        </w:rPr>
        <w:t xml:space="preserve"> inhibitoriais </w:t>
      </w:r>
      <w:r w:rsidR="006D6B75" w:rsidRPr="00C21B99">
        <w:rPr>
          <w:snapToGrid w:val="0"/>
          <w:szCs w:val="22"/>
          <w:lang w:eastAsia="en-US"/>
        </w:rPr>
        <w:t xml:space="preserve">gali sukelti </w:t>
      </w:r>
      <w:proofErr w:type="spellStart"/>
      <w:r w:rsidR="006D6B75" w:rsidRPr="00C21B99">
        <w:rPr>
          <w:snapToGrid w:val="0"/>
          <w:szCs w:val="22"/>
          <w:lang w:eastAsia="en-US"/>
        </w:rPr>
        <w:t>gefitinibo</w:t>
      </w:r>
      <w:proofErr w:type="spellEnd"/>
      <w:r w:rsidR="006D6B75" w:rsidRPr="00C21B99">
        <w:rPr>
          <w:snapToGrid w:val="0"/>
          <w:szCs w:val="22"/>
          <w:lang w:eastAsia="en-US"/>
        </w:rPr>
        <w:t xml:space="preserve"> </w:t>
      </w:r>
      <w:r w:rsidRPr="00C21B99">
        <w:rPr>
          <w:snapToGrid w:val="0"/>
          <w:szCs w:val="22"/>
          <w:lang w:eastAsia="en-US"/>
        </w:rPr>
        <w:t>lygių kraujo</w:t>
      </w:r>
      <w:r w:rsidR="006D6B75" w:rsidRPr="00C21B99">
        <w:rPr>
          <w:snapToGrid w:val="0"/>
          <w:szCs w:val="22"/>
          <w:lang w:eastAsia="en-US"/>
        </w:rPr>
        <w:t xml:space="preserve"> plazmoje padidėjimą. </w:t>
      </w:r>
      <w:r w:rsidRPr="00C21B99">
        <w:rPr>
          <w:snapToGrid w:val="0"/>
          <w:szCs w:val="22"/>
          <w:lang w:eastAsia="en-US"/>
        </w:rPr>
        <w:t>Gy</w:t>
      </w:r>
      <w:r w:rsidR="003C5CAF" w:rsidRPr="00C21B99">
        <w:rPr>
          <w:snapToGrid w:val="0"/>
          <w:szCs w:val="22"/>
          <w:lang w:eastAsia="en-US"/>
        </w:rPr>
        <w:t>d</w:t>
      </w:r>
      <w:r w:rsidRPr="00C21B99">
        <w:rPr>
          <w:snapToGrid w:val="0"/>
          <w:szCs w:val="22"/>
          <w:lang w:eastAsia="en-US"/>
        </w:rPr>
        <w:t>ymo</w:t>
      </w:r>
      <w:r w:rsidR="006D6B75" w:rsidRPr="00C21B99">
        <w:rPr>
          <w:snapToGrid w:val="0"/>
          <w:szCs w:val="22"/>
          <w:lang w:eastAsia="en-US"/>
        </w:rPr>
        <w:t xml:space="preserve"> CYP3A4 inhibitori</w:t>
      </w:r>
      <w:r w:rsidRPr="00C21B99">
        <w:rPr>
          <w:snapToGrid w:val="0"/>
          <w:szCs w:val="22"/>
          <w:lang w:eastAsia="en-US"/>
        </w:rPr>
        <w:t>umi pradžioje pacientą</w:t>
      </w:r>
      <w:r w:rsidR="006D6B75" w:rsidRPr="00C21B99">
        <w:rPr>
          <w:snapToGrid w:val="0"/>
          <w:szCs w:val="22"/>
          <w:lang w:eastAsia="en-US"/>
        </w:rPr>
        <w:t xml:space="preserve"> reikia atidžiai stebėti dėl galimų </w:t>
      </w:r>
      <w:proofErr w:type="spellStart"/>
      <w:r w:rsidR="006D6B75" w:rsidRPr="00C21B99">
        <w:rPr>
          <w:snapToGrid w:val="0"/>
          <w:szCs w:val="22"/>
          <w:lang w:eastAsia="en-US"/>
        </w:rPr>
        <w:t>gefitinibo</w:t>
      </w:r>
      <w:proofErr w:type="spellEnd"/>
      <w:r w:rsidR="006D6B75" w:rsidRPr="00C21B99">
        <w:rPr>
          <w:snapToGrid w:val="0"/>
          <w:szCs w:val="22"/>
          <w:lang w:eastAsia="en-US"/>
        </w:rPr>
        <w:t xml:space="preserve"> nepageidaujamų</w:t>
      </w:r>
      <w:r w:rsidRPr="00C21B99">
        <w:rPr>
          <w:snapToGrid w:val="0"/>
          <w:szCs w:val="22"/>
          <w:lang w:eastAsia="en-US"/>
        </w:rPr>
        <w:t xml:space="preserve"> </w:t>
      </w:r>
      <w:r w:rsidR="006D6B75" w:rsidRPr="00C21B99">
        <w:rPr>
          <w:snapToGrid w:val="0"/>
          <w:szCs w:val="22"/>
          <w:lang w:eastAsia="en-US"/>
        </w:rPr>
        <w:t>reakcijų (žr. 4.5 skyrių).</w:t>
      </w:r>
    </w:p>
    <w:p w14:paraId="760A2361"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Kai kuriems </w:t>
      </w:r>
      <w:proofErr w:type="spellStart"/>
      <w:r w:rsidRPr="00C21B99">
        <w:rPr>
          <w:snapToGrid w:val="0"/>
          <w:szCs w:val="22"/>
          <w:lang w:eastAsia="en-US"/>
        </w:rPr>
        <w:t>varfarin</w:t>
      </w:r>
      <w:r w:rsidR="000D1F09" w:rsidRPr="00C21B99">
        <w:rPr>
          <w:snapToGrid w:val="0"/>
          <w:szCs w:val="22"/>
          <w:lang w:eastAsia="en-US"/>
        </w:rPr>
        <w:t>o</w:t>
      </w:r>
      <w:proofErr w:type="spellEnd"/>
      <w:r w:rsidRPr="00C21B99">
        <w:rPr>
          <w:snapToGrid w:val="0"/>
          <w:szCs w:val="22"/>
          <w:lang w:eastAsia="en-US"/>
        </w:rPr>
        <w:t xml:space="preserve"> kartu su </w:t>
      </w:r>
      <w:proofErr w:type="spellStart"/>
      <w:r w:rsidRPr="00C21B99">
        <w:rPr>
          <w:snapToGrid w:val="0"/>
          <w:szCs w:val="22"/>
          <w:lang w:eastAsia="en-US"/>
        </w:rPr>
        <w:t>gefitinibu</w:t>
      </w:r>
      <w:proofErr w:type="spellEnd"/>
      <w:r w:rsidRPr="00C21B99">
        <w:rPr>
          <w:snapToGrid w:val="0"/>
          <w:szCs w:val="22"/>
          <w:lang w:eastAsia="en-US"/>
        </w:rPr>
        <w:t xml:space="preserve"> vartojusiems pacientams padidėjo tarptautinis normalizuotas</w:t>
      </w:r>
      <w:r w:rsidR="000D1F09" w:rsidRPr="00C21B99">
        <w:rPr>
          <w:snapToGrid w:val="0"/>
          <w:szCs w:val="22"/>
          <w:lang w:eastAsia="en-US"/>
        </w:rPr>
        <w:t xml:space="preserve"> </w:t>
      </w:r>
      <w:r w:rsidRPr="00C21B99">
        <w:rPr>
          <w:snapToGrid w:val="0"/>
          <w:szCs w:val="22"/>
          <w:lang w:eastAsia="en-US"/>
        </w:rPr>
        <w:t>santykis (TNS) ir (arba) nustatyta kraujavimo reiškinių (žr. 4.5 skyrių). Jei pacientas kartu vartoja</w:t>
      </w:r>
      <w:r w:rsidR="000D1F09" w:rsidRPr="00C21B99">
        <w:rPr>
          <w:snapToGrid w:val="0"/>
          <w:szCs w:val="22"/>
          <w:lang w:eastAsia="en-US"/>
        </w:rPr>
        <w:t xml:space="preserve"> </w:t>
      </w:r>
      <w:proofErr w:type="spellStart"/>
      <w:r w:rsidRPr="00C21B99">
        <w:rPr>
          <w:snapToGrid w:val="0"/>
          <w:szCs w:val="22"/>
          <w:lang w:eastAsia="en-US"/>
        </w:rPr>
        <w:t>varfarin</w:t>
      </w:r>
      <w:r w:rsidR="000D1F09" w:rsidRPr="00C21B99">
        <w:rPr>
          <w:snapToGrid w:val="0"/>
          <w:szCs w:val="22"/>
          <w:lang w:eastAsia="en-US"/>
        </w:rPr>
        <w:t>o</w:t>
      </w:r>
      <w:proofErr w:type="spellEnd"/>
      <w:r w:rsidR="000D1F09" w:rsidRPr="00C21B99">
        <w:rPr>
          <w:snapToGrid w:val="0"/>
          <w:szCs w:val="22"/>
          <w:lang w:eastAsia="en-US"/>
        </w:rPr>
        <w:t xml:space="preserve"> kartu su</w:t>
      </w:r>
      <w:r w:rsidRPr="00C21B99">
        <w:rPr>
          <w:snapToGrid w:val="0"/>
          <w:szCs w:val="22"/>
          <w:lang w:eastAsia="en-US"/>
        </w:rPr>
        <w:t xml:space="preserve"> </w:t>
      </w:r>
      <w:proofErr w:type="spellStart"/>
      <w:r w:rsidRPr="00C21B99">
        <w:rPr>
          <w:snapToGrid w:val="0"/>
          <w:szCs w:val="22"/>
          <w:lang w:eastAsia="en-US"/>
        </w:rPr>
        <w:t>gefitinib</w:t>
      </w:r>
      <w:r w:rsidR="000D1F09" w:rsidRPr="00C21B99">
        <w:rPr>
          <w:snapToGrid w:val="0"/>
          <w:szCs w:val="22"/>
          <w:lang w:eastAsia="en-US"/>
        </w:rPr>
        <w:t>u</w:t>
      </w:r>
      <w:proofErr w:type="spellEnd"/>
      <w:r w:rsidRPr="00C21B99">
        <w:rPr>
          <w:snapToGrid w:val="0"/>
          <w:szCs w:val="22"/>
          <w:lang w:eastAsia="en-US"/>
        </w:rPr>
        <w:t xml:space="preserve">, reikia reguliariai tirti, ar nepakito </w:t>
      </w:r>
      <w:proofErr w:type="spellStart"/>
      <w:r w:rsidRPr="00C21B99">
        <w:rPr>
          <w:snapToGrid w:val="0"/>
          <w:szCs w:val="22"/>
          <w:lang w:eastAsia="en-US"/>
        </w:rPr>
        <w:t>protrombino</w:t>
      </w:r>
      <w:proofErr w:type="spellEnd"/>
      <w:r w:rsidRPr="00C21B99">
        <w:rPr>
          <w:snapToGrid w:val="0"/>
          <w:szCs w:val="22"/>
          <w:lang w:eastAsia="en-US"/>
        </w:rPr>
        <w:t xml:space="preserve"> laikas (PL) arba TNS.</w:t>
      </w:r>
    </w:p>
    <w:p w14:paraId="7DFC24CA"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Vaistiniai preparatai, sukeliantys reikšmingą ilgalaikį skrandžio pH padidėjimą (pvz., protonų siurblio</w:t>
      </w:r>
      <w:r w:rsidR="000D1F09" w:rsidRPr="00C21B99">
        <w:rPr>
          <w:snapToGrid w:val="0"/>
          <w:szCs w:val="22"/>
          <w:lang w:eastAsia="en-US"/>
        </w:rPr>
        <w:t xml:space="preserve"> </w:t>
      </w:r>
      <w:r w:rsidRPr="00C21B99">
        <w:rPr>
          <w:snapToGrid w:val="0"/>
          <w:szCs w:val="22"/>
          <w:lang w:eastAsia="en-US"/>
        </w:rPr>
        <w:t>inhibitoriai ir H</w:t>
      </w:r>
      <w:r w:rsidRPr="00C21B99">
        <w:rPr>
          <w:snapToGrid w:val="0"/>
          <w:szCs w:val="22"/>
          <w:vertAlign w:val="subscript"/>
          <w:lang w:eastAsia="en-US"/>
        </w:rPr>
        <w:t>2</w:t>
      </w:r>
      <w:r w:rsidRPr="00C21B99">
        <w:rPr>
          <w:snapToGrid w:val="0"/>
          <w:szCs w:val="22"/>
          <w:lang w:eastAsia="en-US"/>
        </w:rPr>
        <w:t xml:space="preserve"> antagonistai), gali sumažinti </w:t>
      </w:r>
      <w:proofErr w:type="spellStart"/>
      <w:r w:rsidRPr="00C21B99">
        <w:rPr>
          <w:snapToGrid w:val="0"/>
          <w:szCs w:val="22"/>
          <w:lang w:eastAsia="en-US"/>
        </w:rPr>
        <w:t>gefitinibo</w:t>
      </w:r>
      <w:proofErr w:type="spellEnd"/>
      <w:r w:rsidRPr="00C21B99">
        <w:rPr>
          <w:snapToGrid w:val="0"/>
          <w:szCs w:val="22"/>
          <w:lang w:eastAsia="en-US"/>
        </w:rPr>
        <w:t xml:space="preserve"> biologinį prieinamumą bei koncentracij</w:t>
      </w:r>
      <w:r w:rsidR="000D1F09" w:rsidRPr="00C21B99">
        <w:rPr>
          <w:snapToGrid w:val="0"/>
          <w:szCs w:val="22"/>
          <w:lang w:eastAsia="en-US"/>
        </w:rPr>
        <w:t>as kraujo plazmoje</w:t>
      </w:r>
      <w:r w:rsidR="002B48CE" w:rsidRPr="00C21B99">
        <w:rPr>
          <w:snapToGrid w:val="0"/>
          <w:szCs w:val="22"/>
          <w:lang w:eastAsia="en-US"/>
        </w:rPr>
        <w:t xml:space="preserve">, taigi gali sumažėti </w:t>
      </w:r>
      <w:r w:rsidRPr="00C21B99">
        <w:rPr>
          <w:snapToGrid w:val="0"/>
          <w:szCs w:val="22"/>
          <w:lang w:eastAsia="en-US"/>
        </w:rPr>
        <w:t>jo veiksmingum</w:t>
      </w:r>
      <w:r w:rsidR="002B48CE" w:rsidRPr="00C21B99">
        <w:rPr>
          <w:snapToGrid w:val="0"/>
          <w:szCs w:val="22"/>
          <w:lang w:eastAsia="en-US"/>
        </w:rPr>
        <w:t>as</w:t>
      </w:r>
      <w:r w:rsidRPr="00C21B99">
        <w:rPr>
          <w:snapToGrid w:val="0"/>
          <w:szCs w:val="22"/>
          <w:lang w:eastAsia="en-US"/>
        </w:rPr>
        <w:t xml:space="preserve">. Panašų poveikį gali sukelti ir </w:t>
      </w:r>
      <w:proofErr w:type="spellStart"/>
      <w:r w:rsidRPr="00C21B99">
        <w:rPr>
          <w:snapToGrid w:val="0"/>
          <w:szCs w:val="22"/>
          <w:lang w:eastAsia="en-US"/>
        </w:rPr>
        <w:t>antacidiniai</w:t>
      </w:r>
      <w:proofErr w:type="spellEnd"/>
      <w:r w:rsidRPr="00C21B99">
        <w:rPr>
          <w:snapToGrid w:val="0"/>
          <w:szCs w:val="22"/>
          <w:lang w:eastAsia="en-US"/>
        </w:rPr>
        <w:t xml:space="preserve"> vaistiniai preparatai,</w:t>
      </w:r>
      <w:r w:rsidR="002B48CE" w:rsidRPr="00C21B99">
        <w:rPr>
          <w:snapToGrid w:val="0"/>
          <w:szCs w:val="22"/>
          <w:lang w:eastAsia="en-US"/>
        </w:rPr>
        <w:t xml:space="preserve"> </w:t>
      </w:r>
      <w:r w:rsidRPr="00C21B99">
        <w:rPr>
          <w:snapToGrid w:val="0"/>
          <w:szCs w:val="22"/>
          <w:lang w:eastAsia="en-US"/>
        </w:rPr>
        <w:t xml:space="preserve">jeigu jie geriami reguliariai ir laiko tarpas nuo jų iki </w:t>
      </w:r>
      <w:proofErr w:type="spellStart"/>
      <w:r w:rsidRPr="00C21B99">
        <w:rPr>
          <w:snapToGrid w:val="0"/>
          <w:szCs w:val="22"/>
          <w:lang w:eastAsia="en-US"/>
        </w:rPr>
        <w:t>gefitinibo</w:t>
      </w:r>
      <w:proofErr w:type="spellEnd"/>
      <w:r w:rsidRPr="00C21B99">
        <w:rPr>
          <w:snapToGrid w:val="0"/>
          <w:szCs w:val="22"/>
          <w:lang w:eastAsia="en-US"/>
        </w:rPr>
        <w:t xml:space="preserve"> vartojimo yra trumpas (žr. 4.5 ir</w:t>
      </w:r>
      <w:r w:rsidR="002B48CE" w:rsidRPr="00C21B99">
        <w:rPr>
          <w:snapToGrid w:val="0"/>
          <w:szCs w:val="22"/>
          <w:lang w:eastAsia="en-US"/>
        </w:rPr>
        <w:t xml:space="preserve"> </w:t>
      </w:r>
      <w:r w:rsidRPr="00C21B99">
        <w:rPr>
          <w:snapToGrid w:val="0"/>
          <w:szCs w:val="22"/>
          <w:lang w:eastAsia="en-US"/>
        </w:rPr>
        <w:t>5.2 skyrius).</w:t>
      </w:r>
    </w:p>
    <w:p w14:paraId="4D1C5098"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II fazės klinikinių tyrimų, kurių metu </w:t>
      </w:r>
      <w:proofErr w:type="spellStart"/>
      <w:r w:rsidRPr="00C21B99">
        <w:rPr>
          <w:snapToGrid w:val="0"/>
          <w:szCs w:val="22"/>
          <w:lang w:eastAsia="en-US"/>
        </w:rPr>
        <w:t>gefitinib</w:t>
      </w:r>
      <w:r w:rsidR="002B48CE" w:rsidRPr="00C21B99">
        <w:rPr>
          <w:snapToGrid w:val="0"/>
          <w:szCs w:val="22"/>
          <w:lang w:eastAsia="en-US"/>
        </w:rPr>
        <w:t>o</w:t>
      </w:r>
      <w:proofErr w:type="spellEnd"/>
      <w:r w:rsidRPr="00C21B99">
        <w:rPr>
          <w:snapToGrid w:val="0"/>
          <w:szCs w:val="22"/>
          <w:lang w:eastAsia="en-US"/>
        </w:rPr>
        <w:t xml:space="preserve"> vartota kartu su </w:t>
      </w:r>
      <w:proofErr w:type="spellStart"/>
      <w:r w:rsidRPr="00C21B99">
        <w:rPr>
          <w:snapToGrid w:val="0"/>
          <w:szCs w:val="22"/>
          <w:lang w:eastAsia="en-US"/>
        </w:rPr>
        <w:t>vinorelbinu</w:t>
      </w:r>
      <w:proofErr w:type="spellEnd"/>
      <w:r w:rsidRPr="00C21B99">
        <w:rPr>
          <w:snapToGrid w:val="0"/>
          <w:szCs w:val="22"/>
          <w:lang w:eastAsia="en-US"/>
        </w:rPr>
        <w:t>, duomenimis,</w:t>
      </w:r>
      <w:r w:rsidR="002B48CE" w:rsidRPr="00C21B99">
        <w:rPr>
          <w:snapToGrid w:val="0"/>
          <w:szCs w:val="22"/>
          <w:lang w:eastAsia="en-US"/>
        </w:rPr>
        <w:t xml:space="preserve"> </w:t>
      </w:r>
      <w:proofErr w:type="spellStart"/>
      <w:r w:rsidRPr="00C21B99">
        <w:rPr>
          <w:snapToGrid w:val="0"/>
          <w:szCs w:val="22"/>
          <w:lang w:eastAsia="en-US"/>
        </w:rPr>
        <w:t>gefitinibas</w:t>
      </w:r>
      <w:proofErr w:type="spellEnd"/>
      <w:r w:rsidRPr="00C21B99">
        <w:rPr>
          <w:snapToGrid w:val="0"/>
          <w:szCs w:val="22"/>
          <w:lang w:eastAsia="en-US"/>
        </w:rPr>
        <w:t xml:space="preserve"> gali stiprinti </w:t>
      </w:r>
      <w:proofErr w:type="spellStart"/>
      <w:r w:rsidRPr="00C21B99">
        <w:rPr>
          <w:snapToGrid w:val="0"/>
          <w:szCs w:val="22"/>
          <w:lang w:eastAsia="en-US"/>
        </w:rPr>
        <w:t>neutropeniją</w:t>
      </w:r>
      <w:proofErr w:type="spellEnd"/>
      <w:r w:rsidRPr="00C21B99">
        <w:rPr>
          <w:snapToGrid w:val="0"/>
          <w:szCs w:val="22"/>
          <w:lang w:eastAsia="en-US"/>
        </w:rPr>
        <w:t xml:space="preserve"> sukeliantį </w:t>
      </w:r>
      <w:proofErr w:type="spellStart"/>
      <w:r w:rsidRPr="00C21B99">
        <w:rPr>
          <w:snapToGrid w:val="0"/>
          <w:szCs w:val="22"/>
          <w:lang w:eastAsia="en-US"/>
        </w:rPr>
        <w:t>vinorelbino</w:t>
      </w:r>
      <w:proofErr w:type="spellEnd"/>
      <w:r w:rsidRPr="00C21B99">
        <w:rPr>
          <w:snapToGrid w:val="0"/>
          <w:szCs w:val="22"/>
          <w:lang w:eastAsia="en-US"/>
        </w:rPr>
        <w:t xml:space="preserve"> poveikį.</w:t>
      </w:r>
    </w:p>
    <w:p w14:paraId="524CB0C2" w14:textId="77777777" w:rsidR="002B48CE" w:rsidRPr="00C21B99" w:rsidRDefault="002B48CE" w:rsidP="006D6B75">
      <w:pPr>
        <w:widowControl w:val="0"/>
        <w:tabs>
          <w:tab w:val="left" w:pos="567"/>
        </w:tabs>
        <w:rPr>
          <w:snapToGrid w:val="0"/>
          <w:szCs w:val="22"/>
          <w:lang w:eastAsia="en-US"/>
        </w:rPr>
      </w:pPr>
    </w:p>
    <w:p w14:paraId="6325DEA3" w14:textId="77777777" w:rsidR="006D6B75" w:rsidRPr="00C21B99" w:rsidRDefault="006D6B75" w:rsidP="006D6B75">
      <w:pPr>
        <w:widowControl w:val="0"/>
        <w:tabs>
          <w:tab w:val="left" w:pos="567"/>
        </w:tabs>
        <w:rPr>
          <w:i/>
          <w:snapToGrid w:val="0"/>
          <w:szCs w:val="22"/>
          <w:lang w:eastAsia="en-US"/>
        </w:rPr>
      </w:pPr>
      <w:r w:rsidRPr="00C21B99">
        <w:rPr>
          <w:i/>
          <w:snapToGrid w:val="0"/>
          <w:szCs w:val="22"/>
          <w:lang w:eastAsia="en-US"/>
        </w:rPr>
        <w:t>Kitos atsargumo priemonės</w:t>
      </w:r>
      <w:r w:rsidR="002B48CE" w:rsidRPr="00C21B99">
        <w:rPr>
          <w:i/>
          <w:snapToGrid w:val="0"/>
          <w:szCs w:val="22"/>
          <w:lang w:eastAsia="en-US"/>
        </w:rPr>
        <w:t xml:space="preserve"> vartojimo metu</w:t>
      </w:r>
    </w:p>
    <w:p w14:paraId="3EDAFD17"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Pacient</w:t>
      </w:r>
      <w:r w:rsidR="002B48CE" w:rsidRPr="00C21B99">
        <w:rPr>
          <w:snapToGrid w:val="0"/>
          <w:szCs w:val="22"/>
          <w:lang w:eastAsia="en-US"/>
        </w:rPr>
        <w:t xml:space="preserve">as turi būti informuotas, kad </w:t>
      </w:r>
      <w:r w:rsidR="003C5CAF" w:rsidRPr="00C21B99">
        <w:rPr>
          <w:snapToGrid w:val="0"/>
          <w:szCs w:val="22"/>
          <w:lang w:eastAsia="en-US"/>
        </w:rPr>
        <w:t xml:space="preserve">būtina </w:t>
      </w:r>
      <w:r w:rsidRPr="00C21B99">
        <w:rPr>
          <w:snapToGrid w:val="0"/>
          <w:szCs w:val="22"/>
          <w:lang w:eastAsia="en-US"/>
        </w:rPr>
        <w:t>nedelsiant kreipt</w:t>
      </w:r>
      <w:r w:rsidR="002B48CE" w:rsidRPr="00C21B99">
        <w:rPr>
          <w:snapToGrid w:val="0"/>
          <w:szCs w:val="22"/>
          <w:lang w:eastAsia="en-US"/>
        </w:rPr>
        <w:t>i</w:t>
      </w:r>
      <w:r w:rsidRPr="00C21B99">
        <w:rPr>
          <w:snapToGrid w:val="0"/>
          <w:szCs w:val="22"/>
          <w:lang w:eastAsia="en-US"/>
        </w:rPr>
        <w:t>s į gydytoją pasireiškus stipriam ar nepraeinančiam viduriavimui, pykinimui, vėmimui arba anoreksijai (šie sutrikimai</w:t>
      </w:r>
      <w:r w:rsidR="002B48CE" w:rsidRPr="00C21B99">
        <w:rPr>
          <w:snapToGrid w:val="0"/>
          <w:szCs w:val="22"/>
          <w:lang w:eastAsia="en-US"/>
        </w:rPr>
        <w:t xml:space="preserve"> </w:t>
      </w:r>
      <w:r w:rsidRPr="00C21B99">
        <w:rPr>
          <w:snapToGrid w:val="0"/>
          <w:szCs w:val="22"/>
          <w:lang w:eastAsia="en-US"/>
        </w:rPr>
        <w:t xml:space="preserve">netiesiogiai gali sukelti </w:t>
      </w:r>
      <w:proofErr w:type="spellStart"/>
      <w:r w:rsidRPr="00C21B99">
        <w:rPr>
          <w:snapToGrid w:val="0"/>
          <w:szCs w:val="22"/>
          <w:lang w:eastAsia="en-US"/>
        </w:rPr>
        <w:t>dehidraciją</w:t>
      </w:r>
      <w:proofErr w:type="spellEnd"/>
      <w:r w:rsidRPr="00C21B99">
        <w:rPr>
          <w:snapToGrid w:val="0"/>
          <w:szCs w:val="22"/>
          <w:lang w:eastAsia="en-US"/>
        </w:rPr>
        <w:t>).</w:t>
      </w:r>
      <w:r w:rsidR="002B48CE" w:rsidRPr="00C21B99">
        <w:rPr>
          <w:snapToGrid w:val="0"/>
          <w:szCs w:val="22"/>
          <w:lang w:eastAsia="en-US"/>
        </w:rPr>
        <w:t xml:space="preserve"> </w:t>
      </w:r>
      <w:r w:rsidRPr="00C21B99">
        <w:rPr>
          <w:snapToGrid w:val="0"/>
          <w:szCs w:val="22"/>
          <w:lang w:eastAsia="en-US"/>
        </w:rPr>
        <w:t>Ši</w:t>
      </w:r>
      <w:r w:rsidR="002B48CE" w:rsidRPr="00C21B99">
        <w:rPr>
          <w:snapToGrid w:val="0"/>
          <w:szCs w:val="22"/>
          <w:lang w:eastAsia="en-US"/>
        </w:rPr>
        <w:t>e</w:t>
      </w:r>
      <w:r w:rsidRPr="00C21B99">
        <w:rPr>
          <w:snapToGrid w:val="0"/>
          <w:szCs w:val="22"/>
          <w:lang w:eastAsia="en-US"/>
        </w:rPr>
        <w:t xml:space="preserve"> simptom</w:t>
      </w:r>
      <w:r w:rsidR="002B48CE" w:rsidRPr="00C21B99">
        <w:rPr>
          <w:snapToGrid w:val="0"/>
          <w:szCs w:val="22"/>
          <w:lang w:eastAsia="en-US"/>
        </w:rPr>
        <w:t xml:space="preserve">ai turi būti suvaldyti, kai kliniškai reikalinga </w:t>
      </w:r>
      <w:r w:rsidRPr="00C21B99">
        <w:rPr>
          <w:snapToGrid w:val="0"/>
          <w:szCs w:val="22"/>
          <w:lang w:eastAsia="en-US"/>
        </w:rPr>
        <w:t>(žr. 4.8 skyrių).</w:t>
      </w:r>
    </w:p>
    <w:p w14:paraId="722C2814"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Pasireiškus </w:t>
      </w:r>
      <w:proofErr w:type="spellStart"/>
      <w:r w:rsidRPr="00C21B99">
        <w:rPr>
          <w:snapToGrid w:val="0"/>
          <w:szCs w:val="22"/>
          <w:lang w:eastAsia="en-US"/>
        </w:rPr>
        <w:t>keratitą</w:t>
      </w:r>
      <w:proofErr w:type="spellEnd"/>
      <w:r w:rsidRPr="00C21B99">
        <w:rPr>
          <w:snapToGrid w:val="0"/>
          <w:szCs w:val="22"/>
          <w:lang w:eastAsia="en-US"/>
        </w:rPr>
        <w:t xml:space="preserve"> galimai rodančių požymių ir simptomų</w:t>
      </w:r>
      <w:r w:rsidR="00717276" w:rsidRPr="00C21B99">
        <w:rPr>
          <w:snapToGrid w:val="0"/>
          <w:szCs w:val="22"/>
          <w:lang w:eastAsia="en-US"/>
        </w:rPr>
        <w:t>, pvz.,</w:t>
      </w:r>
      <w:r w:rsidRPr="00C21B99">
        <w:rPr>
          <w:snapToGrid w:val="0"/>
          <w:szCs w:val="22"/>
          <w:lang w:eastAsia="en-US"/>
        </w:rPr>
        <w:t xml:space="preserve"> ūmini</w:t>
      </w:r>
      <w:r w:rsidR="00717276" w:rsidRPr="00C21B99">
        <w:rPr>
          <w:snapToGrid w:val="0"/>
          <w:szCs w:val="22"/>
          <w:lang w:eastAsia="en-US"/>
        </w:rPr>
        <w:t>s</w:t>
      </w:r>
      <w:r w:rsidRPr="00C21B99">
        <w:rPr>
          <w:snapToGrid w:val="0"/>
          <w:szCs w:val="22"/>
          <w:lang w:eastAsia="en-US"/>
        </w:rPr>
        <w:t xml:space="preserve"> ar pasunkėj</w:t>
      </w:r>
      <w:r w:rsidR="00717276" w:rsidRPr="00C21B99">
        <w:rPr>
          <w:snapToGrid w:val="0"/>
          <w:szCs w:val="22"/>
          <w:lang w:eastAsia="en-US"/>
        </w:rPr>
        <w:t>ęs</w:t>
      </w:r>
      <w:r w:rsidR="002B48CE" w:rsidRPr="00C21B99">
        <w:rPr>
          <w:snapToGrid w:val="0"/>
          <w:szCs w:val="22"/>
          <w:lang w:eastAsia="en-US"/>
        </w:rPr>
        <w:t xml:space="preserve"> </w:t>
      </w:r>
      <w:r w:rsidRPr="00C21B99">
        <w:rPr>
          <w:snapToGrid w:val="0"/>
          <w:szCs w:val="22"/>
          <w:lang w:eastAsia="en-US"/>
        </w:rPr>
        <w:t>akies uždegimas, ašarojimas, jautrumas šviesai, neryškus matymas, akies skausmas ir / ar akies</w:t>
      </w:r>
      <w:r w:rsidR="00717276" w:rsidRPr="00C21B99">
        <w:rPr>
          <w:snapToGrid w:val="0"/>
          <w:szCs w:val="22"/>
          <w:lang w:eastAsia="en-US"/>
        </w:rPr>
        <w:t xml:space="preserve"> </w:t>
      </w:r>
      <w:r w:rsidRPr="00C21B99">
        <w:rPr>
          <w:snapToGrid w:val="0"/>
          <w:szCs w:val="22"/>
          <w:lang w:eastAsia="en-US"/>
        </w:rPr>
        <w:t xml:space="preserve">paraudimas, pacientą reikia skubiai nukreipti </w:t>
      </w:r>
      <w:r w:rsidR="00717276" w:rsidRPr="00C21B99">
        <w:rPr>
          <w:snapToGrid w:val="0"/>
          <w:szCs w:val="22"/>
          <w:lang w:eastAsia="en-US"/>
        </w:rPr>
        <w:t xml:space="preserve">pas </w:t>
      </w:r>
      <w:r w:rsidRPr="00C21B99">
        <w:rPr>
          <w:snapToGrid w:val="0"/>
          <w:szCs w:val="22"/>
          <w:lang w:eastAsia="en-US"/>
        </w:rPr>
        <w:t>oftalmologijos specialist</w:t>
      </w:r>
      <w:r w:rsidR="00717276" w:rsidRPr="00C21B99">
        <w:rPr>
          <w:snapToGrid w:val="0"/>
          <w:szCs w:val="22"/>
          <w:lang w:eastAsia="en-US"/>
        </w:rPr>
        <w:t>ą</w:t>
      </w:r>
      <w:r w:rsidRPr="00C21B99">
        <w:rPr>
          <w:snapToGrid w:val="0"/>
          <w:szCs w:val="22"/>
          <w:lang w:eastAsia="en-US"/>
        </w:rPr>
        <w:t>.</w:t>
      </w:r>
    </w:p>
    <w:p w14:paraId="230A8778"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Patvirtinus opinio </w:t>
      </w:r>
      <w:proofErr w:type="spellStart"/>
      <w:r w:rsidRPr="00C21B99">
        <w:rPr>
          <w:snapToGrid w:val="0"/>
          <w:szCs w:val="22"/>
          <w:lang w:eastAsia="en-US"/>
        </w:rPr>
        <w:t>keratito</w:t>
      </w:r>
      <w:proofErr w:type="spellEnd"/>
      <w:r w:rsidRPr="00C21B99">
        <w:rPr>
          <w:snapToGrid w:val="0"/>
          <w:szCs w:val="22"/>
          <w:lang w:eastAsia="en-US"/>
        </w:rPr>
        <w:t xml:space="preserve"> diagnozę, reikia laikinai nutraukti </w:t>
      </w:r>
      <w:proofErr w:type="spellStart"/>
      <w:r w:rsidRPr="00C21B99">
        <w:rPr>
          <w:snapToGrid w:val="0"/>
          <w:szCs w:val="22"/>
          <w:lang w:eastAsia="en-US"/>
        </w:rPr>
        <w:t>gefitinibo</w:t>
      </w:r>
      <w:proofErr w:type="spellEnd"/>
      <w:r w:rsidRPr="00C21B99">
        <w:rPr>
          <w:snapToGrid w:val="0"/>
          <w:szCs w:val="22"/>
          <w:lang w:eastAsia="en-US"/>
        </w:rPr>
        <w:t xml:space="preserve"> vartojimą. Jeigu simptomai</w:t>
      </w:r>
      <w:r w:rsidR="00717276" w:rsidRPr="00C21B99">
        <w:rPr>
          <w:snapToGrid w:val="0"/>
          <w:szCs w:val="22"/>
          <w:lang w:eastAsia="en-US"/>
        </w:rPr>
        <w:t xml:space="preserve"> </w:t>
      </w:r>
      <w:r w:rsidRPr="00C21B99">
        <w:rPr>
          <w:snapToGrid w:val="0"/>
          <w:szCs w:val="22"/>
          <w:lang w:eastAsia="en-US"/>
        </w:rPr>
        <w:t xml:space="preserve">nepraeina arba atsinaujina pradėjus vėl vartoti </w:t>
      </w:r>
      <w:proofErr w:type="spellStart"/>
      <w:r w:rsidRPr="00C21B99">
        <w:rPr>
          <w:snapToGrid w:val="0"/>
          <w:szCs w:val="22"/>
          <w:lang w:eastAsia="en-US"/>
        </w:rPr>
        <w:t>gefitinibo</w:t>
      </w:r>
      <w:proofErr w:type="spellEnd"/>
      <w:r w:rsidRPr="00C21B99">
        <w:rPr>
          <w:snapToGrid w:val="0"/>
          <w:szCs w:val="22"/>
          <w:lang w:eastAsia="en-US"/>
        </w:rPr>
        <w:t xml:space="preserve">, </w:t>
      </w:r>
      <w:r w:rsidR="00717276" w:rsidRPr="00C21B99">
        <w:rPr>
          <w:snapToGrid w:val="0"/>
          <w:szCs w:val="22"/>
          <w:lang w:eastAsia="en-US"/>
        </w:rPr>
        <w:t>turi būti apgalvotas</w:t>
      </w:r>
      <w:r w:rsidRPr="00C21B99">
        <w:rPr>
          <w:snapToGrid w:val="0"/>
          <w:szCs w:val="22"/>
          <w:lang w:eastAsia="en-US"/>
        </w:rPr>
        <w:t xml:space="preserve"> šio vaistinio preparato</w:t>
      </w:r>
      <w:r w:rsidR="00717276" w:rsidRPr="00C21B99">
        <w:rPr>
          <w:snapToGrid w:val="0"/>
          <w:szCs w:val="22"/>
          <w:lang w:eastAsia="en-US"/>
        </w:rPr>
        <w:t xml:space="preserve"> </w:t>
      </w:r>
      <w:r w:rsidRPr="00C21B99">
        <w:rPr>
          <w:snapToGrid w:val="0"/>
          <w:szCs w:val="22"/>
          <w:lang w:eastAsia="en-US"/>
        </w:rPr>
        <w:t>vartojimo nutraukim</w:t>
      </w:r>
      <w:r w:rsidR="00717276" w:rsidRPr="00C21B99">
        <w:rPr>
          <w:snapToGrid w:val="0"/>
          <w:szCs w:val="22"/>
          <w:lang w:eastAsia="en-US"/>
        </w:rPr>
        <w:t>as</w:t>
      </w:r>
      <w:r w:rsidRPr="00C21B99">
        <w:rPr>
          <w:snapToGrid w:val="0"/>
          <w:szCs w:val="22"/>
          <w:lang w:eastAsia="en-US"/>
        </w:rPr>
        <w:t xml:space="preserve"> visam laikui.</w:t>
      </w:r>
    </w:p>
    <w:p w14:paraId="65FBD857" w14:textId="77777777" w:rsidR="00717276" w:rsidRPr="00C21B99" w:rsidRDefault="00717276" w:rsidP="006D6B75">
      <w:pPr>
        <w:widowControl w:val="0"/>
        <w:tabs>
          <w:tab w:val="left" w:pos="567"/>
        </w:tabs>
        <w:rPr>
          <w:snapToGrid w:val="0"/>
          <w:szCs w:val="22"/>
          <w:lang w:eastAsia="en-US"/>
        </w:rPr>
      </w:pPr>
    </w:p>
    <w:p w14:paraId="09A761F8"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I/II fazės</w:t>
      </w:r>
      <w:r w:rsidR="00717276" w:rsidRPr="00C21B99">
        <w:rPr>
          <w:snapToGrid w:val="0"/>
          <w:szCs w:val="22"/>
          <w:lang w:eastAsia="en-US"/>
        </w:rPr>
        <w:t xml:space="preserve"> klinikinio </w:t>
      </w:r>
      <w:r w:rsidRPr="00C21B99">
        <w:rPr>
          <w:snapToGrid w:val="0"/>
          <w:szCs w:val="22"/>
          <w:lang w:eastAsia="en-US"/>
        </w:rPr>
        <w:t xml:space="preserve"> tyrimo metu </w:t>
      </w:r>
      <w:proofErr w:type="spellStart"/>
      <w:r w:rsidRPr="00C21B99">
        <w:rPr>
          <w:snapToGrid w:val="0"/>
          <w:szCs w:val="22"/>
          <w:lang w:eastAsia="en-US"/>
        </w:rPr>
        <w:t>gefitinibu</w:t>
      </w:r>
      <w:proofErr w:type="spellEnd"/>
      <w:r w:rsidRPr="00C21B99">
        <w:rPr>
          <w:snapToGrid w:val="0"/>
          <w:szCs w:val="22"/>
          <w:lang w:eastAsia="en-US"/>
        </w:rPr>
        <w:t xml:space="preserve"> ir spinduliais gydant 45 vaikus, kuriems naujai diagnozuota smegenų</w:t>
      </w:r>
      <w:r w:rsidR="00717276" w:rsidRPr="00C21B99">
        <w:rPr>
          <w:snapToGrid w:val="0"/>
          <w:szCs w:val="22"/>
          <w:lang w:eastAsia="en-US"/>
        </w:rPr>
        <w:t xml:space="preserve"> </w:t>
      </w:r>
      <w:r w:rsidRPr="00C21B99">
        <w:rPr>
          <w:snapToGrid w:val="0"/>
          <w:szCs w:val="22"/>
          <w:lang w:eastAsia="en-US"/>
        </w:rPr>
        <w:t xml:space="preserve">kamieno </w:t>
      </w:r>
      <w:proofErr w:type="spellStart"/>
      <w:r w:rsidRPr="00C21B99">
        <w:rPr>
          <w:snapToGrid w:val="0"/>
          <w:szCs w:val="22"/>
          <w:lang w:eastAsia="en-US"/>
        </w:rPr>
        <w:t>glioma</w:t>
      </w:r>
      <w:proofErr w:type="spellEnd"/>
      <w:r w:rsidRPr="00C21B99">
        <w:rPr>
          <w:snapToGrid w:val="0"/>
          <w:szCs w:val="22"/>
          <w:lang w:eastAsia="en-US"/>
        </w:rPr>
        <w:t xml:space="preserve"> arba ne vis</w:t>
      </w:r>
      <w:r w:rsidR="00717276" w:rsidRPr="00C21B99">
        <w:rPr>
          <w:snapToGrid w:val="0"/>
          <w:szCs w:val="22"/>
          <w:lang w:eastAsia="en-US"/>
        </w:rPr>
        <w:t>iškai pašalinta</w:t>
      </w:r>
      <w:r w:rsidRPr="00C21B99">
        <w:rPr>
          <w:snapToGrid w:val="0"/>
          <w:szCs w:val="22"/>
          <w:lang w:eastAsia="en-US"/>
        </w:rPr>
        <w:t xml:space="preserve"> </w:t>
      </w:r>
      <w:proofErr w:type="spellStart"/>
      <w:r w:rsidRPr="00C21B99">
        <w:rPr>
          <w:snapToGrid w:val="0"/>
          <w:szCs w:val="22"/>
          <w:lang w:eastAsia="en-US"/>
        </w:rPr>
        <w:t>supratentorinė</w:t>
      </w:r>
      <w:proofErr w:type="spellEnd"/>
      <w:r w:rsidRPr="00C21B99">
        <w:rPr>
          <w:snapToGrid w:val="0"/>
          <w:szCs w:val="22"/>
          <w:lang w:eastAsia="en-US"/>
        </w:rPr>
        <w:t xml:space="preserve"> piktybinė </w:t>
      </w:r>
      <w:proofErr w:type="spellStart"/>
      <w:r w:rsidRPr="00C21B99">
        <w:rPr>
          <w:snapToGrid w:val="0"/>
          <w:szCs w:val="22"/>
          <w:lang w:eastAsia="en-US"/>
        </w:rPr>
        <w:t>glioma</w:t>
      </w:r>
      <w:proofErr w:type="spellEnd"/>
      <w:r w:rsidRPr="00C21B99">
        <w:rPr>
          <w:snapToGrid w:val="0"/>
          <w:szCs w:val="22"/>
          <w:lang w:eastAsia="en-US"/>
        </w:rPr>
        <w:t xml:space="preserve">, </w:t>
      </w:r>
      <w:r w:rsidR="00717276" w:rsidRPr="00C21B99">
        <w:rPr>
          <w:snapToGrid w:val="0"/>
          <w:szCs w:val="22"/>
          <w:lang w:eastAsia="en-US"/>
        </w:rPr>
        <w:t xml:space="preserve"> buvo pranešta apie </w:t>
      </w:r>
      <w:r w:rsidRPr="00C21B99">
        <w:rPr>
          <w:snapToGrid w:val="0"/>
          <w:szCs w:val="22"/>
          <w:lang w:eastAsia="en-US"/>
        </w:rPr>
        <w:t xml:space="preserve"> 4 kraujavimo</w:t>
      </w:r>
      <w:r w:rsidR="00717276" w:rsidRPr="00C21B99">
        <w:rPr>
          <w:snapToGrid w:val="0"/>
          <w:szCs w:val="22"/>
          <w:lang w:eastAsia="en-US"/>
        </w:rPr>
        <w:t xml:space="preserve"> </w:t>
      </w:r>
      <w:r w:rsidRPr="00C21B99">
        <w:rPr>
          <w:snapToGrid w:val="0"/>
          <w:szCs w:val="22"/>
          <w:lang w:eastAsia="en-US"/>
        </w:rPr>
        <w:t xml:space="preserve">centrinėje nervų sistemoje (CNS) atvejai, iš kurių vienas </w:t>
      </w:r>
      <w:r w:rsidR="00717276" w:rsidRPr="00C21B99">
        <w:rPr>
          <w:snapToGrid w:val="0"/>
          <w:szCs w:val="22"/>
          <w:lang w:eastAsia="en-US"/>
        </w:rPr>
        <w:t>baigėsi mirtimi</w:t>
      </w:r>
      <w:r w:rsidRPr="00C21B99">
        <w:rPr>
          <w:snapToGrid w:val="0"/>
          <w:szCs w:val="22"/>
          <w:lang w:eastAsia="en-US"/>
        </w:rPr>
        <w:t>. Dar vienas kraujavimo CNS</w:t>
      </w:r>
      <w:r w:rsidR="00717276" w:rsidRPr="00C21B99">
        <w:rPr>
          <w:snapToGrid w:val="0"/>
          <w:szCs w:val="22"/>
          <w:lang w:eastAsia="en-US"/>
        </w:rPr>
        <w:t xml:space="preserve"> </w:t>
      </w:r>
      <w:r w:rsidRPr="00C21B99">
        <w:rPr>
          <w:snapToGrid w:val="0"/>
          <w:szCs w:val="22"/>
          <w:lang w:eastAsia="en-US"/>
        </w:rPr>
        <w:t xml:space="preserve">atvejis aprašytas </w:t>
      </w:r>
      <w:proofErr w:type="spellStart"/>
      <w:r w:rsidRPr="00C21B99">
        <w:rPr>
          <w:snapToGrid w:val="0"/>
          <w:szCs w:val="22"/>
          <w:lang w:eastAsia="en-US"/>
        </w:rPr>
        <w:t>ependimoma</w:t>
      </w:r>
      <w:proofErr w:type="spellEnd"/>
      <w:r w:rsidRPr="00C21B99">
        <w:rPr>
          <w:snapToGrid w:val="0"/>
          <w:szCs w:val="22"/>
          <w:lang w:eastAsia="en-US"/>
        </w:rPr>
        <w:t xml:space="preserve"> sirgusiam vaikui, vartojusiam tik </w:t>
      </w:r>
      <w:proofErr w:type="spellStart"/>
      <w:r w:rsidRPr="00C21B99">
        <w:rPr>
          <w:snapToGrid w:val="0"/>
          <w:szCs w:val="22"/>
          <w:lang w:eastAsia="en-US"/>
        </w:rPr>
        <w:t>gefitinib</w:t>
      </w:r>
      <w:r w:rsidR="00717276" w:rsidRPr="00C21B99">
        <w:rPr>
          <w:snapToGrid w:val="0"/>
          <w:szCs w:val="22"/>
          <w:lang w:eastAsia="en-US"/>
        </w:rPr>
        <w:t>o</w:t>
      </w:r>
      <w:proofErr w:type="spellEnd"/>
      <w:r w:rsidRPr="00C21B99">
        <w:rPr>
          <w:snapToGrid w:val="0"/>
          <w:szCs w:val="22"/>
          <w:lang w:eastAsia="en-US"/>
        </w:rPr>
        <w:t>. Didesn</w:t>
      </w:r>
      <w:r w:rsidR="00717276" w:rsidRPr="00C21B99">
        <w:rPr>
          <w:snapToGrid w:val="0"/>
          <w:szCs w:val="22"/>
          <w:lang w:eastAsia="en-US"/>
        </w:rPr>
        <w:t>ės</w:t>
      </w:r>
      <w:r w:rsidRPr="00C21B99">
        <w:rPr>
          <w:snapToGrid w:val="0"/>
          <w:szCs w:val="22"/>
          <w:lang w:eastAsia="en-US"/>
        </w:rPr>
        <w:t xml:space="preserve"> kraujavimo į</w:t>
      </w:r>
      <w:r w:rsidR="00717276" w:rsidRPr="00C21B99">
        <w:rPr>
          <w:snapToGrid w:val="0"/>
          <w:szCs w:val="22"/>
          <w:lang w:eastAsia="en-US"/>
        </w:rPr>
        <w:t xml:space="preserve"> </w:t>
      </w:r>
      <w:r w:rsidRPr="00C21B99">
        <w:rPr>
          <w:snapToGrid w:val="0"/>
          <w:szCs w:val="22"/>
          <w:lang w:eastAsia="en-US"/>
        </w:rPr>
        <w:t xml:space="preserve">smegenis </w:t>
      </w:r>
      <w:r w:rsidR="00717276" w:rsidRPr="00C21B99">
        <w:rPr>
          <w:snapToGrid w:val="0"/>
          <w:szCs w:val="22"/>
          <w:lang w:eastAsia="en-US"/>
        </w:rPr>
        <w:t>rizikos</w:t>
      </w:r>
      <w:r w:rsidRPr="00C21B99">
        <w:rPr>
          <w:snapToGrid w:val="0"/>
          <w:szCs w:val="22"/>
          <w:lang w:eastAsia="en-US"/>
        </w:rPr>
        <w:t xml:space="preserve"> </w:t>
      </w:r>
      <w:r w:rsidR="00D34B1F" w:rsidRPr="00C21B99">
        <w:rPr>
          <w:snapToGrid w:val="0"/>
          <w:szCs w:val="22"/>
          <w:lang w:eastAsia="en-US"/>
        </w:rPr>
        <w:t xml:space="preserve">nesmulkiųjų ląstelių plaučių vėžiu sergantiems suaugusiems pacientams, kurie vartoja </w:t>
      </w:r>
      <w:proofErr w:type="spellStart"/>
      <w:r w:rsidRPr="00C21B99">
        <w:rPr>
          <w:snapToGrid w:val="0"/>
          <w:szCs w:val="22"/>
          <w:lang w:eastAsia="en-US"/>
        </w:rPr>
        <w:t>gefitinib</w:t>
      </w:r>
      <w:r w:rsidR="00717276" w:rsidRPr="00C21B99">
        <w:rPr>
          <w:snapToGrid w:val="0"/>
          <w:szCs w:val="22"/>
          <w:lang w:eastAsia="en-US"/>
        </w:rPr>
        <w:t>o</w:t>
      </w:r>
      <w:proofErr w:type="spellEnd"/>
      <w:r w:rsidR="00D34B1F" w:rsidRPr="00C21B99">
        <w:rPr>
          <w:snapToGrid w:val="0"/>
          <w:szCs w:val="22"/>
          <w:lang w:eastAsia="en-US"/>
        </w:rPr>
        <w:t xml:space="preserve">, </w:t>
      </w:r>
      <w:r w:rsidRPr="00C21B99">
        <w:rPr>
          <w:snapToGrid w:val="0"/>
          <w:szCs w:val="22"/>
          <w:lang w:eastAsia="en-US"/>
        </w:rPr>
        <w:t>nenustatyta.</w:t>
      </w:r>
    </w:p>
    <w:p w14:paraId="75660AD5" w14:textId="77777777" w:rsidR="00D34B1F" w:rsidRPr="00C21B99" w:rsidRDefault="00D34B1F" w:rsidP="006D6B75">
      <w:pPr>
        <w:widowControl w:val="0"/>
        <w:tabs>
          <w:tab w:val="left" w:pos="567"/>
        </w:tabs>
        <w:rPr>
          <w:snapToGrid w:val="0"/>
          <w:szCs w:val="22"/>
          <w:lang w:eastAsia="en-US"/>
        </w:rPr>
      </w:pPr>
    </w:p>
    <w:p w14:paraId="66BA7FDE"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Gauta pranešimų apie </w:t>
      </w:r>
      <w:r w:rsidR="00D34B1F" w:rsidRPr="00C21B99">
        <w:rPr>
          <w:snapToGrid w:val="0"/>
          <w:szCs w:val="22"/>
          <w:lang w:eastAsia="en-US"/>
        </w:rPr>
        <w:t xml:space="preserve">virškinimo trakto perforaciją </w:t>
      </w:r>
      <w:proofErr w:type="spellStart"/>
      <w:r w:rsidR="00D34B1F" w:rsidRPr="00C21B99">
        <w:rPr>
          <w:snapToGrid w:val="0"/>
          <w:szCs w:val="22"/>
          <w:lang w:eastAsia="en-US"/>
        </w:rPr>
        <w:t>gefitinibo</w:t>
      </w:r>
      <w:proofErr w:type="spellEnd"/>
      <w:r w:rsidR="00D34B1F" w:rsidRPr="00C21B99">
        <w:rPr>
          <w:snapToGrid w:val="0"/>
          <w:szCs w:val="22"/>
          <w:lang w:eastAsia="en-US"/>
        </w:rPr>
        <w:t xml:space="preserve"> </w:t>
      </w:r>
      <w:r w:rsidRPr="00C21B99">
        <w:rPr>
          <w:snapToGrid w:val="0"/>
          <w:szCs w:val="22"/>
          <w:lang w:eastAsia="en-US"/>
        </w:rPr>
        <w:t>vartojant</w:t>
      </w:r>
      <w:r w:rsidR="00D34B1F" w:rsidRPr="00C21B99">
        <w:rPr>
          <w:snapToGrid w:val="0"/>
          <w:szCs w:val="22"/>
          <w:lang w:eastAsia="en-US"/>
        </w:rPr>
        <w:t>iems pacientams</w:t>
      </w:r>
      <w:r w:rsidRPr="00C21B99">
        <w:rPr>
          <w:snapToGrid w:val="0"/>
          <w:szCs w:val="22"/>
          <w:lang w:eastAsia="en-US"/>
        </w:rPr>
        <w:t xml:space="preserve">. Dauguma atvejų </w:t>
      </w:r>
      <w:r w:rsidR="00D34B1F" w:rsidRPr="00C21B99">
        <w:rPr>
          <w:snapToGrid w:val="0"/>
          <w:szCs w:val="22"/>
          <w:lang w:eastAsia="en-US"/>
        </w:rPr>
        <w:t>tai buvo susiję su kitais</w:t>
      </w:r>
      <w:r w:rsidRPr="00C21B99">
        <w:rPr>
          <w:snapToGrid w:val="0"/>
          <w:szCs w:val="22"/>
          <w:lang w:eastAsia="en-US"/>
        </w:rPr>
        <w:t xml:space="preserve"> žinom</w:t>
      </w:r>
      <w:r w:rsidR="00D34B1F" w:rsidRPr="00C21B99">
        <w:rPr>
          <w:snapToGrid w:val="0"/>
          <w:szCs w:val="22"/>
          <w:lang w:eastAsia="en-US"/>
        </w:rPr>
        <w:t>ais</w:t>
      </w:r>
      <w:r w:rsidRPr="00C21B99">
        <w:rPr>
          <w:snapToGrid w:val="0"/>
          <w:szCs w:val="22"/>
          <w:lang w:eastAsia="en-US"/>
        </w:rPr>
        <w:t xml:space="preserve"> rizikos veiksni</w:t>
      </w:r>
      <w:r w:rsidR="00D34B1F" w:rsidRPr="00C21B99">
        <w:rPr>
          <w:snapToGrid w:val="0"/>
          <w:szCs w:val="22"/>
          <w:lang w:eastAsia="en-US"/>
        </w:rPr>
        <w:t>ais, įskaitant</w:t>
      </w:r>
      <w:r w:rsidRPr="00C21B99">
        <w:rPr>
          <w:snapToGrid w:val="0"/>
          <w:szCs w:val="22"/>
          <w:lang w:eastAsia="en-US"/>
        </w:rPr>
        <w:t xml:space="preserve"> steroidų ar nesteroidinių vaistinių preparatų nuo</w:t>
      </w:r>
      <w:r w:rsidR="00D34B1F" w:rsidRPr="00C21B99">
        <w:rPr>
          <w:snapToGrid w:val="0"/>
          <w:szCs w:val="22"/>
          <w:lang w:eastAsia="en-US"/>
        </w:rPr>
        <w:t xml:space="preserve"> </w:t>
      </w:r>
      <w:r w:rsidRPr="00C21B99">
        <w:rPr>
          <w:snapToGrid w:val="0"/>
          <w:szCs w:val="22"/>
          <w:lang w:eastAsia="en-US"/>
        </w:rPr>
        <w:t>uždegimo vartojim</w:t>
      </w:r>
      <w:r w:rsidR="00D34B1F" w:rsidRPr="00C21B99">
        <w:rPr>
          <w:snapToGrid w:val="0"/>
          <w:szCs w:val="22"/>
          <w:lang w:eastAsia="en-US"/>
        </w:rPr>
        <w:t>ą</w:t>
      </w:r>
      <w:r w:rsidRPr="00C21B99">
        <w:rPr>
          <w:snapToGrid w:val="0"/>
          <w:szCs w:val="22"/>
          <w:lang w:eastAsia="en-US"/>
        </w:rPr>
        <w:t xml:space="preserve"> kartu, buvusi</w:t>
      </w:r>
      <w:r w:rsidR="00D34B1F" w:rsidRPr="00C21B99">
        <w:rPr>
          <w:snapToGrid w:val="0"/>
          <w:szCs w:val="22"/>
          <w:lang w:eastAsia="en-US"/>
        </w:rPr>
        <w:t>ą</w:t>
      </w:r>
      <w:r w:rsidRPr="00C21B99">
        <w:rPr>
          <w:snapToGrid w:val="0"/>
          <w:szCs w:val="22"/>
          <w:lang w:eastAsia="en-US"/>
        </w:rPr>
        <w:t xml:space="preserve"> ar esam</w:t>
      </w:r>
      <w:r w:rsidR="00D34B1F" w:rsidRPr="00C21B99">
        <w:rPr>
          <w:snapToGrid w:val="0"/>
          <w:szCs w:val="22"/>
          <w:lang w:eastAsia="en-US"/>
        </w:rPr>
        <w:t>ą</w:t>
      </w:r>
      <w:r w:rsidRPr="00C21B99">
        <w:rPr>
          <w:snapToGrid w:val="0"/>
          <w:szCs w:val="22"/>
          <w:lang w:eastAsia="en-US"/>
        </w:rPr>
        <w:t xml:space="preserve"> virškinimo trakto op</w:t>
      </w:r>
      <w:r w:rsidR="00D34B1F" w:rsidRPr="00C21B99">
        <w:rPr>
          <w:snapToGrid w:val="0"/>
          <w:szCs w:val="22"/>
          <w:lang w:eastAsia="en-US"/>
        </w:rPr>
        <w:t>ą</w:t>
      </w:r>
      <w:r w:rsidRPr="00C21B99">
        <w:rPr>
          <w:snapToGrid w:val="0"/>
          <w:szCs w:val="22"/>
          <w:lang w:eastAsia="en-US"/>
        </w:rPr>
        <w:t>, amži</w:t>
      </w:r>
      <w:r w:rsidR="00D34B1F" w:rsidRPr="00C21B99">
        <w:rPr>
          <w:snapToGrid w:val="0"/>
          <w:szCs w:val="22"/>
          <w:lang w:eastAsia="en-US"/>
        </w:rPr>
        <w:t>ų</w:t>
      </w:r>
      <w:r w:rsidRPr="00C21B99">
        <w:rPr>
          <w:snapToGrid w:val="0"/>
          <w:szCs w:val="22"/>
          <w:lang w:eastAsia="en-US"/>
        </w:rPr>
        <w:t>, rūkym</w:t>
      </w:r>
      <w:r w:rsidR="00D34B1F" w:rsidRPr="00C21B99">
        <w:rPr>
          <w:snapToGrid w:val="0"/>
          <w:szCs w:val="22"/>
          <w:lang w:eastAsia="en-US"/>
        </w:rPr>
        <w:t>ą</w:t>
      </w:r>
      <w:r w:rsidRPr="00C21B99">
        <w:rPr>
          <w:snapToGrid w:val="0"/>
          <w:szCs w:val="22"/>
          <w:lang w:eastAsia="en-US"/>
        </w:rPr>
        <w:t>, metastaz</w:t>
      </w:r>
      <w:r w:rsidR="00D34B1F" w:rsidRPr="00C21B99">
        <w:rPr>
          <w:snapToGrid w:val="0"/>
          <w:szCs w:val="22"/>
          <w:lang w:eastAsia="en-US"/>
        </w:rPr>
        <w:t>es</w:t>
      </w:r>
      <w:r w:rsidRPr="00C21B99">
        <w:rPr>
          <w:snapToGrid w:val="0"/>
          <w:szCs w:val="22"/>
          <w:lang w:eastAsia="en-US"/>
        </w:rPr>
        <w:t xml:space="preserve"> žarnų</w:t>
      </w:r>
      <w:r w:rsidR="00D34B1F" w:rsidRPr="00C21B99">
        <w:rPr>
          <w:snapToGrid w:val="0"/>
          <w:szCs w:val="22"/>
          <w:lang w:eastAsia="en-US"/>
        </w:rPr>
        <w:t xml:space="preserve"> prakiurimo</w:t>
      </w:r>
      <w:r w:rsidRPr="00C21B99">
        <w:rPr>
          <w:snapToGrid w:val="0"/>
          <w:szCs w:val="22"/>
          <w:lang w:eastAsia="en-US"/>
        </w:rPr>
        <w:t xml:space="preserve"> vietose.</w:t>
      </w:r>
    </w:p>
    <w:p w14:paraId="1BC85678" w14:textId="77777777" w:rsidR="00D34B1F" w:rsidRPr="00C21B99" w:rsidRDefault="00D34B1F" w:rsidP="006D6B75">
      <w:pPr>
        <w:widowControl w:val="0"/>
        <w:tabs>
          <w:tab w:val="left" w:pos="567"/>
        </w:tabs>
        <w:rPr>
          <w:snapToGrid w:val="0"/>
          <w:szCs w:val="22"/>
          <w:lang w:eastAsia="en-US"/>
        </w:rPr>
      </w:pPr>
    </w:p>
    <w:p w14:paraId="68B01267" w14:textId="000F37C7" w:rsidR="004573B7" w:rsidRDefault="00D34B1F" w:rsidP="00D34B1F">
      <w:pPr>
        <w:widowControl w:val="0"/>
        <w:tabs>
          <w:tab w:val="left" w:pos="567"/>
        </w:tabs>
        <w:rPr>
          <w:snapToGrid w:val="0"/>
          <w:szCs w:val="22"/>
          <w:lang w:eastAsia="en-US"/>
        </w:rPr>
      </w:pP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r w:rsidRPr="00C21B99">
        <w:rPr>
          <w:snapToGrid w:val="0"/>
          <w:szCs w:val="22"/>
          <w:lang w:eastAsia="en-US"/>
        </w:rPr>
        <w:t xml:space="preserve"> sudėtyje yra </w:t>
      </w:r>
      <w:r w:rsidR="004573B7">
        <w:rPr>
          <w:snapToGrid w:val="0"/>
          <w:szCs w:val="22"/>
          <w:lang w:eastAsia="en-US"/>
        </w:rPr>
        <w:t xml:space="preserve">natrio ir </w:t>
      </w:r>
      <w:r w:rsidRPr="00C21B99">
        <w:rPr>
          <w:snapToGrid w:val="0"/>
          <w:szCs w:val="22"/>
          <w:lang w:eastAsia="en-US"/>
        </w:rPr>
        <w:t>laktozės.</w:t>
      </w:r>
    </w:p>
    <w:p w14:paraId="45BEE3E4" w14:textId="77777777" w:rsidR="004573B7" w:rsidRDefault="004573B7" w:rsidP="00D34B1F">
      <w:pPr>
        <w:widowControl w:val="0"/>
        <w:tabs>
          <w:tab w:val="left" w:pos="567"/>
        </w:tabs>
        <w:rPr>
          <w:snapToGrid w:val="0"/>
          <w:szCs w:val="22"/>
          <w:lang w:eastAsia="en-US"/>
        </w:rPr>
      </w:pPr>
    </w:p>
    <w:p w14:paraId="03EDF96D" w14:textId="144C0AE0" w:rsidR="004573B7" w:rsidRDefault="004573B7" w:rsidP="00D34B1F">
      <w:pPr>
        <w:widowControl w:val="0"/>
        <w:tabs>
          <w:tab w:val="left" w:pos="567"/>
        </w:tabs>
        <w:rPr>
          <w:snapToGrid w:val="0"/>
          <w:szCs w:val="22"/>
          <w:lang w:eastAsia="en-US"/>
        </w:rPr>
      </w:pPr>
      <w:r w:rsidRPr="0023469D">
        <w:rPr>
          <w:snapToGrid w:val="0"/>
          <w:szCs w:val="22"/>
          <w:lang w:eastAsia="en-US"/>
        </w:rPr>
        <w:lastRenderedPageBreak/>
        <w:t>Šio vaist</w:t>
      </w:r>
      <w:r w:rsidR="006A4610">
        <w:rPr>
          <w:snapToGrid w:val="0"/>
          <w:szCs w:val="22"/>
          <w:lang w:eastAsia="en-US"/>
        </w:rPr>
        <w:t>inio preparato</w:t>
      </w:r>
      <w:r w:rsidRPr="0023469D">
        <w:rPr>
          <w:snapToGrid w:val="0"/>
          <w:szCs w:val="22"/>
          <w:lang w:eastAsia="en-US"/>
        </w:rPr>
        <w:t xml:space="preserve"> plėvele dengtoje tabletėje yra mažiau kaip 1 </w:t>
      </w:r>
      <w:proofErr w:type="spellStart"/>
      <w:r w:rsidRPr="0023469D">
        <w:rPr>
          <w:snapToGrid w:val="0"/>
          <w:szCs w:val="22"/>
          <w:lang w:eastAsia="en-US"/>
        </w:rPr>
        <w:t>mmol</w:t>
      </w:r>
      <w:proofErr w:type="spellEnd"/>
      <w:r w:rsidRPr="0023469D">
        <w:rPr>
          <w:snapToGrid w:val="0"/>
          <w:szCs w:val="22"/>
          <w:lang w:eastAsia="en-US"/>
        </w:rPr>
        <w:t xml:space="preserve"> (23 mg) natrio, t.</w:t>
      </w:r>
      <w:r w:rsidR="00687E51">
        <w:rPr>
          <w:snapToGrid w:val="0"/>
          <w:szCs w:val="22"/>
          <w:lang w:eastAsia="en-US"/>
        </w:rPr>
        <w:t xml:space="preserve"> </w:t>
      </w:r>
      <w:r w:rsidRPr="0023469D">
        <w:rPr>
          <w:snapToGrid w:val="0"/>
          <w:szCs w:val="22"/>
          <w:lang w:eastAsia="en-US"/>
        </w:rPr>
        <w:t>y. jis beveik</w:t>
      </w:r>
      <w:r w:rsidR="006A4610">
        <w:rPr>
          <w:snapToGrid w:val="0"/>
          <w:szCs w:val="22"/>
          <w:lang w:eastAsia="en-US"/>
        </w:rPr>
        <w:t xml:space="preserve"> </w:t>
      </w:r>
      <w:r w:rsidRPr="0023469D">
        <w:rPr>
          <w:snapToGrid w:val="0"/>
          <w:szCs w:val="22"/>
          <w:lang w:eastAsia="en-US"/>
        </w:rPr>
        <w:t>neturi reikšmės.</w:t>
      </w:r>
    </w:p>
    <w:p w14:paraId="5B8678E7" w14:textId="77777777" w:rsidR="004573B7" w:rsidRDefault="004573B7" w:rsidP="00D34B1F">
      <w:pPr>
        <w:widowControl w:val="0"/>
        <w:tabs>
          <w:tab w:val="left" w:pos="567"/>
        </w:tabs>
        <w:rPr>
          <w:snapToGrid w:val="0"/>
          <w:szCs w:val="22"/>
          <w:lang w:eastAsia="en-US"/>
        </w:rPr>
      </w:pPr>
    </w:p>
    <w:p w14:paraId="50D9197F" w14:textId="20702A29" w:rsidR="00D34B1F" w:rsidRDefault="00D34B1F" w:rsidP="00D34B1F">
      <w:pPr>
        <w:widowControl w:val="0"/>
        <w:tabs>
          <w:tab w:val="left" w:pos="567"/>
        </w:tabs>
        <w:rPr>
          <w:snapToGrid w:val="0"/>
          <w:szCs w:val="22"/>
          <w:lang w:eastAsia="en-US"/>
        </w:rPr>
      </w:pPr>
      <w:r w:rsidRPr="00C21B99">
        <w:rPr>
          <w:snapToGrid w:val="0"/>
          <w:szCs w:val="22"/>
          <w:lang w:eastAsia="en-US"/>
        </w:rPr>
        <w:t xml:space="preserve">Šio vaistinio preparato negalima vartoti pacientams, kuriems nustatytas retas paveldimas sutrikimas – </w:t>
      </w:r>
      <w:proofErr w:type="spellStart"/>
      <w:r w:rsidRPr="00C21B99">
        <w:rPr>
          <w:snapToGrid w:val="0"/>
          <w:szCs w:val="22"/>
          <w:lang w:eastAsia="en-US"/>
        </w:rPr>
        <w:t>galaktozės</w:t>
      </w:r>
      <w:proofErr w:type="spellEnd"/>
      <w:r w:rsidRPr="00C21B99">
        <w:rPr>
          <w:snapToGrid w:val="0"/>
          <w:szCs w:val="22"/>
          <w:lang w:eastAsia="en-US"/>
        </w:rPr>
        <w:t xml:space="preserve"> </w:t>
      </w:r>
      <w:proofErr w:type="spellStart"/>
      <w:r w:rsidRPr="00C21B99">
        <w:rPr>
          <w:snapToGrid w:val="0"/>
          <w:szCs w:val="22"/>
          <w:lang w:eastAsia="en-US"/>
        </w:rPr>
        <w:t>netoleravimas</w:t>
      </w:r>
      <w:proofErr w:type="spellEnd"/>
      <w:r w:rsidRPr="00C21B99">
        <w:rPr>
          <w:snapToGrid w:val="0"/>
          <w:szCs w:val="22"/>
          <w:lang w:eastAsia="en-US"/>
        </w:rPr>
        <w:t xml:space="preserve">, visiškas laktazės stygius arba gliukozės ir </w:t>
      </w:r>
      <w:proofErr w:type="spellStart"/>
      <w:r w:rsidRPr="00C21B99">
        <w:rPr>
          <w:snapToGrid w:val="0"/>
          <w:szCs w:val="22"/>
          <w:lang w:eastAsia="en-US"/>
        </w:rPr>
        <w:t>galaktozės</w:t>
      </w:r>
      <w:proofErr w:type="spellEnd"/>
      <w:r w:rsidRPr="00C21B99">
        <w:rPr>
          <w:snapToGrid w:val="0"/>
          <w:szCs w:val="22"/>
          <w:lang w:eastAsia="en-US"/>
        </w:rPr>
        <w:t xml:space="preserve"> </w:t>
      </w:r>
      <w:proofErr w:type="spellStart"/>
      <w:r w:rsidRPr="00C21B99">
        <w:rPr>
          <w:snapToGrid w:val="0"/>
          <w:szCs w:val="22"/>
          <w:lang w:eastAsia="en-US"/>
        </w:rPr>
        <w:t>malabsorbcija</w:t>
      </w:r>
      <w:proofErr w:type="spellEnd"/>
      <w:r w:rsidRPr="00C21B99">
        <w:rPr>
          <w:snapToGrid w:val="0"/>
          <w:szCs w:val="22"/>
          <w:lang w:eastAsia="en-US"/>
        </w:rPr>
        <w:t>.</w:t>
      </w:r>
    </w:p>
    <w:p w14:paraId="5DCE980C" w14:textId="77777777" w:rsidR="00D34B1F" w:rsidRPr="00C21B99" w:rsidRDefault="00D34B1F" w:rsidP="006D6B75">
      <w:pPr>
        <w:widowControl w:val="0"/>
        <w:tabs>
          <w:tab w:val="left" w:pos="567"/>
        </w:tabs>
        <w:rPr>
          <w:snapToGrid w:val="0"/>
          <w:szCs w:val="22"/>
          <w:lang w:eastAsia="en-US"/>
        </w:rPr>
      </w:pPr>
    </w:p>
    <w:p w14:paraId="59ABFD71" w14:textId="77777777" w:rsidR="006D6B75" w:rsidRPr="00C21B99" w:rsidRDefault="006D6B75" w:rsidP="006D6B75">
      <w:pPr>
        <w:widowControl w:val="0"/>
        <w:tabs>
          <w:tab w:val="left" w:pos="567"/>
        </w:tabs>
        <w:rPr>
          <w:b/>
          <w:snapToGrid w:val="0"/>
          <w:szCs w:val="22"/>
          <w:lang w:eastAsia="en-US"/>
        </w:rPr>
      </w:pPr>
      <w:r w:rsidRPr="00C21B99">
        <w:rPr>
          <w:b/>
          <w:snapToGrid w:val="0"/>
          <w:szCs w:val="22"/>
          <w:lang w:eastAsia="en-US"/>
        </w:rPr>
        <w:t>4.5</w:t>
      </w:r>
      <w:r w:rsidR="00D34B1F" w:rsidRPr="00C21B99">
        <w:rPr>
          <w:b/>
          <w:snapToGrid w:val="0"/>
          <w:szCs w:val="22"/>
          <w:lang w:eastAsia="en-US"/>
        </w:rPr>
        <w:tab/>
      </w:r>
      <w:r w:rsidRPr="00C21B99">
        <w:rPr>
          <w:b/>
          <w:snapToGrid w:val="0"/>
          <w:szCs w:val="22"/>
          <w:lang w:eastAsia="en-US"/>
        </w:rPr>
        <w:t>Sąveika su kitais vaistiniais preparatais ir kitokia sąveika</w:t>
      </w:r>
    </w:p>
    <w:p w14:paraId="3626C645" w14:textId="77777777" w:rsidR="00D34B1F" w:rsidRPr="00C21B99" w:rsidRDefault="00D34B1F" w:rsidP="006D6B75">
      <w:pPr>
        <w:widowControl w:val="0"/>
        <w:tabs>
          <w:tab w:val="left" w:pos="567"/>
        </w:tabs>
        <w:rPr>
          <w:snapToGrid w:val="0"/>
          <w:szCs w:val="22"/>
          <w:lang w:eastAsia="en-US"/>
        </w:rPr>
      </w:pPr>
    </w:p>
    <w:p w14:paraId="08912654" w14:textId="77777777" w:rsidR="006D6B75" w:rsidRPr="00C21B99" w:rsidRDefault="006D6B75" w:rsidP="006D6B75">
      <w:pPr>
        <w:widowControl w:val="0"/>
        <w:tabs>
          <w:tab w:val="left" w:pos="567"/>
        </w:tabs>
        <w:rPr>
          <w:snapToGrid w:val="0"/>
          <w:szCs w:val="22"/>
          <w:lang w:eastAsia="en-US"/>
        </w:rPr>
      </w:pPr>
      <w:proofErr w:type="spellStart"/>
      <w:r w:rsidRPr="00C21B99">
        <w:rPr>
          <w:snapToGrid w:val="0"/>
          <w:szCs w:val="22"/>
          <w:lang w:eastAsia="en-US"/>
        </w:rPr>
        <w:t>Gefitinibą</w:t>
      </w:r>
      <w:proofErr w:type="spellEnd"/>
      <w:r w:rsidRPr="00C21B99">
        <w:rPr>
          <w:snapToGrid w:val="0"/>
          <w:szCs w:val="22"/>
          <w:lang w:eastAsia="en-US"/>
        </w:rPr>
        <w:t xml:space="preserve"> </w:t>
      </w:r>
      <w:proofErr w:type="spellStart"/>
      <w:r w:rsidRPr="00C21B99">
        <w:rPr>
          <w:snapToGrid w:val="0"/>
          <w:szCs w:val="22"/>
          <w:lang w:eastAsia="en-US"/>
        </w:rPr>
        <w:t>metabolizuoja</w:t>
      </w:r>
      <w:proofErr w:type="spellEnd"/>
      <w:r w:rsidRPr="00C21B99">
        <w:rPr>
          <w:snapToGrid w:val="0"/>
          <w:szCs w:val="22"/>
          <w:lang w:eastAsia="en-US"/>
        </w:rPr>
        <w:t xml:space="preserve"> </w:t>
      </w:r>
      <w:proofErr w:type="spellStart"/>
      <w:r w:rsidRPr="00C21B99">
        <w:rPr>
          <w:snapToGrid w:val="0"/>
          <w:szCs w:val="22"/>
          <w:lang w:eastAsia="en-US"/>
        </w:rPr>
        <w:t>citochromo</w:t>
      </w:r>
      <w:proofErr w:type="spellEnd"/>
      <w:r w:rsidRPr="00C21B99">
        <w:rPr>
          <w:snapToGrid w:val="0"/>
          <w:szCs w:val="22"/>
          <w:lang w:eastAsia="en-US"/>
        </w:rPr>
        <w:t xml:space="preserve"> P450 </w:t>
      </w:r>
      <w:proofErr w:type="spellStart"/>
      <w:r w:rsidRPr="00C21B99">
        <w:rPr>
          <w:snapToGrid w:val="0"/>
          <w:szCs w:val="22"/>
          <w:lang w:eastAsia="en-US"/>
        </w:rPr>
        <w:t>izofermentai</w:t>
      </w:r>
      <w:proofErr w:type="spellEnd"/>
      <w:r w:rsidRPr="00C21B99">
        <w:rPr>
          <w:snapToGrid w:val="0"/>
          <w:szCs w:val="22"/>
          <w:lang w:eastAsia="en-US"/>
        </w:rPr>
        <w:t xml:space="preserve"> CYP3A4 (daugiausia) ir CYP2D6.</w:t>
      </w:r>
    </w:p>
    <w:p w14:paraId="43780F26" w14:textId="77777777" w:rsidR="00BB70CE" w:rsidRPr="00C21B99" w:rsidRDefault="00BB70CE" w:rsidP="006D6B75">
      <w:pPr>
        <w:widowControl w:val="0"/>
        <w:tabs>
          <w:tab w:val="left" w:pos="567"/>
        </w:tabs>
        <w:rPr>
          <w:snapToGrid w:val="0"/>
          <w:szCs w:val="22"/>
          <w:lang w:eastAsia="en-US"/>
        </w:rPr>
      </w:pPr>
    </w:p>
    <w:p w14:paraId="6FEA0C34" w14:textId="77777777" w:rsidR="006D6B75" w:rsidRPr="00C21B99" w:rsidRDefault="006D6B75" w:rsidP="006D6B75">
      <w:pPr>
        <w:widowControl w:val="0"/>
        <w:tabs>
          <w:tab w:val="left" w:pos="567"/>
        </w:tabs>
        <w:rPr>
          <w:i/>
          <w:snapToGrid w:val="0"/>
          <w:szCs w:val="22"/>
          <w:lang w:eastAsia="en-US"/>
        </w:rPr>
      </w:pPr>
      <w:r w:rsidRPr="00C21B99">
        <w:rPr>
          <w:i/>
          <w:snapToGrid w:val="0"/>
          <w:szCs w:val="22"/>
          <w:lang w:eastAsia="en-US"/>
        </w:rPr>
        <w:t xml:space="preserve">Veikliosios medžiagos, kurios gali padidinti </w:t>
      </w:r>
      <w:proofErr w:type="spellStart"/>
      <w:r w:rsidRPr="00C21B99">
        <w:rPr>
          <w:i/>
          <w:snapToGrid w:val="0"/>
          <w:szCs w:val="22"/>
          <w:lang w:eastAsia="en-US"/>
        </w:rPr>
        <w:t>gefitinibo</w:t>
      </w:r>
      <w:proofErr w:type="spellEnd"/>
      <w:r w:rsidRPr="00C21B99">
        <w:rPr>
          <w:i/>
          <w:snapToGrid w:val="0"/>
          <w:szCs w:val="22"/>
          <w:lang w:eastAsia="en-US"/>
        </w:rPr>
        <w:t xml:space="preserve"> koncentracij</w:t>
      </w:r>
      <w:r w:rsidR="00BB70CE" w:rsidRPr="00C21B99">
        <w:rPr>
          <w:i/>
          <w:snapToGrid w:val="0"/>
          <w:szCs w:val="22"/>
          <w:lang w:eastAsia="en-US"/>
        </w:rPr>
        <w:t>as</w:t>
      </w:r>
      <w:r w:rsidRPr="00C21B99">
        <w:rPr>
          <w:i/>
          <w:snapToGrid w:val="0"/>
          <w:szCs w:val="22"/>
          <w:lang w:eastAsia="en-US"/>
        </w:rPr>
        <w:t xml:space="preserve"> plazmoje</w:t>
      </w:r>
    </w:p>
    <w:p w14:paraId="00E31A36"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Tyrimų </w:t>
      </w:r>
      <w:proofErr w:type="spellStart"/>
      <w:r w:rsidRPr="00C21B99">
        <w:rPr>
          <w:i/>
          <w:snapToGrid w:val="0"/>
          <w:szCs w:val="22"/>
          <w:lang w:eastAsia="en-US"/>
        </w:rPr>
        <w:t>in</w:t>
      </w:r>
      <w:proofErr w:type="spellEnd"/>
      <w:r w:rsidRPr="00C21B99">
        <w:rPr>
          <w:i/>
          <w:snapToGrid w:val="0"/>
          <w:szCs w:val="22"/>
          <w:lang w:eastAsia="en-US"/>
        </w:rPr>
        <w:t xml:space="preserve"> </w:t>
      </w:r>
      <w:proofErr w:type="spellStart"/>
      <w:r w:rsidRPr="00C21B99">
        <w:rPr>
          <w:i/>
          <w:snapToGrid w:val="0"/>
          <w:szCs w:val="22"/>
          <w:lang w:eastAsia="en-US"/>
        </w:rPr>
        <w:t>vitro</w:t>
      </w:r>
      <w:proofErr w:type="spellEnd"/>
      <w:r w:rsidRPr="00C21B99">
        <w:rPr>
          <w:snapToGrid w:val="0"/>
          <w:szCs w:val="22"/>
          <w:lang w:eastAsia="en-US"/>
        </w:rPr>
        <w:t xml:space="preserve"> duomenimis, </w:t>
      </w:r>
      <w:proofErr w:type="spellStart"/>
      <w:r w:rsidRPr="00C21B99">
        <w:rPr>
          <w:snapToGrid w:val="0"/>
          <w:szCs w:val="22"/>
          <w:lang w:eastAsia="en-US"/>
        </w:rPr>
        <w:t>gefitinibas</w:t>
      </w:r>
      <w:proofErr w:type="spellEnd"/>
      <w:r w:rsidRPr="00C21B99">
        <w:rPr>
          <w:snapToGrid w:val="0"/>
          <w:szCs w:val="22"/>
          <w:lang w:eastAsia="en-US"/>
        </w:rPr>
        <w:t xml:space="preserve"> yra p-</w:t>
      </w:r>
      <w:proofErr w:type="spellStart"/>
      <w:r w:rsidRPr="00C21B99">
        <w:rPr>
          <w:snapToGrid w:val="0"/>
          <w:szCs w:val="22"/>
          <w:lang w:eastAsia="en-US"/>
        </w:rPr>
        <w:t>glikoproteino</w:t>
      </w:r>
      <w:proofErr w:type="spellEnd"/>
      <w:r w:rsidRPr="00C21B99">
        <w:rPr>
          <w:snapToGrid w:val="0"/>
          <w:szCs w:val="22"/>
          <w:lang w:eastAsia="en-US"/>
        </w:rPr>
        <w:t xml:space="preserve"> (</w:t>
      </w:r>
      <w:proofErr w:type="spellStart"/>
      <w:r w:rsidRPr="00C21B99">
        <w:rPr>
          <w:snapToGrid w:val="0"/>
          <w:szCs w:val="22"/>
          <w:lang w:eastAsia="en-US"/>
        </w:rPr>
        <w:t>Pgp</w:t>
      </w:r>
      <w:proofErr w:type="spellEnd"/>
      <w:r w:rsidRPr="00C21B99">
        <w:rPr>
          <w:snapToGrid w:val="0"/>
          <w:szCs w:val="22"/>
          <w:lang w:eastAsia="en-US"/>
        </w:rPr>
        <w:t>) substratas. Turimi duomenys</w:t>
      </w:r>
      <w:r w:rsidR="00BB70CE" w:rsidRPr="00C21B99">
        <w:rPr>
          <w:snapToGrid w:val="0"/>
          <w:szCs w:val="22"/>
          <w:lang w:eastAsia="en-US"/>
        </w:rPr>
        <w:t xml:space="preserve"> </w:t>
      </w:r>
      <w:r w:rsidRPr="00C21B99">
        <w:rPr>
          <w:snapToGrid w:val="0"/>
          <w:szCs w:val="22"/>
          <w:lang w:eastAsia="en-US"/>
        </w:rPr>
        <w:t xml:space="preserve">nerodo, kad ši </w:t>
      </w:r>
      <w:proofErr w:type="spellStart"/>
      <w:r w:rsidRPr="00C21B99">
        <w:rPr>
          <w:i/>
          <w:snapToGrid w:val="0"/>
          <w:szCs w:val="22"/>
          <w:lang w:eastAsia="en-US"/>
        </w:rPr>
        <w:t>in</w:t>
      </w:r>
      <w:proofErr w:type="spellEnd"/>
      <w:r w:rsidRPr="00C21B99">
        <w:rPr>
          <w:i/>
          <w:snapToGrid w:val="0"/>
          <w:szCs w:val="22"/>
          <w:lang w:eastAsia="en-US"/>
        </w:rPr>
        <w:t xml:space="preserve"> </w:t>
      </w:r>
      <w:proofErr w:type="spellStart"/>
      <w:r w:rsidRPr="00C21B99">
        <w:rPr>
          <w:i/>
          <w:snapToGrid w:val="0"/>
          <w:szCs w:val="22"/>
          <w:lang w:eastAsia="en-US"/>
        </w:rPr>
        <w:t>vitro</w:t>
      </w:r>
      <w:proofErr w:type="spellEnd"/>
      <w:r w:rsidRPr="00C21B99">
        <w:rPr>
          <w:snapToGrid w:val="0"/>
          <w:szCs w:val="22"/>
          <w:lang w:eastAsia="en-US"/>
        </w:rPr>
        <w:t xml:space="preserve"> nustatyta savybė turėtų klinikinės reikšmės.</w:t>
      </w:r>
    </w:p>
    <w:p w14:paraId="23712BB6"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Medžiagos, slopinančios CYP3A4, gali mažinti </w:t>
      </w:r>
      <w:proofErr w:type="spellStart"/>
      <w:r w:rsidRPr="00C21B99">
        <w:rPr>
          <w:snapToGrid w:val="0"/>
          <w:szCs w:val="22"/>
          <w:lang w:eastAsia="en-US"/>
        </w:rPr>
        <w:t>gefitinibo</w:t>
      </w:r>
      <w:proofErr w:type="spellEnd"/>
      <w:r w:rsidRPr="00C21B99">
        <w:rPr>
          <w:snapToGrid w:val="0"/>
          <w:szCs w:val="22"/>
          <w:lang w:eastAsia="en-US"/>
        </w:rPr>
        <w:t xml:space="preserve"> klirensą. </w:t>
      </w:r>
      <w:r w:rsidR="00BB70CE" w:rsidRPr="00C21B99">
        <w:rPr>
          <w:snapToGrid w:val="0"/>
          <w:szCs w:val="22"/>
          <w:lang w:eastAsia="en-US"/>
        </w:rPr>
        <w:t>V</w:t>
      </w:r>
      <w:r w:rsidRPr="00C21B99">
        <w:rPr>
          <w:snapToGrid w:val="0"/>
          <w:szCs w:val="22"/>
          <w:lang w:eastAsia="en-US"/>
        </w:rPr>
        <w:t xml:space="preserve">artojant </w:t>
      </w:r>
      <w:r w:rsidR="00BB70CE" w:rsidRPr="00C21B99">
        <w:rPr>
          <w:snapToGrid w:val="0"/>
          <w:szCs w:val="22"/>
          <w:lang w:eastAsia="en-US"/>
        </w:rPr>
        <w:t xml:space="preserve">kartu su </w:t>
      </w:r>
      <w:r w:rsidRPr="00C21B99">
        <w:rPr>
          <w:snapToGrid w:val="0"/>
          <w:szCs w:val="22"/>
          <w:lang w:eastAsia="en-US"/>
        </w:rPr>
        <w:t>vaistini</w:t>
      </w:r>
      <w:r w:rsidR="00BB70CE" w:rsidRPr="00C21B99">
        <w:rPr>
          <w:snapToGrid w:val="0"/>
          <w:szCs w:val="22"/>
          <w:lang w:eastAsia="en-US"/>
        </w:rPr>
        <w:t xml:space="preserve">ais </w:t>
      </w:r>
      <w:r w:rsidRPr="00C21B99">
        <w:rPr>
          <w:snapToGrid w:val="0"/>
          <w:szCs w:val="22"/>
          <w:lang w:eastAsia="en-US"/>
        </w:rPr>
        <w:t>preparat</w:t>
      </w:r>
      <w:r w:rsidR="00BB70CE" w:rsidRPr="00C21B99">
        <w:rPr>
          <w:snapToGrid w:val="0"/>
          <w:szCs w:val="22"/>
          <w:lang w:eastAsia="en-US"/>
        </w:rPr>
        <w:t>ais</w:t>
      </w:r>
      <w:r w:rsidRPr="00C21B99">
        <w:rPr>
          <w:snapToGrid w:val="0"/>
          <w:szCs w:val="22"/>
          <w:lang w:eastAsia="en-US"/>
        </w:rPr>
        <w:t>, kurie</w:t>
      </w:r>
      <w:r w:rsidR="00BB70CE" w:rsidRPr="00C21B99">
        <w:rPr>
          <w:snapToGrid w:val="0"/>
          <w:szCs w:val="22"/>
          <w:lang w:eastAsia="en-US"/>
        </w:rPr>
        <w:t xml:space="preserve"> yra stiprūs</w:t>
      </w:r>
      <w:r w:rsidRPr="00C21B99">
        <w:rPr>
          <w:snapToGrid w:val="0"/>
          <w:szCs w:val="22"/>
          <w:lang w:eastAsia="en-US"/>
        </w:rPr>
        <w:t xml:space="preserve"> CYP3A4 </w:t>
      </w:r>
      <w:r w:rsidR="00BB70CE" w:rsidRPr="00C21B99">
        <w:rPr>
          <w:snapToGrid w:val="0"/>
          <w:szCs w:val="22"/>
          <w:lang w:eastAsia="en-US"/>
        </w:rPr>
        <w:t xml:space="preserve">inhibitoriai </w:t>
      </w:r>
      <w:r w:rsidRPr="00C21B99">
        <w:rPr>
          <w:snapToGrid w:val="0"/>
          <w:szCs w:val="22"/>
          <w:lang w:eastAsia="en-US"/>
        </w:rPr>
        <w:t xml:space="preserve">(pvz., </w:t>
      </w:r>
      <w:proofErr w:type="spellStart"/>
      <w:r w:rsidRPr="00C21B99">
        <w:rPr>
          <w:snapToGrid w:val="0"/>
          <w:szCs w:val="22"/>
          <w:lang w:eastAsia="en-US"/>
        </w:rPr>
        <w:t>ketokonazol</w:t>
      </w:r>
      <w:r w:rsidR="00BB70CE" w:rsidRPr="00C21B99">
        <w:rPr>
          <w:snapToGrid w:val="0"/>
          <w:szCs w:val="22"/>
          <w:lang w:eastAsia="en-US"/>
        </w:rPr>
        <w:t>u</w:t>
      </w:r>
      <w:proofErr w:type="spellEnd"/>
      <w:r w:rsidRPr="00C21B99">
        <w:rPr>
          <w:snapToGrid w:val="0"/>
          <w:szCs w:val="22"/>
          <w:lang w:eastAsia="en-US"/>
        </w:rPr>
        <w:t xml:space="preserve">, </w:t>
      </w:r>
      <w:proofErr w:type="spellStart"/>
      <w:r w:rsidRPr="00C21B99">
        <w:rPr>
          <w:snapToGrid w:val="0"/>
          <w:szCs w:val="22"/>
          <w:lang w:eastAsia="en-US"/>
        </w:rPr>
        <w:t>pozakonazol</w:t>
      </w:r>
      <w:r w:rsidR="00BB70CE" w:rsidRPr="00C21B99">
        <w:rPr>
          <w:snapToGrid w:val="0"/>
          <w:szCs w:val="22"/>
          <w:lang w:eastAsia="en-US"/>
        </w:rPr>
        <w:t>u</w:t>
      </w:r>
      <w:proofErr w:type="spellEnd"/>
      <w:r w:rsidRPr="00C21B99">
        <w:rPr>
          <w:snapToGrid w:val="0"/>
          <w:szCs w:val="22"/>
          <w:lang w:eastAsia="en-US"/>
        </w:rPr>
        <w:t xml:space="preserve">, </w:t>
      </w:r>
      <w:proofErr w:type="spellStart"/>
      <w:r w:rsidRPr="00C21B99">
        <w:rPr>
          <w:snapToGrid w:val="0"/>
          <w:szCs w:val="22"/>
          <w:lang w:eastAsia="en-US"/>
        </w:rPr>
        <w:t>vorikonazol</w:t>
      </w:r>
      <w:r w:rsidR="00BB70CE" w:rsidRPr="00C21B99">
        <w:rPr>
          <w:snapToGrid w:val="0"/>
          <w:szCs w:val="22"/>
          <w:lang w:eastAsia="en-US"/>
        </w:rPr>
        <w:t>u</w:t>
      </w:r>
      <w:proofErr w:type="spellEnd"/>
      <w:r w:rsidRPr="00C21B99">
        <w:rPr>
          <w:snapToGrid w:val="0"/>
          <w:szCs w:val="22"/>
          <w:lang w:eastAsia="en-US"/>
        </w:rPr>
        <w:t>, proteazės</w:t>
      </w:r>
      <w:r w:rsidR="00BB70CE" w:rsidRPr="00C21B99">
        <w:rPr>
          <w:snapToGrid w:val="0"/>
          <w:szCs w:val="22"/>
          <w:lang w:eastAsia="en-US"/>
        </w:rPr>
        <w:t xml:space="preserve"> </w:t>
      </w:r>
      <w:r w:rsidRPr="00C21B99">
        <w:rPr>
          <w:snapToGrid w:val="0"/>
          <w:szCs w:val="22"/>
          <w:lang w:eastAsia="en-US"/>
        </w:rPr>
        <w:t>inhibitori</w:t>
      </w:r>
      <w:r w:rsidR="00BB70CE" w:rsidRPr="00C21B99">
        <w:rPr>
          <w:snapToGrid w:val="0"/>
          <w:szCs w:val="22"/>
          <w:lang w:eastAsia="en-US"/>
        </w:rPr>
        <w:t>ais</w:t>
      </w:r>
      <w:r w:rsidRPr="00C21B99">
        <w:rPr>
          <w:snapToGrid w:val="0"/>
          <w:szCs w:val="22"/>
          <w:lang w:eastAsia="en-US"/>
        </w:rPr>
        <w:t xml:space="preserve">, </w:t>
      </w:r>
      <w:proofErr w:type="spellStart"/>
      <w:r w:rsidRPr="00C21B99">
        <w:rPr>
          <w:snapToGrid w:val="0"/>
          <w:szCs w:val="22"/>
          <w:lang w:eastAsia="en-US"/>
        </w:rPr>
        <w:t>klaritromicin</w:t>
      </w:r>
      <w:r w:rsidR="00BB70CE" w:rsidRPr="00C21B99">
        <w:rPr>
          <w:snapToGrid w:val="0"/>
          <w:szCs w:val="22"/>
          <w:lang w:eastAsia="en-US"/>
        </w:rPr>
        <w:t>u</w:t>
      </w:r>
      <w:proofErr w:type="spellEnd"/>
      <w:r w:rsidRPr="00C21B99">
        <w:rPr>
          <w:snapToGrid w:val="0"/>
          <w:szCs w:val="22"/>
          <w:lang w:eastAsia="en-US"/>
        </w:rPr>
        <w:t xml:space="preserve">, </w:t>
      </w:r>
      <w:proofErr w:type="spellStart"/>
      <w:r w:rsidRPr="00C21B99">
        <w:rPr>
          <w:snapToGrid w:val="0"/>
          <w:szCs w:val="22"/>
          <w:lang w:eastAsia="en-US"/>
        </w:rPr>
        <w:t>telitromicin</w:t>
      </w:r>
      <w:r w:rsidR="00BB70CE" w:rsidRPr="00C21B99">
        <w:rPr>
          <w:snapToGrid w:val="0"/>
          <w:szCs w:val="22"/>
          <w:lang w:eastAsia="en-US"/>
        </w:rPr>
        <w:t>u</w:t>
      </w:r>
      <w:proofErr w:type="spellEnd"/>
      <w:r w:rsidRPr="00C21B99">
        <w:rPr>
          <w:snapToGrid w:val="0"/>
          <w:szCs w:val="22"/>
          <w:lang w:eastAsia="en-US"/>
        </w:rPr>
        <w:t xml:space="preserve">), gali padidėti </w:t>
      </w:r>
      <w:proofErr w:type="spellStart"/>
      <w:r w:rsidRPr="00C21B99">
        <w:rPr>
          <w:snapToGrid w:val="0"/>
          <w:szCs w:val="22"/>
          <w:lang w:eastAsia="en-US"/>
        </w:rPr>
        <w:t>gefitinibo</w:t>
      </w:r>
      <w:proofErr w:type="spellEnd"/>
      <w:r w:rsidRPr="00C21B99">
        <w:rPr>
          <w:snapToGrid w:val="0"/>
          <w:szCs w:val="22"/>
          <w:lang w:eastAsia="en-US"/>
        </w:rPr>
        <w:t xml:space="preserve"> koncentracij</w:t>
      </w:r>
      <w:r w:rsidR="00BB70CE" w:rsidRPr="00C21B99">
        <w:rPr>
          <w:snapToGrid w:val="0"/>
          <w:szCs w:val="22"/>
          <w:lang w:eastAsia="en-US"/>
        </w:rPr>
        <w:t>os</w:t>
      </w:r>
      <w:r w:rsidRPr="00C21B99">
        <w:rPr>
          <w:snapToGrid w:val="0"/>
          <w:szCs w:val="22"/>
          <w:lang w:eastAsia="en-US"/>
        </w:rPr>
        <w:t xml:space="preserve"> plazmoje. Šis</w:t>
      </w:r>
      <w:r w:rsidR="00BB70CE" w:rsidRPr="00C21B99">
        <w:rPr>
          <w:snapToGrid w:val="0"/>
          <w:szCs w:val="22"/>
          <w:lang w:eastAsia="en-US"/>
        </w:rPr>
        <w:t xml:space="preserve"> </w:t>
      </w:r>
      <w:r w:rsidRPr="00C21B99">
        <w:rPr>
          <w:snapToGrid w:val="0"/>
          <w:szCs w:val="22"/>
          <w:lang w:eastAsia="en-US"/>
        </w:rPr>
        <w:t xml:space="preserve">padidėjimas gali būti kliniškai reikšmingas, kadangi </w:t>
      </w:r>
      <w:proofErr w:type="spellStart"/>
      <w:r w:rsidRPr="00C21B99">
        <w:rPr>
          <w:snapToGrid w:val="0"/>
          <w:szCs w:val="22"/>
          <w:lang w:eastAsia="en-US"/>
        </w:rPr>
        <w:t>gefitinibo</w:t>
      </w:r>
      <w:proofErr w:type="spellEnd"/>
      <w:r w:rsidRPr="00C21B99">
        <w:rPr>
          <w:snapToGrid w:val="0"/>
          <w:szCs w:val="22"/>
          <w:lang w:eastAsia="en-US"/>
        </w:rPr>
        <w:t xml:space="preserve"> nepageidaujamos reakcijos yra</w:t>
      </w:r>
      <w:r w:rsidR="00BB70CE" w:rsidRPr="00C21B99">
        <w:rPr>
          <w:snapToGrid w:val="0"/>
          <w:szCs w:val="22"/>
          <w:lang w:eastAsia="en-US"/>
        </w:rPr>
        <w:t xml:space="preserve"> </w:t>
      </w:r>
      <w:r w:rsidRPr="00C21B99">
        <w:rPr>
          <w:snapToGrid w:val="0"/>
          <w:szCs w:val="22"/>
          <w:lang w:eastAsia="en-US"/>
        </w:rPr>
        <w:t xml:space="preserve">susijusios su jo doze ir ekspozicija. </w:t>
      </w:r>
      <w:r w:rsidR="00BB70CE" w:rsidRPr="00C21B99">
        <w:rPr>
          <w:snapToGrid w:val="0"/>
          <w:szCs w:val="22"/>
          <w:lang w:eastAsia="en-US"/>
        </w:rPr>
        <w:t xml:space="preserve">Konkretiems pacientams, kurie pagal genotipą yra silpni CYP2D6 </w:t>
      </w:r>
      <w:proofErr w:type="spellStart"/>
      <w:r w:rsidR="00BB70CE" w:rsidRPr="00C21B99">
        <w:rPr>
          <w:snapToGrid w:val="0"/>
          <w:szCs w:val="22"/>
          <w:lang w:eastAsia="en-US"/>
        </w:rPr>
        <w:t>metabolizuotojai</w:t>
      </w:r>
      <w:proofErr w:type="spellEnd"/>
      <w:r w:rsidR="00BB70CE" w:rsidRPr="00C21B99">
        <w:rPr>
          <w:snapToGrid w:val="0"/>
          <w:szCs w:val="22"/>
          <w:lang w:eastAsia="en-US"/>
        </w:rPr>
        <w:t xml:space="preserve">, </w:t>
      </w:r>
      <w:r w:rsidRPr="00C21B99">
        <w:rPr>
          <w:snapToGrid w:val="0"/>
          <w:szCs w:val="22"/>
          <w:lang w:eastAsia="en-US"/>
        </w:rPr>
        <w:t xml:space="preserve">šis padidėjimas gali būti ryškesnis. </w:t>
      </w:r>
      <w:r w:rsidR="00AB1B13" w:rsidRPr="00C21B99">
        <w:rPr>
          <w:snapToGrid w:val="0"/>
          <w:szCs w:val="22"/>
          <w:lang w:eastAsia="en-US"/>
        </w:rPr>
        <w:t>Iš anksčiau taikomas gydymas</w:t>
      </w:r>
      <w:r w:rsidRPr="00C21B99">
        <w:rPr>
          <w:snapToGrid w:val="0"/>
          <w:szCs w:val="22"/>
          <w:lang w:eastAsia="en-US"/>
        </w:rPr>
        <w:t xml:space="preserve"> </w:t>
      </w:r>
      <w:proofErr w:type="spellStart"/>
      <w:r w:rsidRPr="00C21B99">
        <w:rPr>
          <w:snapToGrid w:val="0"/>
          <w:szCs w:val="22"/>
          <w:lang w:eastAsia="en-US"/>
        </w:rPr>
        <w:t>itrakonazol</w:t>
      </w:r>
      <w:r w:rsidR="00AB1B13" w:rsidRPr="00C21B99">
        <w:rPr>
          <w:snapToGrid w:val="0"/>
          <w:szCs w:val="22"/>
          <w:lang w:eastAsia="en-US"/>
        </w:rPr>
        <w:t>u</w:t>
      </w:r>
      <w:proofErr w:type="spellEnd"/>
      <w:r w:rsidRPr="00C21B99">
        <w:rPr>
          <w:snapToGrid w:val="0"/>
          <w:szCs w:val="22"/>
          <w:lang w:eastAsia="en-US"/>
        </w:rPr>
        <w:t>, kuris stipriai slopina</w:t>
      </w:r>
      <w:r w:rsidR="00AB1B13" w:rsidRPr="00C21B99">
        <w:rPr>
          <w:snapToGrid w:val="0"/>
          <w:szCs w:val="22"/>
          <w:lang w:eastAsia="en-US"/>
        </w:rPr>
        <w:t xml:space="preserve"> </w:t>
      </w:r>
      <w:r w:rsidRPr="00C21B99">
        <w:rPr>
          <w:snapToGrid w:val="0"/>
          <w:szCs w:val="22"/>
          <w:lang w:eastAsia="en-US"/>
        </w:rPr>
        <w:t xml:space="preserve">CYP3A4, sveikiems savanoriams sukėlė </w:t>
      </w:r>
      <w:proofErr w:type="spellStart"/>
      <w:r w:rsidRPr="00C21B99">
        <w:rPr>
          <w:snapToGrid w:val="0"/>
          <w:szCs w:val="22"/>
          <w:lang w:eastAsia="en-US"/>
        </w:rPr>
        <w:t>gefitinibo</w:t>
      </w:r>
      <w:proofErr w:type="spellEnd"/>
      <w:r w:rsidRPr="00C21B99">
        <w:rPr>
          <w:snapToGrid w:val="0"/>
          <w:szCs w:val="22"/>
          <w:lang w:eastAsia="en-US"/>
        </w:rPr>
        <w:t xml:space="preserve"> vidutinio AUC padidėjimą 80%. Jeigu </w:t>
      </w:r>
      <w:r w:rsidR="00AB1B13" w:rsidRPr="00C21B99">
        <w:rPr>
          <w:snapToGrid w:val="0"/>
          <w:szCs w:val="22"/>
          <w:lang w:eastAsia="en-US"/>
        </w:rPr>
        <w:t xml:space="preserve">taikomas gydymas </w:t>
      </w:r>
      <w:proofErr w:type="spellStart"/>
      <w:r w:rsidR="00AB1B13" w:rsidRPr="00C21B99">
        <w:rPr>
          <w:snapToGrid w:val="0"/>
          <w:szCs w:val="22"/>
          <w:lang w:eastAsia="en-US"/>
        </w:rPr>
        <w:t>gefitinibu</w:t>
      </w:r>
      <w:proofErr w:type="spellEnd"/>
      <w:r w:rsidR="00AB1B13" w:rsidRPr="00C21B99">
        <w:rPr>
          <w:snapToGrid w:val="0"/>
          <w:szCs w:val="22"/>
          <w:lang w:eastAsia="en-US"/>
        </w:rPr>
        <w:t xml:space="preserve"> kartu su vaistiniais preparatais</w:t>
      </w:r>
      <w:r w:rsidRPr="00C21B99">
        <w:rPr>
          <w:snapToGrid w:val="0"/>
          <w:szCs w:val="22"/>
          <w:lang w:eastAsia="en-US"/>
        </w:rPr>
        <w:t xml:space="preserve">, kurie stipriai slopina CYP3A4, pacientą reikia atidžiai stebėti dėl </w:t>
      </w:r>
      <w:proofErr w:type="spellStart"/>
      <w:r w:rsidRPr="00C21B99">
        <w:rPr>
          <w:snapToGrid w:val="0"/>
          <w:szCs w:val="22"/>
          <w:lang w:eastAsia="en-US"/>
        </w:rPr>
        <w:t>gefitinibo</w:t>
      </w:r>
      <w:proofErr w:type="spellEnd"/>
      <w:r w:rsidRPr="00C21B99">
        <w:rPr>
          <w:snapToGrid w:val="0"/>
          <w:szCs w:val="22"/>
          <w:lang w:eastAsia="en-US"/>
        </w:rPr>
        <w:t xml:space="preserve"> nepageidaujamų reakcijų.</w:t>
      </w:r>
    </w:p>
    <w:p w14:paraId="47A6B165"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Duomenų apie </w:t>
      </w:r>
      <w:r w:rsidR="00D07D17" w:rsidRPr="00C21B99">
        <w:rPr>
          <w:snapToGrid w:val="0"/>
          <w:szCs w:val="22"/>
          <w:lang w:eastAsia="en-US"/>
        </w:rPr>
        <w:t xml:space="preserve">gydymą kartu su </w:t>
      </w:r>
      <w:r w:rsidRPr="00C21B99">
        <w:rPr>
          <w:snapToGrid w:val="0"/>
          <w:szCs w:val="22"/>
          <w:lang w:eastAsia="en-US"/>
        </w:rPr>
        <w:t>CYP2D6 inhibitori</w:t>
      </w:r>
      <w:r w:rsidR="00D07D17" w:rsidRPr="00C21B99">
        <w:rPr>
          <w:snapToGrid w:val="0"/>
          <w:szCs w:val="22"/>
          <w:lang w:eastAsia="en-US"/>
        </w:rPr>
        <w:t>umi</w:t>
      </w:r>
      <w:r w:rsidRPr="00C21B99">
        <w:rPr>
          <w:snapToGrid w:val="0"/>
          <w:szCs w:val="22"/>
          <w:lang w:eastAsia="en-US"/>
        </w:rPr>
        <w:t xml:space="preserve"> nėra, tačiau </w:t>
      </w:r>
      <w:r w:rsidR="00D07D17" w:rsidRPr="00C21B99">
        <w:rPr>
          <w:snapToGrid w:val="0"/>
          <w:szCs w:val="22"/>
          <w:lang w:eastAsia="en-US"/>
        </w:rPr>
        <w:t>stiprūs šio fermento inhibitoriai</w:t>
      </w:r>
      <w:r w:rsidRPr="00C21B99">
        <w:rPr>
          <w:snapToGrid w:val="0"/>
          <w:szCs w:val="22"/>
          <w:lang w:eastAsia="en-US"/>
        </w:rPr>
        <w:t xml:space="preserve"> </w:t>
      </w:r>
      <w:r w:rsidR="00D07D17" w:rsidRPr="00C21B99">
        <w:rPr>
          <w:snapToGrid w:val="0"/>
          <w:szCs w:val="22"/>
          <w:lang w:eastAsia="en-US"/>
        </w:rPr>
        <w:t xml:space="preserve">ekstensyviems CYP2D6metabolizuotojams </w:t>
      </w:r>
      <w:r w:rsidRPr="00C21B99">
        <w:rPr>
          <w:snapToGrid w:val="0"/>
          <w:szCs w:val="22"/>
          <w:lang w:eastAsia="en-US"/>
        </w:rPr>
        <w:t xml:space="preserve">galėtų sukelti maždaug dvigubą </w:t>
      </w:r>
      <w:proofErr w:type="spellStart"/>
      <w:r w:rsidRPr="00C21B99">
        <w:rPr>
          <w:snapToGrid w:val="0"/>
          <w:szCs w:val="22"/>
          <w:lang w:eastAsia="en-US"/>
        </w:rPr>
        <w:t>gefitinibo</w:t>
      </w:r>
      <w:proofErr w:type="spellEnd"/>
      <w:r w:rsidRPr="00C21B99">
        <w:rPr>
          <w:snapToGrid w:val="0"/>
          <w:szCs w:val="22"/>
          <w:lang w:eastAsia="en-US"/>
        </w:rPr>
        <w:t xml:space="preserve"> koncentracijos plazmoje padidėjimą (žr. 5.2 skyrių). </w:t>
      </w:r>
      <w:r w:rsidR="00D07D17" w:rsidRPr="00C21B99">
        <w:rPr>
          <w:snapToGrid w:val="0"/>
          <w:szCs w:val="22"/>
          <w:lang w:eastAsia="en-US"/>
        </w:rPr>
        <w:t xml:space="preserve">Jeigu taikomas gydymas </w:t>
      </w:r>
      <w:proofErr w:type="spellStart"/>
      <w:r w:rsidR="00D07D17" w:rsidRPr="00C21B99">
        <w:rPr>
          <w:snapToGrid w:val="0"/>
          <w:szCs w:val="22"/>
          <w:lang w:eastAsia="en-US"/>
        </w:rPr>
        <w:t>gefitinibu</w:t>
      </w:r>
      <w:proofErr w:type="spellEnd"/>
      <w:r w:rsidR="00D07D17" w:rsidRPr="00C21B99">
        <w:rPr>
          <w:snapToGrid w:val="0"/>
          <w:szCs w:val="22"/>
          <w:lang w:eastAsia="en-US"/>
        </w:rPr>
        <w:t xml:space="preserve"> kartu su vaistiniais preparatais, kurie stipriai slopina CYP2D6, pacientą reikia atidžiai stebėti dėl </w:t>
      </w:r>
      <w:proofErr w:type="spellStart"/>
      <w:r w:rsidR="00D07D17" w:rsidRPr="00C21B99">
        <w:rPr>
          <w:snapToGrid w:val="0"/>
          <w:szCs w:val="22"/>
          <w:lang w:eastAsia="en-US"/>
        </w:rPr>
        <w:t>gefitinibo</w:t>
      </w:r>
      <w:proofErr w:type="spellEnd"/>
      <w:r w:rsidR="00D07D17" w:rsidRPr="00C21B99">
        <w:rPr>
          <w:snapToGrid w:val="0"/>
          <w:szCs w:val="22"/>
          <w:lang w:eastAsia="en-US"/>
        </w:rPr>
        <w:t xml:space="preserve"> nepageidaujamų reakcijų</w:t>
      </w:r>
      <w:r w:rsidRPr="00C21B99">
        <w:rPr>
          <w:snapToGrid w:val="0"/>
          <w:szCs w:val="22"/>
          <w:lang w:eastAsia="en-US"/>
        </w:rPr>
        <w:t>.</w:t>
      </w:r>
    </w:p>
    <w:p w14:paraId="60F05195" w14:textId="77777777" w:rsidR="00D07D17" w:rsidRPr="00C21B99" w:rsidRDefault="00D07D17" w:rsidP="006D6B75">
      <w:pPr>
        <w:widowControl w:val="0"/>
        <w:tabs>
          <w:tab w:val="left" w:pos="567"/>
        </w:tabs>
        <w:rPr>
          <w:i/>
          <w:snapToGrid w:val="0"/>
          <w:szCs w:val="22"/>
          <w:lang w:eastAsia="en-US"/>
        </w:rPr>
      </w:pPr>
    </w:p>
    <w:p w14:paraId="7E76BA36" w14:textId="77777777" w:rsidR="006D6B75" w:rsidRPr="00C21B99" w:rsidRDefault="006D6B75" w:rsidP="006D6B75">
      <w:pPr>
        <w:widowControl w:val="0"/>
        <w:tabs>
          <w:tab w:val="left" w:pos="567"/>
        </w:tabs>
        <w:rPr>
          <w:i/>
          <w:snapToGrid w:val="0"/>
          <w:szCs w:val="22"/>
          <w:lang w:eastAsia="en-US"/>
        </w:rPr>
      </w:pPr>
      <w:r w:rsidRPr="00C21B99">
        <w:rPr>
          <w:i/>
          <w:snapToGrid w:val="0"/>
          <w:szCs w:val="22"/>
          <w:lang w:eastAsia="en-US"/>
        </w:rPr>
        <w:t xml:space="preserve">Veikliosios medžiagos, kurios gali sumažinti </w:t>
      </w:r>
      <w:proofErr w:type="spellStart"/>
      <w:r w:rsidRPr="00C21B99">
        <w:rPr>
          <w:i/>
          <w:snapToGrid w:val="0"/>
          <w:szCs w:val="22"/>
          <w:lang w:eastAsia="en-US"/>
        </w:rPr>
        <w:t>gefitinibo</w:t>
      </w:r>
      <w:proofErr w:type="spellEnd"/>
      <w:r w:rsidRPr="00C21B99">
        <w:rPr>
          <w:i/>
          <w:snapToGrid w:val="0"/>
          <w:szCs w:val="22"/>
          <w:lang w:eastAsia="en-US"/>
        </w:rPr>
        <w:t xml:space="preserve"> koncentracij</w:t>
      </w:r>
      <w:r w:rsidR="00D07D17" w:rsidRPr="00C21B99">
        <w:rPr>
          <w:i/>
          <w:snapToGrid w:val="0"/>
          <w:szCs w:val="22"/>
          <w:lang w:eastAsia="en-US"/>
        </w:rPr>
        <w:t>as</w:t>
      </w:r>
      <w:r w:rsidRPr="00C21B99">
        <w:rPr>
          <w:i/>
          <w:snapToGrid w:val="0"/>
          <w:szCs w:val="22"/>
          <w:lang w:eastAsia="en-US"/>
        </w:rPr>
        <w:t xml:space="preserve"> plazmoje</w:t>
      </w:r>
    </w:p>
    <w:p w14:paraId="2BD297D7" w14:textId="77777777" w:rsidR="006D6B75" w:rsidRPr="00C21B99" w:rsidRDefault="006D6B75" w:rsidP="00537864">
      <w:pPr>
        <w:widowControl w:val="0"/>
        <w:tabs>
          <w:tab w:val="left" w:pos="567"/>
        </w:tabs>
        <w:rPr>
          <w:snapToGrid w:val="0"/>
          <w:szCs w:val="22"/>
          <w:lang w:eastAsia="en-US"/>
        </w:rPr>
      </w:pPr>
      <w:r w:rsidRPr="00C21B99">
        <w:rPr>
          <w:snapToGrid w:val="0"/>
          <w:szCs w:val="22"/>
          <w:lang w:eastAsia="en-US"/>
        </w:rPr>
        <w:t xml:space="preserve">Medžiagos, didinančios CYP3A4 aktyvumą, gali </w:t>
      </w:r>
      <w:r w:rsidR="00D07D17" w:rsidRPr="00C21B99">
        <w:rPr>
          <w:snapToGrid w:val="0"/>
          <w:szCs w:val="22"/>
          <w:lang w:eastAsia="en-US"/>
        </w:rPr>
        <w:t>didinti</w:t>
      </w:r>
      <w:r w:rsidRPr="00C21B99">
        <w:rPr>
          <w:snapToGrid w:val="0"/>
          <w:szCs w:val="22"/>
          <w:lang w:eastAsia="en-US"/>
        </w:rPr>
        <w:t xml:space="preserve"> metabolizmą</w:t>
      </w:r>
      <w:r w:rsidR="00D07D17" w:rsidRPr="00C21B99">
        <w:rPr>
          <w:snapToGrid w:val="0"/>
          <w:szCs w:val="22"/>
          <w:lang w:eastAsia="en-US"/>
        </w:rPr>
        <w:t xml:space="preserve"> ir dėl to</w:t>
      </w:r>
      <w:r w:rsidRPr="00C21B99">
        <w:rPr>
          <w:snapToGrid w:val="0"/>
          <w:szCs w:val="22"/>
          <w:lang w:eastAsia="en-US"/>
        </w:rPr>
        <w:t xml:space="preserve"> sumažinti </w:t>
      </w:r>
      <w:proofErr w:type="spellStart"/>
      <w:r w:rsidR="00D07D17" w:rsidRPr="00C21B99">
        <w:rPr>
          <w:snapToGrid w:val="0"/>
          <w:szCs w:val="22"/>
          <w:lang w:eastAsia="en-US"/>
        </w:rPr>
        <w:t>gefitinibo</w:t>
      </w:r>
      <w:proofErr w:type="spellEnd"/>
      <w:r w:rsidR="00D07D17" w:rsidRPr="00C21B99">
        <w:rPr>
          <w:snapToGrid w:val="0"/>
          <w:szCs w:val="22"/>
          <w:lang w:eastAsia="en-US"/>
        </w:rPr>
        <w:t xml:space="preserve"> </w:t>
      </w:r>
      <w:r w:rsidRPr="00C21B99">
        <w:rPr>
          <w:snapToGrid w:val="0"/>
          <w:szCs w:val="22"/>
          <w:lang w:eastAsia="en-US"/>
        </w:rPr>
        <w:t>koncentracij</w:t>
      </w:r>
      <w:r w:rsidR="00D07D17" w:rsidRPr="00C21B99">
        <w:rPr>
          <w:snapToGrid w:val="0"/>
          <w:szCs w:val="22"/>
          <w:lang w:eastAsia="en-US"/>
        </w:rPr>
        <w:t>as</w:t>
      </w:r>
      <w:r w:rsidRPr="00C21B99">
        <w:rPr>
          <w:snapToGrid w:val="0"/>
          <w:szCs w:val="22"/>
          <w:lang w:eastAsia="en-US"/>
        </w:rPr>
        <w:t xml:space="preserve"> plazmoje </w:t>
      </w:r>
      <w:r w:rsidR="00D07D17" w:rsidRPr="00C21B99">
        <w:rPr>
          <w:snapToGrid w:val="0"/>
          <w:szCs w:val="22"/>
          <w:lang w:eastAsia="en-US"/>
        </w:rPr>
        <w:t>bei</w:t>
      </w:r>
      <w:r w:rsidRPr="00C21B99">
        <w:rPr>
          <w:snapToGrid w:val="0"/>
          <w:szCs w:val="22"/>
          <w:lang w:eastAsia="en-US"/>
        </w:rPr>
        <w:t xml:space="preserve"> tokiu būdu sumažinti </w:t>
      </w:r>
      <w:r w:rsidR="00D07D17" w:rsidRPr="00C21B99">
        <w:rPr>
          <w:snapToGrid w:val="0"/>
          <w:szCs w:val="22"/>
          <w:lang w:eastAsia="en-US"/>
        </w:rPr>
        <w:t xml:space="preserve">jo </w:t>
      </w:r>
      <w:r w:rsidRPr="00C21B99">
        <w:rPr>
          <w:snapToGrid w:val="0"/>
          <w:szCs w:val="22"/>
          <w:lang w:eastAsia="en-US"/>
        </w:rPr>
        <w:t xml:space="preserve">veiksmingumą. </w:t>
      </w:r>
      <w:r w:rsidR="00537864" w:rsidRPr="00C21B99">
        <w:rPr>
          <w:snapToGrid w:val="0"/>
          <w:szCs w:val="22"/>
          <w:lang w:eastAsia="en-US"/>
        </w:rPr>
        <w:t xml:space="preserve">Turi būti vengiama </w:t>
      </w:r>
      <w:proofErr w:type="spellStart"/>
      <w:r w:rsidR="00537864" w:rsidRPr="00C21B99">
        <w:rPr>
          <w:snapToGrid w:val="0"/>
          <w:szCs w:val="22"/>
          <w:lang w:eastAsia="en-US"/>
        </w:rPr>
        <w:t>gefitinibo</w:t>
      </w:r>
      <w:proofErr w:type="spellEnd"/>
      <w:r w:rsidR="00537864" w:rsidRPr="00C21B99">
        <w:rPr>
          <w:snapToGrid w:val="0"/>
          <w:szCs w:val="22"/>
          <w:lang w:eastAsia="en-US"/>
        </w:rPr>
        <w:t xml:space="preserve"> vartoti kartu su vaistiniais preparatais, kurie yra stiprūs</w:t>
      </w:r>
      <w:r w:rsidRPr="00C21B99">
        <w:rPr>
          <w:snapToGrid w:val="0"/>
          <w:szCs w:val="22"/>
          <w:lang w:eastAsia="en-US"/>
        </w:rPr>
        <w:t xml:space="preserve"> CYP3A4 </w:t>
      </w:r>
      <w:proofErr w:type="spellStart"/>
      <w:r w:rsidRPr="00C21B99">
        <w:rPr>
          <w:snapToGrid w:val="0"/>
          <w:szCs w:val="22"/>
          <w:lang w:eastAsia="en-US"/>
        </w:rPr>
        <w:t>induk</w:t>
      </w:r>
      <w:r w:rsidR="00537864" w:rsidRPr="00C21B99">
        <w:rPr>
          <w:snapToGrid w:val="0"/>
          <w:szCs w:val="22"/>
          <w:lang w:eastAsia="en-US"/>
        </w:rPr>
        <w:t>toriai</w:t>
      </w:r>
      <w:proofErr w:type="spellEnd"/>
      <w:r w:rsidR="00537864" w:rsidRPr="00C21B99">
        <w:rPr>
          <w:snapToGrid w:val="0"/>
          <w:szCs w:val="22"/>
          <w:lang w:eastAsia="en-US"/>
        </w:rPr>
        <w:t xml:space="preserve"> [</w:t>
      </w:r>
      <w:r w:rsidRPr="00C21B99">
        <w:rPr>
          <w:snapToGrid w:val="0"/>
          <w:szCs w:val="22"/>
          <w:lang w:eastAsia="en-US"/>
        </w:rPr>
        <w:t xml:space="preserve">pvz., </w:t>
      </w:r>
      <w:proofErr w:type="spellStart"/>
      <w:r w:rsidRPr="00C21B99">
        <w:rPr>
          <w:snapToGrid w:val="0"/>
          <w:szCs w:val="22"/>
          <w:lang w:eastAsia="en-US"/>
        </w:rPr>
        <w:t>fenitoin</w:t>
      </w:r>
      <w:r w:rsidR="00537864" w:rsidRPr="00C21B99">
        <w:rPr>
          <w:snapToGrid w:val="0"/>
          <w:szCs w:val="22"/>
          <w:lang w:eastAsia="en-US"/>
        </w:rPr>
        <w:t>u</w:t>
      </w:r>
      <w:proofErr w:type="spellEnd"/>
      <w:r w:rsidRPr="00C21B99">
        <w:rPr>
          <w:snapToGrid w:val="0"/>
          <w:szCs w:val="22"/>
          <w:lang w:eastAsia="en-US"/>
        </w:rPr>
        <w:t xml:space="preserve">, </w:t>
      </w:r>
      <w:proofErr w:type="spellStart"/>
      <w:r w:rsidRPr="00C21B99">
        <w:rPr>
          <w:snapToGrid w:val="0"/>
          <w:szCs w:val="22"/>
          <w:lang w:eastAsia="en-US"/>
        </w:rPr>
        <w:t>karbamazepin</w:t>
      </w:r>
      <w:r w:rsidR="00537864" w:rsidRPr="00C21B99">
        <w:rPr>
          <w:snapToGrid w:val="0"/>
          <w:szCs w:val="22"/>
          <w:lang w:eastAsia="en-US"/>
        </w:rPr>
        <w:t>u</w:t>
      </w:r>
      <w:proofErr w:type="spellEnd"/>
      <w:r w:rsidRPr="00C21B99">
        <w:rPr>
          <w:snapToGrid w:val="0"/>
          <w:szCs w:val="22"/>
          <w:lang w:eastAsia="en-US"/>
        </w:rPr>
        <w:t xml:space="preserve">, </w:t>
      </w:r>
      <w:proofErr w:type="spellStart"/>
      <w:r w:rsidRPr="00C21B99">
        <w:rPr>
          <w:snapToGrid w:val="0"/>
          <w:szCs w:val="22"/>
          <w:lang w:eastAsia="en-US"/>
        </w:rPr>
        <w:t>rifampicin</w:t>
      </w:r>
      <w:r w:rsidR="00537864" w:rsidRPr="00C21B99">
        <w:rPr>
          <w:snapToGrid w:val="0"/>
          <w:szCs w:val="22"/>
          <w:lang w:eastAsia="en-US"/>
        </w:rPr>
        <w:t>u</w:t>
      </w:r>
      <w:proofErr w:type="spellEnd"/>
      <w:r w:rsidRPr="00C21B99">
        <w:rPr>
          <w:snapToGrid w:val="0"/>
          <w:szCs w:val="22"/>
          <w:lang w:eastAsia="en-US"/>
        </w:rPr>
        <w:t>, barbitūrat</w:t>
      </w:r>
      <w:r w:rsidR="00537864" w:rsidRPr="00C21B99">
        <w:rPr>
          <w:snapToGrid w:val="0"/>
          <w:szCs w:val="22"/>
          <w:lang w:eastAsia="en-US"/>
        </w:rPr>
        <w:t>ais</w:t>
      </w:r>
      <w:r w:rsidRPr="00C21B99">
        <w:rPr>
          <w:snapToGrid w:val="0"/>
          <w:szCs w:val="22"/>
          <w:lang w:eastAsia="en-US"/>
        </w:rPr>
        <w:t xml:space="preserve"> ir jonažol</w:t>
      </w:r>
      <w:r w:rsidR="00537864" w:rsidRPr="00C21B99">
        <w:rPr>
          <w:snapToGrid w:val="0"/>
          <w:szCs w:val="22"/>
          <w:lang w:eastAsia="en-US"/>
        </w:rPr>
        <w:t>ėmis (</w:t>
      </w:r>
      <w:proofErr w:type="spellStart"/>
      <w:r w:rsidRPr="00C21B99">
        <w:rPr>
          <w:i/>
          <w:snapToGrid w:val="0"/>
          <w:szCs w:val="22"/>
          <w:lang w:eastAsia="en-US"/>
        </w:rPr>
        <w:t>Hypericum</w:t>
      </w:r>
      <w:proofErr w:type="spellEnd"/>
      <w:r w:rsidR="00537864" w:rsidRPr="00C21B99">
        <w:rPr>
          <w:i/>
          <w:snapToGrid w:val="0"/>
          <w:szCs w:val="22"/>
          <w:lang w:eastAsia="en-US"/>
        </w:rPr>
        <w:t xml:space="preserve"> </w:t>
      </w:r>
      <w:proofErr w:type="spellStart"/>
      <w:r w:rsidRPr="00C21B99">
        <w:rPr>
          <w:i/>
          <w:snapToGrid w:val="0"/>
          <w:szCs w:val="22"/>
          <w:lang w:eastAsia="en-US"/>
        </w:rPr>
        <w:t>perforatum</w:t>
      </w:r>
      <w:proofErr w:type="spellEnd"/>
      <w:r w:rsidRPr="00C21B99">
        <w:rPr>
          <w:snapToGrid w:val="0"/>
          <w:szCs w:val="22"/>
          <w:lang w:eastAsia="en-US"/>
        </w:rPr>
        <w:t>)</w:t>
      </w:r>
      <w:r w:rsidR="00537864" w:rsidRPr="00C21B99">
        <w:rPr>
          <w:snapToGrid w:val="0"/>
          <w:szCs w:val="22"/>
          <w:lang w:eastAsia="en-US"/>
        </w:rPr>
        <w:t>]</w:t>
      </w:r>
      <w:r w:rsidRPr="00C21B99">
        <w:rPr>
          <w:snapToGrid w:val="0"/>
          <w:szCs w:val="22"/>
          <w:lang w:eastAsia="en-US"/>
        </w:rPr>
        <w:t xml:space="preserve">. </w:t>
      </w:r>
      <w:r w:rsidR="00537864" w:rsidRPr="00C21B99">
        <w:rPr>
          <w:snapToGrid w:val="0"/>
          <w:szCs w:val="22"/>
          <w:lang w:eastAsia="en-US"/>
        </w:rPr>
        <w:t>Iš anks</w:t>
      </w:r>
      <w:r w:rsidR="00C64C93" w:rsidRPr="00C21B99">
        <w:rPr>
          <w:snapToGrid w:val="0"/>
          <w:szCs w:val="22"/>
          <w:lang w:eastAsia="en-US"/>
        </w:rPr>
        <w:t>to</w:t>
      </w:r>
      <w:r w:rsidR="00537864" w:rsidRPr="00C21B99">
        <w:rPr>
          <w:snapToGrid w:val="0"/>
          <w:szCs w:val="22"/>
          <w:lang w:eastAsia="en-US"/>
        </w:rPr>
        <w:t xml:space="preserve"> taik</w:t>
      </w:r>
      <w:r w:rsidR="00C64C93" w:rsidRPr="00C21B99">
        <w:rPr>
          <w:snapToGrid w:val="0"/>
          <w:szCs w:val="22"/>
          <w:lang w:eastAsia="en-US"/>
        </w:rPr>
        <w:t xml:space="preserve">ytas </w:t>
      </w:r>
      <w:r w:rsidR="00537864" w:rsidRPr="00C21B99">
        <w:rPr>
          <w:snapToGrid w:val="0"/>
          <w:szCs w:val="22"/>
          <w:lang w:eastAsia="en-US"/>
        </w:rPr>
        <w:t>gyd</w:t>
      </w:r>
      <w:r w:rsidR="00C64C93" w:rsidRPr="00C21B99">
        <w:rPr>
          <w:snapToGrid w:val="0"/>
          <w:szCs w:val="22"/>
          <w:lang w:eastAsia="en-US"/>
        </w:rPr>
        <w:t>y</w:t>
      </w:r>
      <w:r w:rsidR="00537864" w:rsidRPr="00C21B99">
        <w:rPr>
          <w:snapToGrid w:val="0"/>
          <w:szCs w:val="22"/>
          <w:lang w:eastAsia="en-US"/>
        </w:rPr>
        <w:t xml:space="preserve">mas </w:t>
      </w:r>
      <w:proofErr w:type="spellStart"/>
      <w:r w:rsidR="00537864" w:rsidRPr="00C21B99">
        <w:rPr>
          <w:snapToGrid w:val="0"/>
          <w:szCs w:val="22"/>
          <w:lang w:eastAsia="en-US"/>
        </w:rPr>
        <w:t>rifampicinu</w:t>
      </w:r>
      <w:proofErr w:type="spellEnd"/>
      <w:r w:rsidR="00537864" w:rsidRPr="00C21B99">
        <w:rPr>
          <w:snapToGrid w:val="0"/>
          <w:szCs w:val="22"/>
          <w:lang w:eastAsia="en-US"/>
        </w:rPr>
        <w:t xml:space="preserve"> (stipriu CYP3A4 </w:t>
      </w:r>
      <w:proofErr w:type="spellStart"/>
      <w:r w:rsidR="00537864" w:rsidRPr="00C21B99">
        <w:rPr>
          <w:snapToGrid w:val="0"/>
          <w:szCs w:val="22"/>
          <w:lang w:eastAsia="en-US"/>
        </w:rPr>
        <w:t>induktoriumi</w:t>
      </w:r>
      <w:proofErr w:type="spellEnd"/>
      <w:r w:rsidR="00537864" w:rsidRPr="00C21B99">
        <w:rPr>
          <w:snapToGrid w:val="0"/>
          <w:szCs w:val="22"/>
          <w:lang w:eastAsia="en-US"/>
        </w:rPr>
        <w:t>) s</w:t>
      </w:r>
      <w:r w:rsidRPr="00C21B99">
        <w:rPr>
          <w:snapToGrid w:val="0"/>
          <w:szCs w:val="22"/>
          <w:lang w:eastAsia="en-US"/>
        </w:rPr>
        <w:t xml:space="preserve">veikiems savanoriams </w:t>
      </w:r>
      <w:proofErr w:type="spellStart"/>
      <w:r w:rsidRPr="00C21B99">
        <w:rPr>
          <w:snapToGrid w:val="0"/>
          <w:szCs w:val="22"/>
          <w:lang w:eastAsia="en-US"/>
        </w:rPr>
        <w:t>gefitinibo</w:t>
      </w:r>
      <w:proofErr w:type="spellEnd"/>
      <w:r w:rsidRPr="00C21B99">
        <w:rPr>
          <w:snapToGrid w:val="0"/>
          <w:szCs w:val="22"/>
          <w:lang w:eastAsia="en-US"/>
        </w:rPr>
        <w:t xml:space="preserve"> vidutin</w:t>
      </w:r>
      <w:r w:rsidR="00537864" w:rsidRPr="00C21B99">
        <w:rPr>
          <w:snapToGrid w:val="0"/>
          <w:szCs w:val="22"/>
          <w:lang w:eastAsia="en-US"/>
        </w:rPr>
        <w:t>į</w:t>
      </w:r>
      <w:r w:rsidRPr="00C21B99">
        <w:rPr>
          <w:snapToGrid w:val="0"/>
          <w:szCs w:val="22"/>
          <w:lang w:eastAsia="en-US"/>
        </w:rPr>
        <w:t xml:space="preserve"> AUC </w:t>
      </w:r>
      <w:r w:rsidR="00537864" w:rsidRPr="00C21B99">
        <w:rPr>
          <w:snapToGrid w:val="0"/>
          <w:szCs w:val="22"/>
          <w:lang w:eastAsia="en-US"/>
        </w:rPr>
        <w:t xml:space="preserve">sumažino </w:t>
      </w:r>
      <w:r w:rsidRPr="00C21B99">
        <w:rPr>
          <w:snapToGrid w:val="0"/>
          <w:szCs w:val="22"/>
          <w:lang w:eastAsia="en-US"/>
        </w:rPr>
        <w:t>83% (žr. 4.4 skyrių).</w:t>
      </w:r>
    </w:p>
    <w:p w14:paraId="4917CE13"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Medžiagos, kurios sukelia reikšmingą nuolatinį skrandžio pH padidėjimą, gali sumažinti </w:t>
      </w:r>
      <w:proofErr w:type="spellStart"/>
      <w:r w:rsidRPr="00C21B99">
        <w:rPr>
          <w:snapToGrid w:val="0"/>
          <w:szCs w:val="22"/>
          <w:lang w:eastAsia="en-US"/>
        </w:rPr>
        <w:t>gefitinibo</w:t>
      </w:r>
      <w:proofErr w:type="spellEnd"/>
      <w:r w:rsidR="003C5CAF" w:rsidRPr="00C21B99">
        <w:rPr>
          <w:snapToGrid w:val="0"/>
          <w:szCs w:val="22"/>
          <w:lang w:eastAsia="en-US"/>
        </w:rPr>
        <w:t xml:space="preserve"> </w:t>
      </w:r>
      <w:r w:rsidRPr="00C21B99">
        <w:rPr>
          <w:snapToGrid w:val="0"/>
          <w:szCs w:val="22"/>
          <w:lang w:eastAsia="en-US"/>
        </w:rPr>
        <w:t>koncentracij</w:t>
      </w:r>
      <w:r w:rsidR="00C64C93" w:rsidRPr="00C21B99">
        <w:rPr>
          <w:snapToGrid w:val="0"/>
          <w:szCs w:val="22"/>
          <w:lang w:eastAsia="en-US"/>
        </w:rPr>
        <w:t>as kraujo</w:t>
      </w:r>
      <w:r w:rsidRPr="00C21B99">
        <w:rPr>
          <w:snapToGrid w:val="0"/>
          <w:szCs w:val="22"/>
          <w:lang w:eastAsia="en-US"/>
        </w:rPr>
        <w:t xml:space="preserve"> plazmoje ir tokiu būdu sumažinti </w:t>
      </w:r>
      <w:r w:rsidR="00C64C93" w:rsidRPr="00C21B99">
        <w:rPr>
          <w:snapToGrid w:val="0"/>
          <w:szCs w:val="22"/>
          <w:lang w:eastAsia="en-US"/>
        </w:rPr>
        <w:t>j</w:t>
      </w:r>
      <w:r w:rsidRPr="00C21B99">
        <w:rPr>
          <w:snapToGrid w:val="0"/>
          <w:szCs w:val="22"/>
          <w:lang w:eastAsia="en-US"/>
        </w:rPr>
        <w:t>o veiksmingumą. Didelės trumpai veikiančių</w:t>
      </w:r>
      <w:r w:rsidR="00C64C93" w:rsidRPr="00C21B99">
        <w:rPr>
          <w:snapToGrid w:val="0"/>
          <w:szCs w:val="22"/>
          <w:lang w:eastAsia="en-US"/>
        </w:rPr>
        <w:t xml:space="preserve"> </w:t>
      </w:r>
      <w:proofErr w:type="spellStart"/>
      <w:r w:rsidRPr="00C21B99">
        <w:rPr>
          <w:snapToGrid w:val="0"/>
          <w:szCs w:val="22"/>
          <w:lang w:eastAsia="en-US"/>
        </w:rPr>
        <w:t>antacidinių</w:t>
      </w:r>
      <w:proofErr w:type="spellEnd"/>
      <w:r w:rsidRPr="00C21B99">
        <w:rPr>
          <w:snapToGrid w:val="0"/>
          <w:szCs w:val="22"/>
          <w:lang w:eastAsia="en-US"/>
        </w:rPr>
        <w:t xml:space="preserve"> vaistinių preparatų dozės gali sukelti panašų poveikį, jeigu geriamos reguliariai ir laiko</w:t>
      </w:r>
      <w:r w:rsidR="00C64C93" w:rsidRPr="00C21B99">
        <w:rPr>
          <w:snapToGrid w:val="0"/>
          <w:szCs w:val="22"/>
          <w:lang w:eastAsia="en-US"/>
        </w:rPr>
        <w:t xml:space="preserve"> </w:t>
      </w:r>
      <w:r w:rsidRPr="00C21B99">
        <w:rPr>
          <w:snapToGrid w:val="0"/>
          <w:szCs w:val="22"/>
          <w:lang w:eastAsia="en-US"/>
        </w:rPr>
        <w:t xml:space="preserve">tarpas nuo jų iki </w:t>
      </w:r>
      <w:proofErr w:type="spellStart"/>
      <w:r w:rsidR="00C64C93" w:rsidRPr="00C21B99">
        <w:rPr>
          <w:snapToGrid w:val="0"/>
          <w:szCs w:val="22"/>
          <w:lang w:eastAsia="en-US"/>
        </w:rPr>
        <w:t>gefitinibo</w:t>
      </w:r>
      <w:proofErr w:type="spellEnd"/>
      <w:r w:rsidRPr="00C21B99">
        <w:rPr>
          <w:snapToGrid w:val="0"/>
          <w:szCs w:val="22"/>
          <w:lang w:eastAsia="en-US"/>
        </w:rPr>
        <w:t xml:space="preserve"> vartojimo yra trumpas. </w:t>
      </w:r>
      <w:proofErr w:type="spellStart"/>
      <w:r w:rsidR="00C64C93" w:rsidRPr="00C21B99">
        <w:rPr>
          <w:snapToGrid w:val="0"/>
          <w:szCs w:val="22"/>
          <w:lang w:eastAsia="en-US"/>
        </w:rPr>
        <w:t>Gefitinibo</w:t>
      </w:r>
      <w:proofErr w:type="spellEnd"/>
      <w:r w:rsidR="00C64C93" w:rsidRPr="00C21B99">
        <w:rPr>
          <w:snapToGrid w:val="0"/>
          <w:szCs w:val="22"/>
          <w:lang w:eastAsia="en-US"/>
        </w:rPr>
        <w:t xml:space="preserve"> vartojant</w:t>
      </w:r>
      <w:r w:rsidRPr="00C21B99">
        <w:rPr>
          <w:snapToGrid w:val="0"/>
          <w:szCs w:val="22"/>
          <w:lang w:eastAsia="en-US"/>
        </w:rPr>
        <w:t xml:space="preserve"> </w:t>
      </w:r>
      <w:r w:rsidR="00C64C93" w:rsidRPr="00C21B99">
        <w:rPr>
          <w:snapToGrid w:val="0"/>
          <w:szCs w:val="22"/>
          <w:lang w:eastAsia="en-US"/>
        </w:rPr>
        <w:t>k</w:t>
      </w:r>
      <w:r w:rsidR="003C5CAF" w:rsidRPr="00C21B99">
        <w:rPr>
          <w:snapToGrid w:val="0"/>
          <w:szCs w:val="22"/>
          <w:lang w:eastAsia="en-US"/>
        </w:rPr>
        <w:t>a</w:t>
      </w:r>
      <w:r w:rsidR="00C64C93" w:rsidRPr="00C21B99">
        <w:rPr>
          <w:snapToGrid w:val="0"/>
          <w:szCs w:val="22"/>
          <w:lang w:eastAsia="en-US"/>
        </w:rPr>
        <w:t>rtu su</w:t>
      </w:r>
      <w:r w:rsidR="003C5CAF" w:rsidRPr="00C21B99">
        <w:rPr>
          <w:snapToGrid w:val="0"/>
          <w:szCs w:val="22"/>
          <w:lang w:eastAsia="en-US"/>
        </w:rPr>
        <w:t xml:space="preserve"> </w:t>
      </w:r>
      <w:proofErr w:type="spellStart"/>
      <w:r w:rsidRPr="00C21B99">
        <w:rPr>
          <w:snapToGrid w:val="0"/>
          <w:szCs w:val="22"/>
          <w:lang w:eastAsia="en-US"/>
        </w:rPr>
        <w:t>ranitidino</w:t>
      </w:r>
      <w:proofErr w:type="spellEnd"/>
      <w:r w:rsidRPr="00C21B99">
        <w:rPr>
          <w:snapToGrid w:val="0"/>
          <w:szCs w:val="22"/>
          <w:lang w:eastAsia="en-US"/>
        </w:rPr>
        <w:t xml:space="preserve"> doz</w:t>
      </w:r>
      <w:r w:rsidR="00C64C93" w:rsidRPr="00C21B99">
        <w:rPr>
          <w:snapToGrid w:val="0"/>
          <w:szCs w:val="22"/>
          <w:lang w:eastAsia="en-US"/>
        </w:rPr>
        <w:t>e</w:t>
      </w:r>
      <w:r w:rsidRPr="00C21B99">
        <w:rPr>
          <w:snapToGrid w:val="0"/>
          <w:szCs w:val="22"/>
          <w:lang w:eastAsia="en-US"/>
        </w:rPr>
        <w:t>, kuri suk</w:t>
      </w:r>
      <w:r w:rsidR="00C64C93" w:rsidRPr="00C21B99">
        <w:rPr>
          <w:snapToGrid w:val="0"/>
          <w:szCs w:val="22"/>
          <w:lang w:eastAsia="en-US"/>
        </w:rPr>
        <w:t xml:space="preserve">elia nepertraukiamą </w:t>
      </w:r>
      <w:r w:rsidRPr="00C21B99">
        <w:rPr>
          <w:snapToGrid w:val="0"/>
          <w:szCs w:val="22"/>
          <w:lang w:eastAsia="en-US"/>
        </w:rPr>
        <w:t xml:space="preserve">skrandžio pH padidėjimą iki 5 ar daugiau, </w:t>
      </w:r>
      <w:r w:rsidR="00C64C93" w:rsidRPr="00C21B99">
        <w:rPr>
          <w:snapToGrid w:val="0"/>
          <w:szCs w:val="22"/>
          <w:lang w:eastAsia="en-US"/>
        </w:rPr>
        <w:t xml:space="preserve">sveikiems savanoriams </w:t>
      </w:r>
      <w:proofErr w:type="spellStart"/>
      <w:r w:rsidRPr="00C21B99">
        <w:rPr>
          <w:snapToGrid w:val="0"/>
          <w:szCs w:val="22"/>
          <w:lang w:eastAsia="en-US"/>
        </w:rPr>
        <w:t>gefitinibo</w:t>
      </w:r>
      <w:proofErr w:type="spellEnd"/>
      <w:r w:rsidRPr="00C21B99">
        <w:rPr>
          <w:snapToGrid w:val="0"/>
          <w:szCs w:val="22"/>
          <w:lang w:eastAsia="en-US"/>
        </w:rPr>
        <w:t xml:space="preserve"> vidutinis AUC sumažėjo</w:t>
      </w:r>
      <w:r w:rsidR="00C64C93" w:rsidRPr="00C21B99">
        <w:rPr>
          <w:snapToGrid w:val="0"/>
          <w:szCs w:val="22"/>
          <w:lang w:eastAsia="en-US"/>
        </w:rPr>
        <w:t xml:space="preserve"> </w:t>
      </w:r>
      <w:r w:rsidRPr="00C21B99">
        <w:rPr>
          <w:snapToGrid w:val="0"/>
          <w:szCs w:val="22"/>
          <w:lang w:eastAsia="en-US"/>
        </w:rPr>
        <w:t>47% (žr. 4.4 ir 5.2 skyrius).</w:t>
      </w:r>
    </w:p>
    <w:p w14:paraId="314986DF" w14:textId="77777777" w:rsidR="00C64C93" w:rsidRPr="00C21B99" w:rsidRDefault="00C64C93" w:rsidP="006D6B75">
      <w:pPr>
        <w:widowControl w:val="0"/>
        <w:tabs>
          <w:tab w:val="left" w:pos="567"/>
        </w:tabs>
        <w:rPr>
          <w:snapToGrid w:val="0"/>
          <w:szCs w:val="22"/>
          <w:lang w:eastAsia="en-US"/>
        </w:rPr>
      </w:pPr>
    </w:p>
    <w:p w14:paraId="6CC7D5ED" w14:textId="77777777" w:rsidR="006D6B75" w:rsidRPr="00C21B99" w:rsidRDefault="006D6B75" w:rsidP="006D6B75">
      <w:pPr>
        <w:widowControl w:val="0"/>
        <w:tabs>
          <w:tab w:val="left" w:pos="567"/>
        </w:tabs>
        <w:rPr>
          <w:i/>
          <w:snapToGrid w:val="0"/>
          <w:szCs w:val="22"/>
          <w:lang w:eastAsia="en-US"/>
        </w:rPr>
      </w:pPr>
      <w:r w:rsidRPr="00C21B99">
        <w:rPr>
          <w:i/>
          <w:snapToGrid w:val="0"/>
          <w:szCs w:val="22"/>
          <w:lang w:eastAsia="en-US"/>
        </w:rPr>
        <w:t>Veikliosios medžiagos, kurių koncentracij</w:t>
      </w:r>
      <w:r w:rsidR="00C64C93" w:rsidRPr="00C21B99">
        <w:rPr>
          <w:i/>
          <w:snapToGrid w:val="0"/>
          <w:szCs w:val="22"/>
          <w:lang w:eastAsia="en-US"/>
        </w:rPr>
        <w:t>as</w:t>
      </w:r>
      <w:r w:rsidRPr="00C21B99">
        <w:rPr>
          <w:i/>
          <w:snapToGrid w:val="0"/>
          <w:szCs w:val="22"/>
          <w:lang w:eastAsia="en-US"/>
        </w:rPr>
        <w:t xml:space="preserve"> plazmoje gali įtakoti </w:t>
      </w:r>
      <w:proofErr w:type="spellStart"/>
      <w:r w:rsidRPr="00C21B99">
        <w:rPr>
          <w:i/>
          <w:snapToGrid w:val="0"/>
          <w:szCs w:val="22"/>
          <w:lang w:eastAsia="en-US"/>
        </w:rPr>
        <w:t>gefitinibas</w:t>
      </w:r>
      <w:proofErr w:type="spellEnd"/>
    </w:p>
    <w:p w14:paraId="4966D8C9" w14:textId="77777777" w:rsidR="006D6B75" w:rsidRPr="00C21B99" w:rsidRDefault="006D6B75" w:rsidP="006D6B75">
      <w:pPr>
        <w:widowControl w:val="0"/>
        <w:tabs>
          <w:tab w:val="left" w:pos="567"/>
        </w:tabs>
        <w:rPr>
          <w:snapToGrid w:val="0"/>
          <w:szCs w:val="22"/>
          <w:lang w:eastAsia="en-US"/>
        </w:rPr>
      </w:pPr>
      <w:r w:rsidRPr="00C21B99">
        <w:rPr>
          <w:snapToGrid w:val="0"/>
          <w:szCs w:val="22"/>
          <w:lang w:eastAsia="en-US"/>
        </w:rPr>
        <w:t xml:space="preserve">Tyrimai </w:t>
      </w:r>
      <w:proofErr w:type="spellStart"/>
      <w:r w:rsidRPr="00C21B99">
        <w:rPr>
          <w:snapToGrid w:val="0"/>
          <w:szCs w:val="22"/>
          <w:u w:val="single"/>
          <w:lang w:eastAsia="en-US"/>
        </w:rPr>
        <w:t>in</w:t>
      </w:r>
      <w:proofErr w:type="spellEnd"/>
      <w:r w:rsidRPr="00C21B99">
        <w:rPr>
          <w:snapToGrid w:val="0"/>
          <w:szCs w:val="22"/>
          <w:u w:val="single"/>
          <w:lang w:eastAsia="en-US"/>
        </w:rPr>
        <w:t xml:space="preserve"> </w:t>
      </w:r>
      <w:proofErr w:type="spellStart"/>
      <w:r w:rsidRPr="00C21B99">
        <w:rPr>
          <w:snapToGrid w:val="0"/>
          <w:szCs w:val="22"/>
          <w:u w:val="single"/>
          <w:lang w:eastAsia="en-US"/>
        </w:rPr>
        <w:t>vitro</w:t>
      </w:r>
      <w:proofErr w:type="spellEnd"/>
      <w:r w:rsidRPr="00C21B99">
        <w:rPr>
          <w:snapToGrid w:val="0"/>
          <w:szCs w:val="22"/>
          <w:lang w:eastAsia="en-US"/>
        </w:rPr>
        <w:t xml:space="preserve"> parodė, kad </w:t>
      </w:r>
      <w:proofErr w:type="spellStart"/>
      <w:r w:rsidRPr="00C21B99">
        <w:rPr>
          <w:snapToGrid w:val="0"/>
          <w:szCs w:val="22"/>
          <w:lang w:eastAsia="en-US"/>
        </w:rPr>
        <w:t>gefitinibo</w:t>
      </w:r>
      <w:proofErr w:type="spellEnd"/>
      <w:r w:rsidRPr="00C21B99">
        <w:rPr>
          <w:snapToGrid w:val="0"/>
          <w:szCs w:val="22"/>
          <w:lang w:eastAsia="en-US"/>
        </w:rPr>
        <w:t xml:space="preserve"> savybė slopinti CYP2D6 yra nedidelė. Klinikinių tyrimų metu</w:t>
      </w:r>
      <w:r w:rsidR="00C64C93" w:rsidRPr="00C21B99">
        <w:rPr>
          <w:snapToGrid w:val="0"/>
          <w:szCs w:val="22"/>
          <w:lang w:eastAsia="en-US"/>
        </w:rPr>
        <w:t xml:space="preserve"> </w:t>
      </w:r>
      <w:r w:rsidRPr="00C21B99">
        <w:rPr>
          <w:snapToGrid w:val="0"/>
          <w:szCs w:val="22"/>
          <w:lang w:eastAsia="en-US"/>
        </w:rPr>
        <w:t xml:space="preserve">pacientai vartojo </w:t>
      </w:r>
      <w:proofErr w:type="spellStart"/>
      <w:r w:rsidRPr="00C21B99">
        <w:rPr>
          <w:snapToGrid w:val="0"/>
          <w:szCs w:val="22"/>
          <w:lang w:eastAsia="en-US"/>
        </w:rPr>
        <w:t>gefitinib</w:t>
      </w:r>
      <w:r w:rsidR="00C64C93" w:rsidRPr="00C21B99">
        <w:rPr>
          <w:snapToGrid w:val="0"/>
          <w:szCs w:val="22"/>
          <w:lang w:eastAsia="en-US"/>
        </w:rPr>
        <w:t>o</w:t>
      </w:r>
      <w:proofErr w:type="spellEnd"/>
      <w:r w:rsidRPr="00C21B99">
        <w:rPr>
          <w:snapToGrid w:val="0"/>
          <w:szCs w:val="22"/>
          <w:lang w:eastAsia="en-US"/>
        </w:rPr>
        <w:t xml:space="preserve"> kartu su CYP2D6 substratu </w:t>
      </w:r>
      <w:proofErr w:type="spellStart"/>
      <w:r w:rsidRPr="00C21B99">
        <w:rPr>
          <w:snapToGrid w:val="0"/>
          <w:szCs w:val="22"/>
          <w:lang w:eastAsia="en-US"/>
        </w:rPr>
        <w:t>metoprololiu</w:t>
      </w:r>
      <w:proofErr w:type="spellEnd"/>
      <w:r w:rsidR="00C64C93" w:rsidRPr="00C21B99">
        <w:rPr>
          <w:snapToGrid w:val="0"/>
          <w:szCs w:val="22"/>
          <w:lang w:eastAsia="en-US"/>
        </w:rPr>
        <w:t>. Tai sukėlė</w:t>
      </w:r>
      <w:r w:rsidRPr="00C21B99">
        <w:rPr>
          <w:snapToGrid w:val="0"/>
          <w:szCs w:val="22"/>
          <w:lang w:eastAsia="en-US"/>
        </w:rPr>
        <w:t xml:space="preserve"> </w:t>
      </w:r>
      <w:proofErr w:type="spellStart"/>
      <w:r w:rsidR="00C64C93" w:rsidRPr="00C21B99">
        <w:rPr>
          <w:snapToGrid w:val="0"/>
          <w:szCs w:val="22"/>
          <w:lang w:eastAsia="en-US"/>
        </w:rPr>
        <w:t>metoprololio</w:t>
      </w:r>
      <w:proofErr w:type="spellEnd"/>
      <w:r w:rsidR="00C64C93" w:rsidRPr="00C21B99">
        <w:rPr>
          <w:snapToGrid w:val="0"/>
          <w:szCs w:val="22"/>
          <w:lang w:eastAsia="en-US"/>
        </w:rPr>
        <w:t xml:space="preserve"> ekspozicijos padidėjimą</w:t>
      </w:r>
      <w:r w:rsidRPr="00C21B99">
        <w:rPr>
          <w:snapToGrid w:val="0"/>
          <w:szCs w:val="22"/>
          <w:lang w:eastAsia="en-US"/>
        </w:rPr>
        <w:t xml:space="preserve"> (35%)</w:t>
      </w:r>
      <w:r w:rsidR="00C64C93" w:rsidRPr="00C21B99">
        <w:rPr>
          <w:snapToGrid w:val="0"/>
          <w:szCs w:val="22"/>
          <w:lang w:eastAsia="en-US"/>
        </w:rPr>
        <w:t>. Toks</w:t>
      </w:r>
      <w:r w:rsidRPr="00C21B99">
        <w:rPr>
          <w:snapToGrid w:val="0"/>
          <w:szCs w:val="22"/>
          <w:lang w:eastAsia="en-US"/>
        </w:rPr>
        <w:t xml:space="preserve"> padidėjimas galėtų būti reikšmingas tiems</w:t>
      </w:r>
      <w:r w:rsidR="00C64C93" w:rsidRPr="00C21B99">
        <w:rPr>
          <w:snapToGrid w:val="0"/>
          <w:szCs w:val="22"/>
          <w:lang w:eastAsia="en-US"/>
        </w:rPr>
        <w:t xml:space="preserve"> </w:t>
      </w:r>
      <w:r w:rsidRPr="00C21B99">
        <w:rPr>
          <w:snapToGrid w:val="0"/>
          <w:szCs w:val="22"/>
          <w:lang w:eastAsia="en-US"/>
        </w:rPr>
        <w:t xml:space="preserve">CYP2D6 substratams, kurių </w:t>
      </w:r>
      <w:r w:rsidR="00C64C93" w:rsidRPr="00C21B99">
        <w:rPr>
          <w:snapToGrid w:val="0"/>
          <w:szCs w:val="22"/>
          <w:lang w:eastAsia="en-US"/>
        </w:rPr>
        <w:t>terapinis indeksas</w:t>
      </w:r>
      <w:r w:rsidR="00BF56F6" w:rsidRPr="00C21B99">
        <w:rPr>
          <w:snapToGrid w:val="0"/>
          <w:szCs w:val="22"/>
          <w:lang w:eastAsia="en-US"/>
        </w:rPr>
        <w:t xml:space="preserve"> yra nedidelis</w:t>
      </w:r>
      <w:r w:rsidRPr="00C21B99">
        <w:rPr>
          <w:snapToGrid w:val="0"/>
          <w:szCs w:val="22"/>
          <w:lang w:eastAsia="en-US"/>
        </w:rPr>
        <w:t>. Svarstant CYP2D6 substratų, kurių terapin</w:t>
      </w:r>
      <w:r w:rsidR="00BF56F6" w:rsidRPr="00C21B99">
        <w:rPr>
          <w:snapToGrid w:val="0"/>
          <w:szCs w:val="22"/>
          <w:lang w:eastAsia="en-US"/>
        </w:rPr>
        <w:t>is indeksas yra nedidelis</w:t>
      </w:r>
      <w:r w:rsidRPr="00C21B99">
        <w:rPr>
          <w:snapToGrid w:val="0"/>
          <w:szCs w:val="22"/>
          <w:lang w:eastAsia="en-US"/>
        </w:rPr>
        <w:t xml:space="preserve">, vartojimo kartu su </w:t>
      </w:r>
      <w:proofErr w:type="spellStart"/>
      <w:r w:rsidRPr="00C21B99">
        <w:rPr>
          <w:snapToGrid w:val="0"/>
          <w:szCs w:val="22"/>
          <w:lang w:eastAsia="en-US"/>
        </w:rPr>
        <w:t>gefitinibu</w:t>
      </w:r>
      <w:proofErr w:type="spellEnd"/>
      <w:r w:rsidRPr="00C21B99">
        <w:rPr>
          <w:snapToGrid w:val="0"/>
          <w:szCs w:val="22"/>
          <w:lang w:eastAsia="en-US"/>
        </w:rPr>
        <w:t xml:space="preserve"> galimybę, </w:t>
      </w:r>
      <w:r w:rsidR="00BF56F6" w:rsidRPr="00C21B99">
        <w:rPr>
          <w:snapToGrid w:val="0"/>
          <w:szCs w:val="22"/>
          <w:lang w:eastAsia="en-US"/>
        </w:rPr>
        <w:t>turi būti</w:t>
      </w:r>
      <w:r w:rsidRPr="00C21B99">
        <w:rPr>
          <w:snapToGrid w:val="0"/>
          <w:szCs w:val="22"/>
          <w:lang w:eastAsia="en-US"/>
        </w:rPr>
        <w:t xml:space="preserve"> ap</w:t>
      </w:r>
      <w:r w:rsidR="00BF56F6" w:rsidRPr="00C21B99">
        <w:rPr>
          <w:snapToGrid w:val="0"/>
          <w:szCs w:val="22"/>
          <w:lang w:eastAsia="en-US"/>
        </w:rPr>
        <w:t>galvotas</w:t>
      </w:r>
      <w:r w:rsidRPr="00C21B99">
        <w:rPr>
          <w:snapToGrid w:val="0"/>
          <w:szCs w:val="22"/>
          <w:lang w:eastAsia="en-US"/>
        </w:rPr>
        <w:t xml:space="preserve"> CYP2D6 substrato dozės</w:t>
      </w:r>
      <w:r w:rsidR="00BF56F6" w:rsidRPr="00C21B99">
        <w:rPr>
          <w:snapToGrid w:val="0"/>
          <w:szCs w:val="22"/>
          <w:lang w:eastAsia="en-US"/>
        </w:rPr>
        <w:t xml:space="preserve"> mažinimas, ypač produktams, kurių terapinis indeksas yra nedidelis.</w:t>
      </w:r>
    </w:p>
    <w:p w14:paraId="0997823F" w14:textId="77777777" w:rsidR="00F65559" w:rsidRPr="00C21B99" w:rsidRDefault="00F65559" w:rsidP="0095732B">
      <w:pPr>
        <w:widowControl w:val="0"/>
        <w:tabs>
          <w:tab w:val="left" w:pos="567"/>
        </w:tabs>
        <w:rPr>
          <w:snapToGrid w:val="0"/>
          <w:szCs w:val="22"/>
          <w:lang w:eastAsia="en-US"/>
        </w:rPr>
      </w:pPr>
    </w:p>
    <w:p w14:paraId="146C5B98" w14:textId="77777777" w:rsidR="00BF56F6" w:rsidRPr="00C21B99" w:rsidRDefault="00BF56F6" w:rsidP="00BF56F6">
      <w:pPr>
        <w:autoSpaceDE w:val="0"/>
        <w:autoSpaceDN w:val="0"/>
        <w:adjustRightInd w:val="0"/>
        <w:rPr>
          <w:snapToGrid w:val="0"/>
          <w:szCs w:val="22"/>
          <w:lang w:eastAsia="en-US"/>
        </w:rPr>
      </w:pPr>
      <w:proofErr w:type="spellStart"/>
      <w:r w:rsidRPr="00C21B99">
        <w:rPr>
          <w:rFonts w:eastAsia="TimesNewRoman"/>
          <w:szCs w:val="22"/>
        </w:rPr>
        <w:t>Gefitinibas</w:t>
      </w:r>
      <w:proofErr w:type="spellEnd"/>
      <w:r w:rsidRPr="00C21B99">
        <w:rPr>
          <w:i/>
          <w:iCs/>
          <w:szCs w:val="22"/>
        </w:rPr>
        <w:t xml:space="preserve"> </w:t>
      </w:r>
      <w:proofErr w:type="spellStart"/>
      <w:r w:rsidRPr="00C21B99">
        <w:rPr>
          <w:i/>
          <w:iCs/>
          <w:szCs w:val="22"/>
        </w:rPr>
        <w:t>in</w:t>
      </w:r>
      <w:proofErr w:type="spellEnd"/>
      <w:r w:rsidRPr="00C21B99">
        <w:rPr>
          <w:i/>
          <w:iCs/>
          <w:szCs w:val="22"/>
        </w:rPr>
        <w:t xml:space="preserve"> </w:t>
      </w:r>
      <w:proofErr w:type="spellStart"/>
      <w:r w:rsidRPr="00C21B99">
        <w:rPr>
          <w:i/>
          <w:iCs/>
          <w:szCs w:val="22"/>
        </w:rPr>
        <w:t>vitro</w:t>
      </w:r>
      <w:proofErr w:type="spellEnd"/>
      <w:r w:rsidRPr="00C21B99">
        <w:rPr>
          <w:i/>
          <w:iCs/>
          <w:szCs w:val="22"/>
        </w:rPr>
        <w:t xml:space="preserve"> </w:t>
      </w:r>
      <w:r w:rsidRPr="00C21B99">
        <w:rPr>
          <w:rFonts w:eastAsia="TimesNewRoman"/>
          <w:szCs w:val="22"/>
        </w:rPr>
        <w:t xml:space="preserve">slopina pernašos baltymą (krūties vėžio atsparumo baltymą, </w:t>
      </w:r>
      <w:r w:rsidRPr="00C21B99">
        <w:rPr>
          <w:rFonts w:eastAsia="TimesNewRoman"/>
          <w:i/>
          <w:szCs w:val="22"/>
        </w:rPr>
        <w:t>angl. BCRP</w:t>
      </w:r>
      <w:r w:rsidRPr="00C21B99">
        <w:rPr>
          <w:rFonts w:eastAsia="TimesNewRoman"/>
          <w:szCs w:val="22"/>
        </w:rPr>
        <w:t>), tačiau šių duomenų klinikinė reikšmė nežinoma.</w:t>
      </w:r>
    </w:p>
    <w:p w14:paraId="1C028C3F" w14:textId="77777777" w:rsidR="00BF56F6" w:rsidRPr="00C21B99" w:rsidRDefault="00BF56F6" w:rsidP="0095732B">
      <w:pPr>
        <w:widowControl w:val="0"/>
        <w:tabs>
          <w:tab w:val="left" w:pos="567"/>
        </w:tabs>
        <w:rPr>
          <w:snapToGrid w:val="0"/>
          <w:szCs w:val="22"/>
          <w:lang w:eastAsia="en-US"/>
        </w:rPr>
      </w:pPr>
    </w:p>
    <w:p w14:paraId="28CAFEF1" w14:textId="77777777" w:rsidR="00BF56F6" w:rsidRPr="00C21B99" w:rsidRDefault="00BF56F6" w:rsidP="0095732B">
      <w:pPr>
        <w:widowControl w:val="0"/>
        <w:tabs>
          <w:tab w:val="left" w:pos="567"/>
        </w:tabs>
        <w:rPr>
          <w:i/>
          <w:snapToGrid w:val="0"/>
          <w:szCs w:val="22"/>
          <w:lang w:eastAsia="en-US"/>
        </w:rPr>
      </w:pPr>
      <w:r w:rsidRPr="00C21B99">
        <w:rPr>
          <w:i/>
          <w:snapToGrid w:val="0"/>
          <w:szCs w:val="22"/>
          <w:lang w:eastAsia="en-US"/>
        </w:rPr>
        <w:t>Kitos galimos sąveikos</w:t>
      </w:r>
    </w:p>
    <w:p w14:paraId="0EA323EB" w14:textId="77777777" w:rsidR="00BF56F6" w:rsidRPr="00C21B99" w:rsidRDefault="005F0700" w:rsidP="0095732B">
      <w:pPr>
        <w:widowControl w:val="0"/>
        <w:tabs>
          <w:tab w:val="left" w:pos="567"/>
        </w:tabs>
        <w:rPr>
          <w:snapToGrid w:val="0"/>
          <w:szCs w:val="22"/>
          <w:lang w:eastAsia="en-US"/>
        </w:rPr>
      </w:pPr>
      <w:r w:rsidRPr="00C21B99">
        <w:rPr>
          <w:snapToGrid w:val="0"/>
          <w:szCs w:val="22"/>
          <w:lang w:eastAsia="en-US"/>
        </w:rPr>
        <w:t xml:space="preserve">Gauta pranešimų apie INR padidėjimą ir (arba) kraujavimo reiškinius keliems pacientams, kurie </w:t>
      </w:r>
      <w:proofErr w:type="spellStart"/>
      <w:r w:rsidRPr="00C21B99">
        <w:rPr>
          <w:snapToGrid w:val="0"/>
          <w:szCs w:val="22"/>
          <w:lang w:eastAsia="en-US"/>
        </w:rPr>
        <w:t>gefitinibo</w:t>
      </w:r>
      <w:proofErr w:type="spellEnd"/>
      <w:r w:rsidRPr="00C21B99">
        <w:rPr>
          <w:snapToGrid w:val="0"/>
          <w:szCs w:val="22"/>
          <w:lang w:eastAsia="en-US"/>
        </w:rPr>
        <w:t xml:space="preserve"> vartojo kartu su varfarinu (žr. 4.4 skyrių).</w:t>
      </w:r>
    </w:p>
    <w:p w14:paraId="23A5A2F9" w14:textId="77777777" w:rsidR="00BF56F6" w:rsidRPr="00C21B99" w:rsidRDefault="00BF56F6" w:rsidP="0095732B">
      <w:pPr>
        <w:widowControl w:val="0"/>
        <w:tabs>
          <w:tab w:val="left" w:pos="567"/>
        </w:tabs>
        <w:rPr>
          <w:snapToGrid w:val="0"/>
          <w:szCs w:val="22"/>
          <w:lang w:eastAsia="en-US"/>
        </w:rPr>
      </w:pPr>
    </w:p>
    <w:p w14:paraId="2469F191" w14:textId="77777777" w:rsidR="00D87EAB" w:rsidRPr="00C21B99" w:rsidRDefault="00D87EAB" w:rsidP="00D87EAB">
      <w:pPr>
        <w:widowControl w:val="0"/>
        <w:tabs>
          <w:tab w:val="left" w:pos="567"/>
        </w:tabs>
        <w:jc w:val="both"/>
        <w:outlineLvl w:val="3"/>
        <w:rPr>
          <w:b/>
          <w:bCs/>
          <w:snapToGrid w:val="0"/>
          <w:szCs w:val="22"/>
        </w:rPr>
      </w:pPr>
      <w:r w:rsidRPr="00C21B99">
        <w:rPr>
          <w:b/>
          <w:bCs/>
          <w:snapToGrid w:val="0"/>
          <w:szCs w:val="22"/>
        </w:rPr>
        <w:lastRenderedPageBreak/>
        <w:t>4.6</w:t>
      </w:r>
      <w:r w:rsidRPr="00C21B99">
        <w:rPr>
          <w:b/>
          <w:bCs/>
          <w:snapToGrid w:val="0"/>
          <w:szCs w:val="22"/>
        </w:rPr>
        <w:tab/>
        <w:t>Vaisingumas, nėštumo ir žindymo laikotarpis</w:t>
      </w:r>
    </w:p>
    <w:p w14:paraId="0F65099E" w14:textId="77777777" w:rsidR="00D87EAB" w:rsidRPr="00C21B99" w:rsidRDefault="00D87EAB" w:rsidP="00D87EAB">
      <w:pPr>
        <w:widowControl w:val="0"/>
        <w:tabs>
          <w:tab w:val="left" w:pos="567"/>
        </w:tabs>
        <w:rPr>
          <w:snapToGrid w:val="0"/>
          <w:szCs w:val="22"/>
          <w:lang w:eastAsia="en-US"/>
        </w:rPr>
      </w:pPr>
    </w:p>
    <w:p w14:paraId="322E9FE2" w14:textId="77777777" w:rsidR="005F0700" w:rsidRPr="00C21B99" w:rsidRDefault="005F0700" w:rsidP="005F0700">
      <w:pPr>
        <w:widowControl w:val="0"/>
        <w:tabs>
          <w:tab w:val="left" w:pos="567"/>
        </w:tabs>
        <w:rPr>
          <w:snapToGrid w:val="0"/>
          <w:color w:val="0D0D0D"/>
          <w:szCs w:val="22"/>
          <w:u w:val="single"/>
          <w:lang w:eastAsia="en-US"/>
        </w:rPr>
      </w:pPr>
      <w:r w:rsidRPr="00C21B99">
        <w:rPr>
          <w:snapToGrid w:val="0"/>
          <w:color w:val="0D0D0D"/>
          <w:szCs w:val="22"/>
          <w:u w:val="single"/>
          <w:lang w:eastAsia="en-US"/>
        </w:rPr>
        <w:t>Vaisingos moterys</w:t>
      </w:r>
    </w:p>
    <w:p w14:paraId="41B85E65" w14:textId="77777777" w:rsidR="005F0700" w:rsidRPr="00C21B99" w:rsidRDefault="005F0700" w:rsidP="005F0700">
      <w:pPr>
        <w:widowControl w:val="0"/>
        <w:tabs>
          <w:tab w:val="left" w:pos="567"/>
        </w:tabs>
        <w:rPr>
          <w:snapToGrid w:val="0"/>
          <w:color w:val="0D0D0D"/>
          <w:szCs w:val="22"/>
          <w:lang w:eastAsia="en-US"/>
        </w:rPr>
      </w:pPr>
      <w:r w:rsidRPr="00C21B99">
        <w:rPr>
          <w:snapToGrid w:val="0"/>
          <w:color w:val="0D0D0D"/>
          <w:szCs w:val="22"/>
          <w:lang w:eastAsia="en-US"/>
        </w:rPr>
        <w:t>Vaisingos moterys turi būti informuotos, kad gydymo laikotarpiu turi nepastoti.</w:t>
      </w:r>
    </w:p>
    <w:p w14:paraId="590A127F" w14:textId="77777777" w:rsidR="007F275F" w:rsidRPr="00C21B99" w:rsidRDefault="007F275F" w:rsidP="005F0700">
      <w:pPr>
        <w:widowControl w:val="0"/>
        <w:tabs>
          <w:tab w:val="left" w:pos="567"/>
        </w:tabs>
        <w:rPr>
          <w:snapToGrid w:val="0"/>
          <w:color w:val="0D0D0D"/>
          <w:szCs w:val="22"/>
          <w:lang w:eastAsia="en-US"/>
        </w:rPr>
      </w:pPr>
    </w:p>
    <w:p w14:paraId="727468C0" w14:textId="77777777" w:rsidR="005F0700" w:rsidRPr="00C21B99" w:rsidRDefault="005F0700" w:rsidP="005F0700">
      <w:pPr>
        <w:widowControl w:val="0"/>
        <w:tabs>
          <w:tab w:val="left" w:pos="567"/>
        </w:tabs>
        <w:rPr>
          <w:snapToGrid w:val="0"/>
          <w:color w:val="0D0D0D"/>
          <w:szCs w:val="22"/>
          <w:u w:val="single"/>
          <w:lang w:eastAsia="en-US"/>
        </w:rPr>
      </w:pPr>
      <w:r w:rsidRPr="00C21B99">
        <w:rPr>
          <w:snapToGrid w:val="0"/>
          <w:color w:val="0D0D0D"/>
          <w:szCs w:val="22"/>
          <w:u w:val="single"/>
          <w:lang w:eastAsia="en-US"/>
        </w:rPr>
        <w:t>Nėštumas</w:t>
      </w:r>
    </w:p>
    <w:p w14:paraId="76E38D0D" w14:textId="77777777" w:rsidR="005F0700" w:rsidRPr="00C21B99" w:rsidRDefault="007F275F" w:rsidP="005F0700">
      <w:pPr>
        <w:widowControl w:val="0"/>
        <w:tabs>
          <w:tab w:val="left" w:pos="567"/>
        </w:tabs>
        <w:rPr>
          <w:snapToGrid w:val="0"/>
          <w:color w:val="0D0D0D"/>
          <w:szCs w:val="22"/>
          <w:lang w:eastAsia="en-US"/>
        </w:rPr>
      </w:pPr>
      <w:r w:rsidRPr="00C21B99">
        <w:rPr>
          <w:snapToGrid w:val="0"/>
          <w:color w:val="0D0D0D"/>
          <w:szCs w:val="22"/>
          <w:lang w:eastAsia="en-US"/>
        </w:rPr>
        <w:t xml:space="preserve">Apie </w:t>
      </w:r>
      <w:proofErr w:type="spellStart"/>
      <w:r w:rsidRPr="00C21B99">
        <w:rPr>
          <w:snapToGrid w:val="0"/>
          <w:color w:val="0D0D0D"/>
          <w:szCs w:val="22"/>
          <w:lang w:eastAsia="en-US"/>
        </w:rPr>
        <w:t>g</w:t>
      </w:r>
      <w:r w:rsidR="005F0700" w:rsidRPr="00C21B99">
        <w:rPr>
          <w:snapToGrid w:val="0"/>
          <w:color w:val="0D0D0D"/>
          <w:szCs w:val="22"/>
          <w:lang w:eastAsia="en-US"/>
        </w:rPr>
        <w:t>efitinibo</w:t>
      </w:r>
      <w:proofErr w:type="spellEnd"/>
      <w:r w:rsidR="005F0700" w:rsidRPr="00C21B99">
        <w:rPr>
          <w:snapToGrid w:val="0"/>
          <w:color w:val="0D0D0D"/>
          <w:szCs w:val="22"/>
          <w:lang w:eastAsia="en-US"/>
        </w:rPr>
        <w:t xml:space="preserve"> vartojim</w:t>
      </w:r>
      <w:r w:rsidRPr="00C21B99">
        <w:rPr>
          <w:snapToGrid w:val="0"/>
          <w:color w:val="0D0D0D"/>
          <w:szCs w:val="22"/>
          <w:lang w:eastAsia="en-US"/>
        </w:rPr>
        <w:t>ą</w:t>
      </w:r>
      <w:r w:rsidR="005F0700" w:rsidRPr="00C21B99">
        <w:rPr>
          <w:snapToGrid w:val="0"/>
          <w:color w:val="0D0D0D"/>
          <w:szCs w:val="22"/>
          <w:lang w:eastAsia="en-US"/>
        </w:rPr>
        <w:t xml:space="preserve"> nėščioms moterims duomenų nėra. Tyrimai su gyvūnais parodė toksinį poveikį</w:t>
      </w:r>
      <w:r w:rsidRPr="00C21B99">
        <w:rPr>
          <w:snapToGrid w:val="0"/>
          <w:color w:val="0D0D0D"/>
          <w:szCs w:val="22"/>
          <w:lang w:eastAsia="en-US"/>
        </w:rPr>
        <w:t xml:space="preserve"> </w:t>
      </w:r>
      <w:r w:rsidR="005F0700" w:rsidRPr="00C21B99">
        <w:rPr>
          <w:snapToGrid w:val="0"/>
          <w:color w:val="0D0D0D"/>
          <w:szCs w:val="22"/>
          <w:lang w:eastAsia="en-US"/>
        </w:rPr>
        <w:t>reprodukcijai (žr. 5.3 skyrių). Galima</w:t>
      </w:r>
      <w:r w:rsidRPr="00C21B99">
        <w:rPr>
          <w:snapToGrid w:val="0"/>
          <w:color w:val="0D0D0D"/>
          <w:szCs w:val="22"/>
          <w:lang w:eastAsia="en-US"/>
        </w:rPr>
        <w:t xml:space="preserve"> rizika</w:t>
      </w:r>
      <w:r w:rsidR="005F0700" w:rsidRPr="00C21B99">
        <w:rPr>
          <w:snapToGrid w:val="0"/>
          <w:color w:val="0D0D0D"/>
          <w:szCs w:val="22"/>
          <w:lang w:eastAsia="en-US"/>
        </w:rPr>
        <w:t xml:space="preserve"> žmonėms nežinoma. Nėštumo laikotarpiu </w:t>
      </w:r>
      <w:proofErr w:type="spellStart"/>
      <w:r w:rsidRPr="00C21B99">
        <w:rPr>
          <w:snapToGrid w:val="0"/>
          <w:color w:val="0D0D0D"/>
          <w:szCs w:val="22"/>
          <w:lang w:eastAsia="en-US"/>
        </w:rPr>
        <w:t>G</w:t>
      </w:r>
      <w:r w:rsidR="005F0700" w:rsidRPr="00C21B99">
        <w:rPr>
          <w:snapToGrid w:val="0"/>
          <w:color w:val="0D0D0D"/>
          <w:szCs w:val="22"/>
          <w:lang w:eastAsia="en-US"/>
        </w:rPr>
        <w:t>efitinib</w:t>
      </w:r>
      <w:proofErr w:type="spellEnd"/>
      <w:r w:rsidRPr="00C21B99">
        <w:rPr>
          <w:snapToGrid w:val="0"/>
          <w:color w:val="0D0D0D"/>
          <w:szCs w:val="22"/>
          <w:lang w:eastAsia="en-US"/>
        </w:rPr>
        <w:t xml:space="preserve"> </w:t>
      </w:r>
      <w:proofErr w:type="spellStart"/>
      <w:r w:rsidRPr="00C21B99">
        <w:rPr>
          <w:snapToGrid w:val="0"/>
          <w:color w:val="0D0D0D"/>
          <w:szCs w:val="22"/>
          <w:lang w:eastAsia="en-US"/>
        </w:rPr>
        <w:t>Sandoz</w:t>
      </w:r>
      <w:proofErr w:type="spellEnd"/>
      <w:r w:rsidRPr="00C21B99">
        <w:rPr>
          <w:snapToGrid w:val="0"/>
          <w:color w:val="0D0D0D"/>
          <w:szCs w:val="22"/>
          <w:lang w:eastAsia="en-US"/>
        </w:rPr>
        <w:t xml:space="preserve"> turi būti nevartojama</w:t>
      </w:r>
      <w:r w:rsidR="005F0700" w:rsidRPr="00C21B99">
        <w:rPr>
          <w:snapToGrid w:val="0"/>
          <w:color w:val="0D0D0D"/>
          <w:szCs w:val="22"/>
          <w:lang w:eastAsia="en-US"/>
        </w:rPr>
        <w:t>, išskyrus neabejotinai būtinus atvejus.</w:t>
      </w:r>
    </w:p>
    <w:p w14:paraId="12A71CF1" w14:textId="77777777" w:rsidR="007F275F" w:rsidRPr="00C21B99" w:rsidRDefault="007F275F" w:rsidP="005F0700">
      <w:pPr>
        <w:widowControl w:val="0"/>
        <w:tabs>
          <w:tab w:val="left" w:pos="567"/>
        </w:tabs>
        <w:rPr>
          <w:snapToGrid w:val="0"/>
          <w:color w:val="0D0D0D"/>
          <w:szCs w:val="22"/>
          <w:lang w:eastAsia="en-US"/>
        </w:rPr>
      </w:pPr>
    </w:p>
    <w:p w14:paraId="300E0EB6" w14:textId="77777777" w:rsidR="005F0700" w:rsidRPr="00C21B99" w:rsidRDefault="005F0700" w:rsidP="005F0700">
      <w:pPr>
        <w:widowControl w:val="0"/>
        <w:tabs>
          <w:tab w:val="left" w:pos="567"/>
        </w:tabs>
        <w:rPr>
          <w:snapToGrid w:val="0"/>
          <w:color w:val="0D0D0D"/>
          <w:szCs w:val="22"/>
          <w:u w:val="single"/>
          <w:lang w:eastAsia="en-US"/>
        </w:rPr>
      </w:pPr>
      <w:r w:rsidRPr="00C21B99">
        <w:rPr>
          <w:snapToGrid w:val="0"/>
          <w:color w:val="0D0D0D"/>
          <w:szCs w:val="22"/>
          <w:u w:val="single"/>
          <w:lang w:eastAsia="en-US"/>
        </w:rPr>
        <w:t>Žindymas</w:t>
      </w:r>
    </w:p>
    <w:p w14:paraId="265728B2" w14:textId="77777777" w:rsidR="007F275F" w:rsidRPr="00C21B99" w:rsidRDefault="005F0700" w:rsidP="005F0700">
      <w:pPr>
        <w:widowControl w:val="0"/>
        <w:tabs>
          <w:tab w:val="left" w:pos="567"/>
        </w:tabs>
        <w:rPr>
          <w:snapToGrid w:val="0"/>
          <w:color w:val="0D0D0D"/>
          <w:szCs w:val="22"/>
          <w:lang w:eastAsia="en-US"/>
        </w:rPr>
      </w:pPr>
      <w:r w:rsidRPr="00C21B99">
        <w:rPr>
          <w:snapToGrid w:val="0"/>
          <w:color w:val="0D0D0D"/>
          <w:szCs w:val="22"/>
          <w:lang w:eastAsia="en-US"/>
        </w:rPr>
        <w:t xml:space="preserve">Ar </w:t>
      </w:r>
      <w:proofErr w:type="spellStart"/>
      <w:r w:rsidRPr="00C21B99">
        <w:rPr>
          <w:snapToGrid w:val="0"/>
          <w:color w:val="0D0D0D"/>
          <w:szCs w:val="22"/>
          <w:lang w:eastAsia="en-US"/>
        </w:rPr>
        <w:t>gefitinibo</w:t>
      </w:r>
      <w:proofErr w:type="spellEnd"/>
      <w:r w:rsidRPr="00C21B99">
        <w:rPr>
          <w:snapToGrid w:val="0"/>
          <w:color w:val="0D0D0D"/>
          <w:szCs w:val="22"/>
          <w:lang w:eastAsia="en-US"/>
        </w:rPr>
        <w:t xml:space="preserve"> išskiriama į moters pieną, nežinoma. </w:t>
      </w:r>
      <w:proofErr w:type="spellStart"/>
      <w:r w:rsidRPr="00C21B99">
        <w:rPr>
          <w:snapToGrid w:val="0"/>
          <w:color w:val="0D0D0D"/>
          <w:szCs w:val="22"/>
          <w:lang w:eastAsia="en-US"/>
        </w:rPr>
        <w:t>Gefitinib</w:t>
      </w:r>
      <w:r w:rsidR="007F275F" w:rsidRPr="00C21B99">
        <w:rPr>
          <w:snapToGrid w:val="0"/>
          <w:color w:val="0D0D0D"/>
          <w:szCs w:val="22"/>
          <w:lang w:eastAsia="en-US"/>
        </w:rPr>
        <w:t>as</w:t>
      </w:r>
      <w:proofErr w:type="spellEnd"/>
      <w:r w:rsidRPr="00C21B99">
        <w:rPr>
          <w:snapToGrid w:val="0"/>
          <w:color w:val="0D0D0D"/>
          <w:szCs w:val="22"/>
          <w:lang w:eastAsia="en-US"/>
        </w:rPr>
        <w:t xml:space="preserve"> ir jo metabolit</w:t>
      </w:r>
      <w:r w:rsidR="007F275F" w:rsidRPr="00C21B99">
        <w:rPr>
          <w:snapToGrid w:val="0"/>
          <w:color w:val="0D0D0D"/>
          <w:szCs w:val="22"/>
          <w:lang w:eastAsia="en-US"/>
        </w:rPr>
        <w:t>ai</w:t>
      </w:r>
      <w:r w:rsidRPr="00C21B99">
        <w:rPr>
          <w:snapToGrid w:val="0"/>
          <w:color w:val="0D0D0D"/>
          <w:szCs w:val="22"/>
          <w:lang w:eastAsia="en-US"/>
        </w:rPr>
        <w:t xml:space="preserve"> kaupiasi žiurkių piene</w:t>
      </w:r>
      <w:r w:rsidR="007F275F" w:rsidRPr="00C21B99">
        <w:rPr>
          <w:snapToGrid w:val="0"/>
          <w:color w:val="0D0D0D"/>
          <w:szCs w:val="22"/>
          <w:lang w:eastAsia="en-US"/>
        </w:rPr>
        <w:t xml:space="preserve"> </w:t>
      </w:r>
      <w:r w:rsidRPr="00C21B99">
        <w:rPr>
          <w:snapToGrid w:val="0"/>
          <w:color w:val="0D0D0D"/>
          <w:szCs w:val="22"/>
          <w:lang w:eastAsia="en-US"/>
        </w:rPr>
        <w:t xml:space="preserve">laktacijos metu (žr. 5.3 skyrių). Žindymo laikotarpiu </w:t>
      </w:r>
      <w:proofErr w:type="spellStart"/>
      <w:r w:rsidRPr="00C21B99">
        <w:rPr>
          <w:snapToGrid w:val="0"/>
          <w:color w:val="0D0D0D"/>
          <w:szCs w:val="22"/>
          <w:lang w:eastAsia="en-US"/>
        </w:rPr>
        <w:t>gefitinibo</w:t>
      </w:r>
      <w:proofErr w:type="spellEnd"/>
      <w:r w:rsidRPr="00C21B99">
        <w:rPr>
          <w:snapToGrid w:val="0"/>
          <w:color w:val="0D0D0D"/>
          <w:szCs w:val="22"/>
          <w:lang w:eastAsia="en-US"/>
        </w:rPr>
        <w:t xml:space="preserve"> vartoti </w:t>
      </w:r>
      <w:r w:rsidR="007F275F" w:rsidRPr="00C21B99">
        <w:rPr>
          <w:snapToGrid w:val="0"/>
          <w:color w:val="0D0D0D"/>
          <w:szCs w:val="22"/>
          <w:lang w:eastAsia="en-US"/>
        </w:rPr>
        <w:t>draudžiama</w:t>
      </w:r>
      <w:r w:rsidRPr="00C21B99">
        <w:rPr>
          <w:snapToGrid w:val="0"/>
          <w:color w:val="0D0D0D"/>
          <w:szCs w:val="22"/>
          <w:lang w:eastAsia="en-US"/>
        </w:rPr>
        <w:t>, todėl šio vaistinio</w:t>
      </w:r>
      <w:r w:rsidR="007F275F" w:rsidRPr="00C21B99">
        <w:rPr>
          <w:snapToGrid w:val="0"/>
          <w:color w:val="0D0D0D"/>
          <w:szCs w:val="22"/>
          <w:lang w:eastAsia="en-US"/>
        </w:rPr>
        <w:t xml:space="preserve"> </w:t>
      </w:r>
      <w:r w:rsidRPr="00C21B99">
        <w:rPr>
          <w:snapToGrid w:val="0"/>
          <w:color w:val="0D0D0D"/>
          <w:szCs w:val="22"/>
          <w:lang w:eastAsia="en-US"/>
        </w:rPr>
        <w:t xml:space="preserve">preparato vartojimo laikotarpiui žindymą </w:t>
      </w:r>
      <w:r w:rsidR="007F275F" w:rsidRPr="00C21B99">
        <w:rPr>
          <w:snapToGrid w:val="0"/>
          <w:color w:val="0D0D0D"/>
          <w:szCs w:val="22"/>
          <w:lang w:eastAsia="en-US"/>
        </w:rPr>
        <w:t xml:space="preserve">privaloma </w:t>
      </w:r>
      <w:r w:rsidRPr="00C21B99">
        <w:rPr>
          <w:snapToGrid w:val="0"/>
          <w:color w:val="0D0D0D"/>
          <w:szCs w:val="22"/>
          <w:lang w:eastAsia="en-US"/>
        </w:rPr>
        <w:t xml:space="preserve">nutraukti (žr. 4.3 skyrių). </w:t>
      </w:r>
    </w:p>
    <w:p w14:paraId="78C10090" w14:textId="77777777" w:rsidR="00D87EAB" w:rsidRPr="00C21B99" w:rsidRDefault="00D87EAB" w:rsidP="00D87EAB">
      <w:pPr>
        <w:widowControl w:val="0"/>
        <w:tabs>
          <w:tab w:val="left" w:pos="567"/>
        </w:tabs>
        <w:rPr>
          <w:snapToGrid w:val="0"/>
          <w:szCs w:val="22"/>
          <w:lang w:eastAsia="en-US"/>
        </w:rPr>
      </w:pPr>
    </w:p>
    <w:p w14:paraId="1F3F9498" w14:textId="77777777" w:rsidR="00D87EAB" w:rsidRPr="00C21B99" w:rsidRDefault="00D87EAB" w:rsidP="00D87EAB">
      <w:pPr>
        <w:widowControl w:val="0"/>
        <w:tabs>
          <w:tab w:val="left" w:pos="567"/>
        </w:tabs>
        <w:jc w:val="both"/>
        <w:outlineLvl w:val="3"/>
        <w:rPr>
          <w:b/>
          <w:bCs/>
          <w:snapToGrid w:val="0"/>
          <w:szCs w:val="22"/>
        </w:rPr>
      </w:pPr>
      <w:r w:rsidRPr="00C21B99">
        <w:rPr>
          <w:b/>
          <w:bCs/>
          <w:snapToGrid w:val="0"/>
          <w:szCs w:val="22"/>
        </w:rPr>
        <w:t>4.7</w:t>
      </w:r>
      <w:r w:rsidRPr="00C21B99">
        <w:rPr>
          <w:b/>
          <w:bCs/>
          <w:snapToGrid w:val="0"/>
          <w:szCs w:val="22"/>
        </w:rPr>
        <w:tab/>
        <w:t>Poveikis gebėjimui vairuoti ir valdyti mechanizmus</w:t>
      </w:r>
    </w:p>
    <w:p w14:paraId="65343D7E" w14:textId="77777777" w:rsidR="00D87EAB" w:rsidRPr="00C21B99" w:rsidRDefault="00D87EAB" w:rsidP="00D87EAB">
      <w:pPr>
        <w:widowControl w:val="0"/>
        <w:tabs>
          <w:tab w:val="left" w:pos="567"/>
        </w:tabs>
        <w:rPr>
          <w:snapToGrid w:val="0"/>
          <w:szCs w:val="22"/>
          <w:lang w:eastAsia="en-US"/>
        </w:rPr>
      </w:pPr>
    </w:p>
    <w:p w14:paraId="20280668" w14:textId="77777777" w:rsidR="00534E24" w:rsidRPr="00C21B99" w:rsidRDefault="007F275F" w:rsidP="007F275F">
      <w:pPr>
        <w:widowControl w:val="0"/>
        <w:tabs>
          <w:tab w:val="left" w:pos="567"/>
        </w:tabs>
        <w:rPr>
          <w:snapToGrid w:val="0"/>
          <w:szCs w:val="22"/>
          <w:lang w:eastAsia="en-US"/>
        </w:rPr>
      </w:pPr>
      <w:r w:rsidRPr="00C21B99">
        <w:rPr>
          <w:snapToGrid w:val="0"/>
          <w:szCs w:val="22"/>
          <w:lang w:eastAsia="en-US"/>
        </w:rPr>
        <w:t xml:space="preserve"> Gauta pranešimų apie gydymo </w:t>
      </w:r>
      <w:proofErr w:type="spellStart"/>
      <w:r w:rsidRPr="00C21B99">
        <w:rPr>
          <w:snapToGrid w:val="0"/>
          <w:szCs w:val="22"/>
          <w:lang w:eastAsia="en-US"/>
        </w:rPr>
        <w:t>gefitinibu</w:t>
      </w:r>
      <w:proofErr w:type="spellEnd"/>
      <w:r w:rsidRPr="00C21B99">
        <w:rPr>
          <w:snapToGrid w:val="0"/>
          <w:szCs w:val="22"/>
          <w:lang w:eastAsia="en-US"/>
        </w:rPr>
        <w:t xml:space="preserve"> metu pasireiškusią </w:t>
      </w:r>
      <w:proofErr w:type="spellStart"/>
      <w:r w:rsidRPr="00C21B99">
        <w:rPr>
          <w:snapToGrid w:val="0"/>
          <w:szCs w:val="22"/>
          <w:lang w:eastAsia="en-US"/>
        </w:rPr>
        <w:t>asteniją</w:t>
      </w:r>
      <w:proofErr w:type="spellEnd"/>
      <w:r w:rsidRPr="00C21B99">
        <w:rPr>
          <w:snapToGrid w:val="0"/>
          <w:szCs w:val="22"/>
          <w:lang w:eastAsia="en-US"/>
        </w:rPr>
        <w:t>. Dėl to pacientams, kuriems būna šis simptomas, vairuoti ir valdyti mechanizmus reikia atsargiai</w:t>
      </w:r>
      <w:r w:rsidR="00534E24" w:rsidRPr="00C21B99">
        <w:rPr>
          <w:snapToGrid w:val="0"/>
          <w:szCs w:val="22"/>
          <w:lang w:eastAsia="en-US"/>
        </w:rPr>
        <w:t>.</w:t>
      </w:r>
    </w:p>
    <w:p w14:paraId="3A8A9262" w14:textId="77777777" w:rsidR="007F275F" w:rsidRPr="00C21B99" w:rsidRDefault="007F275F" w:rsidP="00D87EAB">
      <w:pPr>
        <w:widowControl w:val="0"/>
        <w:tabs>
          <w:tab w:val="left" w:pos="567"/>
        </w:tabs>
        <w:outlineLvl w:val="0"/>
        <w:rPr>
          <w:b/>
          <w:snapToGrid w:val="0"/>
          <w:szCs w:val="22"/>
          <w:lang w:eastAsia="en-US"/>
        </w:rPr>
      </w:pPr>
    </w:p>
    <w:p w14:paraId="711E81D4" w14:textId="77777777" w:rsidR="00D87EAB" w:rsidRPr="00C21B99" w:rsidRDefault="00D87EAB" w:rsidP="00D87EAB">
      <w:pPr>
        <w:widowControl w:val="0"/>
        <w:tabs>
          <w:tab w:val="left" w:pos="567"/>
        </w:tabs>
        <w:outlineLvl w:val="0"/>
        <w:rPr>
          <w:snapToGrid w:val="0"/>
          <w:szCs w:val="22"/>
          <w:lang w:eastAsia="en-US"/>
        </w:rPr>
      </w:pPr>
      <w:r w:rsidRPr="00C21B99">
        <w:rPr>
          <w:b/>
          <w:snapToGrid w:val="0"/>
          <w:szCs w:val="22"/>
          <w:lang w:eastAsia="en-US"/>
        </w:rPr>
        <w:t>4.8</w:t>
      </w:r>
      <w:r w:rsidRPr="00C21B99">
        <w:rPr>
          <w:b/>
          <w:snapToGrid w:val="0"/>
          <w:szCs w:val="22"/>
          <w:lang w:eastAsia="en-US"/>
        </w:rPr>
        <w:tab/>
        <w:t>Nepageidaujamas poveikis</w:t>
      </w:r>
    </w:p>
    <w:p w14:paraId="3A67A61D" w14:textId="77777777" w:rsidR="00D87EAB" w:rsidRPr="00C21B99" w:rsidRDefault="00D87EAB" w:rsidP="00D87EAB">
      <w:pPr>
        <w:widowControl w:val="0"/>
        <w:tabs>
          <w:tab w:val="left" w:pos="567"/>
        </w:tabs>
        <w:rPr>
          <w:snapToGrid w:val="0"/>
          <w:szCs w:val="22"/>
          <w:lang w:eastAsia="en-US"/>
        </w:rPr>
      </w:pPr>
    </w:p>
    <w:p w14:paraId="355C895E" w14:textId="77777777" w:rsidR="00534E24" w:rsidRPr="00C21B99" w:rsidRDefault="00534E24" w:rsidP="00534E24">
      <w:pPr>
        <w:widowControl w:val="0"/>
        <w:tabs>
          <w:tab w:val="left" w:pos="567"/>
        </w:tabs>
        <w:rPr>
          <w:snapToGrid w:val="0"/>
          <w:szCs w:val="22"/>
          <w:u w:val="single"/>
          <w:lang w:eastAsia="en-US"/>
        </w:rPr>
      </w:pPr>
      <w:r w:rsidRPr="00C21B99">
        <w:rPr>
          <w:snapToGrid w:val="0"/>
          <w:szCs w:val="22"/>
          <w:u w:val="single"/>
          <w:lang w:eastAsia="en-US"/>
        </w:rPr>
        <w:t>Saugumo duomenų santrauka</w:t>
      </w:r>
    </w:p>
    <w:p w14:paraId="3A0EA507" w14:textId="77777777" w:rsidR="004F5C3D" w:rsidRPr="00C21B99" w:rsidRDefault="004F5C3D" w:rsidP="004F5C3D">
      <w:pPr>
        <w:widowControl w:val="0"/>
        <w:tabs>
          <w:tab w:val="left" w:pos="567"/>
        </w:tabs>
        <w:rPr>
          <w:snapToGrid w:val="0"/>
          <w:szCs w:val="22"/>
          <w:lang w:eastAsia="en-US"/>
        </w:rPr>
      </w:pPr>
      <w:r w:rsidRPr="00C21B99">
        <w:rPr>
          <w:snapToGrid w:val="0"/>
          <w:szCs w:val="22"/>
          <w:lang w:eastAsia="en-US"/>
        </w:rPr>
        <w:t xml:space="preserve">ISEL, INTEREST ir IPASS III fazės klinikinių tyrimų (2462 </w:t>
      </w:r>
      <w:proofErr w:type="spellStart"/>
      <w:r w:rsidRPr="00C21B99">
        <w:rPr>
          <w:snapToGrid w:val="0"/>
          <w:szCs w:val="22"/>
          <w:lang w:eastAsia="en-US"/>
        </w:rPr>
        <w:t>gefitinibu</w:t>
      </w:r>
      <w:proofErr w:type="spellEnd"/>
      <w:r w:rsidRPr="00C21B99">
        <w:rPr>
          <w:snapToGrid w:val="0"/>
          <w:szCs w:val="22"/>
          <w:lang w:eastAsia="en-US"/>
        </w:rPr>
        <w:t xml:space="preserve"> gydytų pacientų) jungtiniais duomenimis, dažniausios nepageidaujamos reakcijos į vaistinį preparatą (NRV), pasireiškusios daugiau kaip 20% pacientų, buvo viduriavimas ir odos reakcijos (įskaitant išbėrimą, paprastuosius spuogus, odos sausumą ir niež</w:t>
      </w:r>
      <w:r w:rsidR="00846938">
        <w:rPr>
          <w:snapToGrid w:val="0"/>
          <w:szCs w:val="22"/>
          <w:lang w:eastAsia="en-US"/>
        </w:rPr>
        <w:t>ėjimą</w:t>
      </w:r>
      <w:r w:rsidRPr="00C21B99">
        <w:rPr>
          <w:snapToGrid w:val="0"/>
          <w:szCs w:val="22"/>
          <w:lang w:eastAsia="en-US"/>
        </w:rPr>
        <w:t>). NRV paprastai pasireiškia per pirmąjį gydymo mėnesį ir dažniausiai būna laikinos. Maždaug 8% pacientų pasireiškė sunkių NRV (3-4 laipsnio pagal bendruosius toksiškumo kriterijus, BTK). Dėl NRV gydymą nutraukė maždaug 3% pacientų.</w:t>
      </w:r>
    </w:p>
    <w:p w14:paraId="5EDDDB20" w14:textId="77777777" w:rsidR="004F5C3D" w:rsidRPr="00C21B99" w:rsidRDefault="004F5C3D" w:rsidP="004F5C3D">
      <w:pPr>
        <w:widowControl w:val="0"/>
        <w:tabs>
          <w:tab w:val="left" w:pos="567"/>
        </w:tabs>
        <w:rPr>
          <w:snapToGrid w:val="0"/>
          <w:szCs w:val="22"/>
          <w:lang w:eastAsia="en-US"/>
        </w:rPr>
      </w:pPr>
    </w:p>
    <w:p w14:paraId="002C55D0" w14:textId="77777777" w:rsidR="004F5C3D" w:rsidRPr="00C21B99" w:rsidRDefault="004F5C3D" w:rsidP="004F5C3D">
      <w:pPr>
        <w:widowControl w:val="0"/>
        <w:tabs>
          <w:tab w:val="left" w:pos="567"/>
        </w:tabs>
        <w:rPr>
          <w:snapToGrid w:val="0"/>
          <w:szCs w:val="22"/>
          <w:lang w:eastAsia="en-US"/>
        </w:rPr>
      </w:pPr>
      <w:r w:rsidRPr="00C21B99">
        <w:rPr>
          <w:snapToGrid w:val="0"/>
          <w:szCs w:val="22"/>
          <w:lang w:eastAsia="en-US"/>
        </w:rPr>
        <w:t xml:space="preserve">1,3% pacientų pasireiškė </w:t>
      </w:r>
      <w:proofErr w:type="spellStart"/>
      <w:r w:rsidRPr="00C21B99">
        <w:rPr>
          <w:snapToGrid w:val="0"/>
          <w:szCs w:val="22"/>
          <w:lang w:eastAsia="en-US"/>
        </w:rPr>
        <w:t>intersticinė</w:t>
      </w:r>
      <w:proofErr w:type="spellEnd"/>
      <w:r w:rsidRPr="00C21B99">
        <w:rPr>
          <w:snapToGrid w:val="0"/>
          <w:szCs w:val="22"/>
          <w:lang w:eastAsia="en-US"/>
        </w:rPr>
        <w:t xml:space="preserve"> plaučių liga. Dažnai ji būdavo sunki (3-4 BTK laipsnio), gauta pranešimų apie mirtimi pasibaigusius atvejus.</w:t>
      </w:r>
    </w:p>
    <w:p w14:paraId="3FE4B15A" w14:textId="77777777" w:rsidR="004F5C3D" w:rsidRPr="00C21B99" w:rsidRDefault="004F5C3D" w:rsidP="004F5C3D">
      <w:pPr>
        <w:widowControl w:val="0"/>
        <w:tabs>
          <w:tab w:val="left" w:pos="567"/>
        </w:tabs>
        <w:rPr>
          <w:snapToGrid w:val="0"/>
          <w:szCs w:val="22"/>
          <w:lang w:eastAsia="en-US"/>
        </w:rPr>
      </w:pPr>
    </w:p>
    <w:p w14:paraId="4374AAA7" w14:textId="77777777" w:rsidR="004F5C3D" w:rsidRPr="00C21B99" w:rsidRDefault="004F5C3D" w:rsidP="004F5C3D">
      <w:pPr>
        <w:widowControl w:val="0"/>
        <w:tabs>
          <w:tab w:val="left" w:pos="567"/>
        </w:tabs>
        <w:rPr>
          <w:snapToGrid w:val="0"/>
          <w:szCs w:val="22"/>
          <w:u w:val="single"/>
          <w:lang w:eastAsia="en-US"/>
        </w:rPr>
      </w:pPr>
      <w:r w:rsidRPr="00C21B99">
        <w:rPr>
          <w:snapToGrid w:val="0"/>
          <w:szCs w:val="22"/>
          <w:u w:val="single"/>
          <w:lang w:eastAsia="en-US"/>
        </w:rPr>
        <w:t>Nepageidaujamų reakcijų santrauka lentelėje</w:t>
      </w:r>
    </w:p>
    <w:p w14:paraId="6DC3B28A" w14:textId="77777777" w:rsidR="004F5C3D" w:rsidRPr="00C21B99" w:rsidRDefault="004F5C3D" w:rsidP="004F5C3D">
      <w:pPr>
        <w:widowControl w:val="0"/>
        <w:tabs>
          <w:tab w:val="left" w:pos="567"/>
        </w:tabs>
        <w:rPr>
          <w:snapToGrid w:val="0"/>
          <w:szCs w:val="22"/>
          <w:lang w:eastAsia="en-US"/>
        </w:rPr>
      </w:pPr>
      <w:r w:rsidRPr="00C21B99">
        <w:rPr>
          <w:snapToGrid w:val="0"/>
          <w:szCs w:val="22"/>
          <w:lang w:eastAsia="en-US"/>
        </w:rPr>
        <w:t xml:space="preserve">1 lentelėje pateikiami saugumo duomenys yra pagrįsti </w:t>
      </w:r>
      <w:proofErr w:type="spellStart"/>
      <w:r w:rsidRPr="00C21B99">
        <w:rPr>
          <w:snapToGrid w:val="0"/>
          <w:szCs w:val="22"/>
          <w:lang w:eastAsia="en-US"/>
        </w:rPr>
        <w:t>gefitinibo</w:t>
      </w:r>
      <w:proofErr w:type="spellEnd"/>
      <w:r w:rsidRPr="00C21B99">
        <w:rPr>
          <w:snapToGrid w:val="0"/>
          <w:szCs w:val="22"/>
          <w:lang w:eastAsia="en-US"/>
        </w:rPr>
        <w:t xml:space="preserve"> klinikinio kūrimo programa ir </w:t>
      </w:r>
      <w:r w:rsidR="006038E2" w:rsidRPr="00C21B99">
        <w:rPr>
          <w:snapToGrid w:val="0"/>
          <w:szCs w:val="22"/>
          <w:lang w:eastAsia="en-US"/>
        </w:rPr>
        <w:t xml:space="preserve">po vaistinio preparato patekimo į rinką </w:t>
      </w:r>
      <w:r w:rsidRPr="00C21B99">
        <w:rPr>
          <w:snapToGrid w:val="0"/>
          <w:szCs w:val="22"/>
          <w:lang w:eastAsia="en-US"/>
        </w:rPr>
        <w:t>su</w:t>
      </w:r>
      <w:r w:rsidR="003C5CAF" w:rsidRPr="00C21B99">
        <w:rPr>
          <w:snapToGrid w:val="0"/>
          <w:szCs w:val="22"/>
          <w:lang w:eastAsia="en-US"/>
        </w:rPr>
        <w:t>k</w:t>
      </w:r>
      <w:r w:rsidRPr="00C21B99">
        <w:rPr>
          <w:snapToGrid w:val="0"/>
          <w:szCs w:val="22"/>
          <w:lang w:eastAsia="en-US"/>
        </w:rPr>
        <w:t>aupta patirtimi. Nepageidaujamos reakcijos 1 lentelėje suskirstytos į dažnio</w:t>
      </w:r>
      <w:r w:rsidR="006038E2" w:rsidRPr="00C21B99">
        <w:rPr>
          <w:snapToGrid w:val="0"/>
          <w:szCs w:val="22"/>
          <w:lang w:eastAsia="en-US"/>
        </w:rPr>
        <w:t xml:space="preserve"> </w:t>
      </w:r>
      <w:r w:rsidRPr="00C21B99">
        <w:rPr>
          <w:snapToGrid w:val="0"/>
          <w:szCs w:val="22"/>
          <w:lang w:eastAsia="en-US"/>
        </w:rPr>
        <w:t>kategorijas</w:t>
      </w:r>
      <w:r w:rsidR="006038E2" w:rsidRPr="00C21B99">
        <w:rPr>
          <w:snapToGrid w:val="0"/>
          <w:szCs w:val="22"/>
          <w:lang w:eastAsia="en-US"/>
        </w:rPr>
        <w:t xml:space="preserve">, kur </w:t>
      </w:r>
      <w:r w:rsidRPr="00C21B99">
        <w:rPr>
          <w:snapToGrid w:val="0"/>
          <w:szCs w:val="22"/>
          <w:lang w:eastAsia="en-US"/>
        </w:rPr>
        <w:t xml:space="preserve">įmanoma </w:t>
      </w:r>
      <w:r w:rsidR="006038E2" w:rsidRPr="00C21B99">
        <w:rPr>
          <w:snapToGrid w:val="0"/>
          <w:szCs w:val="22"/>
          <w:lang w:eastAsia="en-US"/>
        </w:rPr>
        <w:t xml:space="preserve">pagristos </w:t>
      </w:r>
      <w:r w:rsidRPr="00C21B99">
        <w:rPr>
          <w:snapToGrid w:val="0"/>
          <w:szCs w:val="22"/>
          <w:lang w:eastAsia="en-US"/>
        </w:rPr>
        <w:t>pagal panašių nepageidaujamų reiškinių pranešimų dažnį bendroje ISEL,</w:t>
      </w:r>
      <w:r w:rsidR="006038E2" w:rsidRPr="00C21B99">
        <w:rPr>
          <w:snapToGrid w:val="0"/>
          <w:szCs w:val="22"/>
          <w:lang w:eastAsia="en-US"/>
        </w:rPr>
        <w:t xml:space="preserve"> </w:t>
      </w:r>
      <w:r w:rsidRPr="00C21B99">
        <w:rPr>
          <w:snapToGrid w:val="0"/>
          <w:szCs w:val="22"/>
          <w:lang w:eastAsia="en-US"/>
        </w:rPr>
        <w:t xml:space="preserve">INTEREST ir IPASS III fazės klinikinių tyrimų </w:t>
      </w:r>
      <w:r w:rsidR="006038E2" w:rsidRPr="00C21B99">
        <w:rPr>
          <w:snapToGrid w:val="0"/>
          <w:szCs w:val="22"/>
          <w:lang w:eastAsia="en-US"/>
        </w:rPr>
        <w:t xml:space="preserve">(2462 </w:t>
      </w:r>
      <w:proofErr w:type="spellStart"/>
      <w:r w:rsidR="006038E2" w:rsidRPr="00C21B99">
        <w:rPr>
          <w:snapToGrid w:val="0"/>
          <w:szCs w:val="22"/>
          <w:lang w:eastAsia="en-US"/>
        </w:rPr>
        <w:t>gefitinibu</w:t>
      </w:r>
      <w:proofErr w:type="spellEnd"/>
      <w:r w:rsidR="006038E2" w:rsidRPr="00C21B99">
        <w:rPr>
          <w:snapToGrid w:val="0"/>
          <w:szCs w:val="22"/>
          <w:lang w:eastAsia="en-US"/>
        </w:rPr>
        <w:t xml:space="preserve"> gydytų pacientų) </w:t>
      </w:r>
      <w:r w:rsidRPr="00C21B99">
        <w:rPr>
          <w:snapToGrid w:val="0"/>
          <w:szCs w:val="22"/>
          <w:lang w:eastAsia="en-US"/>
        </w:rPr>
        <w:t>duomenų bazėje.</w:t>
      </w:r>
    </w:p>
    <w:p w14:paraId="07A54B3A" w14:textId="77777777" w:rsidR="004F5C3D" w:rsidRPr="00C21B99" w:rsidRDefault="004F5C3D" w:rsidP="004F5C3D">
      <w:pPr>
        <w:widowControl w:val="0"/>
        <w:tabs>
          <w:tab w:val="left" w:pos="567"/>
        </w:tabs>
        <w:rPr>
          <w:snapToGrid w:val="0"/>
          <w:szCs w:val="22"/>
          <w:lang w:eastAsia="en-US"/>
        </w:rPr>
      </w:pPr>
      <w:r w:rsidRPr="00C21B99">
        <w:rPr>
          <w:snapToGrid w:val="0"/>
          <w:szCs w:val="22"/>
          <w:lang w:eastAsia="en-US"/>
        </w:rPr>
        <w:t>Nepageidaujamo poveikio dažnis apibūdinamas taip: labai dažna</w:t>
      </w:r>
      <w:r w:rsidR="006038E2" w:rsidRPr="00C21B99">
        <w:rPr>
          <w:snapToGrid w:val="0"/>
          <w:szCs w:val="22"/>
          <w:lang w:eastAsia="en-US"/>
        </w:rPr>
        <w:t>s</w:t>
      </w:r>
      <w:r w:rsidRPr="00C21B99">
        <w:rPr>
          <w:snapToGrid w:val="0"/>
          <w:szCs w:val="22"/>
          <w:lang w:eastAsia="en-US"/>
        </w:rPr>
        <w:t xml:space="preserve"> (≥ 1/10), dažna</w:t>
      </w:r>
      <w:r w:rsidR="006038E2" w:rsidRPr="00C21B99">
        <w:rPr>
          <w:snapToGrid w:val="0"/>
          <w:szCs w:val="22"/>
          <w:lang w:eastAsia="en-US"/>
        </w:rPr>
        <w:t>s</w:t>
      </w:r>
      <w:r w:rsidRPr="00C21B99">
        <w:rPr>
          <w:snapToGrid w:val="0"/>
          <w:szCs w:val="22"/>
          <w:lang w:eastAsia="en-US"/>
        </w:rPr>
        <w:t xml:space="preserve"> (nuo ≥ 1/100 iki</w:t>
      </w:r>
      <w:r w:rsidR="006038E2" w:rsidRPr="00C21B99">
        <w:rPr>
          <w:snapToGrid w:val="0"/>
          <w:szCs w:val="22"/>
          <w:lang w:eastAsia="en-US"/>
        </w:rPr>
        <w:t xml:space="preserve"> </w:t>
      </w:r>
      <w:r w:rsidRPr="00C21B99">
        <w:rPr>
          <w:snapToGrid w:val="0"/>
          <w:szCs w:val="22"/>
          <w:lang w:eastAsia="en-US"/>
        </w:rPr>
        <w:t>&lt; 1/10), nedažna</w:t>
      </w:r>
      <w:r w:rsidR="006038E2" w:rsidRPr="00C21B99">
        <w:rPr>
          <w:snapToGrid w:val="0"/>
          <w:szCs w:val="22"/>
          <w:lang w:eastAsia="en-US"/>
        </w:rPr>
        <w:t>s</w:t>
      </w:r>
      <w:r w:rsidRPr="00C21B99">
        <w:rPr>
          <w:snapToGrid w:val="0"/>
          <w:szCs w:val="22"/>
          <w:lang w:eastAsia="en-US"/>
        </w:rPr>
        <w:t xml:space="preserve"> (nuo ≥ 1/1000 iki &lt; 1/100), reta</w:t>
      </w:r>
      <w:r w:rsidR="006038E2" w:rsidRPr="00C21B99">
        <w:rPr>
          <w:snapToGrid w:val="0"/>
          <w:szCs w:val="22"/>
          <w:lang w:eastAsia="en-US"/>
        </w:rPr>
        <w:t>s</w:t>
      </w:r>
      <w:r w:rsidRPr="00C21B99">
        <w:rPr>
          <w:snapToGrid w:val="0"/>
          <w:szCs w:val="22"/>
          <w:lang w:eastAsia="en-US"/>
        </w:rPr>
        <w:t xml:space="preserve"> (nuo ≥ 1/10000 iki &lt; 1/1000), labai reta</w:t>
      </w:r>
      <w:r w:rsidR="006038E2" w:rsidRPr="00C21B99">
        <w:rPr>
          <w:snapToGrid w:val="0"/>
          <w:szCs w:val="22"/>
          <w:lang w:eastAsia="en-US"/>
        </w:rPr>
        <w:t>s</w:t>
      </w:r>
    </w:p>
    <w:p w14:paraId="6B43A38B" w14:textId="77777777" w:rsidR="004F5C3D" w:rsidRPr="00C21B99" w:rsidRDefault="004F5C3D" w:rsidP="004F5C3D">
      <w:pPr>
        <w:widowControl w:val="0"/>
        <w:tabs>
          <w:tab w:val="left" w:pos="567"/>
        </w:tabs>
        <w:rPr>
          <w:snapToGrid w:val="0"/>
          <w:szCs w:val="22"/>
          <w:lang w:eastAsia="en-US"/>
        </w:rPr>
      </w:pPr>
      <w:r w:rsidRPr="00C21B99">
        <w:rPr>
          <w:snapToGrid w:val="0"/>
          <w:szCs w:val="22"/>
          <w:lang w:eastAsia="en-US"/>
        </w:rPr>
        <w:t xml:space="preserve">(&lt; 1/10000), nežinomas (negali būti </w:t>
      </w:r>
      <w:r w:rsidR="006038E2" w:rsidRPr="00C21B99">
        <w:rPr>
          <w:snapToGrid w:val="0"/>
          <w:szCs w:val="22"/>
          <w:lang w:eastAsia="en-US"/>
        </w:rPr>
        <w:t>apskaičiuotas</w:t>
      </w:r>
      <w:r w:rsidRPr="00C21B99">
        <w:rPr>
          <w:snapToGrid w:val="0"/>
          <w:szCs w:val="22"/>
          <w:lang w:eastAsia="en-US"/>
        </w:rPr>
        <w:t xml:space="preserve"> pagal turimus duomenis).</w:t>
      </w:r>
    </w:p>
    <w:p w14:paraId="1CE60389" w14:textId="77777777" w:rsidR="007B5476" w:rsidRPr="00C21B99" w:rsidRDefault="004F5C3D" w:rsidP="004F5C3D">
      <w:pPr>
        <w:widowControl w:val="0"/>
        <w:tabs>
          <w:tab w:val="left" w:pos="567"/>
        </w:tabs>
        <w:rPr>
          <w:snapToGrid w:val="0"/>
          <w:szCs w:val="22"/>
          <w:lang w:eastAsia="en-US"/>
        </w:rPr>
      </w:pPr>
      <w:r w:rsidRPr="00C21B99">
        <w:rPr>
          <w:snapToGrid w:val="0"/>
          <w:szCs w:val="22"/>
          <w:lang w:eastAsia="en-US"/>
        </w:rPr>
        <w:t>Kiekvienoje dažnio grupėje nepageidaujamas poveikis pateikiamas mažėjančio sunkumo tvarka.</w:t>
      </w:r>
    </w:p>
    <w:p w14:paraId="3F2251F2" w14:textId="77777777" w:rsidR="006038E2" w:rsidRPr="00C21B99" w:rsidRDefault="006038E2" w:rsidP="00D87EAB">
      <w:pPr>
        <w:widowControl w:val="0"/>
        <w:tabs>
          <w:tab w:val="left" w:pos="567"/>
        </w:tabs>
        <w:rPr>
          <w:b/>
          <w:snapToGrid w:val="0"/>
          <w:szCs w:val="22"/>
          <w:lang w:eastAsia="en-US"/>
        </w:rPr>
      </w:pPr>
    </w:p>
    <w:p w14:paraId="22AE8D14" w14:textId="77777777" w:rsidR="00534E24" w:rsidRPr="00C21B99" w:rsidRDefault="006038E2" w:rsidP="00D87EAB">
      <w:pPr>
        <w:widowControl w:val="0"/>
        <w:tabs>
          <w:tab w:val="left" w:pos="567"/>
        </w:tabs>
        <w:rPr>
          <w:b/>
          <w:snapToGrid w:val="0"/>
          <w:szCs w:val="22"/>
          <w:lang w:eastAsia="en-US"/>
        </w:rPr>
      </w:pPr>
      <w:r w:rsidRPr="00C21B99">
        <w:rPr>
          <w:b/>
          <w:snapToGrid w:val="0"/>
          <w:szCs w:val="22"/>
          <w:lang w:eastAsia="en-US"/>
        </w:rPr>
        <w:t>1 lentelė. Nepageidaujamos reakcijos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5351"/>
      </w:tblGrid>
      <w:tr w:rsidR="006038E2" w:rsidRPr="00C21B99" w14:paraId="12D5CE06" w14:textId="77777777" w:rsidTr="006038E2">
        <w:tc>
          <w:tcPr>
            <w:tcW w:w="9287" w:type="dxa"/>
            <w:gridSpan w:val="3"/>
            <w:shd w:val="clear" w:color="auto" w:fill="auto"/>
            <w:vAlign w:val="center"/>
          </w:tcPr>
          <w:p w14:paraId="1D66FBC7" w14:textId="77777777" w:rsidR="006038E2" w:rsidRPr="00C21B99" w:rsidRDefault="006038E2" w:rsidP="00B13352">
            <w:pPr>
              <w:tabs>
                <w:tab w:val="left" w:pos="567"/>
              </w:tabs>
              <w:rPr>
                <w:szCs w:val="22"/>
                <w:lang w:eastAsia="en-US"/>
              </w:rPr>
            </w:pPr>
            <w:r w:rsidRPr="00C21B99">
              <w:rPr>
                <w:b/>
                <w:bCs/>
                <w:szCs w:val="22"/>
              </w:rPr>
              <w:t>Nepageidaujamos reakcijos pagal organų sistemų klases ir dažnį</w:t>
            </w:r>
          </w:p>
        </w:tc>
      </w:tr>
      <w:tr w:rsidR="006038E2" w:rsidRPr="00C21B99" w14:paraId="2963A9E2" w14:textId="77777777" w:rsidTr="00450BAE">
        <w:tc>
          <w:tcPr>
            <w:tcW w:w="2660" w:type="dxa"/>
            <w:shd w:val="clear" w:color="auto" w:fill="auto"/>
            <w:vAlign w:val="center"/>
          </w:tcPr>
          <w:p w14:paraId="2F4D6FA8" w14:textId="77777777" w:rsidR="006038E2" w:rsidRPr="00C21B99" w:rsidRDefault="006038E2" w:rsidP="00B13352">
            <w:pPr>
              <w:tabs>
                <w:tab w:val="left" w:pos="567"/>
              </w:tabs>
              <w:rPr>
                <w:szCs w:val="22"/>
                <w:lang w:eastAsia="en-US"/>
              </w:rPr>
            </w:pPr>
            <w:r w:rsidRPr="00C21B99">
              <w:rPr>
                <w:szCs w:val="22"/>
                <w:lang w:eastAsia="en-US"/>
              </w:rPr>
              <w:t>Metabolizmo ir mitybos sutrikimai</w:t>
            </w:r>
          </w:p>
        </w:tc>
        <w:tc>
          <w:tcPr>
            <w:tcW w:w="1276" w:type="dxa"/>
            <w:shd w:val="clear" w:color="auto" w:fill="auto"/>
            <w:vAlign w:val="center"/>
          </w:tcPr>
          <w:p w14:paraId="48C151B4" w14:textId="77777777" w:rsidR="006038E2" w:rsidRPr="00C21B99" w:rsidRDefault="006038E2" w:rsidP="006038E2">
            <w:pPr>
              <w:tabs>
                <w:tab w:val="left" w:pos="567"/>
              </w:tabs>
              <w:rPr>
                <w:szCs w:val="22"/>
                <w:lang w:eastAsia="en-US"/>
              </w:rPr>
            </w:pPr>
            <w:r w:rsidRPr="00C21B99">
              <w:rPr>
                <w:szCs w:val="22"/>
                <w:lang w:eastAsia="en-US"/>
              </w:rPr>
              <w:t>Labai dažnas</w:t>
            </w:r>
          </w:p>
        </w:tc>
        <w:tc>
          <w:tcPr>
            <w:tcW w:w="5351" w:type="dxa"/>
            <w:shd w:val="clear" w:color="auto" w:fill="auto"/>
            <w:vAlign w:val="center"/>
          </w:tcPr>
          <w:p w14:paraId="3B683FC8" w14:textId="77777777" w:rsidR="006038E2" w:rsidRPr="00C21B99" w:rsidRDefault="004C3FBB" w:rsidP="003C5CAF">
            <w:pPr>
              <w:autoSpaceDE w:val="0"/>
              <w:autoSpaceDN w:val="0"/>
              <w:adjustRightInd w:val="0"/>
              <w:rPr>
                <w:szCs w:val="22"/>
                <w:lang w:eastAsia="en-US"/>
              </w:rPr>
            </w:pPr>
            <w:r w:rsidRPr="00C21B99">
              <w:rPr>
                <w:rFonts w:eastAsia="TimesNewRoman"/>
                <w:szCs w:val="22"/>
              </w:rPr>
              <w:t>Lengva arba vidutinio sunkumo anoreksija (1 arba 2 laipsnio</w:t>
            </w:r>
            <w:r w:rsidR="005D1094" w:rsidRPr="00C21B99">
              <w:rPr>
                <w:rFonts w:eastAsia="TimesNewRoman"/>
                <w:szCs w:val="22"/>
              </w:rPr>
              <w:t xml:space="preserve"> pagal BTK</w:t>
            </w:r>
            <w:r w:rsidRPr="00C21B99">
              <w:rPr>
                <w:rFonts w:eastAsia="TimesNewRoman"/>
                <w:szCs w:val="22"/>
              </w:rPr>
              <w:t>)</w:t>
            </w:r>
          </w:p>
        </w:tc>
      </w:tr>
      <w:tr w:rsidR="00450BAE" w:rsidRPr="00C21B99" w14:paraId="5CC4EDED" w14:textId="77777777" w:rsidTr="00450BAE">
        <w:tc>
          <w:tcPr>
            <w:tcW w:w="2660" w:type="dxa"/>
            <w:tcBorders>
              <w:bottom w:val="nil"/>
            </w:tcBorders>
            <w:shd w:val="clear" w:color="auto" w:fill="auto"/>
            <w:vAlign w:val="center"/>
          </w:tcPr>
          <w:p w14:paraId="6F790EDA" w14:textId="77777777" w:rsidR="00450BAE" w:rsidRPr="00C21B99" w:rsidRDefault="00450BAE" w:rsidP="004C3FBB">
            <w:pPr>
              <w:tabs>
                <w:tab w:val="left" w:pos="567"/>
              </w:tabs>
              <w:rPr>
                <w:szCs w:val="22"/>
                <w:lang w:eastAsia="en-US"/>
              </w:rPr>
            </w:pPr>
            <w:r w:rsidRPr="00C21B99">
              <w:rPr>
                <w:szCs w:val="22"/>
                <w:lang w:eastAsia="en-US"/>
              </w:rPr>
              <w:t>Akių sutrikimai</w:t>
            </w:r>
          </w:p>
        </w:tc>
        <w:tc>
          <w:tcPr>
            <w:tcW w:w="1276" w:type="dxa"/>
            <w:tcBorders>
              <w:bottom w:val="nil"/>
            </w:tcBorders>
            <w:shd w:val="clear" w:color="auto" w:fill="auto"/>
            <w:vAlign w:val="center"/>
          </w:tcPr>
          <w:p w14:paraId="123BB38A" w14:textId="77777777" w:rsidR="00450BAE" w:rsidRPr="00C21B99" w:rsidRDefault="00450BAE" w:rsidP="00B13352">
            <w:pPr>
              <w:tabs>
                <w:tab w:val="left" w:pos="567"/>
              </w:tabs>
              <w:rPr>
                <w:szCs w:val="22"/>
                <w:lang w:eastAsia="en-US"/>
              </w:rPr>
            </w:pPr>
            <w:r w:rsidRPr="00C21B99">
              <w:rPr>
                <w:szCs w:val="22"/>
                <w:lang w:eastAsia="en-US"/>
              </w:rPr>
              <w:t>Dažnas</w:t>
            </w:r>
          </w:p>
        </w:tc>
        <w:tc>
          <w:tcPr>
            <w:tcW w:w="5351" w:type="dxa"/>
            <w:tcBorders>
              <w:bottom w:val="single" w:sz="4" w:space="0" w:color="auto"/>
            </w:tcBorders>
            <w:shd w:val="clear" w:color="auto" w:fill="auto"/>
            <w:vAlign w:val="center"/>
          </w:tcPr>
          <w:p w14:paraId="17636FCE" w14:textId="77777777" w:rsidR="00450BAE" w:rsidRPr="00C21B99" w:rsidRDefault="00450BAE" w:rsidP="005D1094">
            <w:pPr>
              <w:tabs>
                <w:tab w:val="left" w:pos="567"/>
              </w:tabs>
              <w:rPr>
                <w:szCs w:val="22"/>
                <w:lang w:eastAsia="en-US"/>
              </w:rPr>
            </w:pPr>
            <w:r w:rsidRPr="00C21B99">
              <w:rPr>
                <w:szCs w:val="22"/>
                <w:lang w:eastAsia="en-US"/>
              </w:rPr>
              <w:t>Konjunktyvitas, blefaritas, akių sausumas *, dažniausiai lengvi (1 laipsnio</w:t>
            </w:r>
            <w:r w:rsidR="005D1094" w:rsidRPr="00C21B99">
              <w:rPr>
                <w:rFonts w:eastAsia="TimesNewRoman"/>
                <w:szCs w:val="22"/>
              </w:rPr>
              <w:t xml:space="preserve"> pagal BTK)</w:t>
            </w:r>
            <w:r w:rsidRPr="00C21B99">
              <w:rPr>
                <w:szCs w:val="22"/>
                <w:lang w:eastAsia="en-US"/>
              </w:rPr>
              <w:t>)</w:t>
            </w:r>
          </w:p>
        </w:tc>
      </w:tr>
      <w:tr w:rsidR="00597522" w:rsidRPr="00C21B99" w14:paraId="61977471" w14:textId="77777777" w:rsidTr="00450BAE">
        <w:tc>
          <w:tcPr>
            <w:tcW w:w="2660" w:type="dxa"/>
            <w:tcBorders>
              <w:top w:val="nil"/>
              <w:bottom w:val="nil"/>
              <w:right w:val="single" w:sz="4" w:space="0" w:color="auto"/>
            </w:tcBorders>
            <w:shd w:val="clear" w:color="auto" w:fill="auto"/>
            <w:vAlign w:val="center"/>
          </w:tcPr>
          <w:p w14:paraId="09E890DE" w14:textId="77777777" w:rsidR="00450BAE" w:rsidRPr="00C21B99" w:rsidRDefault="00450BAE" w:rsidP="004C3FBB">
            <w:pPr>
              <w:tabs>
                <w:tab w:val="left" w:pos="567"/>
              </w:tabs>
              <w:rPr>
                <w:szCs w:val="22"/>
                <w:lang w:eastAsia="en-US"/>
              </w:rPr>
            </w:pPr>
          </w:p>
        </w:tc>
        <w:tc>
          <w:tcPr>
            <w:tcW w:w="1276" w:type="dxa"/>
            <w:tcBorders>
              <w:top w:val="nil"/>
              <w:left w:val="single" w:sz="4" w:space="0" w:color="auto"/>
              <w:bottom w:val="nil"/>
              <w:right w:val="single" w:sz="4" w:space="0" w:color="auto"/>
            </w:tcBorders>
            <w:shd w:val="clear" w:color="auto" w:fill="auto"/>
            <w:vAlign w:val="center"/>
          </w:tcPr>
          <w:p w14:paraId="3A0A3A1D" w14:textId="77777777" w:rsidR="00450BAE" w:rsidRPr="00C21B99" w:rsidRDefault="00450BAE" w:rsidP="00B13352">
            <w:pPr>
              <w:tabs>
                <w:tab w:val="left" w:pos="567"/>
              </w:tabs>
              <w:rPr>
                <w:szCs w:val="22"/>
                <w:lang w:eastAsia="en-US"/>
              </w:rPr>
            </w:pPr>
            <w:r w:rsidRPr="00C21B99">
              <w:rPr>
                <w:szCs w:val="22"/>
                <w:lang w:eastAsia="en-US"/>
              </w:rPr>
              <w:t>Nedažnas</w:t>
            </w:r>
          </w:p>
        </w:tc>
        <w:tc>
          <w:tcPr>
            <w:tcW w:w="5351" w:type="dxa"/>
            <w:tcBorders>
              <w:left w:val="single" w:sz="4" w:space="0" w:color="auto"/>
              <w:bottom w:val="single" w:sz="4" w:space="0" w:color="auto"/>
            </w:tcBorders>
            <w:shd w:val="clear" w:color="auto" w:fill="auto"/>
            <w:vAlign w:val="center"/>
          </w:tcPr>
          <w:p w14:paraId="35643D7B" w14:textId="77777777" w:rsidR="00450BAE" w:rsidRPr="00C21B99" w:rsidRDefault="00450BAE" w:rsidP="005D1094">
            <w:pPr>
              <w:tabs>
                <w:tab w:val="left" w:pos="567"/>
              </w:tabs>
              <w:rPr>
                <w:szCs w:val="22"/>
                <w:lang w:eastAsia="en-US"/>
              </w:rPr>
            </w:pPr>
            <w:r w:rsidRPr="00C21B99">
              <w:rPr>
                <w:szCs w:val="22"/>
                <w:lang w:eastAsia="en-US"/>
              </w:rPr>
              <w:t>Ragenos erozija (laikina, kartais susijusi su ne</w:t>
            </w:r>
            <w:r w:rsidR="005D1094" w:rsidRPr="00C21B99">
              <w:rPr>
                <w:szCs w:val="22"/>
                <w:lang w:eastAsia="en-US"/>
              </w:rPr>
              <w:t>tipišku</w:t>
            </w:r>
            <w:r w:rsidRPr="00C21B99">
              <w:rPr>
                <w:szCs w:val="22"/>
                <w:lang w:eastAsia="en-US"/>
              </w:rPr>
              <w:t xml:space="preserve"> blakstienų augimu)</w:t>
            </w:r>
          </w:p>
        </w:tc>
      </w:tr>
      <w:tr w:rsidR="00597522" w:rsidRPr="00C21B99" w14:paraId="41E5B67D" w14:textId="77777777" w:rsidTr="00450BAE">
        <w:tc>
          <w:tcPr>
            <w:tcW w:w="2660" w:type="dxa"/>
            <w:tcBorders>
              <w:top w:val="nil"/>
              <w:left w:val="single" w:sz="4" w:space="0" w:color="auto"/>
              <w:bottom w:val="single" w:sz="4" w:space="0" w:color="auto"/>
              <w:right w:val="single" w:sz="4" w:space="0" w:color="auto"/>
            </w:tcBorders>
            <w:shd w:val="clear" w:color="auto" w:fill="auto"/>
            <w:vAlign w:val="center"/>
          </w:tcPr>
          <w:p w14:paraId="0A5B0E50" w14:textId="77777777" w:rsidR="00450BAE" w:rsidRPr="00C21B99" w:rsidRDefault="00450BAE" w:rsidP="004C3FBB">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240BED2" w14:textId="77777777" w:rsidR="00450BAE" w:rsidRPr="00C21B99" w:rsidRDefault="00450BAE" w:rsidP="00B13352">
            <w:pPr>
              <w:tabs>
                <w:tab w:val="left" w:pos="567"/>
              </w:tabs>
              <w:rPr>
                <w:szCs w:val="22"/>
                <w:lang w:eastAsia="en-US"/>
              </w:rPr>
            </w:pPr>
          </w:p>
        </w:tc>
        <w:tc>
          <w:tcPr>
            <w:tcW w:w="5351" w:type="dxa"/>
            <w:tcBorders>
              <w:left w:val="single" w:sz="4" w:space="0" w:color="auto"/>
              <w:bottom w:val="single" w:sz="4" w:space="0" w:color="auto"/>
            </w:tcBorders>
            <w:shd w:val="clear" w:color="auto" w:fill="auto"/>
            <w:vAlign w:val="center"/>
          </w:tcPr>
          <w:p w14:paraId="68E55B1F" w14:textId="77777777" w:rsidR="00450BAE" w:rsidRPr="00C21B99" w:rsidRDefault="00450BAE" w:rsidP="00450BAE">
            <w:pPr>
              <w:tabs>
                <w:tab w:val="left" w:pos="567"/>
              </w:tabs>
              <w:rPr>
                <w:szCs w:val="22"/>
                <w:lang w:eastAsia="en-US"/>
              </w:rPr>
            </w:pPr>
            <w:proofErr w:type="spellStart"/>
            <w:r w:rsidRPr="00C21B99">
              <w:rPr>
                <w:szCs w:val="22"/>
                <w:lang w:eastAsia="en-US"/>
              </w:rPr>
              <w:t>Keratitas</w:t>
            </w:r>
            <w:proofErr w:type="spellEnd"/>
            <w:r w:rsidRPr="00C21B99">
              <w:rPr>
                <w:szCs w:val="22"/>
                <w:lang w:eastAsia="en-US"/>
              </w:rPr>
              <w:t xml:space="preserve"> (0,12%)</w:t>
            </w:r>
          </w:p>
        </w:tc>
      </w:tr>
      <w:tr w:rsidR="00450BAE" w:rsidRPr="00C21B99" w14:paraId="7DCF3BCF" w14:textId="77777777" w:rsidTr="00450BAE">
        <w:tc>
          <w:tcPr>
            <w:tcW w:w="2660" w:type="dxa"/>
            <w:tcBorders>
              <w:top w:val="nil"/>
              <w:left w:val="single" w:sz="4" w:space="0" w:color="auto"/>
              <w:bottom w:val="single" w:sz="4" w:space="0" w:color="auto"/>
              <w:right w:val="single" w:sz="4" w:space="0" w:color="auto"/>
            </w:tcBorders>
            <w:shd w:val="clear" w:color="auto" w:fill="auto"/>
            <w:vAlign w:val="center"/>
          </w:tcPr>
          <w:p w14:paraId="2496A76A" w14:textId="77777777" w:rsidR="00450BAE" w:rsidRPr="00C21B99" w:rsidRDefault="00450BAE" w:rsidP="004C3FBB">
            <w:pPr>
              <w:tabs>
                <w:tab w:val="left" w:pos="567"/>
              </w:tabs>
              <w:rPr>
                <w:szCs w:val="22"/>
                <w:lang w:eastAsia="en-US"/>
              </w:rPr>
            </w:pPr>
            <w:r w:rsidRPr="00C21B99">
              <w:rPr>
                <w:szCs w:val="22"/>
                <w:lang w:eastAsia="en-US"/>
              </w:rPr>
              <w:t>Kraujagyslių sutrikimai</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A1445B" w14:textId="77777777" w:rsidR="00450BAE" w:rsidRPr="00C21B99" w:rsidRDefault="00450BAE" w:rsidP="00B13352">
            <w:pPr>
              <w:tabs>
                <w:tab w:val="left" w:pos="567"/>
              </w:tabs>
              <w:rPr>
                <w:szCs w:val="22"/>
                <w:lang w:eastAsia="en-US"/>
              </w:rPr>
            </w:pPr>
            <w:r w:rsidRPr="00C21B99">
              <w:rPr>
                <w:szCs w:val="22"/>
                <w:lang w:eastAsia="en-US"/>
              </w:rPr>
              <w:t>Dažnas</w:t>
            </w:r>
          </w:p>
        </w:tc>
        <w:tc>
          <w:tcPr>
            <w:tcW w:w="5351" w:type="dxa"/>
            <w:tcBorders>
              <w:left w:val="single" w:sz="4" w:space="0" w:color="auto"/>
              <w:bottom w:val="single" w:sz="4" w:space="0" w:color="auto"/>
            </w:tcBorders>
            <w:shd w:val="clear" w:color="auto" w:fill="auto"/>
            <w:vAlign w:val="center"/>
          </w:tcPr>
          <w:p w14:paraId="3FC82F66" w14:textId="77777777" w:rsidR="00450BAE" w:rsidRPr="00C21B99" w:rsidRDefault="00450BAE" w:rsidP="00450BAE">
            <w:pPr>
              <w:tabs>
                <w:tab w:val="left" w:pos="567"/>
              </w:tabs>
              <w:rPr>
                <w:szCs w:val="22"/>
                <w:lang w:eastAsia="en-US"/>
              </w:rPr>
            </w:pPr>
            <w:r w:rsidRPr="00C21B99">
              <w:rPr>
                <w:szCs w:val="22"/>
                <w:lang w:eastAsia="en-US"/>
              </w:rPr>
              <w:t xml:space="preserve">Kraujavimas: </w:t>
            </w:r>
            <w:proofErr w:type="spellStart"/>
            <w:r w:rsidRPr="00C21B99">
              <w:rPr>
                <w:szCs w:val="22"/>
                <w:lang w:eastAsia="en-US"/>
              </w:rPr>
              <w:t>epistaksė</w:t>
            </w:r>
            <w:proofErr w:type="spellEnd"/>
            <w:r w:rsidRPr="00C21B99">
              <w:rPr>
                <w:szCs w:val="22"/>
                <w:lang w:eastAsia="en-US"/>
              </w:rPr>
              <w:t xml:space="preserve"> ir </w:t>
            </w:r>
            <w:proofErr w:type="spellStart"/>
            <w:r w:rsidRPr="00C21B99">
              <w:rPr>
                <w:szCs w:val="22"/>
                <w:lang w:eastAsia="en-US"/>
              </w:rPr>
              <w:t>hematurija</w:t>
            </w:r>
            <w:proofErr w:type="spellEnd"/>
          </w:p>
        </w:tc>
      </w:tr>
      <w:tr w:rsidR="00450BAE" w:rsidRPr="00C21B99" w14:paraId="2345FBD2" w14:textId="77777777" w:rsidTr="00450BAE">
        <w:tc>
          <w:tcPr>
            <w:tcW w:w="2660" w:type="dxa"/>
            <w:tcBorders>
              <w:top w:val="nil"/>
              <w:left w:val="single" w:sz="4" w:space="0" w:color="auto"/>
              <w:bottom w:val="single" w:sz="4" w:space="0" w:color="auto"/>
              <w:right w:val="single" w:sz="4" w:space="0" w:color="auto"/>
            </w:tcBorders>
            <w:shd w:val="clear" w:color="auto" w:fill="auto"/>
            <w:vAlign w:val="center"/>
          </w:tcPr>
          <w:p w14:paraId="123679A6" w14:textId="77777777" w:rsidR="00450BAE" w:rsidRPr="00C21B99" w:rsidRDefault="00450BAE" w:rsidP="00450BAE">
            <w:pPr>
              <w:tabs>
                <w:tab w:val="left" w:pos="567"/>
              </w:tabs>
              <w:rPr>
                <w:szCs w:val="22"/>
                <w:lang w:eastAsia="en-US"/>
              </w:rPr>
            </w:pPr>
            <w:r w:rsidRPr="00C21B99">
              <w:rPr>
                <w:szCs w:val="22"/>
                <w:lang w:eastAsia="en-US"/>
              </w:rPr>
              <w:lastRenderedPageBreak/>
              <w:t>Kvėpavimo sistemos, krūtinės ląstos ir tarpusienio sutrikimai</w:t>
            </w:r>
          </w:p>
        </w:tc>
        <w:tc>
          <w:tcPr>
            <w:tcW w:w="1276" w:type="dxa"/>
            <w:tcBorders>
              <w:top w:val="nil"/>
              <w:left w:val="single" w:sz="4" w:space="0" w:color="auto"/>
              <w:bottom w:val="single" w:sz="4" w:space="0" w:color="auto"/>
              <w:right w:val="single" w:sz="4" w:space="0" w:color="auto"/>
            </w:tcBorders>
            <w:shd w:val="clear" w:color="auto" w:fill="auto"/>
            <w:vAlign w:val="center"/>
          </w:tcPr>
          <w:p w14:paraId="4EE59C1D" w14:textId="77777777" w:rsidR="00450BAE" w:rsidRPr="00C21B99" w:rsidRDefault="00450BAE" w:rsidP="00B13352">
            <w:pPr>
              <w:tabs>
                <w:tab w:val="left" w:pos="567"/>
              </w:tabs>
              <w:rPr>
                <w:szCs w:val="22"/>
                <w:lang w:eastAsia="en-US"/>
              </w:rPr>
            </w:pPr>
            <w:r w:rsidRPr="00C21B99">
              <w:rPr>
                <w:szCs w:val="22"/>
                <w:lang w:eastAsia="en-US"/>
              </w:rPr>
              <w:t>Dažnas</w:t>
            </w:r>
          </w:p>
        </w:tc>
        <w:tc>
          <w:tcPr>
            <w:tcW w:w="5351" w:type="dxa"/>
            <w:tcBorders>
              <w:left w:val="single" w:sz="4" w:space="0" w:color="auto"/>
              <w:bottom w:val="single" w:sz="4" w:space="0" w:color="auto"/>
            </w:tcBorders>
            <w:shd w:val="clear" w:color="auto" w:fill="auto"/>
            <w:vAlign w:val="center"/>
          </w:tcPr>
          <w:p w14:paraId="59A2D0F6" w14:textId="77777777" w:rsidR="005D1094" w:rsidRPr="00C21B99" w:rsidRDefault="00450BAE" w:rsidP="005D1094">
            <w:pPr>
              <w:tabs>
                <w:tab w:val="left" w:pos="567"/>
              </w:tabs>
              <w:rPr>
                <w:szCs w:val="22"/>
                <w:lang w:eastAsia="en-US"/>
              </w:rPr>
            </w:pPr>
            <w:proofErr w:type="spellStart"/>
            <w:r w:rsidRPr="00C21B99">
              <w:rPr>
                <w:szCs w:val="22"/>
                <w:lang w:eastAsia="en-US"/>
              </w:rPr>
              <w:t>Intersticinė</w:t>
            </w:r>
            <w:proofErr w:type="spellEnd"/>
            <w:r w:rsidRPr="00C21B99">
              <w:rPr>
                <w:szCs w:val="22"/>
                <w:lang w:eastAsia="en-US"/>
              </w:rPr>
              <w:t xml:space="preserve"> plaučių liga (1,3%), dažnai sunki</w:t>
            </w:r>
            <w:r w:rsidR="003C5CAF" w:rsidRPr="00C21B99">
              <w:rPr>
                <w:szCs w:val="22"/>
                <w:lang w:eastAsia="en-US"/>
              </w:rPr>
              <w:t xml:space="preserve"> </w:t>
            </w:r>
            <w:r w:rsidRPr="00C21B99">
              <w:rPr>
                <w:szCs w:val="22"/>
                <w:lang w:eastAsia="en-US"/>
              </w:rPr>
              <w:t>(3</w:t>
            </w:r>
            <w:r w:rsidR="005D1094" w:rsidRPr="00C21B99">
              <w:rPr>
                <w:szCs w:val="22"/>
                <w:lang w:eastAsia="en-US"/>
              </w:rPr>
              <w:t xml:space="preserve"> </w:t>
            </w:r>
            <w:r w:rsidRPr="00C21B99">
              <w:rPr>
                <w:szCs w:val="22"/>
                <w:lang w:eastAsia="en-US"/>
              </w:rPr>
              <w:t>-</w:t>
            </w:r>
            <w:r w:rsidR="005D1094" w:rsidRPr="00C21B99">
              <w:rPr>
                <w:szCs w:val="22"/>
                <w:lang w:eastAsia="en-US"/>
              </w:rPr>
              <w:t xml:space="preserve"> </w:t>
            </w:r>
            <w:r w:rsidRPr="00C21B99">
              <w:rPr>
                <w:szCs w:val="22"/>
                <w:lang w:eastAsia="en-US"/>
              </w:rPr>
              <w:t>4 laipsnio</w:t>
            </w:r>
            <w:r w:rsidR="005D1094" w:rsidRPr="00C21B99">
              <w:rPr>
                <w:szCs w:val="22"/>
                <w:lang w:eastAsia="en-US"/>
              </w:rPr>
              <w:t xml:space="preserve"> pagal BTK).</w:t>
            </w:r>
          </w:p>
          <w:p w14:paraId="563751B2" w14:textId="77777777" w:rsidR="00450BAE" w:rsidRPr="00C21B99" w:rsidRDefault="005D1094" w:rsidP="005D1094">
            <w:pPr>
              <w:tabs>
                <w:tab w:val="left" w:pos="567"/>
              </w:tabs>
              <w:rPr>
                <w:szCs w:val="22"/>
                <w:lang w:eastAsia="en-US"/>
              </w:rPr>
            </w:pPr>
            <w:r w:rsidRPr="00C21B99">
              <w:rPr>
                <w:szCs w:val="22"/>
                <w:lang w:eastAsia="en-US"/>
              </w:rPr>
              <w:t>G</w:t>
            </w:r>
            <w:r w:rsidR="00450BAE" w:rsidRPr="00C21B99">
              <w:rPr>
                <w:szCs w:val="22"/>
                <w:lang w:eastAsia="en-US"/>
              </w:rPr>
              <w:t>auta pranešimų apie mirtimi pasibaigusius atvejus</w:t>
            </w:r>
          </w:p>
        </w:tc>
      </w:tr>
      <w:tr w:rsidR="00597522" w:rsidRPr="00C21B99" w14:paraId="0AF6220D" w14:textId="77777777" w:rsidTr="00487DC6">
        <w:tc>
          <w:tcPr>
            <w:tcW w:w="2660" w:type="dxa"/>
            <w:vMerge w:val="restart"/>
            <w:shd w:val="clear" w:color="auto" w:fill="auto"/>
            <w:vAlign w:val="center"/>
          </w:tcPr>
          <w:p w14:paraId="4EDA7F2E" w14:textId="77777777" w:rsidR="00843131" w:rsidRPr="00C21B99" w:rsidRDefault="00843131" w:rsidP="00487DC6">
            <w:pPr>
              <w:tabs>
                <w:tab w:val="left" w:pos="567"/>
              </w:tabs>
              <w:rPr>
                <w:szCs w:val="22"/>
                <w:lang w:eastAsia="en-US"/>
              </w:rPr>
            </w:pPr>
          </w:p>
        </w:tc>
        <w:tc>
          <w:tcPr>
            <w:tcW w:w="1276" w:type="dxa"/>
            <w:vMerge w:val="restart"/>
            <w:shd w:val="clear" w:color="auto" w:fill="auto"/>
            <w:vAlign w:val="center"/>
          </w:tcPr>
          <w:p w14:paraId="2F4DE406" w14:textId="77777777" w:rsidR="00843131" w:rsidRPr="00C21B99" w:rsidRDefault="00843131" w:rsidP="00843131">
            <w:pPr>
              <w:tabs>
                <w:tab w:val="left" w:pos="567"/>
              </w:tabs>
              <w:rPr>
                <w:szCs w:val="22"/>
                <w:lang w:eastAsia="en-US"/>
              </w:rPr>
            </w:pPr>
            <w:r w:rsidRPr="00C21B99">
              <w:rPr>
                <w:szCs w:val="22"/>
                <w:lang w:eastAsia="en-US"/>
              </w:rPr>
              <w:t>Labai dažnas</w:t>
            </w:r>
          </w:p>
          <w:p w14:paraId="5A318BA0" w14:textId="77777777" w:rsidR="00843131" w:rsidRPr="00C21B99" w:rsidRDefault="00843131" w:rsidP="00843131">
            <w:pPr>
              <w:tabs>
                <w:tab w:val="left" w:pos="567"/>
              </w:tabs>
              <w:rPr>
                <w:szCs w:val="22"/>
                <w:lang w:eastAsia="en-US"/>
              </w:rPr>
            </w:pPr>
          </w:p>
        </w:tc>
        <w:tc>
          <w:tcPr>
            <w:tcW w:w="5351" w:type="dxa"/>
            <w:shd w:val="clear" w:color="auto" w:fill="auto"/>
            <w:vAlign w:val="center"/>
          </w:tcPr>
          <w:p w14:paraId="39C663F9" w14:textId="77777777" w:rsidR="00843131" w:rsidRPr="00C21B99" w:rsidRDefault="00843131" w:rsidP="003C5CAF">
            <w:pPr>
              <w:tabs>
                <w:tab w:val="left" w:pos="567"/>
              </w:tabs>
              <w:rPr>
                <w:szCs w:val="22"/>
                <w:lang w:eastAsia="en-US"/>
              </w:rPr>
            </w:pPr>
            <w:r w:rsidRPr="00C21B99">
              <w:rPr>
                <w:szCs w:val="22"/>
                <w:lang w:eastAsia="en-US"/>
              </w:rPr>
              <w:t xml:space="preserve">Viduriavimas, dažniausiai lengvas arba </w:t>
            </w:r>
            <w:r w:rsidR="003C5CAF" w:rsidRPr="00C21B99">
              <w:rPr>
                <w:szCs w:val="22"/>
                <w:lang w:eastAsia="en-US"/>
              </w:rPr>
              <w:t xml:space="preserve">vidutinis </w:t>
            </w:r>
            <w:r w:rsidRPr="00C21B99">
              <w:rPr>
                <w:szCs w:val="22"/>
                <w:lang w:eastAsia="en-US"/>
              </w:rPr>
              <w:t>(1 ar 2 laipsnio</w:t>
            </w:r>
            <w:r w:rsidR="005D1094" w:rsidRPr="00C21B99">
              <w:t xml:space="preserve"> </w:t>
            </w:r>
            <w:r w:rsidR="005D1094" w:rsidRPr="00C21B99">
              <w:rPr>
                <w:szCs w:val="22"/>
                <w:lang w:eastAsia="en-US"/>
              </w:rPr>
              <w:t>pagal BTK</w:t>
            </w:r>
            <w:r w:rsidRPr="00C21B99">
              <w:rPr>
                <w:szCs w:val="22"/>
                <w:lang w:eastAsia="en-US"/>
              </w:rPr>
              <w:t>)</w:t>
            </w:r>
          </w:p>
        </w:tc>
      </w:tr>
      <w:tr w:rsidR="00597522" w:rsidRPr="00C21B99" w14:paraId="4C737B6F" w14:textId="77777777" w:rsidTr="00487DC6">
        <w:tc>
          <w:tcPr>
            <w:tcW w:w="2660" w:type="dxa"/>
            <w:vMerge/>
            <w:shd w:val="clear" w:color="auto" w:fill="auto"/>
            <w:vAlign w:val="center"/>
          </w:tcPr>
          <w:p w14:paraId="1F84F0FE" w14:textId="77777777" w:rsidR="00843131" w:rsidRPr="00C21B99" w:rsidRDefault="00843131" w:rsidP="00487DC6">
            <w:pPr>
              <w:tabs>
                <w:tab w:val="left" w:pos="567"/>
              </w:tabs>
              <w:rPr>
                <w:szCs w:val="22"/>
                <w:lang w:eastAsia="en-US"/>
              </w:rPr>
            </w:pPr>
          </w:p>
        </w:tc>
        <w:tc>
          <w:tcPr>
            <w:tcW w:w="1276" w:type="dxa"/>
            <w:vMerge/>
            <w:shd w:val="clear" w:color="auto" w:fill="auto"/>
            <w:vAlign w:val="center"/>
          </w:tcPr>
          <w:p w14:paraId="4A1DF074" w14:textId="77777777" w:rsidR="00843131" w:rsidRPr="00C21B99" w:rsidRDefault="00843131" w:rsidP="00487DC6">
            <w:pPr>
              <w:tabs>
                <w:tab w:val="left" w:pos="567"/>
              </w:tabs>
              <w:rPr>
                <w:szCs w:val="22"/>
                <w:lang w:eastAsia="en-US"/>
              </w:rPr>
            </w:pPr>
          </w:p>
        </w:tc>
        <w:tc>
          <w:tcPr>
            <w:tcW w:w="5351" w:type="dxa"/>
            <w:shd w:val="clear" w:color="auto" w:fill="auto"/>
            <w:vAlign w:val="center"/>
          </w:tcPr>
          <w:p w14:paraId="799E641C" w14:textId="77777777" w:rsidR="00843131" w:rsidRPr="00C21B99" w:rsidRDefault="00843131" w:rsidP="005D1094">
            <w:pPr>
              <w:tabs>
                <w:tab w:val="left" w:pos="567"/>
              </w:tabs>
              <w:rPr>
                <w:szCs w:val="22"/>
                <w:lang w:eastAsia="en-US"/>
              </w:rPr>
            </w:pPr>
            <w:r w:rsidRPr="00C21B99">
              <w:rPr>
                <w:szCs w:val="22"/>
                <w:lang w:eastAsia="en-US"/>
              </w:rPr>
              <w:t>Vėmimas, dažniausiai lengvas arba vidutinis (1 ar 2 laipsnio</w:t>
            </w:r>
            <w:r w:rsidR="005D1094" w:rsidRPr="00C21B99">
              <w:t xml:space="preserve"> </w:t>
            </w:r>
            <w:r w:rsidR="005D1094" w:rsidRPr="00C21B99">
              <w:rPr>
                <w:szCs w:val="22"/>
                <w:lang w:eastAsia="en-US"/>
              </w:rPr>
              <w:t>pagal BTK</w:t>
            </w:r>
            <w:r w:rsidRPr="00C21B99">
              <w:rPr>
                <w:szCs w:val="22"/>
                <w:lang w:eastAsia="en-US"/>
              </w:rPr>
              <w:t>)</w:t>
            </w:r>
          </w:p>
        </w:tc>
      </w:tr>
      <w:tr w:rsidR="00597522" w:rsidRPr="00C21B99" w14:paraId="3D471F67" w14:textId="77777777" w:rsidTr="00487DC6">
        <w:tc>
          <w:tcPr>
            <w:tcW w:w="2660" w:type="dxa"/>
            <w:vMerge/>
            <w:shd w:val="clear" w:color="auto" w:fill="auto"/>
            <w:vAlign w:val="center"/>
          </w:tcPr>
          <w:p w14:paraId="05533582" w14:textId="77777777" w:rsidR="00843131" w:rsidRPr="00C21B99" w:rsidRDefault="00843131" w:rsidP="00487DC6">
            <w:pPr>
              <w:tabs>
                <w:tab w:val="left" w:pos="567"/>
              </w:tabs>
              <w:rPr>
                <w:szCs w:val="22"/>
                <w:lang w:eastAsia="en-US"/>
              </w:rPr>
            </w:pPr>
          </w:p>
        </w:tc>
        <w:tc>
          <w:tcPr>
            <w:tcW w:w="1276" w:type="dxa"/>
            <w:vMerge/>
            <w:shd w:val="clear" w:color="auto" w:fill="auto"/>
            <w:vAlign w:val="center"/>
          </w:tcPr>
          <w:p w14:paraId="64386A15" w14:textId="77777777" w:rsidR="00843131" w:rsidRPr="00C21B99" w:rsidRDefault="00843131" w:rsidP="00487DC6">
            <w:pPr>
              <w:tabs>
                <w:tab w:val="left" w:pos="567"/>
              </w:tabs>
              <w:rPr>
                <w:szCs w:val="22"/>
                <w:lang w:eastAsia="en-US"/>
              </w:rPr>
            </w:pPr>
          </w:p>
        </w:tc>
        <w:tc>
          <w:tcPr>
            <w:tcW w:w="5351" w:type="dxa"/>
            <w:shd w:val="clear" w:color="auto" w:fill="auto"/>
            <w:vAlign w:val="center"/>
          </w:tcPr>
          <w:p w14:paraId="634A87C3" w14:textId="77777777" w:rsidR="00843131" w:rsidRPr="00C21B99" w:rsidRDefault="00843131" w:rsidP="005D1094">
            <w:pPr>
              <w:tabs>
                <w:tab w:val="left" w:pos="567"/>
              </w:tabs>
              <w:rPr>
                <w:szCs w:val="22"/>
                <w:lang w:eastAsia="en-US"/>
              </w:rPr>
            </w:pPr>
            <w:r w:rsidRPr="00C21B99">
              <w:rPr>
                <w:szCs w:val="22"/>
                <w:lang w:eastAsia="en-US"/>
              </w:rPr>
              <w:t>Pykinimas, dažniausiai lengvas (1 laipsnio</w:t>
            </w:r>
            <w:r w:rsidR="005D1094" w:rsidRPr="00C21B99">
              <w:t xml:space="preserve"> </w:t>
            </w:r>
            <w:r w:rsidR="005D1094" w:rsidRPr="00C21B99">
              <w:rPr>
                <w:szCs w:val="22"/>
                <w:lang w:eastAsia="en-US"/>
              </w:rPr>
              <w:t>pagal BTK</w:t>
            </w:r>
            <w:r w:rsidRPr="00C21B99">
              <w:rPr>
                <w:szCs w:val="22"/>
                <w:lang w:eastAsia="en-US"/>
              </w:rPr>
              <w:t>)</w:t>
            </w:r>
          </w:p>
        </w:tc>
      </w:tr>
      <w:tr w:rsidR="00597522" w:rsidRPr="00C21B99" w14:paraId="3987E53D" w14:textId="77777777" w:rsidTr="002B75CE">
        <w:tc>
          <w:tcPr>
            <w:tcW w:w="2660" w:type="dxa"/>
            <w:vMerge/>
            <w:tcBorders>
              <w:bottom w:val="nil"/>
            </w:tcBorders>
            <w:shd w:val="clear" w:color="auto" w:fill="auto"/>
            <w:vAlign w:val="center"/>
          </w:tcPr>
          <w:p w14:paraId="6C8C8AE8" w14:textId="77777777" w:rsidR="00843131" w:rsidRPr="00C21B99" w:rsidRDefault="00843131" w:rsidP="00487DC6">
            <w:pPr>
              <w:tabs>
                <w:tab w:val="left" w:pos="567"/>
              </w:tabs>
              <w:rPr>
                <w:szCs w:val="22"/>
                <w:lang w:eastAsia="en-US"/>
              </w:rPr>
            </w:pPr>
          </w:p>
        </w:tc>
        <w:tc>
          <w:tcPr>
            <w:tcW w:w="1276" w:type="dxa"/>
            <w:vMerge/>
            <w:tcBorders>
              <w:bottom w:val="single" w:sz="4" w:space="0" w:color="auto"/>
            </w:tcBorders>
            <w:shd w:val="clear" w:color="auto" w:fill="auto"/>
            <w:vAlign w:val="center"/>
          </w:tcPr>
          <w:p w14:paraId="66B9D3F9" w14:textId="77777777" w:rsidR="00843131" w:rsidRPr="00C21B99" w:rsidRDefault="00843131" w:rsidP="00487DC6">
            <w:pPr>
              <w:tabs>
                <w:tab w:val="left" w:pos="567"/>
              </w:tabs>
              <w:rPr>
                <w:szCs w:val="22"/>
                <w:lang w:eastAsia="en-US"/>
              </w:rPr>
            </w:pPr>
          </w:p>
        </w:tc>
        <w:tc>
          <w:tcPr>
            <w:tcW w:w="5351" w:type="dxa"/>
            <w:shd w:val="clear" w:color="auto" w:fill="auto"/>
            <w:vAlign w:val="center"/>
          </w:tcPr>
          <w:p w14:paraId="0205F4AB" w14:textId="77777777" w:rsidR="00843131" w:rsidRPr="00C21B99" w:rsidRDefault="00843131" w:rsidP="005D1094">
            <w:pPr>
              <w:tabs>
                <w:tab w:val="left" w:pos="567"/>
              </w:tabs>
              <w:rPr>
                <w:szCs w:val="22"/>
                <w:lang w:eastAsia="en-US"/>
              </w:rPr>
            </w:pPr>
            <w:r w:rsidRPr="00C21B99">
              <w:rPr>
                <w:szCs w:val="22"/>
                <w:lang w:eastAsia="en-US"/>
              </w:rPr>
              <w:t>Stomatitas, dažniausiai lengvas (1 laipsnio</w:t>
            </w:r>
            <w:r w:rsidR="005D1094" w:rsidRPr="00C21B99">
              <w:t xml:space="preserve"> </w:t>
            </w:r>
            <w:r w:rsidR="005D1094" w:rsidRPr="00C21B99">
              <w:rPr>
                <w:szCs w:val="22"/>
                <w:lang w:eastAsia="en-US"/>
              </w:rPr>
              <w:t>pagal BTK</w:t>
            </w:r>
            <w:r w:rsidRPr="00C21B99">
              <w:rPr>
                <w:szCs w:val="22"/>
                <w:lang w:eastAsia="en-US"/>
              </w:rPr>
              <w:t>)</w:t>
            </w:r>
          </w:p>
        </w:tc>
      </w:tr>
      <w:tr w:rsidR="00843131" w:rsidRPr="00C21B99" w14:paraId="4B16E0A3" w14:textId="77777777" w:rsidTr="002B75CE">
        <w:tc>
          <w:tcPr>
            <w:tcW w:w="2660" w:type="dxa"/>
            <w:tcBorders>
              <w:top w:val="nil"/>
              <w:left w:val="single" w:sz="4" w:space="0" w:color="auto"/>
              <w:bottom w:val="nil"/>
              <w:right w:val="single" w:sz="4" w:space="0" w:color="auto"/>
            </w:tcBorders>
            <w:shd w:val="clear" w:color="auto" w:fill="auto"/>
            <w:vAlign w:val="center"/>
          </w:tcPr>
          <w:p w14:paraId="2D7239F1" w14:textId="77777777" w:rsidR="00843131" w:rsidRPr="00C21B99" w:rsidRDefault="00681C62" w:rsidP="00450BAE">
            <w:pPr>
              <w:tabs>
                <w:tab w:val="left" w:pos="567"/>
              </w:tabs>
              <w:rPr>
                <w:szCs w:val="22"/>
                <w:lang w:eastAsia="en-US"/>
              </w:rPr>
            </w:pPr>
            <w:r w:rsidRPr="00C21B99">
              <w:rPr>
                <w:szCs w:val="22"/>
                <w:lang w:eastAsia="en-US"/>
              </w:rPr>
              <w:t>Virškinimo trakto sutrikimai</w:t>
            </w:r>
          </w:p>
        </w:tc>
        <w:tc>
          <w:tcPr>
            <w:tcW w:w="1276" w:type="dxa"/>
            <w:tcBorders>
              <w:top w:val="single" w:sz="4" w:space="0" w:color="auto"/>
              <w:left w:val="single" w:sz="4" w:space="0" w:color="auto"/>
              <w:bottom w:val="nil"/>
              <w:right w:val="single" w:sz="4" w:space="0" w:color="auto"/>
            </w:tcBorders>
            <w:shd w:val="clear" w:color="auto" w:fill="auto"/>
            <w:vAlign w:val="center"/>
          </w:tcPr>
          <w:p w14:paraId="1225A8CC" w14:textId="77777777" w:rsidR="00843131" w:rsidRPr="00C21B99" w:rsidRDefault="00843131" w:rsidP="00487DC6">
            <w:pPr>
              <w:tabs>
                <w:tab w:val="left" w:pos="567"/>
              </w:tabs>
              <w:rPr>
                <w:szCs w:val="22"/>
                <w:lang w:eastAsia="en-US"/>
              </w:rPr>
            </w:pPr>
            <w:r w:rsidRPr="00C21B99">
              <w:rPr>
                <w:szCs w:val="22"/>
                <w:lang w:eastAsia="en-US"/>
              </w:rPr>
              <w:t>Dažnas</w:t>
            </w:r>
          </w:p>
        </w:tc>
        <w:tc>
          <w:tcPr>
            <w:tcW w:w="5351" w:type="dxa"/>
            <w:tcBorders>
              <w:left w:val="single" w:sz="4" w:space="0" w:color="auto"/>
              <w:bottom w:val="single" w:sz="4" w:space="0" w:color="auto"/>
            </w:tcBorders>
            <w:shd w:val="clear" w:color="auto" w:fill="auto"/>
            <w:vAlign w:val="center"/>
          </w:tcPr>
          <w:p w14:paraId="49C95035" w14:textId="77777777" w:rsidR="00843131" w:rsidRPr="00C21B99" w:rsidRDefault="00843131" w:rsidP="003C5CAF">
            <w:pPr>
              <w:tabs>
                <w:tab w:val="left" w:pos="567"/>
              </w:tabs>
              <w:rPr>
                <w:szCs w:val="22"/>
                <w:lang w:eastAsia="en-US"/>
              </w:rPr>
            </w:pPr>
            <w:proofErr w:type="spellStart"/>
            <w:r w:rsidRPr="00C21B99">
              <w:rPr>
                <w:szCs w:val="22"/>
                <w:lang w:eastAsia="en-US"/>
              </w:rPr>
              <w:t>Dehidracija</w:t>
            </w:r>
            <w:proofErr w:type="spellEnd"/>
            <w:r w:rsidRPr="00C21B99">
              <w:rPr>
                <w:szCs w:val="22"/>
                <w:lang w:eastAsia="en-US"/>
              </w:rPr>
              <w:t xml:space="preserve"> dėl viduriavimo, pykinimo, vėmimo arba anoreksijos</w:t>
            </w:r>
          </w:p>
        </w:tc>
      </w:tr>
      <w:tr w:rsidR="00843131" w:rsidRPr="00C21B99" w14:paraId="39A216BF" w14:textId="77777777" w:rsidTr="002B75CE">
        <w:tc>
          <w:tcPr>
            <w:tcW w:w="2660" w:type="dxa"/>
            <w:tcBorders>
              <w:top w:val="nil"/>
              <w:left w:val="single" w:sz="4" w:space="0" w:color="auto"/>
              <w:bottom w:val="nil"/>
              <w:right w:val="single" w:sz="4" w:space="0" w:color="auto"/>
            </w:tcBorders>
            <w:shd w:val="clear" w:color="auto" w:fill="auto"/>
            <w:vAlign w:val="center"/>
          </w:tcPr>
          <w:p w14:paraId="47B4AFD2" w14:textId="77777777" w:rsidR="00843131" w:rsidRPr="00C21B99" w:rsidRDefault="00843131" w:rsidP="00450BAE">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9C9E6A0" w14:textId="77777777" w:rsidR="00843131" w:rsidRPr="00C21B99" w:rsidRDefault="00843131" w:rsidP="00487DC6">
            <w:pPr>
              <w:tabs>
                <w:tab w:val="left" w:pos="567"/>
              </w:tabs>
              <w:rPr>
                <w:szCs w:val="22"/>
                <w:lang w:eastAsia="en-US"/>
              </w:rPr>
            </w:pPr>
          </w:p>
        </w:tc>
        <w:tc>
          <w:tcPr>
            <w:tcW w:w="5351" w:type="dxa"/>
            <w:tcBorders>
              <w:left w:val="single" w:sz="4" w:space="0" w:color="auto"/>
              <w:bottom w:val="single" w:sz="4" w:space="0" w:color="auto"/>
            </w:tcBorders>
            <w:shd w:val="clear" w:color="auto" w:fill="auto"/>
            <w:vAlign w:val="center"/>
          </w:tcPr>
          <w:p w14:paraId="51A17213" w14:textId="77777777" w:rsidR="00843131" w:rsidRPr="00C21B99" w:rsidRDefault="002B75CE" w:rsidP="001008D2">
            <w:pPr>
              <w:tabs>
                <w:tab w:val="left" w:pos="567"/>
              </w:tabs>
              <w:rPr>
                <w:szCs w:val="22"/>
                <w:lang w:eastAsia="en-US"/>
              </w:rPr>
            </w:pPr>
            <w:r w:rsidRPr="00C21B99">
              <w:rPr>
                <w:szCs w:val="22"/>
                <w:lang w:eastAsia="en-US"/>
              </w:rPr>
              <w:t>Burnos saus</w:t>
            </w:r>
            <w:r w:rsidR="001008D2" w:rsidRPr="00C21B99">
              <w:rPr>
                <w:szCs w:val="22"/>
                <w:lang w:eastAsia="en-US"/>
              </w:rPr>
              <w:t>mė</w:t>
            </w:r>
            <w:r w:rsidRPr="00C21B99">
              <w:rPr>
                <w:szCs w:val="22"/>
                <w:lang w:eastAsia="en-US"/>
              </w:rPr>
              <w:t>*, dažniausiai lengva (1 laipsnio</w:t>
            </w:r>
            <w:r w:rsidR="001008D2" w:rsidRPr="00C21B99">
              <w:t xml:space="preserve"> </w:t>
            </w:r>
            <w:r w:rsidR="001008D2" w:rsidRPr="00C21B99">
              <w:rPr>
                <w:szCs w:val="22"/>
                <w:lang w:eastAsia="en-US"/>
              </w:rPr>
              <w:t>pagal BTK</w:t>
            </w:r>
            <w:r w:rsidRPr="00C21B99">
              <w:rPr>
                <w:szCs w:val="22"/>
                <w:lang w:eastAsia="en-US"/>
              </w:rPr>
              <w:t>)</w:t>
            </w:r>
          </w:p>
        </w:tc>
      </w:tr>
      <w:tr w:rsidR="002B75CE" w:rsidRPr="00C21B99" w14:paraId="1BBAEA4C" w14:textId="77777777" w:rsidTr="002B75CE">
        <w:tc>
          <w:tcPr>
            <w:tcW w:w="2660" w:type="dxa"/>
            <w:tcBorders>
              <w:top w:val="nil"/>
              <w:left w:val="single" w:sz="4" w:space="0" w:color="auto"/>
              <w:bottom w:val="nil"/>
              <w:right w:val="single" w:sz="4" w:space="0" w:color="auto"/>
            </w:tcBorders>
            <w:shd w:val="clear" w:color="auto" w:fill="auto"/>
            <w:vAlign w:val="center"/>
          </w:tcPr>
          <w:p w14:paraId="1A4F810B" w14:textId="77777777" w:rsidR="002B75CE" w:rsidRPr="00C21B99" w:rsidRDefault="002B75CE" w:rsidP="00487DC6">
            <w:pPr>
              <w:tabs>
                <w:tab w:val="left" w:pos="567"/>
              </w:tabs>
              <w:rPr>
                <w:szCs w:val="22"/>
                <w:lang w:eastAsia="en-US"/>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77164CCC" w14:textId="77777777" w:rsidR="002B75CE" w:rsidRPr="00C21B99" w:rsidRDefault="002B75CE" w:rsidP="00487DC6">
            <w:pPr>
              <w:tabs>
                <w:tab w:val="left" w:pos="567"/>
              </w:tabs>
              <w:rPr>
                <w:szCs w:val="22"/>
                <w:lang w:eastAsia="en-US"/>
              </w:rPr>
            </w:pPr>
            <w:r w:rsidRPr="00C21B99">
              <w:rPr>
                <w:szCs w:val="22"/>
                <w:lang w:eastAsia="en-US"/>
              </w:rPr>
              <w:t>Nedažnas</w:t>
            </w:r>
          </w:p>
        </w:tc>
        <w:tc>
          <w:tcPr>
            <w:tcW w:w="5351" w:type="dxa"/>
            <w:tcBorders>
              <w:top w:val="single" w:sz="4" w:space="0" w:color="auto"/>
              <w:left w:val="single" w:sz="4" w:space="0" w:color="auto"/>
              <w:bottom w:val="single" w:sz="4" w:space="0" w:color="auto"/>
              <w:right w:val="single" w:sz="4" w:space="0" w:color="auto"/>
            </w:tcBorders>
            <w:shd w:val="clear" w:color="auto" w:fill="auto"/>
            <w:vAlign w:val="center"/>
          </w:tcPr>
          <w:p w14:paraId="2D8D2B17" w14:textId="77777777" w:rsidR="002B75CE" w:rsidRPr="00C21B99" w:rsidRDefault="002B75CE" w:rsidP="00487DC6">
            <w:pPr>
              <w:tabs>
                <w:tab w:val="left" w:pos="567"/>
              </w:tabs>
              <w:rPr>
                <w:szCs w:val="22"/>
                <w:lang w:eastAsia="en-US"/>
              </w:rPr>
            </w:pPr>
            <w:r w:rsidRPr="00C21B99">
              <w:rPr>
                <w:szCs w:val="22"/>
                <w:lang w:eastAsia="en-US"/>
              </w:rPr>
              <w:t>Kasos uždegimas</w:t>
            </w:r>
          </w:p>
        </w:tc>
      </w:tr>
      <w:tr w:rsidR="002B75CE" w:rsidRPr="00C21B99" w14:paraId="584837F6" w14:textId="77777777" w:rsidTr="002B75CE">
        <w:tc>
          <w:tcPr>
            <w:tcW w:w="2660" w:type="dxa"/>
            <w:tcBorders>
              <w:top w:val="nil"/>
              <w:left w:val="single" w:sz="4" w:space="0" w:color="auto"/>
              <w:bottom w:val="single" w:sz="4" w:space="0" w:color="auto"/>
              <w:right w:val="single" w:sz="4" w:space="0" w:color="auto"/>
            </w:tcBorders>
            <w:shd w:val="clear" w:color="auto" w:fill="auto"/>
            <w:vAlign w:val="center"/>
          </w:tcPr>
          <w:p w14:paraId="6CBB3063" w14:textId="77777777" w:rsidR="002B75CE" w:rsidRPr="00C21B99" w:rsidRDefault="002B75CE" w:rsidP="00487DC6">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43C2A71" w14:textId="77777777" w:rsidR="002B75CE" w:rsidRPr="00C21B99" w:rsidRDefault="002B75CE" w:rsidP="00487DC6">
            <w:pPr>
              <w:tabs>
                <w:tab w:val="left" w:pos="567"/>
              </w:tabs>
              <w:rPr>
                <w:szCs w:val="22"/>
                <w:lang w:eastAsia="en-US"/>
              </w:rPr>
            </w:pPr>
          </w:p>
        </w:tc>
        <w:tc>
          <w:tcPr>
            <w:tcW w:w="5351" w:type="dxa"/>
            <w:tcBorders>
              <w:top w:val="single" w:sz="4" w:space="0" w:color="auto"/>
              <w:left w:val="single" w:sz="4" w:space="0" w:color="auto"/>
              <w:bottom w:val="single" w:sz="4" w:space="0" w:color="auto"/>
              <w:right w:val="single" w:sz="4" w:space="0" w:color="auto"/>
            </w:tcBorders>
            <w:shd w:val="clear" w:color="auto" w:fill="auto"/>
            <w:vAlign w:val="center"/>
          </w:tcPr>
          <w:p w14:paraId="73352137" w14:textId="77777777" w:rsidR="002B75CE" w:rsidRPr="00C21B99" w:rsidRDefault="002B75CE" w:rsidP="00487DC6">
            <w:pPr>
              <w:tabs>
                <w:tab w:val="left" w:pos="567"/>
              </w:tabs>
              <w:rPr>
                <w:szCs w:val="22"/>
                <w:lang w:eastAsia="en-US"/>
              </w:rPr>
            </w:pPr>
            <w:r w:rsidRPr="00C21B99">
              <w:rPr>
                <w:szCs w:val="22"/>
                <w:lang w:eastAsia="en-US"/>
              </w:rPr>
              <w:t>Virškinimo trakto perforacija</w:t>
            </w:r>
          </w:p>
        </w:tc>
      </w:tr>
      <w:tr w:rsidR="00597522" w:rsidRPr="00C21B99" w14:paraId="2376068B" w14:textId="77777777" w:rsidTr="00681C62">
        <w:tc>
          <w:tcPr>
            <w:tcW w:w="2660" w:type="dxa"/>
            <w:tcBorders>
              <w:bottom w:val="nil"/>
            </w:tcBorders>
            <w:shd w:val="clear" w:color="auto" w:fill="auto"/>
            <w:vAlign w:val="center"/>
          </w:tcPr>
          <w:p w14:paraId="6597B14E" w14:textId="77777777" w:rsidR="002B75CE" w:rsidRPr="00C21B99" w:rsidRDefault="002B75CE" w:rsidP="00487DC6">
            <w:pPr>
              <w:tabs>
                <w:tab w:val="left" w:pos="567"/>
              </w:tabs>
              <w:rPr>
                <w:szCs w:val="22"/>
                <w:lang w:eastAsia="en-US"/>
              </w:rPr>
            </w:pPr>
          </w:p>
        </w:tc>
        <w:tc>
          <w:tcPr>
            <w:tcW w:w="1276" w:type="dxa"/>
            <w:shd w:val="clear" w:color="auto" w:fill="auto"/>
            <w:vAlign w:val="center"/>
          </w:tcPr>
          <w:p w14:paraId="0779EE7B" w14:textId="77777777" w:rsidR="002B75CE" w:rsidRPr="00C21B99" w:rsidRDefault="002B75CE" w:rsidP="00487DC6">
            <w:pPr>
              <w:tabs>
                <w:tab w:val="left" w:pos="567"/>
              </w:tabs>
              <w:rPr>
                <w:szCs w:val="22"/>
                <w:lang w:eastAsia="en-US"/>
              </w:rPr>
            </w:pPr>
            <w:r w:rsidRPr="00C21B99">
              <w:rPr>
                <w:szCs w:val="22"/>
                <w:lang w:eastAsia="en-US"/>
              </w:rPr>
              <w:t>Labai dažnas</w:t>
            </w:r>
          </w:p>
          <w:p w14:paraId="6BBEA2CC" w14:textId="77777777" w:rsidR="002B75CE" w:rsidRPr="00C21B99" w:rsidRDefault="002B75CE" w:rsidP="00487DC6">
            <w:pPr>
              <w:tabs>
                <w:tab w:val="left" w:pos="567"/>
              </w:tabs>
              <w:rPr>
                <w:szCs w:val="22"/>
                <w:lang w:eastAsia="en-US"/>
              </w:rPr>
            </w:pPr>
          </w:p>
        </w:tc>
        <w:tc>
          <w:tcPr>
            <w:tcW w:w="5351" w:type="dxa"/>
            <w:shd w:val="clear" w:color="auto" w:fill="auto"/>
            <w:vAlign w:val="center"/>
          </w:tcPr>
          <w:p w14:paraId="0B785C35" w14:textId="77777777" w:rsidR="002B75CE" w:rsidRPr="00C21B99" w:rsidRDefault="002B75CE" w:rsidP="001008D2">
            <w:pPr>
              <w:tabs>
                <w:tab w:val="left" w:pos="567"/>
              </w:tabs>
              <w:rPr>
                <w:szCs w:val="22"/>
                <w:lang w:eastAsia="en-US"/>
              </w:rPr>
            </w:pPr>
            <w:proofErr w:type="spellStart"/>
            <w:r w:rsidRPr="00C21B99">
              <w:rPr>
                <w:szCs w:val="22"/>
                <w:lang w:eastAsia="en-US"/>
              </w:rPr>
              <w:t>Alanin</w:t>
            </w:r>
            <w:r w:rsidR="003C5CAF" w:rsidRPr="00C21B99">
              <w:rPr>
                <w:szCs w:val="22"/>
                <w:lang w:eastAsia="en-US"/>
              </w:rPr>
              <w:t>o</w:t>
            </w:r>
            <w:proofErr w:type="spellEnd"/>
            <w:r w:rsidR="003C5CAF" w:rsidRPr="00C21B99">
              <w:rPr>
                <w:szCs w:val="22"/>
                <w:lang w:eastAsia="en-US"/>
              </w:rPr>
              <w:t xml:space="preserve"> </w:t>
            </w:r>
            <w:proofErr w:type="spellStart"/>
            <w:r w:rsidRPr="00C21B99">
              <w:rPr>
                <w:szCs w:val="22"/>
                <w:lang w:eastAsia="en-US"/>
              </w:rPr>
              <w:t>aminotransferazės</w:t>
            </w:r>
            <w:proofErr w:type="spellEnd"/>
            <w:r w:rsidRPr="00C21B99">
              <w:rPr>
                <w:szCs w:val="22"/>
                <w:lang w:eastAsia="en-US"/>
              </w:rPr>
              <w:t xml:space="preserve"> aktyvumo padidėjimas, dažniausiai lengv</w:t>
            </w:r>
            <w:r w:rsidR="001008D2" w:rsidRPr="00C21B99">
              <w:rPr>
                <w:szCs w:val="22"/>
                <w:lang w:eastAsia="en-US"/>
              </w:rPr>
              <w:t>as</w:t>
            </w:r>
            <w:r w:rsidRPr="00C21B99">
              <w:rPr>
                <w:szCs w:val="22"/>
                <w:lang w:eastAsia="en-US"/>
              </w:rPr>
              <w:t xml:space="preserve"> arba vidutinio sunkumo</w:t>
            </w:r>
          </w:p>
        </w:tc>
      </w:tr>
      <w:tr w:rsidR="00597522" w:rsidRPr="00C21B99" w14:paraId="0BE0E130" w14:textId="77777777" w:rsidTr="00487DC6">
        <w:tc>
          <w:tcPr>
            <w:tcW w:w="2660" w:type="dxa"/>
            <w:tcBorders>
              <w:top w:val="nil"/>
              <w:left w:val="single" w:sz="4" w:space="0" w:color="auto"/>
              <w:bottom w:val="nil"/>
              <w:right w:val="single" w:sz="4" w:space="0" w:color="auto"/>
            </w:tcBorders>
            <w:shd w:val="clear" w:color="auto" w:fill="auto"/>
            <w:vAlign w:val="center"/>
          </w:tcPr>
          <w:p w14:paraId="01E5B933" w14:textId="77777777" w:rsidR="002B75CE" w:rsidRPr="00C21B99" w:rsidRDefault="00681C62" w:rsidP="00487DC6">
            <w:pPr>
              <w:tabs>
                <w:tab w:val="left" w:pos="567"/>
              </w:tabs>
              <w:rPr>
                <w:szCs w:val="22"/>
                <w:lang w:eastAsia="en-US"/>
              </w:rPr>
            </w:pPr>
            <w:r w:rsidRPr="00C21B99">
              <w:rPr>
                <w:szCs w:val="22"/>
                <w:lang w:eastAsia="en-US"/>
              </w:rPr>
              <w:t>Kepenų, tulžies pūslės ir latakų sutrikimai</w:t>
            </w:r>
          </w:p>
        </w:tc>
        <w:tc>
          <w:tcPr>
            <w:tcW w:w="1276" w:type="dxa"/>
            <w:tcBorders>
              <w:top w:val="single" w:sz="4" w:space="0" w:color="auto"/>
              <w:left w:val="single" w:sz="4" w:space="0" w:color="auto"/>
              <w:bottom w:val="nil"/>
              <w:right w:val="single" w:sz="4" w:space="0" w:color="auto"/>
            </w:tcBorders>
            <w:shd w:val="clear" w:color="auto" w:fill="auto"/>
            <w:vAlign w:val="center"/>
          </w:tcPr>
          <w:p w14:paraId="64FE7D91" w14:textId="77777777" w:rsidR="002B75CE" w:rsidRPr="00C21B99" w:rsidRDefault="002B75CE" w:rsidP="00487DC6">
            <w:pPr>
              <w:tabs>
                <w:tab w:val="left" w:pos="567"/>
              </w:tabs>
              <w:rPr>
                <w:szCs w:val="22"/>
                <w:lang w:eastAsia="en-US"/>
              </w:rPr>
            </w:pPr>
            <w:r w:rsidRPr="00C21B99">
              <w:rPr>
                <w:szCs w:val="22"/>
                <w:lang w:eastAsia="en-US"/>
              </w:rPr>
              <w:t>Dažnas</w:t>
            </w:r>
          </w:p>
        </w:tc>
        <w:tc>
          <w:tcPr>
            <w:tcW w:w="5351" w:type="dxa"/>
            <w:tcBorders>
              <w:left w:val="single" w:sz="4" w:space="0" w:color="auto"/>
              <w:bottom w:val="single" w:sz="4" w:space="0" w:color="auto"/>
            </w:tcBorders>
            <w:shd w:val="clear" w:color="auto" w:fill="auto"/>
            <w:vAlign w:val="center"/>
          </w:tcPr>
          <w:p w14:paraId="12240BAF" w14:textId="77777777" w:rsidR="002B75CE" w:rsidRPr="00C21B99" w:rsidRDefault="00681C62" w:rsidP="001008D2">
            <w:pPr>
              <w:tabs>
                <w:tab w:val="left" w:pos="567"/>
              </w:tabs>
              <w:rPr>
                <w:szCs w:val="22"/>
                <w:lang w:eastAsia="en-US"/>
              </w:rPr>
            </w:pPr>
            <w:proofErr w:type="spellStart"/>
            <w:r w:rsidRPr="00C21B99">
              <w:rPr>
                <w:szCs w:val="22"/>
                <w:lang w:eastAsia="en-US"/>
              </w:rPr>
              <w:t>Aspartat</w:t>
            </w:r>
            <w:r w:rsidR="003C5CAF" w:rsidRPr="00C21B99">
              <w:rPr>
                <w:szCs w:val="22"/>
                <w:lang w:eastAsia="en-US"/>
              </w:rPr>
              <w:t>o</w:t>
            </w:r>
            <w:proofErr w:type="spellEnd"/>
            <w:r w:rsidR="003C5CAF" w:rsidRPr="00C21B99">
              <w:rPr>
                <w:szCs w:val="22"/>
                <w:lang w:eastAsia="en-US"/>
              </w:rPr>
              <w:t xml:space="preserve"> </w:t>
            </w:r>
            <w:proofErr w:type="spellStart"/>
            <w:r w:rsidRPr="00C21B99">
              <w:rPr>
                <w:szCs w:val="22"/>
                <w:lang w:eastAsia="en-US"/>
              </w:rPr>
              <w:t>aminotransferazės</w:t>
            </w:r>
            <w:proofErr w:type="spellEnd"/>
            <w:r w:rsidRPr="00C21B99">
              <w:rPr>
                <w:szCs w:val="22"/>
                <w:lang w:eastAsia="en-US"/>
              </w:rPr>
              <w:t xml:space="preserve"> aktyvumo padidėjimas, dažniausiai lengv</w:t>
            </w:r>
            <w:r w:rsidR="001008D2" w:rsidRPr="00C21B99">
              <w:rPr>
                <w:szCs w:val="22"/>
                <w:lang w:eastAsia="en-US"/>
              </w:rPr>
              <w:t>as</w:t>
            </w:r>
            <w:r w:rsidRPr="00C21B99">
              <w:rPr>
                <w:szCs w:val="22"/>
                <w:lang w:eastAsia="en-US"/>
              </w:rPr>
              <w:t xml:space="preserve"> arba </w:t>
            </w:r>
            <w:r w:rsidR="001008D2" w:rsidRPr="00C21B99">
              <w:rPr>
                <w:szCs w:val="22"/>
                <w:lang w:eastAsia="en-US"/>
              </w:rPr>
              <w:t>v</w:t>
            </w:r>
            <w:r w:rsidRPr="00C21B99">
              <w:rPr>
                <w:szCs w:val="22"/>
                <w:lang w:eastAsia="en-US"/>
              </w:rPr>
              <w:t>idutinio sunkumo</w:t>
            </w:r>
          </w:p>
        </w:tc>
      </w:tr>
      <w:tr w:rsidR="002B75CE" w:rsidRPr="00C21B99" w14:paraId="50F443CE" w14:textId="77777777" w:rsidTr="00487DC6">
        <w:tc>
          <w:tcPr>
            <w:tcW w:w="2660" w:type="dxa"/>
            <w:tcBorders>
              <w:top w:val="nil"/>
              <w:left w:val="single" w:sz="4" w:space="0" w:color="auto"/>
              <w:bottom w:val="nil"/>
              <w:right w:val="single" w:sz="4" w:space="0" w:color="auto"/>
            </w:tcBorders>
            <w:shd w:val="clear" w:color="auto" w:fill="auto"/>
            <w:vAlign w:val="center"/>
          </w:tcPr>
          <w:p w14:paraId="4D2BB325" w14:textId="77777777" w:rsidR="002B75CE" w:rsidRPr="00C21B99" w:rsidRDefault="002B75CE" w:rsidP="00487DC6">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08481F0" w14:textId="77777777" w:rsidR="002B75CE" w:rsidRPr="00C21B99" w:rsidRDefault="002B75CE" w:rsidP="00487DC6">
            <w:pPr>
              <w:tabs>
                <w:tab w:val="left" w:pos="567"/>
              </w:tabs>
              <w:rPr>
                <w:szCs w:val="22"/>
                <w:lang w:eastAsia="en-US"/>
              </w:rPr>
            </w:pPr>
          </w:p>
        </w:tc>
        <w:tc>
          <w:tcPr>
            <w:tcW w:w="5351" w:type="dxa"/>
            <w:tcBorders>
              <w:left w:val="single" w:sz="4" w:space="0" w:color="auto"/>
              <w:bottom w:val="single" w:sz="4" w:space="0" w:color="auto"/>
            </w:tcBorders>
            <w:shd w:val="clear" w:color="auto" w:fill="auto"/>
            <w:vAlign w:val="center"/>
          </w:tcPr>
          <w:p w14:paraId="16799275" w14:textId="77777777" w:rsidR="002B75CE" w:rsidRPr="00C21B99" w:rsidRDefault="00681C62" w:rsidP="00681C62">
            <w:pPr>
              <w:tabs>
                <w:tab w:val="left" w:pos="567"/>
              </w:tabs>
              <w:rPr>
                <w:szCs w:val="22"/>
                <w:lang w:eastAsia="en-US"/>
              </w:rPr>
            </w:pPr>
            <w:r w:rsidRPr="00C21B99">
              <w:rPr>
                <w:szCs w:val="22"/>
                <w:lang w:eastAsia="en-US"/>
              </w:rPr>
              <w:t xml:space="preserve">Bendro </w:t>
            </w:r>
            <w:proofErr w:type="spellStart"/>
            <w:r w:rsidRPr="00C21B99">
              <w:rPr>
                <w:szCs w:val="22"/>
                <w:lang w:eastAsia="en-US"/>
              </w:rPr>
              <w:t>bilirubino</w:t>
            </w:r>
            <w:proofErr w:type="spellEnd"/>
            <w:r w:rsidRPr="00C21B99">
              <w:rPr>
                <w:szCs w:val="22"/>
                <w:lang w:eastAsia="en-US"/>
              </w:rPr>
              <w:t xml:space="preserve"> kiekio padidėjimas, dažniausiai lengvo arba vidutinio laipsnio</w:t>
            </w:r>
          </w:p>
        </w:tc>
      </w:tr>
      <w:tr w:rsidR="00681C62" w:rsidRPr="00C21B99" w14:paraId="049107EB" w14:textId="77777777" w:rsidTr="002B75CE">
        <w:tc>
          <w:tcPr>
            <w:tcW w:w="2660" w:type="dxa"/>
            <w:tcBorders>
              <w:top w:val="nil"/>
              <w:left w:val="single" w:sz="4" w:space="0" w:color="auto"/>
              <w:bottom w:val="single" w:sz="4" w:space="0" w:color="auto"/>
              <w:right w:val="single" w:sz="4" w:space="0" w:color="auto"/>
            </w:tcBorders>
            <w:shd w:val="clear" w:color="auto" w:fill="auto"/>
            <w:vAlign w:val="center"/>
          </w:tcPr>
          <w:p w14:paraId="45DA239B" w14:textId="77777777" w:rsidR="00681C62" w:rsidRPr="00C21B99" w:rsidRDefault="00681C62" w:rsidP="00487DC6">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94CF1E" w14:textId="77777777" w:rsidR="00681C62" w:rsidRPr="00C21B99" w:rsidRDefault="00681C62" w:rsidP="00487DC6">
            <w:pPr>
              <w:tabs>
                <w:tab w:val="left" w:pos="567"/>
              </w:tabs>
              <w:rPr>
                <w:szCs w:val="22"/>
                <w:lang w:eastAsia="en-US"/>
              </w:rPr>
            </w:pPr>
            <w:r w:rsidRPr="00C21B99">
              <w:rPr>
                <w:szCs w:val="22"/>
                <w:lang w:eastAsia="en-US"/>
              </w:rPr>
              <w:t>Nedažnas</w:t>
            </w:r>
          </w:p>
        </w:tc>
        <w:tc>
          <w:tcPr>
            <w:tcW w:w="5351" w:type="dxa"/>
            <w:tcBorders>
              <w:top w:val="single" w:sz="4" w:space="0" w:color="auto"/>
              <w:left w:val="single" w:sz="4" w:space="0" w:color="auto"/>
              <w:bottom w:val="single" w:sz="4" w:space="0" w:color="auto"/>
              <w:right w:val="single" w:sz="4" w:space="0" w:color="auto"/>
            </w:tcBorders>
            <w:shd w:val="clear" w:color="auto" w:fill="auto"/>
            <w:vAlign w:val="center"/>
          </w:tcPr>
          <w:p w14:paraId="53DA9B9F" w14:textId="77777777" w:rsidR="00681C62" w:rsidRPr="00C21B99" w:rsidRDefault="00681C62" w:rsidP="00487DC6">
            <w:pPr>
              <w:tabs>
                <w:tab w:val="left" w:pos="567"/>
              </w:tabs>
              <w:rPr>
                <w:szCs w:val="22"/>
                <w:lang w:eastAsia="en-US"/>
              </w:rPr>
            </w:pPr>
            <w:r w:rsidRPr="00C21B99">
              <w:rPr>
                <w:szCs w:val="22"/>
                <w:lang w:eastAsia="en-US"/>
              </w:rPr>
              <w:t>Kepenų uždegimas**</w:t>
            </w:r>
          </w:p>
        </w:tc>
      </w:tr>
      <w:tr w:rsidR="00597522" w:rsidRPr="00C21B99" w14:paraId="10173E52" w14:textId="77777777" w:rsidTr="00487DC6">
        <w:tc>
          <w:tcPr>
            <w:tcW w:w="2660" w:type="dxa"/>
            <w:tcBorders>
              <w:bottom w:val="nil"/>
            </w:tcBorders>
            <w:shd w:val="clear" w:color="auto" w:fill="auto"/>
            <w:vAlign w:val="center"/>
          </w:tcPr>
          <w:p w14:paraId="4AE97E17" w14:textId="77777777" w:rsidR="00681C62" w:rsidRPr="00C21B99" w:rsidRDefault="00681C62" w:rsidP="00487DC6">
            <w:pPr>
              <w:tabs>
                <w:tab w:val="left" w:pos="567"/>
              </w:tabs>
              <w:rPr>
                <w:szCs w:val="22"/>
                <w:lang w:eastAsia="en-US"/>
              </w:rPr>
            </w:pPr>
          </w:p>
        </w:tc>
        <w:tc>
          <w:tcPr>
            <w:tcW w:w="1276" w:type="dxa"/>
            <w:shd w:val="clear" w:color="auto" w:fill="auto"/>
            <w:vAlign w:val="center"/>
          </w:tcPr>
          <w:p w14:paraId="7A970946" w14:textId="77777777" w:rsidR="00681C62" w:rsidRPr="00C21B99" w:rsidRDefault="00681C62" w:rsidP="00487DC6">
            <w:pPr>
              <w:tabs>
                <w:tab w:val="left" w:pos="567"/>
              </w:tabs>
              <w:rPr>
                <w:szCs w:val="22"/>
                <w:lang w:eastAsia="en-US"/>
              </w:rPr>
            </w:pPr>
            <w:r w:rsidRPr="00C21B99">
              <w:rPr>
                <w:szCs w:val="22"/>
                <w:lang w:eastAsia="en-US"/>
              </w:rPr>
              <w:t>Labai dažnas</w:t>
            </w:r>
          </w:p>
          <w:p w14:paraId="0F4BC93B" w14:textId="77777777" w:rsidR="00681C62" w:rsidRPr="00C21B99" w:rsidRDefault="00681C62" w:rsidP="00487DC6">
            <w:pPr>
              <w:tabs>
                <w:tab w:val="left" w:pos="567"/>
              </w:tabs>
              <w:rPr>
                <w:szCs w:val="22"/>
                <w:lang w:eastAsia="en-US"/>
              </w:rPr>
            </w:pPr>
          </w:p>
        </w:tc>
        <w:tc>
          <w:tcPr>
            <w:tcW w:w="5351" w:type="dxa"/>
            <w:shd w:val="clear" w:color="auto" w:fill="auto"/>
            <w:vAlign w:val="center"/>
          </w:tcPr>
          <w:p w14:paraId="69738737" w14:textId="77777777" w:rsidR="00681C62" w:rsidRPr="00C21B99" w:rsidRDefault="00681C62" w:rsidP="001008D2">
            <w:pPr>
              <w:tabs>
                <w:tab w:val="left" w:pos="567"/>
              </w:tabs>
              <w:rPr>
                <w:szCs w:val="22"/>
                <w:lang w:eastAsia="en-US"/>
              </w:rPr>
            </w:pPr>
            <w:r w:rsidRPr="00C21B99">
              <w:rPr>
                <w:szCs w:val="22"/>
                <w:lang w:eastAsia="en-US"/>
              </w:rPr>
              <w:t>Odos reakcijos, dažniausiai lengvos arba vidutinio sunkumo (1 ar 2 laipsnio</w:t>
            </w:r>
            <w:r w:rsidR="001008D2" w:rsidRPr="00C21B99">
              <w:t xml:space="preserve"> </w:t>
            </w:r>
            <w:r w:rsidR="001008D2" w:rsidRPr="00C21B99">
              <w:rPr>
                <w:szCs w:val="22"/>
                <w:lang w:eastAsia="en-US"/>
              </w:rPr>
              <w:t>pagal BTK</w:t>
            </w:r>
            <w:r w:rsidRPr="00C21B99">
              <w:rPr>
                <w:szCs w:val="22"/>
                <w:lang w:eastAsia="en-US"/>
              </w:rPr>
              <w:t>)</w:t>
            </w:r>
            <w:r w:rsidR="001008D2" w:rsidRPr="00C21B99">
              <w:rPr>
                <w:szCs w:val="22"/>
                <w:lang w:eastAsia="en-US"/>
              </w:rPr>
              <w:t xml:space="preserve">. </w:t>
            </w:r>
          </w:p>
        </w:tc>
      </w:tr>
      <w:tr w:rsidR="00597522" w:rsidRPr="00C21B99" w14:paraId="060EFA92" w14:textId="77777777" w:rsidTr="00487DC6">
        <w:tc>
          <w:tcPr>
            <w:tcW w:w="2660" w:type="dxa"/>
            <w:tcBorders>
              <w:top w:val="nil"/>
              <w:left w:val="single" w:sz="4" w:space="0" w:color="auto"/>
              <w:bottom w:val="nil"/>
              <w:right w:val="single" w:sz="4" w:space="0" w:color="auto"/>
            </w:tcBorders>
            <w:shd w:val="clear" w:color="auto" w:fill="auto"/>
            <w:vAlign w:val="center"/>
          </w:tcPr>
          <w:p w14:paraId="66BE947F" w14:textId="77777777" w:rsidR="00681C62" w:rsidRPr="00C21B99" w:rsidRDefault="00681C62" w:rsidP="00681C62">
            <w:pPr>
              <w:tabs>
                <w:tab w:val="left" w:pos="567"/>
              </w:tabs>
              <w:rPr>
                <w:szCs w:val="22"/>
                <w:lang w:eastAsia="en-US"/>
              </w:rPr>
            </w:pPr>
            <w:r w:rsidRPr="00C21B99">
              <w:rPr>
                <w:szCs w:val="22"/>
                <w:lang w:eastAsia="en-US"/>
              </w:rPr>
              <w:t>Odos ir poodinio audinio sutrikimai</w:t>
            </w:r>
          </w:p>
        </w:tc>
        <w:tc>
          <w:tcPr>
            <w:tcW w:w="1276" w:type="dxa"/>
            <w:tcBorders>
              <w:top w:val="single" w:sz="4" w:space="0" w:color="auto"/>
              <w:left w:val="single" w:sz="4" w:space="0" w:color="auto"/>
              <w:bottom w:val="nil"/>
              <w:right w:val="single" w:sz="4" w:space="0" w:color="auto"/>
            </w:tcBorders>
            <w:shd w:val="clear" w:color="auto" w:fill="auto"/>
            <w:vAlign w:val="center"/>
          </w:tcPr>
          <w:p w14:paraId="3853BBA1" w14:textId="77777777" w:rsidR="00681C62" w:rsidRPr="00C21B99" w:rsidRDefault="00681C62" w:rsidP="00487DC6">
            <w:pPr>
              <w:tabs>
                <w:tab w:val="left" w:pos="567"/>
              </w:tabs>
              <w:rPr>
                <w:szCs w:val="22"/>
                <w:lang w:eastAsia="en-US"/>
              </w:rPr>
            </w:pPr>
            <w:r w:rsidRPr="00C21B99">
              <w:rPr>
                <w:szCs w:val="22"/>
                <w:lang w:eastAsia="en-US"/>
              </w:rPr>
              <w:t>Dažnas</w:t>
            </w:r>
          </w:p>
        </w:tc>
        <w:tc>
          <w:tcPr>
            <w:tcW w:w="5351" w:type="dxa"/>
            <w:tcBorders>
              <w:left w:val="single" w:sz="4" w:space="0" w:color="auto"/>
              <w:bottom w:val="single" w:sz="4" w:space="0" w:color="auto"/>
            </w:tcBorders>
            <w:shd w:val="clear" w:color="auto" w:fill="auto"/>
            <w:vAlign w:val="center"/>
          </w:tcPr>
          <w:p w14:paraId="7F51F41D" w14:textId="77777777" w:rsidR="00681C62" w:rsidRPr="00C21B99" w:rsidRDefault="00681C62" w:rsidP="00487DC6">
            <w:pPr>
              <w:tabs>
                <w:tab w:val="left" w:pos="567"/>
              </w:tabs>
              <w:rPr>
                <w:szCs w:val="22"/>
                <w:lang w:eastAsia="en-US"/>
              </w:rPr>
            </w:pPr>
            <w:r w:rsidRPr="00C21B99">
              <w:rPr>
                <w:szCs w:val="22"/>
                <w:lang w:eastAsia="en-US"/>
              </w:rPr>
              <w:t>Nagų sutrikimai</w:t>
            </w:r>
          </w:p>
        </w:tc>
      </w:tr>
      <w:tr w:rsidR="00681C62" w:rsidRPr="00C21B99" w14:paraId="0EC0EAC8" w14:textId="77777777" w:rsidTr="00681C62">
        <w:tc>
          <w:tcPr>
            <w:tcW w:w="2660" w:type="dxa"/>
            <w:tcBorders>
              <w:top w:val="nil"/>
              <w:left w:val="single" w:sz="4" w:space="0" w:color="auto"/>
              <w:bottom w:val="nil"/>
              <w:right w:val="single" w:sz="4" w:space="0" w:color="auto"/>
            </w:tcBorders>
            <w:shd w:val="clear" w:color="auto" w:fill="auto"/>
            <w:vAlign w:val="center"/>
          </w:tcPr>
          <w:p w14:paraId="07AF543C" w14:textId="77777777" w:rsidR="00681C62" w:rsidRPr="00C21B99" w:rsidRDefault="00681C62" w:rsidP="00487DC6">
            <w:pPr>
              <w:tabs>
                <w:tab w:val="left" w:pos="567"/>
              </w:tabs>
              <w:rPr>
                <w:szCs w:val="22"/>
                <w:lang w:eastAsia="en-US"/>
              </w:rPr>
            </w:pPr>
          </w:p>
        </w:tc>
        <w:tc>
          <w:tcPr>
            <w:tcW w:w="1276" w:type="dxa"/>
            <w:tcBorders>
              <w:top w:val="nil"/>
              <w:left w:val="single" w:sz="4" w:space="0" w:color="auto"/>
              <w:bottom w:val="nil"/>
              <w:right w:val="single" w:sz="4" w:space="0" w:color="auto"/>
            </w:tcBorders>
            <w:shd w:val="clear" w:color="auto" w:fill="auto"/>
            <w:vAlign w:val="center"/>
          </w:tcPr>
          <w:p w14:paraId="6C3F472E" w14:textId="77777777" w:rsidR="00681C62" w:rsidRPr="00C21B99" w:rsidRDefault="00681C62" w:rsidP="00487DC6">
            <w:pPr>
              <w:tabs>
                <w:tab w:val="left" w:pos="567"/>
              </w:tabs>
              <w:rPr>
                <w:szCs w:val="22"/>
                <w:lang w:eastAsia="en-US"/>
              </w:rPr>
            </w:pPr>
          </w:p>
        </w:tc>
        <w:tc>
          <w:tcPr>
            <w:tcW w:w="5351" w:type="dxa"/>
            <w:tcBorders>
              <w:left w:val="single" w:sz="4" w:space="0" w:color="auto"/>
              <w:bottom w:val="single" w:sz="4" w:space="0" w:color="auto"/>
            </w:tcBorders>
            <w:shd w:val="clear" w:color="auto" w:fill="auto"/>
            <w:vAlign w:val="center"/>
          </w:tcPr>
          <w:p w14:paraId="529A9131" w14:textId="77777777" w:rsidR="00681C62" w:rsidRPr="00C21B99" w:rsidRDefault="00681C62" w:rsidP="00487DC6">
            <w:pPr>
              <w:tabs>
                <w:tab w:val="left" w:pos="567"/>
              </w:tabs>
              <w:rPr>
                <w:szCs w:val="22"/>
                <w:lang w:eastAsia="en-US"/>
              </w:rPr>
            </w:pPr>
            <w:r w:rsidRPr="00C21B99">
              <w:rPr>
                <w:szCs w:val="22"/>
                <w:lang w:eastAsia="en-US"/>
              </w:rPr>
              <w:t>Plaukų slinkimas</w:t>
            </w:r>
          </w:p>
        </w:tc>
      </w:tr>
      <w:tr w:rsidR="00681C62" w:rsidRPr="00C21B99" w14:paraId="7DA6585D" w14:textId="77777777" w:rsidTr="00597522">
        <w:tc>
          <w:tcPr>
            <w:tcW w:w="2660" w:type="dxa"/>
            <w:tcBorders>
              <w:top w:val="nil"/>
              <w:left w:val="single" w:sz="4" w:space="0" w:color="auto"/>
              <w:bottom w:val="nil"/>
              <w:right w:val="single" w:sz="4" w:space="0" w:color="auto"/>
            </w:tcBorders>
            <w:shd w:val="clear" w:color="auto" w:fill="auto"/>
            <w:vAlign w:val="center"/>
          </w:tcPr>
          <w:p w14:paraId="19FBB64D" w14:textId="77777777" w:rsidR="00681C62" w:rsidRPr="00C21B99" w:rsidRDefault="00681C62" w:rsidP="00487DC6">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88D71ED" w14:textId="77777777" w:rsidR="00681C62" w:rsidRPr="00C21B99" w:rsidRDefault="00681C62" w:rsidP="00487DC6">
            <w:pPr>
              <w:tabs>
                <w:tab w:val="left" w:pos="567"/>
              </w:tabs>
              <w:rPr>
                <w:szCs w:val="22"/>
                <w:lang w:eastAsia="en-US"/>
              </w:rPr>
            </w:pPr>
          </w:p>
        </w:tc>
        <w:tc>
          <w:tcPr>
            <w:tcW w:w="5351" w:type="dxa"/>
            <w:tcBorders>
              <w:left w:val="single" w:sz="4" w:space="0" w:color="auto"/>
              <w:bottom w:val="single" w:sz="4" w:space="0" w:color="auto"/>
            </w:tcBorders>
            <w:shd w:val="clear" w:color="auto" w:fill="auto"/>
            <w:vAlign w:val="center"/>
          </w:tcPr>
          <w:p w14:paraId="155875A8" w14:textId="77777777" w:rsidR="00681C62" w:rsidRPr="00C21B99" w:rsidRDefault="00681C62" w:rsidP="00681C62">
            <w:pPr>
              <w:tabs>
                <w:tab w:val="left" w:pos="567"/>
              </w:tabs>
              <w:rPr>
                <w:szCs w:val="22"/>
                <w:lang w:eastAsia="en-US"/>
              </w:rPr>
            </w:pPr>
            <w:r w:rsidRPr="00C21B99">
              <w:rPr>
                <w:szCs w:val="22"/>
                <w:lang w:eastAsia="en-US"/>
              </w:rPr>
              <w:t xml:space="preserve">Alerginės reakcijos (1,1 %), įskaitant </w:t>
            </w:r>
            <w:proofErr w:type="spellStart"/>
            <w:r w:rsidRPr="00C21B99">
              <w:rPr>
                <w:szCs w:val="22"/>
                <w:lang w:eastAsia="en-US"/>
              </w:rPr>
              <w:t>angioneurozinę</w:t>
            </w:r>
            <w:proofErr w:type="spellEnd"/>
            <w:r w:rsidRPr="00C21B99">
              <w:rPr>
                <w:szCs w:val="22"/>
                <w:lang w:eastAsia="en-US"/>
              </w:rPr>
              <w:t xml:space="preserve"> edemą ir dilgėlinę</w:t>
            </w:r>
          </w:p>
        </w:tc>
      </w:tr>
      <w:tr w:rsidR="00687E51" w:rsidRPr="00C21B99" w14:paraId="3A4F5B5A" w14:textId="77777777" w:rsidTr="00597522">
        <w:tc>
          <w:tcPr>
            <w:tcW w:w="2660" w:type="dxa"/>
            <w:tcBorders>
              <w:top w:val="nil"/>
              <w:left w:val="single" w:sz="4" w:space="0" w:color="auto"/>
              <w:bottom w:val="nil"/>
              <w:right w:val="single" w:sz="4" w:space="0" w:color="auto"/>
            </w:tcBorders>
            <w:shd w:val="clear" w:color="auto" w:fill="auto"/>
            <w:vAlign w:val="center"/>
          </w:tcPr>
          <w:p w14:paraId="117D08CD" w14:textId="77777777" w:rsidR="00687E51" w:rsidRPr="00C21B99" w:rsidRDefault="00687E51" w:rsidP="00487DC6">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4C7500E" w14:textId="73732EB0" w:rsidR="00687E51" w:rsidRPr="00C21B99" w:rsidRDefault="00687E51" w:rsidP="00687E51">
            <w:pPr>
              <w:tabs>
                <w:tab w:val="left" w:pos="567"/>
              </w:tabs>
              <w:rPr>
                <w:szCs w:val="22"/>
                <w:lang w:eastAsia="en-US"/>
              </w:rPr>
            </w:pPr>
            <w:r>
              <w:rPr>
                <w:szCs w:val="22"/>
                <w:lang w:eastAsia="en-US"/>
              </w:rPr>
              <w:t>Nedažnas</w:t>
            </w:r>
          </w:p>
        </w:tc>
        <w:tc>
          <w:tcPr>
            <w:tcW w:w="5351" w:type="dxa"/>
            <w:tcBorders>
              <w:left w:val="single" w:sz="4" w:space="0" w:color="auto"/>
              <w:bottom w:val="single" w:sz="4" w:space="0" w:color="auto"/>
            </w:tcBorders>
            <w:shd w:val="clear" w:color="auto" w:fill="auto"/>
            <w:vAlign w:val="center"/>
          </w:tcPr>
          <w:p w14:paraId="6D56E9AC" w14:textId="485E48B0" w:rsidR="00687E51" w:rsidRPr="00C21B99" w:rsidRDefault="00687E51" w:rsidP="00681C62">
            <w:pPr>
              <w:tabs>
                <w:tab w:val="left" w:pos="567"/>
              </w:tabs>
              <w:rPr>
                <w:szCs w:val="22"/>
                <w:lang w:eastAsia="en-US"/>
              </w:rPr>
            </w:pPr>
            <w:r>
              <w:rPr>
                <w:szCs w:val="22"/>
                <w:lang w:eastAsia="en-US"/>
              </w:rPr>
              <w:t>P</w:t>
            </w:r>
            <w:r w:rsidRPr="00687E51">
              <w:rPr>
                <w:szCs w:val="22"/>
                <w:lang w:eastAsia="en-US"/>
              </w:rPr>
              <w:t xml:space="preserve">laštakų ir pėdų </w:t>
            </w:r>
            <w:proofErr w:type="spellStart"/>
            <w:r w:rsidRPr="00687E51">
              <w:rPr>
                <w:szCs w:val="22"/>
                <w:lang w:eastAsia="en-US"/>
              </w:rPr>
              <w:t>eritrodizestezijos</w:t>
            </w:r>
            <w:proofErr w:type="spellEnd"/>
            <w:r w:rsidRPr="00687E51">
              <w:rPr>
                <w:szCs w:val="22"/>
                <w:lang w:eastAsia="en-US"/>
              </w:rPr>
              <w:t xml:space="preserve"> sindromas</w:t>
            </w:r>
          </w:p>
        </w:tc>
      </w:tr>
      <w:tr w:rsidR="00681C62" w:rsidRPr="00C21B99" w14:paraId="1F0174B0" w14:textId="77777777" w:rsidTr="00597522">
        <w:tc>
          <w:tcPr>
            <w:tcW w:w="2660" w:type="dxa"/>
            <w:tcBorders>
              <w:top w:val="nil"/>
              <w:left w:val="single" w:sz="4" w:space="0" w:color="auto"/>
              <w:bottom w:val="nil"/>
              <w:right w:val="single" w:sz="4" w:space="0" w:color="auto"/>
            </w:tcBorders>
            <w:shd w:val="clear" w:color="auto" w:fill="auto"/>
            <w:vAlign w:val="center"/>
          </w:tcPr>
          <w:p w14:paraId="7198D9AC" w14:textId="77777777" w:rsidR="00681C62" w:rsidRPr="00C21B99" w:rsidRDefault="00681C62" w:rsidP="00487DC6">
            <w:pPr>
              <w:tabs>
                <w:tab w:val="left" w:pos="567"/>
              </w:tabs>
              <w:rPr>
                <w:szCs w:val="22"/>
                <w:lang w:eastAsia="en-US"/>
              </w:rPr>
            </w:pPr>
          </w:p>
        </w:tc>
        <w:tc>
          <w:tcPr>
            <w:tcW w:w="1276" w:type="dxa"/>
            <w:tcBorders>
              <w:top w:val="nil"/>
              <w:left w:val="single" w:sz="4" w:space="0" w:color="auto"/>
              <w:bottom w:val="nil"/>
              <w:right w:val="single" w:sz="4" w:space="0" w:color="auto"/>
            </w:tcBorders>
            <w:shd w:val="clear" w:color="auto" w:fill="auto"/>
            <w:vAlign w:val="center"/>
          </w:tcPr>
          <w:p w14:paraId="0FE39F49" w14:textId="77777777" w:rsidR="00681C62" w:rsidRPr="00C21B99" w:rsidRDefault="00597522" w:rsidP="00487DC6">
            <w:pPr>
              <w:tabs>
                <w:tab w:val="left" w:pos="567"/>
              </w:tabs>
              <w:rPr>
                <w:szCs w:val="22"/>
                <w:lang w:eastAsia="en-US"/>
              </w:rPr>
            </w:pPr>
            <w:r w:rsidRPr="00C21B99">
              <w:rPr>
                <w:szCs w:val="22"/>
                <w:lang w:eastAsia="en-US"/>
              </w:rPr>
              <w:t>Retas</w:t>
            </w:r>
          </w:p>
        </w:tc>
        <w:tc>
          <w:tcPr>
            <w:tcW w:w="5351" w:type="dxa"/>
            <w:tcBorders>
              <w:top w:val="single" w:sz="4" w:space="0" w:color="auto"/>
              <w:left w:val="single" w:sz="4" w:space="0" w:color="auto"/>
              <w:bottom w:val="single" w:sz="4" w:space="0" w:color="auto"/>
              <w:right w:val="single" w:sz="4" w:space="0" w:color="auto"/>
            </w:tcBorders>
            <w:shd w:val="clear" w:color="auto" w:fill="auto"/>
            <w:vAlign w:val="center"/>
          </w:tcPr>
          <w:p w14:paraId="2A627A7A" w14:textId="77777777" w:rsidR="00681C62" w:rsidRPr="00C21B99" w:rsidRDefault="00597522" w:rsidP="00597522">
            <w:pPr>
              <w:tabs>
                <w:tab w:val="left" w:pos="567"/>
              </w:tabs>
              <w:rPr>
                <w:szCs w:val="22"/>
                <w:lang w:eastAsia="en-US"/>
              </w:rPr>
            </w:pPr>
            <w:proofErr w:type="spellStart"/>
            <w:r w:rsidRPr="00C21B99">
              <w:rPr>
                <w:szCs w:val="22"/>
                <w:lang w:eastAsia="en-US"/>
              </w:rPr>
              <w:t>Pūslinės</w:t>
            </w:r>
            <w:proofErr w:type="spellEnd"/>
            <w:r w:rsidRPr="00C21B99">
              <w:rPr>
                <w:szCs w:val="22"/>
                <w:lang w:eastAsia="en-US"/>
              </w:rPr>
              <w:t xml:space="preserve"> būklės: toksinė epidermio </w:t>
            </w:r>
            <w:proofErr w:type="spellStart"/>
            <w:r w:rsidRPr="00C21B99">
              <w:rPr>
                <w:szCs w:val="22"/>
                <w:lang w:eastAsia="en-US"/>
              </w:rPr>
              <w:t>nekrolizė</w:t>
            </w:r>
            <w:proofErr w:type="spellEnd"/>
            <w:r w:rsidRPr="00C21B99">
              <w:rPr>
                <w:szCs w:val="22"/>
                <w:lang w:eastAsia="en-US"/>
              </w:rPr>
              <w:t xml:space="preserve">, </w:t>
            </w:r>
            <w:proofErr w:type="spellStart"/>
            <w:r w:rsidRPr="00C21B99">
              <w:rPr>
                <w:szCs w:val="22"/>
                <w:lang w:eastAsia="en-US"/>
              </w:rPr>
              <w:t>Stivenso</w:t>
            </w:r>
            <w:proofErr w:type="spellEnd"/>
            <w:r w:rsidRPr="00C21B99">
              <w:rPr>
                <w:szCs w:val="22"/>
                <w:lang w:eastAsia="en-US"/>
              </w:rPr>
              <w:t>-Džonsono (</w:t>
            </w:r>
            <w:proofErr w:type="spellStart"/>
            <w:r w:rsidRPr="006675D7">
              <w:rPr>
                <w:i/>
                <w:szCs w:val="22"/>
                <w:lang w:eastAsia="en-US"/>
              </w:rPr>
              <w:t>Stevens-Johnson</w:t>
            </w:r>
            <w:proofErr w:type="spellEnd"/>
            <w:r w:rsidRPr="00C21B99">
              <w:rPr>
                <w:szCs w:val="22"/>
                <w:lang w:eastAsia="en-US"/>
              </w:rPr>
              <w:t xml:space="preserve">) sindromas ir daugiaformė </w:t>
            </w:r>
            <w:proofErr w:type="spellStart"/>
            <w:r w:rsidRPr="00C21B99">
              <w:rPr>
                <w:szCs w:val="22"/>
                <w:lang w:eastAsia="en-US"/>
              </w:rPr>
              <w:t>eritema</w:t>
            </w:r>
            <w:proofErr w:type="spellEnd"/>
          </w:p>
        </w:tc>
      </w:tr>
      <w:tr w:rsidR="00597522" w:rsidRPr="00C21B99" w14:paraId="264686C1" w14:textId="77777777" w:rsidTr="00597522">
        <w:tc>
          <w:tcPr>
            <w:tcW w:w="2660" w:type="dxa"/>
            <w:tcBorders>
              <w:top w:val="nil"/>
              <w:left w:val="single" w:sz="4" w:space="0" w:color="auto"/>
              <w:bottom w:val="single" w:sz="4" w:space="0" w:color="auto"/>
              <w:right w:val="single" w:sz="4" w:space="0" w:color="auto"/>
            </w:tcBorders>
            <w:shd w:val="clear" w:color="auto" w:fill="auto"/>
            <w:vAlign w:val="center"/>
          </w:tcPr>
          <w:p w14:paraId="15E639AA" w14:textId="77777777" w:rsidR="00597522" w:rsidRPr="00C21B99" w:rsidRDefault="00597522" w:rsidP="00487DC6">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3C3EEB4D" w14:textId="77777777" w:rsidR="00597522" w:rsidRPr="00C21B99" w:rsidRDefault="00597522" w:rsidP="00487DC6">
            <w:pPr>
              <w:tabs>
                <w:tab w:val="left" w:pos="567"/>
              </w:tabs>
              <w:rPr>
                <w:szCs w:val="22"/>
                <w:lang w:eastAsia="en-US"/>
              </w:rPr>
            </w:pPr>
          </w:p>
        </w:tc>
        <w:tc>
          <w:tcPr>
            <w:tcW w:w="5351" w:type="dxa"/>
            <w:tcBorders>
              <w:top w:val="single" w:sz="4" w:space="0" w:color="auto"/>
              <w:left w:val="single" w:sz="4" w:space="0" w:color="auto"/>
              <w:bottom w:val="single" w:sz="4" w:space="0" w:color="auto"/>
              <w:right w:val="single" w:sz="4" w:space="0" w:color="auto"/>
            </w:tcBorders>
            <w:shd w:val="clear" w:color="auto" w:fill="auto"/>
            <w:vAlign w:val="center"/>
          </w:tcPr>
          <w:p w14:paraId="54D5B9D2" w14:textId="77777777" w:rsidR="00597522" w:rsidRPr="00C21B99" w:rsidRDefault="00597522" w:rsidP="00597522">
            <w:pPr>
              <w:tabs>
                <w:tab w:val="left" w:pos="567"/>
              </w:tabs>
              <w:rPr>
                <w:szCs w:val="22"/>
                <w:lang w:eastAsia="en-US"/>
              </w:rPr>
            </w:pPr>
            <w:r w:rsidRPr="00C21B99">
              <w:rPr>
                <w:szCs w:val="22"/>
                <w:lang w:eastAsia="en-US"/>
              </w:rPr>
              <w:t>Odos kraujagyslių uždegimas</w:t>
            </w:r>
          </w:p>
        </w:tc>
      </w:tr>
      <w:tr w:rsidR="00597522" w:rsidRPr="00C21B99" w14:paraId="2BC2B2CC" w14:textId="77777777" w:rsidTr="00487DC6">
        <w:tc>
          <w:tcPr>
            <w:tcW w:w="2660" w:type="dxa"/>
            <w:tcBorders>
              <w:top w:val="nil"/>
              <w:left w:val="single" w:sz="4" w:space="0" w:color="auto"/>
              <w:bottom w:val="nil"/>
              <w:right w:val="single" w:sz="4" w:space="0" w:color="auto"/>
            </w:tcBorders>
            <w:shd w:val="clear" w:color="auto" w:fill="auto"/>
            <w:vAlign w:val="center"/>
          </w:tcPr>
          <w:p w14:paraId="7AAC6F4E" w14:textId="77777777" w:rsidR="00597522" w:rsidRPr="00C21B99" w:rsidRDefault="00597522" w:rsidP="00487DC6">
            <w:pPr>
              <w:tabs>
                <w:tab w:val="left" w:pos="567"/>
              </w:tabs>
              <w:rPr>
                <w:szCs w:val="22"/>
                <w:lang w:eastAsia="en-US"/>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4436F155" w14:textId="77777777" w:rsidR="00597522" w:rsidRPr="00C21B99" w:rsidRDefault="00597522" w:rsidP="00597522">
            <w:pPr>
              <w:tabs>
                <w:tab w:val="left" w:pos="567"/>
              </w:tabs>
              <w:rPr>
                <w:szCs w:val="22"/>
                <w:lang w:eastAsia="en-US"/>
              </w:rPr>
            </w:pPr>
          </w:p>
        </w:tc>
        <w:tc>
          <w:tcPr>
            <w:tcW w:w="5351" w:type="dxa"/>
            <w:tcBorders>
              <w:left w:val="single" w:sz="4" w:space="0" w:color="auto"/>
              <w:bottom w:val="single" w:sz="4" w:space="0" w:color="auto"/>
            </w:tcBorders>
            <w:shd w:val="clear" w:color="auto" w:fill="auto"/>
            <w:vAlign w:val="center"/>
          </w:tcPr>
          <w:p w14:paraId="0AD5163C" w14:textId="77777777" w:rsidR="00597522" w:rsidRPr="00C21B99" w:rsidRDefault="001008D2" w:rsidP="001008D2">
            <w:pPr>
              <w:tabs>
                <w:tab w:val="left" w:pos="567"/>
              </w:tabs>
              <w:rPr>
                <w:szCs w:val="22"/>
                <w:lang w:eastAsia="en-US"/>
              </w:rPr>
            </w:pPr>
            <w:r w:rsidRPr="00C21B99">
              <w:rPr>
                <w:szCs w:val="22"/>
                <w:lang w:eastAsia="en-US"/>
              </w:rPr>
              <w:t>Laboratorijoje nustatytas</w:t>
            </w:r>
            <w:r w:rsidR="00597522" w:rsidRPr="00C21B99">
              <w:rPr>
                <w:szCs w:val="22"/>
                <w:lang w:eastAsia="en-US"/>
              </w:rPr>
              <w:t xml:space="preserve"> </w:t>
            </w:r>
            <w:proofErr w:type="spellStart"/>
            <w:r w:rsidRPr="00C21B99">
              <w:rPr>
                <w:szCs w:val="22"/>
                <w:lang w:eastAsia="en-US"/>
              </w:rPr>
              <w:t>besimptom</w:t>
            </w:r>
            <w:r w:rsidR="00C21B99">
              <w:rPr>
                <w:szCs w:val="22"/>
                <w:lang w:eastAsia="en-US"/>
              </w:rPr>
              <w:t>i</w:t>
            </w:r>
            <w:r w:rsidRPr="00C21B99">
              <w:rPr>
                <w:szCs w:val="22"/>
                <w:lang w:eastAsia="en-US"/>
              </w:rPr>
              <w:t>s</w:t>
            </w:r>
            <w:proofErr w:type="spellEnd"/>
            <w:r w:rsidRPr="00C21B99">
              <w:rPr>
                <w:szCs w:val="22"/>
                <w:lang w:eastAsia="en-US"/>
              </w:rPr>
              <w:t xml:space="preserve"> </w:t>
            </w:r>
            <w:proofErr w:type="spellStart"/>
            <w:r w:rsidR="00597522" w:rsidRPr="00C21B99">
              <w:rPr>
                <w:szCs w:val="22"/>
                <w:lang w:eastAsia="en-US"/>
              </w:rPr>
              <w:t>kreatinino</w:t>
            </w:r>
            <w:proofErr w:type="spellEnd"/>
            <w:r w:rsidR="00597522" w:rsidRPr="00C21B99">
              <w:rPr>
                <w:szCs w:val="22"/>
                <w:lang w:eastAsia="en-US"/>
              </w:rPr>
              <w:t xml:space="preserve"> </w:t>
            </w:r>
            <w:r w:rsidRPr="00C21B99">
              <w:rPr>
                <w:szCs w:val="22"/>
                <w:lang w:eastAsia="en-US"/>
              </w:rPr>
              <w:t>kiekio kraujyje</w:t>
            </w:r>
            <w:r w:rsidR="00597522" w:rsidRPr="00C21B99">
              <w:rPr>
                <w:szCs w:val="22"/>
                <w:lang w:eastAsia="en-US"/>
              </w:rPr>
              <w:t xml:space="preserve"> padidėjimas</w:t>
            </w:r>
          </w:p>
        </w:tc>
      </w:tr>
      <w:tr w:rsidR="00597522" w:rsidRPr="00C21B99" w14:paraId="0BA9E96A" w14:textId="77777777" w:rsidTr="00487DC6">
        <w:tc>
          <w:tcPr>
            <w:tcW w:w="2660" w:type="dxa"/>
            <w:tcBorders>
              <w:top w:val="nil"/>
              <w:left w:val="single" w:sz="4" w:space="0" w:color="auto"/>
              <w:bottom w:val="nil"/>
              <w:right w:val="single" w:sz="4" w:space="0" w:color="auto"/>
            </w:tcBorders>
            <w:shd w:val="clear" w:color="auto" w:fill="auto"/>
            <w:vAlign w:val="center"/>
          </w:tcPr>
          <w:p w14:paraId="6751FC05" w14:textId="77777777" w:rsidR="00597522" w:rsidRPr="00C21B99" w:rsidRDefault="00597522" w:rsidP="00487DC6">
            <w:pPr>
              <w:tabs>
                <w:tab w:val="left" w:pos="567"/>
              </w:tabs>
              <w:rPr>
                <w:szCs w:val="22"/>
                <w:lang w:eastAsia="en-US"/>
              </w:rPr>
            </w:pPr>
            <w:r w:rsidRPr="00C21B99">
              <w:rPr>
                <w:szCs w:val="22"/>
                <w:lang w:eastAsia="en-US"/>
              </w:rPr>
              <w:t>Inkstų ir šlapimo takų sutrikimai</w:t>
            </w:r>
          </w:p>
        </w:tc>
        <w:tc>
          <w:tcPr>
            <w:tcW w:w="1276" w:type="dxa"/>
            <w:tcBorders>
              <w:top w:val="nil"/>
              <w:left w:val="single" w:sz="4" w:space="0" w:color="auto"/>
              <w:bottom w:val="nil"/>
              <w:right w:val="single" w:sz="4" w:space="0" w:color="auto"/>
            </w:tcBorders>
            <w:shd w:val="clear" w:color="auto" w:fill="auto"/>
            <w:vAlign w:val="center"/>
          </w:tcPr>
          <w:p w14:paraId="4F3E49B2" w14:textId="77777777" w:rsidR="00597522" w:rsidRPr="00C21B99" w:rsidRDefault="00597522" w:rsidP="00597522">
            <w:pPr>
              <w:tabs>
                <w:tab w:val="left" w:pos="567"/>
              </w:tabs>
              <w:rPr>
                <w:szCs w:val="22"/>
                <w:lang w:eastAsia="en-US"/>
              </w:rPr>
            </w:pPr>
            <w:r w:rsidRPr="00C21B99">
              <w:rPr>
                <w:szCs w:val="22"/>
                <w:lang w:eastAsia="en-US"/>
              </w:rPr>
              <w:t xml:space="preserve">Dažnas </w:t>
            </w:r>
          </w:p>
          <w:p w14:paraId="239E1180" w14:textId="77777777" w:rsidR="00597522" w:rsidRPr="00C21B99" w:rsidRDefault="00597522" w:rsidP="00487DC6">
            <w:pPr>
              <w:tabs>
                <w:tab w:val="left" w:pos="567"/>
              </w:tabs>
              <w:rPr>
                <w:szCs w:val="22"/>
                <w:lang w:eastAsia="en-US"/>
              </w:rPr>
            </w:pPr>
          </w:p>
        </w:tc>
        <w:tc>
          <w:tcPr>
            <w:tcW w:w="5351" w:type="dxa"/>
            <w:tcBorders>
              <w:left w:val="single" w:sz="4" w:space="0" w:color="auto"/>
              <w:bottom w:val="single" w:sz="4" w:space="0" w:color="auto"/>
            </w:tcBorders>
            <w:shd w:val="clear" w:color="auto" w:fill="auto"/>
            <w:vAlign w:val="center"/>
          </w:tcPr>
          <w:p w14:paraId="02121B31" w14:textId="77777777" w:rsidR="00597522" w:rsidRPr="00C21B99" w:rsidRDefault="00597522" w:rsidP="00487DC6">
            <w:pPr>
              <w:tabs>
                <w:tab w:val="left" w:pos="567"/>
              </w:tabs>
              <w:rPr>
                <w:szCs w:val="22"/>
                <w:lang w:eastAsia="en-US"/>
              </w:rPr>
            </w:pPr>
            <w:proofErr w:type="spellStart"/>
            <w:r w:rsidRPr="00C21B99">
              <w:rPr>
                <w:szCs w:val="22"/>
                <w:lang w:eastAsia="en-US"/>
              </w:rPr>
              <w:t>Proteinurija</w:t>
            </w:r>
            <w:proofErr w:type="spellEnd"/>
          </w:p>
        </w:tc>
      </w:tr>
      <w:tr w:rsidR="00597522" w:rsidRPr="00C21B99" w14:paraId="7CC48F61" w14:textId="77777777" w:rsidTr="00487DC6">
        <w:tc>
          <w:tcPr>
            <w:tcW w:w="2660" w:type="dxa"/>
            <w:tcBorders>
              <w:top w:val="nil"/>
              <w:left w:val="single" w:sz="4" w:space="0" w:color="auto"/>
              <w:bottom w:val="nil"/>
              <w:right w:val="single" w:sz="4" w:space="0" w:color="auto"/>
            </w:tcBorders>
            <w:shd w:val="clear" w:color="auto" w:fill="auto"/>
            <w:vAlign w:val="center"/>
          </w:tcPr>
          <w:p w14:paraId="106C4D59" w14:textId="77777777" w:rsidR="00597522" w:rsidRPr="00C21B99" w:rsidRDefault="00597522" w:rsidP="00487DC6">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5DFFE88" w14:textId="77777777" w:rsidR="00597522" w:rsidRPr="00C21B99" w:rsidRDefault="00597522" w:rsidP="00487DC6">
            <w:pPr>
              <w:tabs>
                <w:tab w:val="left" w:pos="567"/>
              </w:tabs>
              <w:rPr>
                <w:szCs w:val="22"/>
                <w:lang w:eastAsia="en-US"/>
              </w:rPr>
            </w:pPr>
          </w:p>
        </w:tc>
        <w:tc>
          <w:tcPr>
            <w:tcW w:w="5351" w:type="dxa"/>
            <w:tcBorders>
              <w:left w:val="single" w:sz="4" w:space="0" w:color="auto"/>
              <w:bottom w:val="single" w:sz="4" w:space="0" w:color="auto"/>
            </w:tcBorders>
            <w:shd w:val="clear" w:color="auto" w:fill="auto"/>
            <w:vAlign w:val="center"/>
          </w:tcPr>
          <w:p w14:paraId="1D345C45" w14:textId="77777777" w:rsidR="00597522" w:rsidRPr="00C21B99" w:rsidRDefault="00597522" w:rsidP="00487DC6">
            <w:pPr>
              <w:tabs>
                <w:tab w:val="left" w:pos="567"/>
              </w:tabs>
              <w:rPr>
                <w:szCs w:val="22"/>
                <w:lang w:eastAsia="en-US"/>
              </w:rPr>
            </w:pPr>
            <w:r w:rsidRPr="00C21B99">
              <w:rPr>
                <w:szCs w:val="22"/>
                <w:lang w:eastAsia="en-US"/>
              </w:rPr>
              <w:t>Cistitas</w:t>
            </w:r>
          </w:p>
        </w:tc>
      </w:tr>
      <w:tr w:rsidR="00597522" w:rsidRPr="00C21B99" w14:paraId="73B51AF1" w14:textId="77777777" w:rsidTr="00597522">
        <w:tc>
          <w:tcPr>
            <w:tcW w:w="2660" w:type="dxa"/>
            <w:tcBorders>
              <w:top w:val="nil"/>
              <w:left w:val="single" w:sz="4" w:space="0" w:color="auto"/>
              <w:bottom w:val="single" w:sz="4" w:space="0" w:color="auto"/>
              <w:right w:val="single" w:sz="4" w:space="0" w:color="auto"/>
            </w:tcBorders>
            <w:shd w:val="clear" w:color="auto" w:fill="auto"/>
            <w:vAlign w:val="center"/>
          </w:tcPr>
          <w:p w14:paraId="1BBD694D" w14:textId="77777777" w:rsidR="00597522" w:rsidRPr="00C21B99" w:rsidRDefault="00597522" w:rsidP="00487DC6">
            <w:pPr>
              <w:tabs>
                <w:tab w:val="left" w:pos="567"/>
              </w:tabs>
              <w:rPr>
                <w:szCs w:val="22"/>
                <w:lang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C7D5DCD" w14:textId="77777777" w:rsidR="00597522" w:rsidRPr="00C21B99" w:rsidRDefault="00597522" w:rsidP="00487DC6">
            <w:pPr>
              <w:tabs>
                <w:tab w:val="left" w:pos="567"/>
              </w:tabs>
              <w:rPr>
                <w:szCs w:val="22"/>
                <w:lang w:eastAsia="en-US"/>
              </w:rPr>
            </w:pPr>
            <w:r w:rsidRPr="00C21B99">
              <w:rPr>
                <w:szCs w:val="22"/>
                <w:lang w:eastAsia="en-US"/>
              </w:rPr>
              <w:t>Retas</w:t>
            </w:r>
          </w:p>
        </w:tc>
        <w:tc>
          <w:tcPr>
            <w:tcW w:w="5351" w:type="dxa"/>
            <w:tcBorders>
              <w:top w:val="single" w:sz="4" w:space="0" w:color="auto"/>
              <w:left w:val="single" w:sz="4" w:space="0" w:color="auto"/>
              <w:bottom w:val="single" w:sz="4" w:space="0" w:color="auto"/>
              <w:right w:val="single" w:sz="4" w:space="0" w:color="auto"/>
            </w:tcBorders>
            <w:shd w:val="clear" w:color="auto" w:fill="auto"/>
            <w:vAlign w:val="center"/>
          </w:tcPr>
          <w:p w14:paraId="00846F79" w14:textId="77777777" w:rsidR="00597522" w:rsidRPr="00C21B99" w:rsidRDefault="00597522" w:rsidP="00597522">
            <w:pPr>
              <w:tabs>
                <w:tab w:val="left" w:pos="567"/>
              </w:tabs>
              <w:rPr>
                <w:szCs w:val="22"/>
                <w:lang w:eastAsia="en-US"/>
              </w:rPr>
            </w:pPr>
            <w:r w:rsidRPr="00C21B99">
              <w:rPr>
                <w:szCs w:val="22"/>
                <w:lang w:eastAsia="en-US"/>
              </w:rPr>
              <w:t>Hemoraginis cistitas</w:t>
            </w:r>
          </w:p>
        </w:tc>
      </w:tr>
      <w:tr w:rsidR="00681C62" w:rsidRPr="00C21B99" w14:paraId="55233F10" w14:textId="77777777" w:rsidTr="00597522">
        <w:tc>
          <w:tcPr>
            <w:tcW w:w="2660" w:type="dxa"/>
            <w:tcBorders>
              <w:top w:val="single" w:sz="4" w:space="0" w:color="auto"/>
              <w:left w:val="single" w:sz="4" w:space="0" w:color="auto"/>
              <w:bottom w:val="nil"/>
              <w:right w:val="single" w:sz="4" w:space="0" w:color="auto"/>
            </w:tcBorders>
            <w:shd w:val="clear" w:color="auto" w:fill="auto"/>
            <w:vAlign w:val="center"/>
          </w:tcPr>
          <w:p w14:paraId="05D79348" w14:textId="77777777" w:rsidR="00681C62" w:rsidRPr="00C21B99" w:rsidRDefault="00681C62" w:rsidP="00790BC0">
            <w:pPr>
              <w:rPr>
                <w:szCs w:val="22"/>
              </w:rPr>
            </w:pPr>
            <w:r w:rsidRPr="00C21B99">
              <w:rPr>
                <w:szCs w:val="22"/>
              </w:rPr>
              <w:t>Bendrieji sutrikimai ir vartojimo vietos pažeidimai</w:t>
            </w:r>
          </w:p>
        </w:tc>
        <w:tc>
          <w:tcPr>
            <w:tcW w:w="1276" w:type="dxa"/>
            <w:tcBorders>
              <w:left w:val="single" w:sz="4" w:space="0" w:color="auto"/>
            </w:tcBorders>
            <w:shd w:val="clear" w:color="auto" w:fill="auto"/>
            <w:vAlign w:val="center"/>
          </w:tcPr>
          <w:p w14:paraId="3A39D63F" w14:textId="77777777" w:rsidR="00681C62" w:rsidRPr="00C21B99" w:rsidRDefault="00597522" w:rsidP="00597522">
            <w:pPr>
              <w:rPr>
                <w:szCs w:val="22"/>
              </w:rPr>
            </w:pPr>
            <w:r w:rsidRPr="00C21B99">
              <w:rPr>
                <w:szCs w:val="22"/>
              </w:rPr>
              <w:t>Labai dažnas</w:t>
            </w:r>
          </w:p>
        </w:tc>
        <w:tc>
          <w:tcPr>
            <w:tcW w:w="5351" w:type="dxa"/>
            <w:shd w:val="clear" w:color="auto" w:fill="auto"/>
            <w:vAlign w:val="center"/>
          </w:tcPr>
          <w:p w14:paraId="57DD055A" w14:textId="77777777" w:rsidR="00681C62" w:rsidRPr="00C21B99" w:rsidRDefault="00597522" w:rsidP="00790BC0">
            <w:pPr>
              <w:rPr>
                <w:szCs w:val="22"/>
              </w:rPr>
            </w:pPr>
            <w:proofErr w:type="spellStart"/>
            <w:r w:rsidRPr="00C21B99">
              <w:rPr>
                <w:szCs w:val="22"/>
              </w:rPr>
              <w:t>Astenija</w:t>
            </w:r>
            <w:proofErr w:type="spellEnd"/>
            <w:r w:rsidRPr="00C21B99">
              <w:rPr>
                <w:szCs w:val="22"/>
              </w:rPr>
              <w:t>, dažniausiai lengva (BTK 1 laipsnio)</w:t>
            </w:r>
          </w:p>
        </w:tc>
      </w:tr>
      <w:tr w:rsidR="00597522" w:rsidRPr="00C21B99" w14:paraId="75D7DE68" w14:textId="77777777" w:rsidTr="00597522">
        <w:tc>
          <w:tcPr>
            <w:tcW w:w="2660" w:type="dxa"/>
            <w:tcBorders>
              <w:top w:val="nil"/>
              <w:left w:val="single" w:sz="4" w:space="0" w:color="auto"/>
              <w:bottom w:val="single" w:sz="4" w:space="0" w:color="auto"/>
              <w:right w:val="single" w:sz="4" w:space="0" w:color="auto"/>
            </w:tcBorders>
            <w:shd w:val="clear" w:color="auto" w:fill="auto"/>
            <w:vAlign w:val="center"/>
          </w:tcPr>
          <w:p w14:paraId="44371BD5" w14:textId="77777777" w:rsidR="00597522" w:rsidRPr="00C21B99" w:rsidRDefault="00597522" w:rsidP="00790BC0">
            <w:pPr>
              <w:rPr>
                <w:szCs w:val="22"/>
              </w:rPr>
            </w:pPr>
          </w:p>
        </w:tc>
        <w:tc>
          <w:tcPr>
            <w:tcW w:w="1276" w:type="dxa"/>
            <w:tcBorders>
              <w:left w:val="single" w:sz="4" w:space="0" w:color="auto"/>
            </w:tcBorders>
            <w:shd w:val="clear" w:color="auto" w:fill="auto"/>
            <w:vAlign w:val="center"/>
          </w:tcPr>
          <w:p w14:paraId="11339E1D" w14:textId="77777777" w:rsidR="00597522" w:rsidRPr="00C21B99" w:rsidRDefault="00597522" w:rsidP="00790BC0">
            <w:pPr>
              <w:rPr>
                <w:szCs w:val="22"/>
              </w:rPr>
            </w:pPr>
            <w:r w:rsidRPr="00C21B99">
              <w:rPr>
                <w:szCs w:val="22"/>
              </w:rPr>
              <w:t>Dažnas</w:t>
            </w:r>
          </w:p>
        </w:tc>
        <w:tc>
          <w:tcPr>
            <w:tcW w:w="5351" w:type="dxa"/>
            <w:shd w:val="clear" w:color="auto" w:fill="auto"/>
            <w:vAlign w:val="center"/>
          </w:tcPr>
          <w:p w14:paraId="044568F3" w14:textId="77777777" w:rsidR="00597522" w:rsidRPr="00C21B99" w:rsidRDefault="00597522" w:rsidP="00790BC0">
            <w:pPr>
              <w:rPr>
                <w:szCs w:val="22"/>
              </w:rPr>
            </w:pPr>
            <w:r w:rsidRPr="00C21B99">
              <w:rPr>
                <w:szCs w:val="22"/>
              </w:rPr>
              <w:t>Karščiavimas</w:t>
            </w:r>
          </w:p>
        </w:tc>
      </w:tr>
    </w:tbl>
    <w:p w14:paraId="757C3B75" w14:textId="77777777" w:rsidR="00597522" w:rsidRPr="00C21B99" w:rsidRDefault="001008D2" w:rsidP="00597522">
      <w:pPr>
        <w:widowControl w:val="0"/>
        <w:tabs>
          <w:tab w:val="left" w:pos="567"/>
        </w:tabs>
        <w:rPr>
          <w:snapToGrid w:val="0"/>
          <w:szCs w:val="22"/>
          <w:lang w:eastAsia="en-US"/>
        </w:rPr>
      </w:pPr>
      <w:r w:rsidRPr="00C21B99">
        <w:rPr>
          <w:snapToGrid w:val="0"/>
          <w:szCs w:val="22"/>
          <w:lang w:eastAsia="en-US"/>
        </w:rPr>
        <w:t>N</w:t>
      </w:r>
      <w:r w:rsidR="00597522" w:rsidRPr="00C21B99">
        <w:rPr>
          <w:snapToGrid w:val="0"/>
          <w:szCs w:val="22"/>
          <w:lang w:eastAsia="en-US"/>
        </w:rPr>
        <w:t>epageidaujamų reakcijų į vaistą dažn</w:t>
      </w:r>
      <w:r w:rsidRPr="00C21B99">
        <w:rPr>
          <w:snapToGrid w:val="0"/>
          <w:szCs w:val="22"/>
          <w:lang w:eastAsia="en-US"/>
        </w:rPr>
        <w:t>is susijęs su laboratorijų tyrimų rodikliais yra pagrįstas pacientų, kurių</w:t>
      </w:r>
      <w:r w:rsidR="00597522" w:rsidRPr="00C21B99">
        <w:rPr>
          <w:snapToGrid w:val="0"/>
          <w:szCs w:val="22"/>
          <w:lang w:eastAsia="en-US"/>
        </w:rPr>
        <w:t xml:space="preserve"> atitinkami laboratoriniai rodikliai, palyginus su buvusiais iki gydymo, pablogėjo bent 2 BTK laipsniais</w:t>
      </w:r>
      <w:r w:rsidRPr="00C21B99">
        <w:rPr>
          <w:snapToGrid w:val="0"/>
          <w:szCs w:val="22"/>
          <w:lang w:eastAsia="en-US"/>
        </w:rPr>
        <w:t>, duomenimis</w:t>
      </w:r>
      <w:r w:rsidR="00597522" w:rsidRPr="00C21B99">
        <w:rPr>
          <w:snapToGrid w:val="0"/>
          <w:szCs w:val="22"/>
          <w:lang w:eastAsia="en-US"/>
        </w:rPr>
        <w:t>.</w:t>
      </w:r>
    </w:p>
    <w:p w14:paraId="3A01E520" w14:textId="77777777" w:rsidR="00597522" w:rsidRPr="00C21B99" w:rsidRDefault="00597522" w:rsidP="00597522">
      <w:pPr>
        <w:widowControl w:val="0"/>
        <w:tabs>
          <w:tab w:val="left" w:pos="567"/>
        </w:tabs>
        <w:rPr>
          <w:snapToGrid w:val="0"/>
          <w:szCs w:val="22"/>
          <w:lang w:eastAsia="en-US"/>
        </w:rPr>
      </w:pPr>
      <w:r w:rsidRPr="00C21B99">
        <w:rPr>
          <w:snapToGrid w:val="0"/>
          <w:szCs w:val="22"/>
          <w:lang w:eastAsia="en-US"/>
        </w:rPr>
        <w:t>*Ši nepageidaujama reakcija gali pasireikšti kartu su kitomis sausmės būklėmis (ypač odos reakcijomis),</w:t>
      </w:r>
      <w:r w:rsidR="001008D2" w:rsidRPr="00C21B99">
        <w:rPr>
          <w:snapToGrid w:val="0"/>
          <w:szCs w:val="22"/>
          <w:lang w:eastAsia="en-US"/>
        </w:rPr>
        <w:t xml:space="preserve"> </w:t>
      </w:r>
      <w:r w:rsidRPr="00C21B99">
        <w:rPr>
          <w:snapToGrid w:val="0"/>
          <w:szCs w:val="22"/>
          <w:lang w:eastAsia="en-US"/>
        </w:rPr>
        <w:t xml:space="preserve">pastebėtomis vartojant </w:t>
      </w:r>
      <w:proofErr w:type="spellStart"/>
      <w:r w:rsidRPr="00C21B99">
        <w:rPr>
          <w:snapToGrid w:val="0"/>
          <w:szCs w:val="22"/>
          <w:lang w:eastAsia="en-US"/>
        </w:rPr>
        <w:t>gefitinib</w:t>
      </w:r>
      <w:r w:rsidR="001008D2" w:rsidRPr="00C21B99">
        <w:rPr>
          <w:snapToGrid w:val="0"/>
          <w:szCs w:val="22"/>
          <w:lang w:eastAsia="en-US"/>
        </w:rPr>
        <w:t>o</w:t>
      </w:r>
      <w:proofErr w:type="spellEnd"/>
      <w:r w:rsidRPr="00C21B99">
        <w:rPr>
          <w:snapToGrid w:val="0"/>
          <w:szCs w:val="22"/>
          <w:lang w:eastAsia="en-US"/>
        </w:rPr>
        <w:t>.</w:t>
      </w:r>
    </w:p>
    <w:p w14:paraId="75BFCC92" w14:textId="77777777" w:rsidR="00597522" w:rsidRPr="00C21B99" w:rsidRDefault="00597522" w:rsidP="00597522">
      <w:pPr>
        <w:widowControl w:val="0"/>
        <w:tabs>
          <w:tab w:val="left" w:pos="567"/>
        </w:tabs>
        <w:rPr>
          <w:snapToGrid w:val="0"/>
          <w:szCs w:val="22"/>
          <w:lang w:eastAsia="en-US"/>
        </w:rPr>
      </w:pPr>
      <w:r w:rsidRPr="00C21B99">
        <w:rPr>
          <w:snapToGrid w:val="0"/>
          <w:szCs w:val="22"/>
          <w:lang w:eastAsia="en-US"/>
        </w:rPr>
        <w:t>**Įskaitant pavienius pranešimus apie kepenų nepakankamumą, kuri</w:t>
      </w:r>
      <w:r w:rsidR="00576888" w:rsidRPr="00C21B99">
        <w:rPr>
          <w:snapToGrid w:val="0"/>
          <w:szCs w:val="22"/>
          <w:lang w:eastAsia="en-US"/>
        </w:rPr>
        <w:t>o keli atvejai</w:t>
      </w:r>
      <w:r w:rsidRPr="00C21B99">
        <w:rPr>
          <w:snapToGrid w:val="0"/>
          <w:szCs w:val="22"/>
          <w:lang w:eastAsia="en-US"/>
        </w:rPr>
        <w:t xml:space="preserve"> </w:t>
      </w:r>
      <w:r w:rsidR="005D1094" w:rsidRPr="00C21B99">
        <w:rPr>
          <w:snapToGrid w:val="0"/>
          <w:szCs w:val="22"/>
          <w:lang w:eastAsia="en-US"/>
        </w:rPr>
        <w:t>pasibaigė mirtimi</w:t>
      </w:r>
      <w:r w:rsidR="00576888" w:rsidRPr="00C21B99">
        <w:rPr>
          <w:snapToGrid w:val="0"/>
          <w:szCs w:val="22"/>
          <w:lang w:eastAsia="en-US"/>
        </w:rPr>
        <w:t>.</w:t>
      </w:r>
      <w:r w:rsidRPr="00C21B99">
        <w:rPr>
          <w:snapToGrid w:val="0"/>
          <w:szCs w:val="22"/>
          <w:lang w:eastAsia="en-US"/>
        </w:rPr>
        <w:t xml:space="preserve"> </w:t>
      </w:r>
    </w:p>
    <w:p w14:paraId="5A17F5F9" w14:textId="77777777" w:rsidR="005D1094" w:rsidRPr="00C21B99" w:rsidRDefault="005D1094" w:rsidP="00597522">
      <w:pPr>
        <w:widowControl w:val="0"/>
        <w:tabs>
          <w:tab w:val="left" w:pos="567"/>
        </w:tabs>
        <w:rPr>
          <w:snapToGrid w:val="0"/>
          <w:szCs w:val="22"/>
          <w:lang w:eastAsia="en-US"/>
        </w:rPr>
      </w:pPr>
    </w:p>
    <w:p w14:paraId="644431E3" w14:textId="77777777" w:rsidR="00534E24" w:rsidRPr="00C21B99" w:rsidRDefault="00597522" w:rsidP="00597522">
      <w:pPr>
        <w:widowControl w:val="0"/>
        <w:tabs>
          <w:tab w:val="left" w:pos="567"/>
        </w:tabs>
        <w:rPr>
          <w:i/>
          <w:snapToGrid w:val="0"/>
          <w:szCs w:val="22"/>
          <w:lang w:eastAsia="en-US"/>
        </w:rPr>
      </w:pPr>
      <w:proofErr w:type="spellStart"/>
      <w:r w:rsidRPr="00C21B99">
        <w:rPr>
          <w:i/>
          <w:snapToGrid w:val="0"/>
          <w:szCs w:val="22"/>
          <w:lang w:eastAsia="en-US"/>
        </w:rPr>
        <w:t>Intersticinė</w:t>
      </w:r>
      <w:proofErr w:type="spellEnd"/>
      <w:r w:rsidRPr="00C21B99">
        <w:rPr>
          <w:i/>
          <w:snapToGrid w:val="0"/>
          <w:szCs w:val="22"/>
          <w:lang w:eastAsia="en-US"/>
        </w:rPr>
        <w:t xml:space="preserve"> plaučių liga</w:t>
      </w:r>
    </w:p>
    <w:p w14:paraId="273AC8E7" w14:textId="77777777" w:rsidR="005D1094" w:rsidRPr="00C21B99" w:rsidRDefault="005D1094" w:rsidP="00597522">
      <w:pPr>
        <w:widowControl w:val="0"/>
        <w:tabs>
          <w:tab w:val="left" w:pos="567"/>
        </w:tabs>
        <w:rPr>
          <w:snapToGrid w:val="0"/>
          <w:szCs w:val="22"/>
          <w:lang w:eastAsia="en-US"/>
        </w:rPr>
      </w:pPr>
    </w:p>
    <w:p w14:paraId="153A0DED" w14:textId="77777777" w:rsidR="00576888" w:rsidRPr="00C21B99" w:rsidRDefault="00576888" w:rsidP="00576888">
      <w:pPr>
        <w:widowControl w:val="0"/>
        <w:tabs>
          <w:tab w:val="left" w:pos="567"/>
        </w:tabs>
        <w:rPr>
          <w:snapToGrid w:val="0"/>
          <w:szCs w:val="22"/>
          <w:lang w:eastAsia="en-US"/>
        </w:rPr>
      </w:pPr>
      <w:r w:rsidRPr="00C21B99">
        <w:rPr>
          <w:snapToGrid w:val="0"/>
          <w:szCs w:val="22"/>
          <w:lang w:eastAsia="en-US"/>
        </w:rPr>
        <w:t xml:space="preserve">INTEREST klinikinio tyrimo metu </w:t>
      </w:r>
      <w:proofErr w:type="spellStart"/>
      <w:r w:rsidRPr="00C21B99">
        <w:rPr>
          <w:snapToGrid w:val="0"/>
          <w:szCs w:val="22"/>
          <w:lang w:eastAsia="en-US"/>
        </w:rPr>
        <w:t>intersticinės</w:t>
      </w:r>
      <w:proofErr w:type="spellEnd"/>
      <w:r w:rsidRPr="00C21B99">
        <w:rPr>
          <w:snapToGrid w:val="0"/>
          <w:szCs w:val="22"/>
          <w:lang w:eastAsia="en-US"/>
        </w:rPr>
        <w:t xml:space="preserve"> plaučių ligos tipo reiškinių patyrė 1,4% (10) </w:t>
      </w:r>
      <w:proofErr w:type="spellStart"/>
      <w:r w:rsidRPr="00C21B99">
        <w:rPr>
          <w:snapToGrid w:val="0"/>
          <w:szCs w:val="22"/>
          <w:lang w:eastAsia="en-US"/>
        </w:rPr>
        <w:t>gefitinibo</w:t>
      </w:r>
      <w:proofErr w:type="spellEnd"/>
      <w:r w:rsidRPr="00C21B99">
        <w:rPr>
          <w:snapToGrid w:val="0"/>
          <w:szCs w:val="22"/>
          <w:lang w:eastAsia="en-US"/>
        </w:rPr>
        <w:t xml:space="preserve"> </w:t>
      </w:r>
      <w:r w:rsidRPr="00C21B99">
        <w:rPr>
          <w:snapToGrid w:val="0"/>
          <w:szCs w:val="22"/>
          <w:lang w:eastAsia="en-US"/>
        </w:rPr>
        <w:lastRenderedPageBreak/>
        <w:t xml:space="preserve">grupės ir 1,1% (8) </w:t>
      </w:r>
      <w:proofErr w:type="spellStart"/>
      <w:r w:rsidRPr="00C21B99">
        <w:rPr>
          <w:snapToGrid w:val="0"/>
          <w:szCs w:val="22"/>
          <w:lang w:eastAsia="en-US"/>
        </w:rPr>
        <w:t>docetakselio</w:t>
      </w:r>
      <w:proofErr w:type="spellEnd"/>
      <w:r w:rsidRPr="00C21B99">
        <w:rPr>
          <w:snapToGrid w:val="0"/>
          <w:szCs w:val="22"/>
          <w:lang w:eastAsia="en-US"/>
        </w:rPr>
        <w:t xml:space="preserve"> grupės pacientų. Vienu atveju </w:t>
      </w:r>
      <w:proofErr w:type="spellStart"/>
      <w:r w:rsidRPr="00C21B99">
        <w:rPr>
          <w:snapToGrid w:val="0"/>
          <w:szCs w:val="22"/>
          <w:lang w:eastAsia="en-US"/>
        </w:rPr>
        <w:t>intersticinės</w:t>
      </w:r>
      <w:proofErr w:type="spellEnd"/>
      <w:r w:rsidRPr="00C21B99">
        <w:rPr>
          <w:snapToGrid w:val="0"/>
          <w:szCs w:val="22"/>
          <w:lang w:eastAsia="en-US"/>
        </w:rPr>
        <w:t xml:space="preserve"> plaučių ligos tipo reiškinys baigėsi mirtimi (mirė </w:t>
      </w:r>
      <w:proofErr w:type="spellStart"/>
      <w:r w:rsidRPr="00C21B99">
        <w:rPr>
          <w:snapToGrid w:val="0"/>
          <w:szCs w:val="22"/>
          <w:lang w:eastAsia="en-US"/>
        </w:rPr>
        <w:t>gefitinibą</w:t>
      </w:r>
      <w:proofErr w:type="spellEnd"/>
      <w:r w:rsidRPr="00C21B99">
        <w:rPr>
          <w:snapToGrid w:val="0"/>
          <w:szCs w:val="22"/>
          <w:lang w:eastAsia="en-US"/>
        </w:rPr>
        <w:t xml:space="preserve"> vartojęs pacientas).</w:t>
      </w:r>
    </w:p>
    <w:p w14:paraId="6F3505ED" w14:textId="4C32F67E" w:rsidR="00576888" w:rsidRPr="00C21B99" w:rsidRDefault="00576888" w:rsidP="00576888">
      <w:pPr>
        <w:widowControl w:val="0"/>
        <w:tabs>
          <w:tab w:val="left" w:pos="567"/>
        </w:tabs>
        <w:rPr>
          <w:snapToGrid w:val="0"/>
          <w:szCs w:val="22"/>
          <w:lang w:eastAsia="en-US"/>
        </w:rPr>
      </w:pPr>
      <w:r w:rsidRPr="00C21B99">
        <w:rPr>
          <w:snapToGrid w:val="0"/>
          <w:szCs w:val="22"/>
          <w:lang w:eastAsia="en-US"/>
        </w:rPr>
        <w:t xml:space="preserve">ISEL tyrimo metu </w:t>
      </w:r>
      <w:proofErr w:type="spellStart"/>
      <w:r w:rsidRPr="00C21B99">
        <w:rPr>
          <w:snapToGrid w:val="0"/>
          <w:szCs w:val="22"/>
          <w:lang w:eastAsia="en-US"/>
        </w:rPr>
        <w:t>intersticinės</w:t>
      </w:r>
      <w:proofErr w:type="spellEnd"/>
      <w:r w:rsidRPr="00C21B99">
        <w:rPr>
          <w:snapToGrid w:val="0"/>
          <w:szCs w:val="22"/>
          <w:lang w:eastAsia="en-US"/>
        </w:rPr>
        <w:t xml:space="preserve"> plaučių ligos tipo reiškinių dažnis bendroje populiacijoje buvo maždaug po 1% abejose gydymo grupėse. Dauguma pranešimų apie </w:t>
      </w:r>
      <w:proofErr w:type="spellStart"/>
      <w:r w:rsidRPr="00C21B99">
        <w:rPr>
          <w:snapToGrid w:val="0"/>
          <w:szCs w:val="22"/>
          <w:lang w:eastAsia="en-US"/>
        </w:rPr>
        <w:t>intersticinės</w:t>
      </w:r>
      <w:proofErr w:type="spellEnd"/>
      <w:r w:rsidRPr="00C21B99">
        <w:rPr>
          <w:snapToGrid w:val="0"/>
          <w:szCs w:val="22"/>
          <w:lang w:eastAsia="en-US"/>
        </w:rPr>
        <w:t xml:space="preserve"> plaučių ligos tipo reiškinius buvo gauta iš azij</w:t>
      </w:r>
      <w:r w:rsidR="002F4260">
        <w:rPr>
          <w:snapToGrid w:val="0"/>
          <w:szCs w:val="22"/>
          <w:lang w:eastAsia="en-US"/>
        </w:rPr>
        <w:t>i</w:t>
      </w:r>
      <w:r w:rsidRPr="00C21B99">
        <w:rPr>
          <w:snapToGrid w:val="0"/>
          <w:szCs w:val="22"/>
          <w:lang w:eastAsia="en-US"/>
        </w:rPr>
        <w:t xml:space="preserve">ečių rasės pacientų, jų dažnis minėtos rasės pacientams vartojant </w:t>
      </w:r>
      <w:proofErr w:type="spellStart"/>
      <w:r w:rsidRPr="00C21B99">
        <w:rPr>
          <w:snapToGrid w:val="0"/>
          <w:szCs w:val="22"/>
          <w:lang w:eastAsia="en-US"/>
        </w:rPr>
        <w:t>gefitinibo</w:t>
      </w:r>
      <w:proofErr w:type="spellEnd"/>
      <w:r w:rsidRPr="00C21B99">
        <w:rPr>
          <w:snapToGrid w:val="0"/>
          <w:szCs w:val="22"/>
          <w:lang w:eastAsia="en-US"/>
        </w:rPr>
        <w:t xml:space="preserve"> buvo 3%, vartojant placebo – 4%. Vienu atveju </w:t>
      </w:r>
      <w:proofErr w:type="spellStart"/>
      <w:r w:rsidRPr="00C21B99">
        <w:rPr>
          <w:snapToGrid w:val="0"/>
          <w:szCs w:val="22"/>
          <w:lang w:eastAsia="en-US"/>
        </w:rPr>
        <w:t>intersticinės</w:t>
      </w:r>
      <w:proofErr w:type="spellEnd"/>
      <w:r w:rsidRPr="00C21B99">
        <w:rPr>
          <w:snapToGrid w:val="0"/>
          <w:szCs w:val="22"/>
          <w:lang w:eastAsia="en-US"/>
        </w:rPr>
        <w:t xml:space="preserve"> plaučių ligos tipo reiškinys baigėsi mirtimi (mirė placebą vartojęs pacientas).</w:t>
      </w:r>
    </w:p>
    <w:p w14:paraId="60314437" w14:textId="77777777" w:rsidR="00576888" w:rsidRPr="00C21B99" w:rsidRDefault="00576888" w:rsidP="00576888">
      <w:pPr>
        <w:widowControl w:val="0"/>
        <w:tabs>
          <w:tab w:val="left" w:pos="567"/>
        </w:tabs>
        <w:rPr>
          <w:snapToGrid w:val="0"/>
          <w:szCs w:val="22"/>
          <w:lang w:eastAsia="en-US"/>
        </w:rPr>
      </w:pPr>
      <w:r w:rsidRPr="00C21B99">
        <w:rPr>
          <w:snapToGrid w:val="0"/>
          <w:szCs w:val="22"/>
          <w:lang w:eastAsia="en-US"/>
        </w:rPr>
        <w:t xml:space="preserve">Japonijoje atlikto </w:t>
      </w:r>
      <w:proofErr w:type="spellStart"/>
      <w:r w:rsidRPr="00C21B99">
        <w:rPr>
          <w:snapToGrid w:val="0"/>
          <w:szCs w:val="22"/>
          <w:lang w:eastAsia="en-US"/>
        </w:rPr>
        <w:t>poregistracinio</w:t>
      </w:r>
      <w:proofErr w:type="spellEnd"/>
      <w:r w:rsidRPr="00C21B99">
        <w:rPr>
          <w:snapToGrid w:val="0"/>
          <w:szCs w:val="22"/>
          <w:lang w:eastAsia="en-US"/>
        </w:rPr>
        <w:t xml:space="preserve"> stebėjimo tyrimo, kuriame dalyvavo 3350 pacientai, metu gauta pranešimų apie 5,8% </w:t>
      </w:r>
      <w:proofErr w:type="spellStart"/>
      <w:r w:rsidRPr="00C21B99">
        <w:rPr>
          <w:snapToGrid w:val="0"/>
          <w:szCs w:val="22"/>
          <w:lang w:eastAsia="en-US"/>
        </w:rPr>
        <w:t>gefitinibo</w:t>
      </w:r>
      <w:proofErr w:type="spellEnd"/>
      <w:r w:rsidRPr="00C21B99">
        <w:rPr>
          <w:snapToGrid w:val="0"/>
          <w:szCs w:val="22"/>
          <w:lang w:eastAsia="en-US"/>
        </w:rPr>
        <w:t xml:space="preserve"> vartojusių pacientų pasireiškusius </w:t>
      </w:r>
      <w:proofErr w:type="spellStart"/>
      <w:r w:rsidRPr="00C21B99">
        <w:rPr>
          <w:snapToGrid w:val="0"/>
          <w:szCs w:val="22"/>
          <w:lang w:eastAsia="en-US"/>
        </w:rPr>
        <w:t>intersticinės</w:t>
      </w:r>
      <w:proofErr w:type="spellEnd"/>
      <w:r w:rsidRPr="00C21B99">
        <w:rPr>
          <w:snapToGrid w:val="0"/>
          <w:szCs w:val="22"/>
          <w:lang w:eastAsia="en-US"/>
        </w:rPr>
        <w:t xml:space="preserve"> plaučių ligos tipo reiškinius. 38,6% </w:t>
      </w:r>
      <w:proofErr w:type="spellStart"/>
      <w:r w:rsidRPr="00C21B99">
        <w:rPr>
          <w:snapToGrid w:val="0"/>
          <w:szCs w:val="22"/>
          <w:lang w:eastAsia="en-US"/>
        </w:rPr>
        <w:t>intersticinės</w:t>
      </w:r>
      <w:proofErr w:type="spellEnd"/>
      <w:r w:rsidRPr="00C21B99">
        <w:rPr>
          <w:snapToGrid w:val="0"/>
          <w:szCs w:val="22"/>
          <w:lang w:eastAsia="en-US"/>
        </w:rPr>
        <w:t xml:space="preserve"> plaučių ligos tipo reiškinių baigėsi mirtimi.</w:t>
      </w:r>
    </w:p>
    <w:p w14:paraId="5D12DA34" w14:textId="77777777" w:rsidR="00576888" w:rsidRPr="00C21B99" w:rsidRDefault="00576888" w:rsidP="00576888">
      <w:pPr>
        <w:widowControl w:val="0"/>
        <w:tabs>
          <w:tab w:val="left" w:pos="567"/>
        </w:tabs>
        <w:rPr>
          <w:snapToGrid w:val="0"/>
          <w:szCs w:val="22"/>
          <w:lang w:eastAsia="en-US"/>
        </w:rPr>
      </w:pPr>
      <w:r w:rsidRPr="00C21B99">
        <w:rPr>
          <w:snapToGrid w:val="0"/>
          <w:szCs w:val="22"/>
          <w:lang w:eastAsia="en-US"/>
        </w:rPr>
        <w:t>Azijoje atlikto III fazės atviro klinikinio tyrimo (IPASS) metu lyginant IRESSA ir chemoterapijos dviem vaistiniais preparatais (</w:t>
      </w:r>
      <w:proofErr w:type="spellStart"/>
      <w:r w:rsidRPr="00C21B99">
        <w:rPr>
          <w:snapToGrid w:val="0"/>
          <w:szCs w:val="22"/>
          <w:lang w:eastAsia="en-US"/>
        </w:rPr>
        <w:t>karboplatinos</w:t>
      </w:r>
      <w:proofErr w:type="spellEnd"/>
      <w:r w:rsidRPr="00C21B99">
        <w:rPr>
          <w:snapToGrid w:val="0"/>
          <w:szCs w:val="22"/>
          <w:lang w:eastAsia="en-US"/>
        </w:rPr>
        <w:t xml:space="preserve"> ir </w:t>
      </w:r>
      <w:proofErr w:type="spellStart"/>
      <w:r w:rsidRPr="00C21B99">
        <w:rPr>
          <w:snapToGrid w:val="0"/>
          <w:szCs w:val="22"/>
          <w:lang w:eastAsia="en-US"/>
        </w:rPr>
        <w:t>paklitakselio</w:t>
      </w:r>
      <w:proofErr w:type="spellEnd"/>
      <w:r w:rsidRPr="00C21B99">
        <w:rPr>
          <w:snapToGrid w:val="0"/>
          <w:szCs w:val="22"/>
          <w:lang w:eastAsia="en-US"/>
        </w:rPr>
        <w:t xml:space="preserve"> deriniu) poveikį atrinktų 1217 pacientų, sergančių progresavusiu nesmulkiųjų ląstelių plaučių vėžiu, pirmo pasirinkimo gydymui, </w:t>
      </w:r>
      <w:proofErr w:type="spellStart"/>
      <w:r w:rsidRPr="00C21B99">
        <w:rPr>
          <w:snapToGrid w:val="0"/>
          <w:szCs w:val="22"/>
          <w:lang w:eastAsia="en-US"/>
        </w:rPr>
        <w:t>intersticinės</w:t>
      </w:r>
      <w:proofErr w:type="spellEnd"/>
      <w:r w:rsidRPr="00C21B99">
        <w:rPr>
          <w:snapToGrid w:val="0"/>
          <w:szCs w:val="22"/>
          <w:lang w:eastAsia="en-US"/>
        </w:rPr>
        <w:t xml:space="preserve"> plaučių ligos tipo reiškinių dažnis IRESSA grupėje buvo 2,6%, o </w:t>
      </w:r>
      <w:proofErr w:type="spellStart"/>
      <w:r w:rsidRPr="00C21B99">
        <w:rPr>
          <w:snapToGrid w:val="0"/>
          <w:szCs w:val="22"/>
          <w:lang w:eastAsia="en-US"/>
        </w:rPr>
        <w:t>karboplatinos</w:t>
      </w:r>
      <w:proofErr w:type="spellEnd"/>
      <w:r w:rsidRPr="00C21B99">
        <w:rPr>
          <w:snapToGrid w:val="0"/>
          <w:szCs w:val="22"/>
          <w:lang w:eastAsia="en-US"/>
        </w:rPr>
        <w:t xml:space="preserve"> ir </w:t>
      </w:r>
      <w:proofErr w:type="spellStart"/>
      <w:r w:rsidRPr="00C21B99">
        <w:rPr>
          <w:snapToGrid w:val="0"/>
          <w:szCs w:val="22"/>
          <w:lang w:eastAsia="en-US"/>
        </w:rPr>
        <w:t>paklitakselio</w:t>
      </w:r>
      <w:proofErr w:type="spellEnd"/>
      <w:r w:rsidRPr="00C21B99">
        <w:rPr>
          <w:snapToGrid w:val="0"/>
          <w:szCs w:val="22"/>
          <w:lang w:eastAsia="en-US"/>
        </w:rPr>
        <w:t xml:space="preserve"> derinio grupėje – 1,4%.</w:t>
      </w:r>
    </w:p>
    <w:p w14:paraId="3749F022" w14:textId="77777777" w:rsidR="00576888" w:rsidRPr="00C21B99" w:rsidRDefault="00576888" w:rsidP="00576888">
      <w:pPr>
        <w:widowControl w:val="0"/>
        <w:tabs>
          <w:tab w:val="left" w:pos="567"/>
        </w:tabs>
        <w:rPr>
          <w:snapToGrid w:val="0"/>
          <w:szCs w:val="22"/>
          <w:lang w:eastAsia="en-US"/>
        </w:rPr>
      </w:pPr>
    </w:p>
    <w:p w14:paraId="2A8E09C4" w14:textId="77777777" w:rsidR="00576888" w:rsidRPr="00C21B99" w:rsidRDefault="00576888" w:rsidP="00576888">
      <w:pPr>
        <w:widowControl w:val="0"/>
        <w:tabs>
          <w:tab w:val="left" w:pos="567"/>
        </w:tabs>
        <w:rPr>
          <w:snapToGrid w:val="0"/>
          <w:szCs w:val="22"/>
          <w:lang w:eastAsia="en-US"/>
        </w:rPr>
      </w:pPr>
      <w:r w:rsidRPr="00C21B99">
        <w:rPr>
          <w:snapToGrid w:val="0"/>
          <w:szCs w:val="22"/>
          <w:lang w:eastAsia="en-US"/>
        </w:rPr>
        <w:t>Pranešimas apie įtariamas nepageidaujamas reakcijas</w:t>
      </w:r>
    </w:p>
    <w:p w14:paraId="26196DA2" w14:textId="77777777" w:rsidR="00576888" w:rsidRPr="00C21B99" w:rsidRDefault="00576888" w:rsidP="00576888">
      <w:pPr>
        <w:widowControl w:val="0"/>
        <w:tabs>
          <w:tab w:val="left" w:pos="567"/>
        </w:tabs>
        <w:rPr>
          <w:snapToGrid w:val="0"/>
          <w:szCs w:val="22"/>
          <w:lang w:eastAsia="en-US"/>
        </w:rPr>
      </w:pPr>
      <w:r w:rsidRPr="00C21B99">
        <w:rPr>
          <w:snapToGrid w:val="0"/>
          <w:szCs w:val="22"/>
          <w:lang w:eastAsia="en-US"/>
        </w:rPr>
        <w:t>Svarbu pranešti apie įtariamas nepageidaujamas reakcijas po vaistinio preparato registracijos, nes tai</w:t>
      </w:r>
    </w:p>
    <w:p w14:paraId="388FB9FE" w14:textId="77777777" w:rsidR="00576888" w:rsidRPr="00C21B99" w:rsidRDefault="00576888" w:rsidP="00576888">
      <w:pPr>
        <w:widowControl w:val="0"/>
        <w:tabs>
          <w:tab w:val="left" w:pos="567"/>
        </w:tabs>
        <w:rPr>
          <w:snapToGrid w:val="0"/>
          <w:szCs w:val="22"/>
          <w:lang w:eastAsia="en-US"/>
        </w:rPr>
      </w:pPr>
      <w:r w:rsidRPr="00C21B99">
        <w:rPr>
          <w:snapToGrid w:val="0"/>
          <w:szCs w:val="22"/>
          <w:lang w:eastAsia="en-US"/>
        </w:rPr>
        <w:t>leidžia nuolat stebėti vaistinio preparato naudos ir rizikos santykį. Sveikatos priežiūros specialistai turi</w:t>
      </w:r>
    </w:p>
    <w:p w14:paraId="7CDF0C74" w14:textId="77777777" w:rsidR="00576888" w:rsidRPr="00C21B99" w:rsidRDefault="00576888" w:rsidP="00576888">
      <w:pPr>
        <w:widowControl w:val="0"/>
        <w:tabs>
          <w:tab w:val="left" w:pos="567"/>
        </w:tabs>
        <w:rPr>
          <w:snapToGrid w:val="0"/>
          <w:szCs w:val="22"/>
          <w:lang w:eastAsia="en-US"/>
        </w:rPr>
      </w:pPr>
      <w:r w:rsidRPr="00C21B99">
        <w:rPr>
          <w:snapToGrid w:val="0"/>
          <w:szCs w:val="22"/>
          <w:lang w:eastAsia="en-US"/>
        </w:rPr>
        <w:t>pranešti apie bet kokias įtariamas nepageidaujamas reakcijas naudodamiesi V priede nurodyta</w:t>
      </w:r>
    </w:p>
    <w:p w14:paraId="13EDAD6A" w14:textId="77777777" w:rsidR="00576888" w:rsidRPr="00C21B99" w:rsidRDefault="00576888" w:rsidP="00576888">
      <w:pPr>
        <w:widowControl w:val="0"/>
        <w:tabs>
          <w:tab w:val="left" w:pos="567"/>
        </w:tabs>
        <w:rPr>
          <w:snapToGrid w:val="0"/>
          <w:szCs w:val="22"/>
          <w:lang w:eastAsia="en-US"/>
        </w:rPr>
      </w:pPr>
      <w:r w:rsidRPr="00C21B99">
        <w:rPr>
          <w:snapToGrid w:val="0"/>
          <w:szCs w:val="22"/>
          <w:lang w:eastAsia="en-US"/>
        </w:rPr>
        <w:t>nacionaline pranešimo sistema.</w:t>
      </w:r>
    </w:p>
    <w:p w14:paraId="202264F2" w14:textId="77777777" w:rsidR="00576888" w:rsidRPr="00C21B99" w:rsidRDefault="00576888" w:rsidP="00576888">
      <w:pPr>
        <w:widowControl w:val="0"/>
        <w:tabs>
          <w:tab w:val="left" w:pos="567"/>
        </w:tabs>
        <w:rPr>
          <w:snapToGrid w:val="0"/>
          <w:szCs w:val="22"/>
          <w:lang w:eastAsia="en-US"/>
        </w:rPr>
      </w:pPr>
    </w:p>
    <w:p w14:paraId="62875C8C" w14:textId="77777777" w:rsidR="00576888" w:rsidRPr="00C21B99" w:rsidRDefault="00576888" w:rsidP="00576888">
      <w:pPr>
        <w:widowControl w:val="0"/>
        <w:tabs>
          <w:tab w:val="left" w:pos="567"/>
        </w:tabs>
        <w:autoSpaceDE w:val="0"/>
        <w:autoSpaceDN w:val="0"/>
        <w:adjustRightInd w:val="0"/>
        <w:jc w:val="both"/>
        <w:rPr>
          <w:snapToGrid w:val="0"/>
          <w:szCs w:val="22"/>
          <w:u w:val="single"/>
          <w:lang w:eastAsia="en-US"/>
        </w:rPr>
      </w:pPr>
      <w:r w:rsidRPr="00C21B99">
        <w:rPr>
          <w:snapToGrid w:val="0"/>
          <w:szCs w:val="22"/>
          <w:u w:val="single"/>
          <w:lang w:eastAsia="en-US"/>
        </w:rPr>
        <w:t>Pranešimas apie įtariamas nepageidaujamas reakcijas</w:t>
      </w:r>
    </w:p>
    <w:p w14:paraId="273BCD14" w14:textId="77777777" w:rsidR="001D2A50" w:rsidRPr="005073B1" w:rsidRDefault="00576888" w:rsidP="001D2A50">
      <w:pPr>
        <w:autoSpaceDE w:val="0"/>
        <w:autoSpaceDN w:val="0"/>
        <w:adjustRightInd w:val="0"/>
        <w:jc w:val="both"/>
      </w:pPr>
      <w:r w:rsidRPr="00C21B99">
        <w:rPr>
          <w:snapToGrid w:val="0"/>
          <w:szCs w:val="22"/>
          <w:lang w:eastAsia="en-US"/>
        </w:rPr>
        <w:t>Svarbu pranešti apie įtariamas nepageidaujamas reakcijas, pastebėtas po vaistinio preparato registracijos, nes tai leidžia nuolat stebėti vaistinio preparato naudos ir rizikos santykį. Sveikatos priežiūros</w:t>
      </w:r>
      <w:r w:rsidR="001D2A50">
        <w:rPr>
          <w:snapToGrid w:val="0"/>
          <w:szCs w:val="22"/>
          <w:lang w:eastAsia="en-US"/>
        </w:rPr>
        <w:t xml:space="preserve"> ar </w:t>
      </w:r>
      <w:r w:rsidR="001D2A50" w:rsidRPr="005073B1">
        <w:t>farmacijos</w:t>
      </w:r>
      <w:r w:rsidRPr="00C21B99">
        <w:rPr>
          <w:snapToGrid w:val="0"/>
          <w:szCs w:val="22"/>
          <w:lang w:eastAsia="en-US"/>
        </w:rPr>
        <w:t xml:space="preserve"> specialistai turi pranešti apie bet kokias įtariamas nepageidaujamas reakcijas, </w:t>
      </w:r>
      <w:r w:rsidR="001D2A50" w:rsidRPr="005073B1">
        <w:t>tiesiogiai</w:t>
      </w:r>
      <w:r w:rsidR="001D2A50" w:rsidRPr="00C21B99">
        <w:rPr>
          <w:snapToGrid w:val="0"/>
          <w:szCs w:val="22"/>
          <w:lang w:eastAsia="en-US"/>
        </w:rPr>
        <w:t xml:space="preserve"> </w:t>
      </w:r>
      <w:r w:rsidRPr="00C21B99">
        <w:rPr>
          <w:snapToGrid w:val="0"/>
          <w:szCs w:val="22"/>
          <w:lang w:eastAsia="en-US"/>
        </w:rPr>
        <w:t xml:space="preserve">užpildę </w:t>
      </w:r>
      <w:r w:rsidR="001D2A50" w:rsidRPr="005073B1">
        <w:t xml:space="preserve">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1D2A50" w:rsidRPr="005073B1">
        <w:t>NepageidaujamaR@vvkt.lt</w:t>
      </w:r>
      <w:proofErr w:type="spellEnd"/>
      <w:r w:rsidR="001D2A50" w:rsidRPr="005073B1">
        <w:t>).</w:t>
      </w:r>
    </w:p>
    <w:p w14:paraId="3C373303" w14:textId="77777777" w:rsidR="001D2A50" w:rsidRPr="00CE7679" w:rsidRDefault="001D2A50" w:rsidP="001D2A50">
      <w:pPr>
        <w:rPr>
          <w:rFonts w:eastAsia="SimSun"/>
          <w:szCs w:val="22"/>
          <w:lang w:eastAsia="zh-CN"/>
        </w:rPr>
      </w:pPr>
    </w:p>
    <w:p w14:paraId="6D504B59" w14:textId="77777777" w:rsidR="00576888" w:rsidRPr="00C21B99" w:rsidRDefault="00576888" w:rsidP="00576888">
      <w:pPr>
        <w:widowControl w:val="0"/>
        <w:tabs>
          <w:tab w:val="left" w:pos="567"/>
        </w:tabs>
        <w:rPr>
          <w:snapToGrid w:val="0"/>
          <w:szCs w:val="22"/>
          <w:lang w:eastAsia="en-US"/>
        </w:rPr>
      </w:pPr>
    </w:p>
    <w:p w14:paraId="3C679323" w14:textId="77777777" w:rsidR="00576888" w:rsidRPr="00C21B99" w:rsidRDefault="00576888" w:rsidP="00576888">
      <w:pPr>
        <w:widowControl w:val="0"/>
        <w:tabs>
          <w:tab w:val="left" w:pos="567"/>
        </w:tabs>
        <w:rPr>
          <w:b/>
          <w:snapToGrid w:val="0"/>
          <w:szCs w:val="22"/>
          <w:lang w:eastAsia="en-US"/>
        </w:rPr>
      </w:pPr>
      <w:r w:rsidRPr="00C21B99">
        <w:rPr>
          <w:b/>
          <w:snapToGrid w:val="0"/>
          <w:szCs w:val="22"/>
          <w:lang w:eastAsia="en-US"/>
        </w:rPr>
        <w:t>4.9</w:t>
      </w:r>
      <w:r w:rsidRPr="00C21B99">
        <w:rPr>
          <w:b/>
          <w:snapToGrid w:val="0"/>
          <w:szCs w:val="22"/>
          <w:lang w:eastAsia="en-US"/>
        </w:rPr>
        <w:tab/>
        <w:t>Perdozavimas</w:t>
      </w:r>
    </w:p>
    <w:p w14:paraId="6C847EA7" w14:textId="77777777" w:rsidR="00576888" w:rsidRPr="00C21B99" w:rsidRDefault="00576888" w:rsidP="00576888">
      <w:pPr>
        <w:widowControl w:val="0"/>
        <w:tabs>
          <w:tab w:val="left" w:pos="567"/>
        </w:tabs>
        <w:rPr>
          <w:snapToGrid w:val="0"/>
          <w:szCs w:val="22"/>
          <w:lang w:eastAsia="en-US"/>
        </w:rPr>
      </w:pPr>
      <w:r w:rsidRPr="00C21B99">
        <w:rPr>
          <w:snapToGrid w:val="0"/>
          <w:szCs w:val="22"/>
          <w:lang w:eastAsia="en-US"/>
        </w:rPr>
        <w:t xml:space="preserve">Specifinio gydymo </w:t>
      </w:r>
      <w:proofErr w:type="spellStart"/>
      <w:r w:rsidRPr="00C21B99">
        <w:rPr>
          <w:snapToGrid w:val="0"/>
          <w:szCs w:val="22"/>
          <w:lang w:eastAsia="en-US"/>
        </w:rPr>
        <w:t>gefitinibo</w:t>
      </w:r>
      <w:proofErr w:type="spellEnd"/>
      <w:r w:rsidRPr="00C21B99">
        <w:rPr>
          <w:snapToGrid w:val="0"/>
          <w:szCs w:val="22"/>
          <w:lang w:eastAsia="en-US"/>
        </w:rPr>
        <w:t xml:space="preserve"> perdozavimo atveju nėra. Vis dėlto, I fazės klinikinių tyrimų metu nedaugelis pacientų buvo gydomi ne didesnėmis kaip 1000 mg </w:t>
      </w:r>
      <w:proofErr w:type="spellStart"/>
      <w:r w:rsidRPr="00C21B99">
        <w:rPr>
          <w:snapToGrid w:val="0"/>
          <w:szCs w:val="22"/>
          <w:lang w:eastAsia="en-US"/>
        </w:rPr>
        <w:t>gefitinibo</w:t>
      </w:r>
      <w:proofErr w:type="spellEnd"/>
      <w:r w:rsidRPr="00C21B99">
        <w:rPr>
          <w:snapToGrid w:val="0"/>
          <w:szCs w:val="22"/>
          <w:lang w:eastAsia="en-US"/>
        </w:rPr>
        <w:t xml:space="preserve"> </w:t>
      </w:r>
      <w:r w:rsidR="002F0F85" w:rsidRPr="00C21B99">
        <w:rPr>
          <w:snapToGrid w:val="0"/>
          <w:szCs w:val="22"/>
          <w:lang w:eastAsia="en-US"/>
        </w:rPr>
        <w:t>paros dozėmis</w:t>
      </w:r>
      <w:r w:rsidRPr="00C21B99">
        <w:rPr>
          <w:snapToGrid w:val="0"/>
          <w:szCs w:val="22"/>
          <w:lang w:eastAsia="en-US"/>
        </w:rPr>
        <w:t>. Kai kurios nepageidaujamos reakcijos (ypač</w:t>
      </w:r>
      <w:r w:rsidR="002F0F85" w:rsidRPr="00C21B99">
        <w:rPr>
          <w:snapToGrid w:val="0"/>
          <w:szCs w:val="22"/>
          <w:lang w:eastAsia="en-US"/>
        </w:rPr>
        <w:t xml:space="preserve"> </w:t>
      </w:r>
      <w:r w:rsidRPr="00C21B99">
        <w:rPr>
          <w:snapToGrid w:val="0"/>
          <w:szCs w:val="22"/>
          <w:lang w:eastAsia="en-US"/>
        </w:rPr>
        <w:t>viduriavimas ir odos išbėrimas) jiems buvo dažnesnės ir sunkesnės. Su perdozavimu susijusi</w:t>
      </w:r>
      <w:r w:rsidR="002F0F85" w:rsidRPr="00C21B99">
        <w:rPr>
          <w:snapToGrid w:val="0"/>
          <w:szCs w:val="22"/>
          <w:lang w:eastAsia="en-US"/>
        </w:rPr>
        <w:t xml:space="preserve">os nepageidaujamos reakcijos  turi būti gydomos </w:t>
      </w:r>
      <w:r w:rsidRPr="00C21B99">
        <w:rPr>
          <w:snapToGrid w:val="0"/>
          <w:szCs w:val="22"/>
          <w:lang w:eastAsia="en-US"/>
        </w:rPr>
        <w:t>simptomiškai (ypač svarbu tinkamai, atsižvelgiant į</w:t>
      </w:r>
      <w:r w:rsidR="002F0F85" w:rsidRPr="00C21B99">
        <w:rPr>
          <w:snapToGrid w:val="0"/>
          <w:szCs w:val="22"/>
          <w:lang w:eastAsia="en-US"/>
        </w:rPr>
        <w:t xml:space="preserve"> </w:t>
      </w:r>
      <w:r w:rsidRPr="00C21B99">
        <w:rPr>
          <w:snapToGrid w:val="0"/>
          <w:szCs w:val="22"/>
          <w:lang w:eastAsia="en-US"/>
        </w:rPr>
        <w:t xml:space="preserve">klinikinę būtinybę, stabdyti sunkų viduriavimą). Vieno tyrimo metu </w:t>
      </w:r>
      <w:r w:rsidR="002F0F85" w:rsidRPr="00C21B99">
        <w:rPr>
          <w:snapToGrid w:val="0"/>
          <w:szCs w:val="22"/>
          <w:lang w:eastAsia="en-US"/>
        </w:rPr>
        <w:t xml:space="preserve">nedidelė grupė pacientų buvo gydoma </w:t>
      </w:r>
      <w:r w:rsidRPr="00C21B99">
        <w:rPr>
          <w:snapToGrid w:val="0"/>
          <w:szCs w:val="22"/>
          <w:lang w:eastAsia="en-US"/>
        </w:rPr>
        <w:t xml:space="preserve">1500-3500 mg </w:t>
      </w:r>
      <w:r w:rsidR="002F0F85" w:rsidRPr="00C21B99">
        <w:rPr>
          <w:snapToGrid w:val="0"/>
          <w:szCs w:val="22"/>
          <w:lang w:eastAsia="en-US"/>
        </w:rPr>
        <w:t>savaitinėmis dozėmis</w:t>
      </w:r>
      <w:r w:rsidRPr="00C21B99">
        <w:rPr>
          <w:snapToGrid w:val="0"/>
          <w:szCs w:val="22"/>
          <w:lang w:eastAsia="en-US"/>
        </w:rPr>
        <w:t xml:space="preserve">. Šio tyrimo metu didinant dozę </w:t>
      </w:r>
      <w:proofErr w:type="spellStart"/>
      <w:r w:rsidR="002F0F85" w:rsidRPr="00C21B99">
        <w:rPr>
          <w:snapToGrid w:val="0"/>
          <w:szCs w:val="22"/>
          <w:lang w:eastAsia="en-US"/>
        </w:rPr>
        <w:t>gefitinibo</w:t>
      </w:r>
      <w:proofErr w:type="spellEnd"/>
      <w:r w:rsidRPr="00C21B99">
        <w:rPr>
          <w:snapToGrid w:val="0"/>
          <w:szCs w:val="22"/>
          <w:lang w:eastAsia="en-US"/>
        </w:rPr>
        <w:t xml:space="preserve"> ekspozicija nedidėjo, o dauguma</w:t>
      </w:r>
      <w:r w:rsidR="002F0F85" w:rsidRPr="00C21B99">
        <w:rPr>
          <w:snapToGrid w:val="0"/>
          <w:szCs w:val="22"/>
          <w:lang w:eastAsia="en-US"/>
        </w:rPr>
        <w:t xml:space="preserve"> </w:t>
      </w:r>
      <w:r w:rsidRPr="00C21B99">
        <w:rPr>
          <w:snapToGrid w:val="0"/>
          <w:szCs w:val="22"/>
          <w:lang w:eastAsia="en-US"/>
        </w:rPr>
        <w:t>nepageidaujamų reiškinių buvo lengv</w:t>
      </w:r>
      <w:r w:rsidR="002F0F85" w:rsidRPr="00C21B99">
        <w:rPr>
          <w:snapToGrid w:val="0"/>
          <w:szCs w:val="22"/>
          <w:lang w:eastAsia="en-US"/>
        </w:rPr>
        <w:t>i</w:t>
      </w:r>
      <w:r w:rsidRPr="00C21B99">
        <w:rPr>
          <w:snapToGrid w:val="0"/>
          <w:szCs w:val="22"/>
          <w:lang w:eastAsia="en-US"/>
        </w:rPr>
        <w:t xml:space="preserve"> ar</w:t>
      </w:r>
      <w:r w:rsidR="002F0F85" w:rsidRPr="00C21B99">
        <w:rPr>
          <w:snapToGrid w:val="0"/>
          <w:szCs w:val="22"/>
          <w:lang w:eastAsia="en-US"/>
        </w:rPr>
        <w:t>ba</w:t>
      </w:r>
      <w:r w:rsidRPr="00C21B99">
        <w:rPr>
          <w:snapToGrid w:val="0"/>
          <w:szCs w:val="22"/>
          <w:lang w:eastAsia="en-US"/>
        </w:rPr>
        <w:t xml:space="preserve"> vidutinio sunkumo ir atitiko žinomą </w:t>
      </w:r>
      <w:proofErr w:type="spellStart"/>
      <w:r w:rsidR="002F0F85" w:rsidRPr="00C21B99">
        <w:rPr>
          <w:snapToGrid w:val="0"/>
          <w:szCs w:val="22"/>
          <w:lang w:eastAsia="en-US"/>
        </w:rPr>
        <w:t>gefitinibo</w:t>
      </w:r>
      <w:proofErr w:type="spellEnd"/>
      <w:r w:rsidR="002F0F85" w:rsidRPr="00C21B99">
        <w:rPr>
          <w:snapToGrid w:val="0"/>
          <w:szCs w:val="22"/>
          <w:lang w:eastAsia="en-US"/>
        </w:rPr>
        <w:t xml:space="preserve"> </w:t>
      </w:r>
      <w:r w:rsidRPr="00C21B99">
        <w:rPr>
          <w:snapToGrid w:val="0"/>
          <w:szCs w:val="22"/>
          <w:lang w:eastAsia="en-US"/>
        </w:rPr>
        <w:t>saugumo</w:t>
      </w:r>
      <w:r w:rsidR="002F0F85" w:rsidRPr="00C21B99">
        <w:rPr>
          <w:snapToGrid w:val="0"/>
          <w:szCs w:val="22"/>
          <w:lang w:eastAsia="en-US"/>
        </w:rPr>
        <w:t xml:space="preserve"> apibūdinimą.</w:t>
      </w:r>
    </w:p>
    <w:p w14:paraId="31FBBDD0" w14:textId="77777777" w:rsidR="005D1094" w:rsidRPr="00C21B99" w:rsidRDefault="005D1094" w:rsidP="00597522">
      <w:pPr>
        <w:widowControl w:val="0"/>
        <w:tabs>
          <w:tab w:val="left" w:pos="567"/>
        </w:tabs>
        <w:rPr>
          <w:snapToGrid w:val="0"/>
          <w:szCs w:val="22"/>
          <w:lang w:eastAsia="en-US"/>
        </w:rPr>
      </w:pPr>
    </w:p>
    <w:p w14:paraId="21AD92D5" w14:textId="77777777" w:rsidR="00D87EAB" w:rsidRPr="00C21B99" w:rsidRDefault="00D87EAB" w:rsidP="00D87EAB">
      <w:pPr>
        <w:widowControl w:val="0"/>
        <w:tabs>
          <w:tab w:val="left" w:pos="567"/>
        </w:tabs>
        <w:rPr>
          <w:snapToGrid w:val="0"/>
          <w:szCs w:val="22"/>
          <w:lang w:eastAsia="en-US"/>
        </w:rPr>
      </w:pPr>
    </w:p>
    <w:p w14:paraId="1AE6A6AF" w14:textId="77777777" w:rsidR="00D87EAB" w:rsidRPr="00C21B99" w:rsidRDefault="00D87EAB" w:rsidP="00D87EAB">
      <w:pPr>
        <w:widowControl w:val="0"/>
        <w:tabs>
          <w:tab w:val="left" w:pos="567"/>
        </w:tabs>
        <w:outlineLvl w:val="2"/>
        <w:rPr>
          <w:b/>
          <w:bCs/>
          <w:snapToGrid w:val="0"/>
          <w:szCs w:val="22"/>
        </w:rPr>
      </w:pPr>
      <w:r w:rsidRPr="000627B9">
        <w:rPr>
          <w:b/>
          <w:bCs/>
          <w:snapToGrid w:val="0"/>
          <w:szCs w:val="22"/>
        </w:rPr>
        <w:t>5.</w:t>
      </w:r>
      <w:r w:rsidRPr="000627B9">
        <w:rPr>
          <w:b/>
          <w:bCs/>
          <w:snapToGrid w:val="0"/>
          <w:szCs w:val="22"/>
        </w:rPr>
        <w:tab/>
        <w:t>FARMAKOLOGINĖS SAVYBĖS</w:t>
      </w:r>
    </w:p>
    <w:p w14:paraId="1D954EFC" w14:textId="77777777" w:rsidR="00D87EAB" w:rsidRPr="00C21B99" w:rsidRDefault="00D87EAB" w:rsidP="00D87EAB">
      <w:pPr>
        <w:widowControl w:val="0"/>
        <w:tabs>
          <w:tab w:val="left" w:pos="567"/>
        </w:tabs>
        <w:rPr>
          <w:snapToGrid w:val="0"/>
          <w:szCs w:val="22"/>
          <w:lang w:eastAsia="en-US"/>
        </w:rPr>
      </w:pPr>
    </w:p>
    <w:p w14:paraId="0403D0FF" w14:textId="77777777" w:rsidR="00D87EAB" w:rsidRPr="00C21B99" w:rsidRDefault="00D87EAB" w:rsidP="00D87EAB">
      <w:pPr>
        <w:widowControl w:val="0"/>
        <w:tabs>
          <w:tab w:val="left" w:pos="567"/>
        </w:tabs>
        <w:jc w:val="both"/>
        <w:outlineLvl w:val="3"/>
        <w:rPr>
          <w:b/>
          <w:bCs/>
          <w:snapToGrid w:val="0"/>
          <w:szCs w:val="22"/>
        </w:rPr>
      </w:pPr>
      <w:r w:rsidRPr="00C21B99">
        <w:rPr>
          <w:b/>
          <w:bCs/>
          <w:snapToGrid w:val="0"/>
          <w:szCs w:val="22"/>
        </w:rPr>
        <w:t>5.1</w:t>
      </w:r>
      <w:r w:rsidRPr="00C21B99">
        <w:rPr>
          <w:b/>
          <w:bCs/>
          <w:snapToGrid w:val="0"/>
          <w:szCs w:val="22"/>
        </w:rPr>
        <w:tab/>
      </w:r>
      <w:proofErr w:type="spellStart"/>
      <w:r w:rsidRPr="00C21B99">
        <w:rPr>
          <w:b/>
          <w:bCs/>
          <w:snapToGrid w:val="0"/>
          <w:szCs w:val="22"/>
        </w:rPr>
        <w:t>Farmakodinaminės</w:t>
      </w:r>
      <w:proofErr w:type="spellEnd"/>
      <w:r w:rsidRPr="00C21B99">
        <w:rPr>
          <w:b/>
          <w:bCs/>
          <w:snapToGrid w:val="0"/>
          <w:szCs w:val="22"/>
        </w:rPr>
        <w:t xml:space="preserve"> savybės</w:t>
      </w:r>
    </w:p>
    <w:p w14:paraId="21758A00" w14:textId="77777777" w:rsidR="00D87EAB" w:rsidRPr="00C21B99" w:rsidRDefault="00D87EAB" w:rsidP="00D87EAB">
      <w:pPr>
        <w:widowControl w:val="0"/>
        <w:tabs>
          <w:tab w:val="left" w:pos="567"/>
        </w:tabs>
        <w:rPr>
          <w:snapToGrid w:val="0"/>
          <w:szCs w:val="22"/>
          <w:lang w:eastAsia="en-US"/>
        </w:rPr>
      </w:pPr>
    </w:p>
    <w:p w14:paraId="353BE0CA" w14:textId="25C65A80" w:rsidR="00554C64" w:rsidRPr="00C21B99" w:rsidRDefault="00554C64" w:rsidP="00554C64">
      <w:pPr>
        <w:widowControl w:val="0"/>
        <w:tabs>
          <w:tab w:val="left" w:pos="567"/>
        </w:tabs>
        <w:rPr>
          <w:snapToGrid w:val="0"/>
          <w:szCs w:val="22"/>
          <w:lang w:eastAsia="en-US"/>
        </w:rPr>
      </w:pPr>
      <w:proofErr w:type="spellStart"/>
      <w:r w:rsidRPr="00C21B99">
        <w:rPr>
          <w:snapToGrid w:val="0"/>
          <w:szCs w:val="22"/>
          <w:lang w:eastAsia="en-US"/>
        </w:rPr>
        <w:t>Farmakoterapinė</w:t>
      </w:r>
      <w:proofErr w:type="spellEnd"/>
      <w:r w:rsidRPr="00C21B99">
        <w:rPr>
          <w:snapToGrid w:val="0"/>
          <w:szCs w:val="22"/>
          <w:lang w:eastAsia="en-US"/>
        </w:rPr>
        <w:t xml:space="preserve"> grupė – vaistiniai preparatai nuo vėžio, </w:t>
      </w:r>
      <w:proofErr w:type="spellStart"/>
      <w:r w:rsidRPr="00C21B99">
        <w:rPr>
          <w:snapToGrid w:val="0"/>
          <w:szCs w:val="22"/>
          <w:lang w:eastAsia="en-US"/>
        </w:rPr>
        <w:t>proteinkinazės</w:t>
      </w:r>
      <w:proofErr w:type="spellEnd"/>
      <w:r w:rsidRPr="00C21B99">
        <w:rPr>
          <w:snapToGrid w:val="0"/>
          <w:szCs w:val="22"/>
          <w:lang w:eastAsia="en-US"/>
        </w:rPr>
        <w:t xml:space="preserve"> inhibitoriai, ATC kodas –</w:t>
      </w:r>
      <w:r w:rsidR="006D67A3">
        <w:rPr>
          <w:snapToGrid w:val="0"/>
          <w:szCs w:val="22"/>
          <w:lang w:eastAsia="en-US"/>
        </w:rPr>
        <w:t xml:space="preserve"> </w:t>
      </w:r>
      <w:r w:rsidR="006D67A3" w:rsidRPr="00A37BDB">
        <w:rPr>
          <w:szCs w:val="22"/>
        </w:rPr>
        <w:t>L01EB01</w:t>
      </w:r>
      <w:r w:rsidRPr="00C21B99">
        <w:rPr>
          <w:snapToGrid w:val="0"/>
          <w:szCs w:val="22"/>
          <w:lang w:eastAsia="en-US"/>
        </w:rPr>
        <w:t>.</w:t>
      </w:r>
    </w:p>
    <w:p w14:paraId="552B8777" w14:textId="77777777" w:rsidR="00554C64" w:rsidRPr="00C21B99" w:rsidRDefault="00554C64" w:rsidP="00554C64">
      <w:pPr>
        <w:widowControl w:val="0"/>
        <w:tabs>
          <w:tab w:val="left" w:pos="567"/>
        </w:tabs>
        <w:rPr>
          <w:snapToGrid w:val="0"/>
          <w:szCs w:val="22"/>
          <w:lang w:eastAsia="en-US"/>
        </w:rPr>
      </w:pPr>
    </w:p>
    <w:p w14:paraId="01F8B128" w14:textId="77777777" w:rsidR="00554C64" w:rsidRPr="00C21B99" w:rsidRDefault="00554C64" w:rsidP="00554C64">
      <w:pPr>
        <w:widowControl w:val="0"/>
        <w:tabs>
          <w:tab w:val="left" w:pos="567"/>
        </w:tabs>
        <w:rPr>
          <w:snapToGrid w:val="0"/>
          <w:szCs w:val="22"/>
          <w:u w:val="single"/>
          <w:lang w:eastAsia="en-US"/>
        </w:rPr>
      </w:pPr>
      <w:r w:rsidRPr="00C21B99">
        <w:rPr>
          <w:snapToGrid w:val="0"/>
          <w:szCs w:val="22"/>
          <w:u w:val="single"/>
          <w:lang w:eastAsia="en-US"/>
        </w:rPr>
        <w:t xml:space="preserve">Veikimo mechanizmas ir </w:t>
      </w:r>
      <w:proofErr w:type="spellStart"/>
      <w:r w:rsidRPr="00C21B99">
        <w:rPr>
          <w:snapToGrid w:val="0"/>
          <w:szCs w:val="22"/>
          <w:u w:val="single"/>
          <w:lang w:eastAsia="en-US"/>
        </w:rPr>
        <w:t>farmakodinaminis</w:t>
      </w:r>
      <w:proofErr w:type="spellEnd"/>
      <w:r w:rsidRPr="00C21B99">
        <w:rPr>
          <w:snapToGrid w:val="0"/>
          <w:szCs w:val="22"/>
          <w:u w:val="single"/>
          <w:lang w:eastAsia="en-US"/>
        </w:rPr>
        <w:t xml:space="preserve"> poveikis</w:t>
      </w:r>
    </w:p>
    <w:p w14:paraId="3CB1059A" w14:textId="77777777" w:rsidR="00554C64" w:rsidRPr="00C21B99" w:rsidRDefault="00554C64" w:rsidP="00554C64">
      <w:pPr>
        <w:widowControl w:val="0"/>
        <w:tabs>
          <w:tab w:val="left" w:pos="567"/>
        </w:tabs>
        <w:rPr>
          <w:snapToGrid w:val="0"/>
          <w:szCs w:val="22"/>
          <w:lang w:eastAsia="en-US"/>
        </w:rPr>
      </w:pPr>
      <w:r w:rsidRPr="00C21B99">
        <w:rPr>
          <w:snapToGrid w:val="0"/>
          <w:szCs w:val="22"/>
          <w:lang w:eastAsia="en-US"/>
        </w:rPr>
        <w:t xml:space="preserve">Nustatyta, kad </w:t>
      </w:r>
      <w:proofErr w:type="spellStart"/>
      <w:r w:rsidRPr="00C21B99">
        <w:rPr>
          <w:snapToGrid w:val="0"/>
          <w:szCs w:val="22"/>
          <w:lang w:eastAsia="en-US"/>
        </w:rPr>
        <w:t>epiderminis</w:t>
      </w:r>
      <w:proofErr w:type="spellEnd"/>
      <w:r w:rsidRPr="00C21B99">
        <w:rPr>
          <w:snapToGrid w:val="0"/>
          <w:szCs w:val="22"/>
          <w:lang w:eastAsia="en-US"/>
        </w:rPr>
        <w:t xml:space="preserve"> augimo faktorius (EAF) ir jo receptorius (EAFR [HER1; ErbB1]) atlieka esminį vaidmenį vykstant normalių ir vėžinių ląstelių augimui ir </w:t>
      </w:r>
      <w:proofErr w:type="spellStart"/>
      <w:r w:rsidRPr="00C21B99">
        <w:rPr>
          <w:snapToGrid w:val="0"/>
          <w:szCs w:val="22"/>
          <w:lang w:eastAsia="en-US"/>
        </w:rPr>
        <w:t>proliferacijai</w:t>
      </w:r>
      <w:proofErr w:type="spellEnd"/>
      <w:r w:rsidRPr="00C21B99">
        <w:rPr>
          <w:snapToGrid w:val="0"/>
          <w:szCs w:val="22"/>
          <w:lang w:eastAsia="en-US"/>
        </w:rPr>
        <w:t>. EAFR aktyvinanti mutacija vėžio ląstelėje yra svarbus veiksnys, skatinantis naviko ląstelių augimą, blokuojantis</w:t>
      </w:r>
    </w:p>
    <w:p w14:paraId="6E30B604" w14:textId="77777777" w:rsidR="00554C64" w:rsidRPr="00C21B99" w:rsidRDefault="00554C64" w:rsidP="00554C64">
      <w:pPr>
        <w:widowControl w:val="0"/>
        <w:tabs>
          <w:tab w:val="left" w:pos="567"/>
        </w:tabs>
        <w:rPr>
          <w:snapToGrid w:val="0"/>
          <w:szCs w:val="22"/>
          <w:lang w:eastAsia="en-US"/>
        </w:rPr>
      </w:pPr>
      <w:proofErr w:type="spellStart"/>
      <w:r w:rsidRPr="00C21B99">
        <w:rPr>
          <w:snapToGrid w:val="0"/>
          <w:szCs w:val="22"/>
          <w:lang w:eastAsia="en-US"/>
        </w:rPr>
        <w:t>apoptozę</w:t>
      </w:r>
      <w:proofErr w:type="spellEnd"/>
      <w:r w:rsidRPr="00C21B99">
        <w:rPr>
          <w:snapToGrid w:val="0"/>
          <w:szCs w:val="22"/>
          <w:lang w:eastAsia="en-US"/>
        </w:rPr>
        <w:t xml:space="preserve">, didinantis </w:t>
      </w:r>
      <w:proofErr w:type="spellStart"/>
      <w:r w:rsidRPr="00C21B99">
        <w:rPr>
          <w:snapToGrid w:val="0"/>
          <w:szCs w:val="22"/>
          <w:lang w:eastAsia="en-US"/>
        </w:rPr>
        <w:t>angiogeninių</w:t>
      </w:r>
      <w:proofErr w:type="spellEnd"/>
      <w:r w:rsidRPr="00C21B99">
        <w:rPr>
          <w:snapToGrid w:val="0"/>
          <w:szCs w:val="22"/>
          <w:lang w:eastAsia="en-US"/>
        </w:rPr>
        <w:t xml:space="preserve"> faktorių gamybą ir palengvinantis </w:t>
      </w:r>
      <w:proofErr w:type="spellStart"/>
      <w:r w:rsidRPr="00C21B99">
        <w:rPr>
          <w:snapToGrid w:val="0"/>
          <w:szCs w:val="22"/>
          <w:lang w:eastAsia="en-US"/>
        </w:rPr>
        <w:t>metastazavimo</w:t>
      </w:r>
      <w:proofErr w:type="spellEnd"/>
      <w:r w:rsidRPr="00C21B99">
        <w:rPr>
          <w:snapToGrid w:val="0"/>
          <w:szCs w:val="22"/>
          <w:lang w:eastAsia="en-US"/>
        </w:rPr>
        <w:t xml:space="preserve"> procesus. </w:t>
      </w:r>
    </w:p>
    <w:p w14:paraId="5DC3BCD3" w14:textId="77777777" w:rsidR="00554C64" w:rsidRPr="00C21B99" w:rsidRDefault="00554C64" w:rsidP="00554C64">
      <w:pPr>
        <w:widowControl w:val="0"/>
        <w:tabs>
          <w:tab w:val="left" w:pos="567"/>
        </w:tabs>
        <w:rPr>
          <w:snapToGrid w:val="0"/>
          <w:szCs w:val="22"/>
          <w:lang w:eastAsia="en-US"/>
        </w:rPr>
      </w:pPr>
    </w:p>
    <w:p w14:paraId="392FD0C8" w14:textId="77777777" w:rsidR="00554C64" w:rsidRPr="00C21B99" w:rsidRDefault="00554C64" w:rsidP="00554C64">
      <w:pPr>
        <w:widowControl w:val="0"/>
        <w:tabs>
          <w:tab w:val="left" w:pos="567"/>
        </w:tabs>
        <w:rPr>
          <w:snapToGrid w:val="0"/>
          <w:szCs w:val="22"/>
          <w:lang w:eastAsia="en-US"/>
        </w:rPr>
      </w:pPr>
      <w:proofErr w:type="spellStart"/>
      <w:r w:rsidRPr="00C21B99">
        <w:rPr>
          <w:snapToGrid w:val="0"/>
          <w:szCs w:val="22"/>
          <w:lang w:eastAsia="en-US"/>
        </w:rPr>
        <w:lastRenderedPageBreak/>
        <w:t>Gefitinibas</w:t>
      </w:r>
      <w:proofErr w:type="spellEnd"/>
      <w:r w:rsidRPr="00C21B99">
        <w:rPr>
          <w:snapToGrid w:val="0"/>
          <w:szCs w:val="22"/>
          <w:lang w:eastAsia="en-US"/>
        </w:rPr>
        <w:t xml:space="preserve"> yra mažos molekulės selektyvus </w:t>
      </w:r>
      <w:proofErr w:type="spellStart"/>
      <w:r w:rsidRPr="00C21B99">
        <w:rPr>
          <w:snapToGrid w:val="0"/>
          <w:szCs w:val="22"/>
          <w:lang w:eastAsia="en-US"/>
        </w:rPr>
        <w:t>epiderminio</w:t>
      </w:r>
      <w:proofErr w:type="spellEnd"/>
      <w:r w:rsidRPr="00C21B99">
        <w:rPr>
          <w:snapToGrid w:val="0"/>
          <w:szCs w:val="22"/>
          <w:lang w:eastAsia="en-US"/>
        </w:rPr>
        <w:t xml:space="preserve"> augimo faktoriaus receptorių </w:t>
      </w:r>
      <w:proofErr w:type="spellStart"/>
      <w:r w:rsidRPr="00C21B99">
        <w:rPr>
          <w:snapToGrid w:val="0"/>
          <w:szCs w:val="22"/>
          <w:lang w:eastAsia="en-US"/>
        </w:rPr>
        <w:t>tirozinkinazės</w:t>
      </w:r>
      <w:proofErr w:type="spellEnd"/>
      <w:r w:rsidRPr="00C21B99">
        <w:rPr>
          <w:snapToGrid w:val="0"/>
          <w:szCs w:val="22"/>
          <w:lang w:eastAsia="en-US"/>
        </w:rPr>
        <w:t xml:space="preserve"> inhibitorius, veiksmingas gydyti pacientams, kurių navikuose yra EAFR </w:t>
      </w:r>
      <w:proofErr w:type="spellStart"/>
      <w:r w:rsidRPr="00C21B99">
        <w:rPr>
          <w:snapToGrid w:val="0"/>
          <w:szCs w:val="22"/>
          <w:lang w:eastAsia="en-US"/>
        </w:rPr>
        <w:t>tirozinkinazės</w:t>
      </w:r>
      <w:proofErr w:type="spellEnd"/>
      <w:r w:rsidRPr="00C21B99">
        <w:rPr>
          <w:snapToGrid w:val="0"/>
          <w:szCs w:val="22"/>
          <w:lang w:eastAsia="en-US"/>
        </w:rPr>
        <w:t xml:space="preserve"> domeną aktyvinančių mutacijų, nepriklausomai nuo pasirinkto gydymo būdo. Klinikai reikšmingo poveikio pacientams, sergantiems navikais, kuriuose nėra EAFR mutacijų, nenustatyta.</w:t>
      </w:r>
    </w:p>
    <w:p w14:paraId="7A69523C" w14:textId="77777777" w:rsidR="00554C64" w:rsidRPr="00C21B99" w:rsidRDefault="00554C64" w:rsidP="00554C64">
      <w:pPr>
        <w:widowControl w:val="0"/>
        <w:tabs>
          <w:tab w:val="left" w:pos="567"/>
        </w:tabs>
        <w:rPr>
          <w:snapToGrid w:val="0"/>
          <w:szCs w:val="22"/>
          <w:lang w:eastAsia="en-US"/>
        </w:rPr>
      </w:pPr>
    </w:p>
    <w:p w14:paraId="3584AFE0" w14:textId="77777777" w:rsidR="00554C64" w:rsidRPr="00C21B99" w:rsidRDefault="00554C64" w:rsidP="00554C64">
      <w:pPr>
        <w:widowControl w:val="0"/>
        <w:tabs>
          <w:tab w:val="left" w:pos="567"/>
        </w:tabs>
        <w:rPr>
          <w:snapToGrid w:val="0"/>
          <w:szCs w:val="22"/>
          <w:lang w:eastAsia="en-US"/>
        </w:rPr>
      </w:pPr>
      <w:r w:rsidRPr="00C21B99">
        <w:rPr>
          <w:snapToGrid w:val="0"/>
          <w:szCs w:val="22"/>
          <w:lang w:eastAsia="en-US"/>
        </w:rPr>
        <w:t xml:space="preserve">Turimi tvirti atsako duomenys, pagrindžiantys jautrumą </w:t>
      </w:r>
      <w:proofErr w:type="spellStart"/>
      <w:r w:rsidRPr="00C21B99">
        <w:rPr>
          <w:snapToGrid w:val="0"/>
          <w:szCs w:val="22"/>
          <w:lang w:eastAsia="en-US"/>
        </w:rPr>
        <w:t>gefitinibui</w:t>
      </w:r>
      <w:proofErr w:type="spellEnd"/>
      <w:r w:rsidRPr="00C21B99">
        <w:rPr>
          <w:snapToGrid w:val="0"/>
          <w:szCs w:val="22"/>
          <w:lang w:eastAsia="en-US"/>
        </w:rPr>
        <w:t>, kai yra dažnų EAFR aktyvinančių mutacijų (</w:t>
      </w:r>
      <w:proofErr w:type="spellStart"/>
      <w:r w:rsidRPr="00C21B99">
        <w:rPr>
          <w:snapToGrid w:val="0"/>
          <w:szCs w:val="22"/>
          <w:lang w:eastAsia="en-US"/>
        </w:rPr>
        <w:t>egzono</w:t>
      </w:r>
      <w:proofErr w:type="spellEnd"/>
      <w:r w:rsidRPr="00C21B99">
        <w:rPr>
          <w:snapToGrid w:val="0"/>
          <w:szCs w:val="22"/>
          <w:lang w:eastAsia="en-US"/>
        </w:rPr>
        <w:t xml:space="preserve"> 19 </w:t>
      </w:r>
      <w:proofErr w:type="spellStart"/>
      <w:r w:rsidRPr="00C21B99">
        <w:rPr>
          <w:snapToGrid w:val="0"/>
          <w:szCs w:val="22"/>
          <w:lang w:eastAsia="en-US"/>
        </w:rPr>
        <w:t>delecija</w:t>
      </w:r>
      <w:proofErr w:type="spellEnd"/>
      <w:r w:rsidRPr="00C21B99">
        <w:rPr>
          <w:snapToGrid w:val="0"/>
          <w:szCs w:val="22"/>
          <w:lang w:eastAsia="en-US"/>
        </w:rPr>
        <w:t xml:space="preserve"> arba L858R), pvz., neprogresuojant ligai išgyvento laikotarpio</w:t>
      </w:r>
      <w:r w:rsidR="00B22789" w:rsidRPr="00C21B99">
        <w:rPr>
          <w:snapToGrid w:val="0"/>
          <w:szCs w:val="22"/>
          <w:lang w:eastAsia="en-US"/>
        </w:rPr>
        <w:t xml:space="preserve"> RS (rizikos santykis [</w:t>
      </w:r>
      <w:proofErr w:type="spellStart"/>
      <w:r w:rsidR="00B22789" w:rsidRPr="00C21B99">
        <w:rPr>
          <w:i/>
          <w:snapToGrid w:val="0"/>
          <w:szCs w:val="22"/>
          <w:lang w:eastAsia="en-US"/>
        </w:rPr>
        <w:t>angl.</w:t>
      </w:r>
      <w:r w:rsidR="00B22789" w:rsidRPr="00C21B99">
        <w:rPr>
          <w:snapToGrid w:val="0"/>
          <w:szCs w:val="22"/>
          <w:lang w:eastAsia="en-US"/>
        </w:rPr>
        <w:t>Hazard</w:t>
      </w:r>
      <w:proofErr w:type="spellEnd"/>
      <w:r w:rsidR="00B22789" w:rsidRPr="00C21B99">
        <w:rPr>
          <w:snapToGrid w:val="0"/>
          <w:szCs w:val="22"/>
          <w:lang w:eastAsia="en-US"/>
        </w:rPr>
        <w:t xml:space="preserve"> </w:t>
      </w:r>
      <w:proofErr w:type="spellStart"/>
      <w:r w:rsidR="00B22789" w:rsidRPr="00C21B99">
        <w:rPr>
          <w:snapToGrid w:val="0"/>
          <w:szCs w:val="22"/>
          <w:lang w:eastAsia="en-US"/>
        </w:rPr>
        <w:t>Ratio</w:t>
      </w:r>
      <w:proofErr w:type="spellEnd"/>
      <w:r w:rsidR="00B22789" w:rsidRPr="00C21B99">
        <w:rPr>
          <w:snapToGrid w:val="0"/>
          <w:szCs w:val="22"/>
          <w:lang w:eastAsia="en-US"/>
        </w:rPr>
        <w:t xml:space="preserve">, </w:t>
      </w:r>
      <w:r w:rsidRPr="00C21B99">
        <w:rPr>
          <w:snapToGrid w:val="0"/>
          <w:szCs w:val="22"/>
          <w:lang w:eastAsia="en-US"/>
        </w:rPr>
        <w:t>HR</w:t>
      </w:r>
      <w:r w:rsidR="00B22789" w:rsidRPr="00C21B99">
        <w:rPr>
          <w:snapToGrid w:val="0"/>
          <w:szCs w:val="22"/>
          <w:lang w:eastAsia="en-US"/>
        </w:rPr>
        <w:t xml:space="preserve">] </w:t>
      </w:r>
      <w:r w:rsidRPr="00C21B99">
        <w:rPr>
          <w:snapToGrid w:val="0"/>
          <w:szCs w:val="22"/>
          <w:lang w:eastAsia="en-US"/>
        </w:rPr>
        <w:t xml:space="preserve"> (95 %</w:t>
      </w:r>
      <w:r w:rsidR="00B22789" w:rsidRPr="00C21B99">
        <w:rPr>
          <w:snapToGrid w:val="0"/>
          <w:szCs w:val="22"/>
          <w:lang w:eastAsia="en-US"/>
        </w:rPr>
        <w:t xml:space="preserve"> </w:t>
      </w:r>
      <w:r w:rsidRPr="00C21B99">
        <w:rPr>
          <w:snapToGrid w:val="0"/>
          <w:szCs w:val="22"/>
          <w:lang w:eastAsia="en-US"/>
        </w:rPr>
        <w:t xml:space="preserve">PI), palyginus </w:t>
      </w:r>
      <w:proofErr w:type="spellStart"/>
      <w:r w:rsidRPr="00C21B99">
        <w:rPr>
          <w:snapToGrid w:val="0"/>
          <w:szCs w:val="22"/>
          <w:lang w:eastAsia="en-US"/>
        </w:rPr>
        <w:t>gefitinibo</w:t>
      </w:r>
      <w:proofErr w:type="spellEnd"/>
      <w:r w:rsidRPr="00C21B99">
        <w:rPr>
          <w:snapToGrid w:val="0"/>
          <w:szCs w:val="22"/>
          <w:lang w:eastAsia="en-US"/>
        </w:rPr>
        <w:t xml:space="preserve"> ir dvigubos chemoterapijos, grupes yra 0,489 (0,336, 0,710) (WJTOG3405).</w:t>
      </w:r>
      <w:r w:rsidR="00B22789" w:rsidRPr="00C21B99">
        <w:rPr>
          <w:snapToGrid w:val="0"/>
          <w:szCs w:val="22"/>
          <w:lang w:eastAsia="en-US"/>
        </w:rPr>
        <w:t xml:space="preserve"> </w:t>
      </w:r>
      <w:r w:rsidRPr="00C21B99">
        <w:rPr>
          <w:snapToGrid w:val="0"/>
          <w:szCs w:val="22"/>
          <w:lang w:eastAsia="en-US"/>
        </w:rPr>
        <w:t>Pacientams, kurių navik</w:t>
      </w:r>
      <w:r w:rsidR="003C5CAF" w:rsidRPr="00C21B99">
        <w:rPr>
          <w:snapToGrid w:val="0"/>
          <w:szCs w:val="22"/>
          <w:lang w:eastAsia="en-US"/>
        </w:rPr>
        <w:t>uose</w:t>
      </w:r>
      <w:r w:rsidR="00B22789" w:rsidRPr="00C21B99">
        <w:rPr>
          <w:snapToGrid w:val="0"/>
          <w:szCs w:val="22"/>
          <w:lang w:eastAsia="en-US"/>
        </w:rPr>
        <w:t xml:space="preserve"> yra </w:t>
      </w:r>
      <w:r w:rsidRPr="00C21B99">
        <w:rPr>
          <w:snapToGrid w:val="0"/>
          <w:szCs w:val="22"/>
          <w:lang w:eastAsia="en-US"/>
        </w:rPr>
        <w:t xml:space="preserve">retesnių mutacijų, atsako į </w:t>
      </w:r>
      <w:proofErr w:type="spellStart"/>
      <w:r w:rsidRPr="00C21B99">
        <w:rPr>
          <w:snapToGrid w:val="0"/>
          <w:szCs w:val="22"/>
          <w:lang w:eastAsia="en-US"/>
        </w:rPr>
        <w:t>gefitinibą</w:t>
      </w:r>
      <w:proofErr w:type="spellEnd"/>
      <w:r w:rsidRPr="00C21B99">
        <w:rPr>
          <w:snapToGrid w:val="0"/>
          <w:szCs w:val="22"/>
          <w:lang w:eastAsia="en-US"/>
        </w:rPr>
        <w:t xml:space="preserve"> duomenų yra mažiau. Turimi</w:t>
      </w:r>
      <w:r w:rsidR="00B22789" w:rsidRPr="00C21B99">
        <w:rPr>
          <w:snapToGrid w:val="0"/>
          <w:szCs w:val="22"/>
          <w:lang w:eastAsia="en-US"/>
        </w:rPr>
        <w:t xml:space="preserve"> </w:t>
      </w:r>
      <w:r w:rsidRPr="00C21B99">
        <w:rPr>
          <w:snapToGrid w:val="0"/>
          <w:szCs w:val="22"/>
          <w:lang w:eastAsia="en-US"/>
        </w:rPr>
        <w:t>duomenys rodo, kad G719X, L861Q ir S7681 mutacijos didina jautrumą, o vien T790M ar vien</w:t>
      </w:r>
      <w:r w:rsidR="00B22789" w:rsidRPr="00C21B99">
        <w:rPr>
          <w:snapToGrid w:val="0"/>
          <w:szCs w:val="22"/>
          <w:lang w:eastAsia="en-US"/>
        </w:rPr>
        <w:t xml:space="preserve"> </w:t>
      </w:r>
      <w:proofErr w:type="spellStart"/>
      <w:r w:rsidRPr="00C21B99">
        <w:rPr>
          <w:snapToGrid w:val="0"/>
          <w:szCs w:val="22"/>
          <w:lang w:eastAsia="en-US"/>
        </w:rPr>
        <w:t>egzono</w:t>
      </w:r>
      <w:proofErr w:type="spellEnd"/>
      <w:r w:rsidRPr="00C21B99">
        <w:rPr>
          <w:snapToGrid w:val="0"/>
          <w:szCs w:val="22"/>
          <w:lang w:eastAsia="en-US"/>
        </w:rPr>
        <w:t xml:space="preserve"> 20 intarpai – lemia atsparumą.</w:t>
      </w:r>
    </w:p>
    <w:p w14:paraId="3E5BE364" w14:textId="77777777" w:rsidR="00B22789" w:rsidRPr="00C21B99" w:rsidRDefault="00B22789" w:rsidP="00554C64">
      <w:pPr>
        <w:widowControl w:val="0"/>
        <w:tabs>
          <w:tab w:val="left" w:pos="567"/>
        </w:tabs>
        <w:rPr>
          <w:snapToGrid w:val="0"/>
          <w:szCs w:val="22"/>
          <w:lang w:eastAsia="en-US"/>
        </w:rPr>
      </w:pPr>
    </w:p>
    <w:p w14:paraId="662F43F3" w14:textId="77777777" w:rsidR="00554C64" w:rsidRPr="00C21B99" w:rsidRDefault="00554C64" w:rsidP="00554C64">
      <w:pPr>
        <w:widowControl w:val="0"/>
        <w:tabs>
          <w:tab w:val="left" w:pos="567"/>
        </w:tabs>
        <w:rPr>
          <w:snapToGrid w:val="0"/>
          <w:szCs w:val="22"/>
          <w:u w:val="single"/>
          <w:lang w:eastAsia="en-US"/>
        </w:rPr>
      </w:pPr>
      <w:r w:rsidRPr="00C21B99">
        <w:rPr>
          <w:snapToGrid w:val="0"/>
          <w:szCs w:val="22"/>
          <w:u w:val="single"/>
          <w:lang w:eastAsia="en-US"/>
        </w:rPr>
        <w:t>Atsparumas</w:t>
      </w:r>
    </w:p>
    <w:p w14:paraId="3E4EAC33" w14:textId="0A0E1F9E" w:rsidR="00554C64" w:rsidRPr="00C21B99" w:rsidRDefault="00554C64" w:rsidP="00554C64">
      <w:pPr>
        <w:widowControl w:val="0"/>
        <w:tabs>
          <w:tab w:val="left" w:pos="567"/>
        </w:tabs>
        <w:rPr>
          <w:snapToGrid w:val="0"/>
          <w:szCs w:val="22"/>
          <w:lang w:eastAsia="en-US"/>
        </w:rPr>
      </w:pPr>
      <w:r w:rsidRPr="00C21B99">
        <w:rPr>
          <w:snapToGrid w:val="0"/>
          <w:szCs w:val="22"/>
          <w:lang w:eastAsia="en-US"/>
        </w:rPr>
        <w:t>Dauguma atvejų nesmulki</w:t>
      </w:r>
      <w:r w:rsidR="00B22789" w:rsidRPr="00C21B99">
        <w:rPr>
          <w:snapToGrid w:val="0"/>
          <w:szCs w:val="22"/>
          <w:lang w:eastAsia="en-US"/>
        </w:rPr>
        <w:t xml:space="preserve">ųjų </w:t>
      </w:r>
      <w:r w:rsidRPr="00C21B99">
        <w:rPr>
          <w:snapToGrid w:val="0"/>
          <w:szCs w:val="22"/>
          <w:lang w:eastAsia="en-US"/>
        </w:rPr>
        <w:t>ląsteli</w:t>
      </w:r>
      <w:r w:rsidR="00B22789" w:rsidRPr="00C21B99">
        <w:rPr>
          <w:snapToGrid w:val="0"/>
          <w:szCs w:val="22"/>
          <w:lang w:eastAsia="en-US"/>
        </w:rPr>
        <w:t>ų</w:t>
      </w:r>
      <w:r w:rsidRPr="00C21B99">
        <w:rPr>
          <w:snapToGrid w:val="0"/>
          <w:szCs w:val="22"/>
          <w:lang w:eastAsia="en-US"/>
        </w:rPr>
        <w:t xml:space="preserve"> plaučių vėžys, turintis jautrumą didinančių EAFR </w:t>
      </w:r>
      <w:proofErr w:type="spellStart"/>
      <w:r w:rsidRPr="00C21B99">
        <w:rPr>
          <w:snapToGrid w:val="0"/>
          <w:szCs w:val="22"/>
          <w:lang w:eastAsia="en-US"/>
        </w:rPr>
        <w:t>kinazės</w:t>
      </w:r>
      <w:proofErr w:type="spellEnd"/>
      <w:r w:rsidR="00B22789" w:rsidRPr="00C21B99">
        <w:rPr>
          <w:snapToGrid w:val="0"/>
          <w:szCs w:val="22"/>
          <w:lang w:eastAsia="en-US"/>
        </w:rPr>
        <w:t xml:space="preserve"> </w:t>
      </w:r>
      <w:r w:rsidRPr="00C21B99">
        <w:rPr>
          <w:snapToGrid w:val="0"/>
          <w:szCs w:val="22"/>
          <w:lang w:eastAsia="en-US"/>
        </w:rPr>
        <w:t>mutacijų, ilgainiui tampa atsparus</w:t>
      </w:r>
      <w:r w:rsidR="0019155B">
        <w:rPr>
          <w:snapToGrid w:val="0"/>
          <w:szCs w:val="22"/>
          <w:lang w:eastAsia="en-US"/>
        </w:rPr>
        <w:t xml:space="preserve"> </w:t>
      </w:r>
      <w:proofErr w:type="spellStart"/>
      <w:r w:rsidR="0019155B">
        <w:rPr>
          <w:snapToGrid w:val="0"/>
          <w:szCs w:val="22"/>
          <w:lang w:eastAsia="en-US"/>
        </w:rPr>
        <w:t>Gefitinib</w:t>
      </w:r>
      <w:proofErr w:type="spellEnd"/>
      <w:r w:rsidR="0019155B">
        <w:rPr>
          <w:snapToGrid w:val="0"/>
          <w:szCs w:val="22"/>
          <w:lang w:eastAsia="en-US"/>
        </w:rPr>
        <w:t xml:space="preserve"> </w:t>
      </w:r>
      <w:proofErr w:type="spellStart"/>
      <w:r w:rsidR="0019155B">
        <w:rPr>
          <w:snapToGrid w:val="0"/>
          <w:szCs w:val="22"/>
          <w:lang w:eastAsia="en-US"/>
        </w:rPr>
        <w:t>Sandoz</w:t>
      </w:r>
      <w:proofErr w:type="spellEnd"/>
      <w:r w:rsidR="0019155B">
        <w:rPr>
          <w:snapToGrid w:val="0"/>
          <w:szCs w:val="22"/>
          <w:lang w:eastAsia="en-US"/>
        </w:rPr>
        <w:t xml:space="preserve">  gydymui.</w:t>
      </w:r>
      <w:r w:rsidRPr="00C21B99">
        <w:rPr>
          <w:snapToGrid w:val="0"/>
          <w:szCs w:val="22"/>
          <w:lang w:eastAsia="en-US"/>
        </w:rPr>
        <w:t xml:space="preserve"> Laikotarpio iki ligos progresavimo mediana yra 1 metai.</w:t>
      </w:r>
      <w:r w:rsidR="00B22789" w:rsidRPr="00C21B99">
        <w:rPr>
          <w:snapToGrid w:val="0"/>
          <w:szCs w:val="22"/>
          <w:lang w:eastAsia="en-US"/>
        </w:rPr>
        <w:t xml:space="preserve"> </w:t>
      </w:r>
      <w:r w:rsidRPr="00C21B99">
        <w:rPr>
          <w:snapToGrid w:val="0"/>
          <w:szCs w:val="22"/>
          <w:lang w:eastAsia="en-US"/>
        </w:rPr>
        <w:t>Maždaug 60 % atvejų atsparumas būna susijęs su antrine T790M mutacija, kurios turintiems navikams</w:t>
      </w:r>
      <w:r w:rsidR="00B22789" w:rsidRPr="00C21B99">
        <w:rPr>
          <w:snapToGrid w:val="0"/>
          <w:szCs w:val="22"/>
          <w:lang w:eastAsia="en-US"/>
        </w:rPr>
        <w:t xml:space="preserve"> </w:t>
      </w:r>
      <w:r w:rsidRPr="00C21B99">
        <w:rPr>
          <w:snapToGrid w:val="0"/>
          <w:szCs w:val="22"/>
          <w:lang w:eastAsia="en-US"/>
        </w:rPr>
        <w:t xml:space="preserve">gydyti kitos eilės vaistinis preparatas turėtų būti į T790M nutaikytas EAFR </w:t>
      </w:r>
      <w:proofErr w:type="spellStart"/>
      <w:r w:rsidRPr="00C21B99">
        <w:rPr>
          <w:snapToGrid w:val="0"/>
          <w:szCs w:val="22"/>
          <w:lang w:eastAsia="en-US"/>
        </w:rPr>
        <w:t>tirozinkinazės</w:t>
      </w:r>
      <w:proofErr w:type="spellEnd"/>
      <w:r w:rsidRPr="00C21B99">
        <w:rPr>
          <w:snapToGrid w:val="0"/>
          <w:szCs w:val="22"/>
          <w:lang w:eastAsia="en-US"/>
        </w:rPr>
        <w:t xml:space="preserve"> inhibitorius.</w:t>
      </w:r>
      <w:r w:rsidR="00B22789" w:rsidRPr="00C21B99">
        <w:rPr>
          <w:snapToGrid w:val="0"/>
          <w:szCs w:val="22"/>
          <w:lang w:eastAsia="en-US"/>
        </w:rPr>
        <w:t xml:space="preserve"> </w:t>
      </w:r>
      <w:r w:rsidRPr="00C21B99">
        <w:rPr>
          <w:snapToGrid w:val="0"/>
          <w:szCs w:val="22"/>
          <w:lang w:eastAsia="en-US"/>
        </w:rPr>
        <w:t>Kiti galimi atsparumo mechanizmai, užfiksuoti gydant EAFR signalą blokuojančiais vaistiniais</w:t>
      </w:r>
      <w:r w:rsidR="00B22789" w:rsidRPr="00C21B99">
        <w:rPr>
          <w:snapToGrid w:val="0"/>
          <w:szCs w:val="22"/>
          <w:lang w:eastAsia="en-US"/>
        </w:rPr>
        <w:t xml:space="preserve"> </w:t>
      </w:r>
      <w:r w:rsidRPr="00C21B99">
        <w:rPr>
          <w:snapToGrid w:val="0"/>
          <w:szCs w:val="22"/>
          <w:lang w:eastAsia="en-US"/>
        </w:rPr>
        <w:t xml:space="preserve">preparatais, yra signalo perdavimas kitais būdais, pvz., per HER2, MET geno </w:t>
      </w:r>
      <w:r w:rsidR="00B22789" w:rsidRPr="00C21B99">
        <w:rPr>
          <w:snapToGrid w:val="0"/>
          <w:szCs w:val="22"/>
          <w:lang w:eastAsia="en-US"/>
        </w:rPr>
        <w:t>sustiprinimas</w:t>
      </w:r>
      <w:r w:rsidRPr="00C21B99">
        <w:rPr>
          <w:snapToGrid w:val="0"/>
          <w:szCs w:val="22"/>
          <w:lang w:eastAsia="en-US"/>
        </w:rPr>
        <w:t xml:space="preserve"> ir PIK3CA</w:t>
      </w:r>
      <w:r w:rsidR="00B22789" w:rsidRPr="00C21B99">
        <w:rPr>
          <w:snapToGrid w:val="0"/>
          <w:szCs w:val="22"/>
          <w:lang w:eastAsia="en-US"/>
        </w:rPr>
        <w:t xml:space="preserve"> </w:t>
      </w:r>
      <w:r w:rsidRPr="00C21B99">
        <w:rPr>
          <w:snapToGrid w:val="0"/>
          <w:szCs w:val="22"/>
          <w:lang w:eastAsia="en-US"/>
        </w:rPr>
        <w:t xml:space="preserve">mutacijos. Be to, </w:t>
      </w:r>
      <w:r w:rsidR="00535CB2" w:rsidRPr="00C21B99">
        <w:rPr>
          <w:snapToGrid w:val="0"/>
          <w:szCs w:val="22"/>
          <w:lang w:eastAsia="en-US"/>
        </w:rPr>
        <w:t xml:space="preserve">5-10 % atvejų </w:t>
      </w:r>
      <w:r w:rsidR="00B22789" w:rsidRPr="00C21B99">
        <w:rPr>
          <w:snapToGrid w:val="0"/>
          <w:szCs w:val="22"/>
          <w:lang w:eastAsia="en-US"/>
        </w:rPr>
        <w:t>gauta pranešimų</w:t>
      </w:r>
      <w:r w:rsidR="00535CB2" w:rsidRPr="00C21B99">
        <w:rPr>
          <w:snapToGrid w:val="0"/>
          <w:szCs w:val="22"/>
          <w:lang w:eastAsia="en-US"/>
        </w:rPr>
        <w:t xml:space="preserve"> apie </w:t>
      </w:r>
      <w:r w:rsidRPr="00C21B99">
        <w:rPr>
          <w:snapToGrid w:val="0"/>
          <w:szCs w:val="22"/>
          <w:lang w:eastAsia="en-US"/>
        </w:rPr>
        <w:t>fenotip</w:t>
      </w:r>
      <w:r w:rsidR="00535CB2" w:rsidRPr="00C21B99">
        <w:rPr>
          <w:snapToGrid w:val="0"/>
          <w:szCs w:val="22"/>
          <w:lang w:eastAsia="en-US"/>
        </w:rPr>
        <w:t>o pasikeitimą</w:t>
      </w:r>
      <w:r w:rsidRPr="00C21B99">
        <w:rPr>
          <w:snapToGrid w:val="0"/>
          <w:szCs w:val="22"/>
          <w:lang w:eastAsia="en-US"/>
        </w:rPr>
        <w:t xml:space="preserve"> į smulki</w:t>
      </w:r>
      <w:r w:rsidR="00B22789" w:rsidRPr="00C21B99">
        <w:rPr>
          <w:snapToGrid w:val="0"/>
          <w:szCs w:val="22"/>
          <w:lang w:eastAsia="en-US"/>
        </w:rPr>
        <w:t>ųjų ląstelių plaučių vėžį</w:t>
      </w:r>
      <w:r w:rsidRPr="00C21B99">
        <w:rPr>
          <w:snapToGrid w:val="0"/>
          <w:szCs w:val="22"/>
          <w:lang w:eastAsia="en-US"/>
        </w:rPr>
        <w:t>.</w:t>
      </w:r>
    </w:p>
    <w:p w14:paraId="6B310215" w14:textId="77777777" w:rsidR="00535CB2" w:rsidRPr="00C21B99" w:rsidRDefault="00535CB2" w:rsidP="00554C64">
      <w:pPr>
        <w:widowControl w:val="0"/>
        <w:tabs>
          <w:tab w:val="left" w:pos="567"/>
        </w:tabs>
        <w:rPr>
          <w:snapToGrid w:val="0"/>
          <w:szCs w:val="22"/>
          <w:lang w:eastAsia="en-US"/>
        </w:rPr>
      </w:pPr>
    </w:p>
    <w:p w14:paraId="5229CC80" w14:textId="77777777" w:rsidR="00554C64" w:rsidRPr="00C21B99" w:rsidRDefault="00554C64" w:rsidP="00554C64">
      <w:pPr>
        <w:widowControl w:val="0"/>
        <w:tabs>
          <w:tab w:val="left" w:pos="567"/>
        </w:tabs>
        <w:rPr>
          <w:snapToGrid w:val="0"/>
          <w:szCs w:val="22"/>
          <w:u w:val="single"/>
          <w:lang w:eastAsia="en-US"/>
        </w:rPr>
      </w:pPr>
      <w:r w:rsidRPr="00C21B99">
        <w:rPr>
          <w:snapToGrid w:val="0"/>
          <w:szCs w:val="22"/>
          <w:u w:val="single"/>
          <w:lang w:eastAsia="en-US"/>
        </w:rPr>
        <w:t>Cirkuliuojanti navikinė DNR (</w:t>
      </w:r>
      <w:proofErr w:type="spellStart"/>
      <w:r w:rsidRPr="00C21B99">
        <w:rPr>
          <w:snapToGrid w:val="0"/>
          <w:szCs w:val="22"/>
          <w:u w:val="single"/>
          <w:lang w:eastAsia="en-US"/>
        </w:rPr>
        <w:t>cnDNR</w:t>
      </w:r>
      <w:proofErr w:type="spellEnd"/>
      <w:r w:rsidRPr="00C21B99">
        <w:rPr>
          <w:snapToGrid w:val="0"/>
          <w:szCs w:val="22"/>
          <w:u w:val="single"/>
          <w:lang w:eastAsia="en-US"/>
        </w:rPr>
        <w:t>)</w:t>
      </w:r>
    </w:p>
    <w:p w14:paraId="2897217E" w14:textId="77777777" w:rsidR="00554C64" w:rsidRPr="00C21B99" w:rsidRDefault="00554C64" w:rsidP="00554C64">
      <w:pPr>
        <w:widowControl w:val="0"/>
        <w:tabs>
          <w:tab w:val="left" w:pos="567"/>
        </w:tabs>
        <w:rPr>
          <w:snapToGrid w:val="0"/>
          <w:szCs w:val="22"/>
          <w:lang w:eastAsia="en-US"/>
        </w:rPr>
      </w:pPr>
      <w:r w:rsidRPr="00C21B99">
        <w:rPr>
          <w:snapToGrid w:val="0"/>
          <w:szCs w:val="22"/>
          <w:lang w:eastAsia="en-US"/>
        </w:rPr>
        <w:t xml:space="preserve">IFUM tyrimo metu vertinta navikų ir plazmos </w:t>
      </w:r>
      <w:proofErr w:type="spellStart"/>
      <w:r w:rsidRPr="00C21B99">
        <w:rPr>
          <w:snapToGrid w:val="0"/>
          <w:szCs w:val="22"/>
          <w:lang w:eastAsia="en-US"/>
        </w:rPr>
        <w:t>cnDNR</w:t>
      </w:r>
      <w:proofErr w:type="spellEnd"/>
      <w:r w:rsidRPr="00C21B99">
        <w:rPr>
          <w:snapToGrid w:val="0"/>
          <w:szCs w:val="22"/>
          <w:lang w:eastAsia="en-US"/>
        </w:rPr>
        <w:t xml:space="preserve"> mėginių mutacijų būklė rinkiniu </w:t>
      </w:r>
      <w:proofErr w:type="spellStart"/>
      <w:r w:rsidRPr="00C21B99">
        <w:rPr>
          <w:snapToGrid w:val="0"/>
          <w:szCs w:val="22"/>
          <w:lang w:eastAsia="en-US"/>
        </w:rPr>
        <w:t>Therascreen</w:t>
      </w:r>
      <w:proofErr w:type="spellEnd"/>
      <w:r w:rsidR="00535CB2" w:rsidRPr="00C21B99">
        <w:rPr>
          <w:snapToGrid w:val="0"/>
          <w:szCs w:val="22"/>
          <w:lang w:eastAsia="en-US"/>
        </w:rPr>
        <w:t xml:space="preserve"> </w:t>
      </w:r>
      <w:r w:rsidRPr="00C21B99">
        <w:rPr>
          <w:snapToGrid w:val="0"/>
          <w:szCs w:val="22"/>
          <w:lang w:eastAsia="en-US"/>
        </w:rPr>
        <w:t xml:space="preserve">EGFR RGQ PCR </w:t>
      </w:r>
      <w:proofErr w:type="spellStart"/>
      <w:r w:rsidRPr="00C21B99">
        <w:rPr>
          <w:snapToGrid w:val="0"/>
          <w:szCs w:val="22"/>
          <w:lang w:eastAsia="en-US"/>
        </w:rPr>
        <w:t>kit</w:t>
      </w:r>
      <w:proofErr w:type="spellEnd"/>
      <w:r w:rsidRPr="00C21B99">
        <w:rPr>
          <w:snapToGrid w:val="0"/>
          <w:szCs w:val="22"/>
          <w:lang w:eastAsia="en-US"/>
        </w:rPr>
        <w:t xml:space="preserve"> (</w:t>
      </w:r>
      <w:proofErr w:type="spellStart"/>
      <w:r w:rsidRPr="00C21B99">
        <w:rPr>
          <w:snapToGrid w:val="0"/>
          <w:szCs w:val="22"/>
          <w:lang w:eastAsia="en-US"/>
        </w:rPr>
        <w:t>Qiagen</w:t>
      </w:r>
      <w:proofErr w:type="spellEnd"/>
      <w:r w:rsidRPr="00C21B99">
        <w:rPr>
          <w:snapToGrid w:val="0"/>
          <w:szCs w:val="22"/>
          <w:lang w:eastAsia="en-US"/>
        </w:rPr>
        <w:t>). 652 iš 1060 ištirtų pacientų pavyko įvertinti abu (</w:t>
      </w:r>
      <w:proofErr w:type="spellStart"/>
      <w:r w:rsidRPr="00C21B99">
        <w:rPr>
          <w:snapToGrid w:val="0"/>
          <w:szCs w:val="22"/>
          <w:lang w:eastAsia="en-US"/>
        </w:rPr>
        <w:t>cnDNR</w:t>
      </w:r>
      <w:proofErr w:type="spellEnd"/>
      <w:r w:rsidRPr="00C21B99">
        <w:rPr>
          <w:snapToGrid w:val="0"/>
          <w:szCs w:val="22"/>
          <w:lang w:eastAsia="en-US"/>
        </w:rPr>
        <w:t xml:space="preserve"> ir naviko)</w:t>
      </w:r>
      <w:r w:rsidR="00535CB2" w:rsidRPr="00C21B99">
        <w:rPr>
          <w:snapToGrid w:val="0"/>
          <w:szCs w:val="22"/>
          <w:lang w:eastAsia="en-US"/>
        </w:rPr>
        <w:t xml:space="preserve"> </w:t>
      </w:r>
      <w:r w:rsidRPr="00C21B99">
        <w:rPr>
          <w:snapToGrid w:val="0"/>
          <w:szCs w:val="22"/>
          <w:lang w:eastAsia="en-US"/>
        </w:rPr>
        <w:t xml:space="preserve">mėginius. Pacientams, kuriems nustatytos abi (naviko ir </w:t>
      </w:r>
      <w:proofErr w:type="spellStart"/>
      <w:r w:rsidRPr="00C21B99">
        <w:rPr>
          <w:snapToGrid w:val="0"/>
          <w:szCs w:val="22"/>
          <w:lang w:eastAsia="en-US"/>
        </w:rPr>
        <w:t>cnDNR</w:t>
      </w:r>
      <w:proofErr w:type="spellEnd"/>
      <w:r w:rsidRPr="00C21B99">
        <w:rPr>
          <w:snapToGrid w:val="0"/>
          <w:szCs w:val="22"/>
          <w:lang w:eastAsia="en-US"/>
        </w:rPr>
        <w:t>) mutacijos, objektyvaus atsako dažnis</w:t>
      </w:r>
      <w:r w:rsidR="00535CB2" w:rsidRPr="00C21B99">
        <w:rPr>
          <w:snapToGrid w:val="0"/>
          <w:szCs w:val="22"/>
          <w:lang w:eastAsia="en-US"/>
        </w:rPr>
        <w:t xml:space="preserve"> </w:t>
      </w:r>
      <w:r w:rsidRPr="00C21B99">
        <w:rPr>
          <w:snapToGrid w:val="0"/>
          <w:szCs w:val="22"/>
          <w:lang w:eastAsia="en-US"/>
        </w:rPr>
        <w:t>(</w:t>
      </w:r>
      <w:r w:rsidRPr="00C21B99">
        <w:rPr>
          <w:i/>
          <w:snapToGrid w:val="0"/>
          <w:szCs w:val="22"/>
          <w:lang w:eastAsia="en-US"/>
        </w:rPr>
        <w:t>angl.</w:t>
      </w:r>
      <w:r w:rsidRPr="00C21B99">
        <w:rPr>
          <w:snapToGrid w:val="0"/>
          <w:szCs w:val="22"/>
          <w:lang w:eastAsia="en-US"/>
        </w:rPr>
        <w:t xml:space="preserve"> </w:t>
      </w:r>
      <w:proofErr w:type="spellStart"/>
      <w:r w:rsidRPr="00C21B99">
        <w:rPr>
          <w:snapToGrid w:val="0"/>
          <w:szCs w:val="22"/>
          <w:lang w:eastAsia="en-US"/>
        </w:rPr>
        <w:t>objective</w:t>
      </w:r>
      <w:proofErr w:type="spellEnd"/>
      <w:r w:rsidRPr="00C21B99">
        <w:rPr>
          <w:snapToGrid w:val="0"/>
          <w:szCs w:val="22"/>
          <w:lang w:eastAsia="en-US"/>
        </w:rPr>
        <w:t xml:space="preserve"> </w:t>
      </w:r>
      <w:proofErr w:type="spellStart"/>
      <w:r w:rsidRPr="00C21B99">
        <w:rPr>
          <w:snapToGrid w:val="0"/>
          <w:szCs w:val="22"/>
          <w:lang w:eastAsia="en-US"/>
        </w:rPr>
        <w:t>response</w:t>
      </w:r>
      <w:proofErr w:type="spellEnd"/>
      <w:r w:rsidRPr="00C21B99">
        <w:rPr>
          <w:snapToGrid w:val="0"/>
          <w:szCs w:val="22"/>
          <w:lang w:eastAsia="en-US"/>
        </w:rPr>
        <w:t xml:space="preserve"> rate, ORR) buvo 77 % (95 % PI 66-86 %), o kuriems nustatyta tik naviko</w:t>
      </w:r>
      <w:r w:rsidR="00535CB2" w:rsidRPr="00C21B99">
        <w:rPr>
          <w:snapToGrid w:val="0"/>
          <w:szCs w:val="22"/>
          <w:lang w:eastAsia="en-US"/>
        </w:rPr>
        <w:t xml:space="preserve"> </w:t>
      </w:r>
      <w:r w:rsidRPr="00C21B99">
        <w:rPr>
          <w:snapToGrid w:val="0"/>
          <w:szCs w:val="22"/>
          <w:lang w:eastAsia="en-US"/>
        </w:rPr>
        <w:t>mutacija – 60 % (95 % PI – 44-74 %).</w:t>
      </w:r>
    </w:p>
    <w:p w14:paraId="48ECB431" w14:textId="77777777" w:rsidR="00535CB2" w:rsidRPr="00C21B99" w:rsidRDefault="00535CB2" w:rsidP="00554C64">
      <w:pPr>
        <w:widowControl w:val="0"/>
        <w:tabs>
          <w:tab w:val="left" w:pos="567"/>
        </w:tabs>
        <w:rPr>
          <w:snapToGrid w:val="0"/>
          <w:szCs w:val="22"/>
          <w:lang w:eastAsia="en-US"/>
        </w:rPr>
      </w:pPr>
    </w:p>
    <w:p w14:paraId="3BC99856" w14:textId="77777777" w:rsidR="00554C64" w:rsidRPr="00C21B99" w:rsidRDefault="00554C64" w:rsidP="005D2D9B">
      <w:pPr>
        <w:widowControl w:val="0"/>
        <w:tabs>
          <w:tab w:val="left" w:pos="567"/>
        </w:tabs>
        <w:spacing w:after="120"/>
        <w:rPr>
          <w:b/>
          <w:snapToGrid w:val="0"/>
          <w:szCs w:val="22"/>
          <w:lang w:eastAsia="en-US"/>
        </w:rPr>
      </w:pPr>
      <w:r w:rsidRPr="00C21B99">
        <w:rPr>
          <w:b/>
          <w:snapToGrid w:val="0"/>
          <w:szCs w:val="22"/>
          <w:lang w:eastAsia="en-US"/>
        </w:rPr>
        <w:t xml:space="preserve">2 lentelė. Visų ištirtų pacientų, kurių abu mėginius pavyko įvertinti, pradinės navikų ir </w:t>
      </w:r>
      <w:proofErr w:type="spellStart"/>
      <w:r w:rsidRPr="00C21B99">
        <w:rPr>
          <w:b/>
          <w:snapToGrid w:val="0"/>
          <w:szCs w:val="22"/>
          <w:lang w:eastAsia="en-US"/>
        </w:rPr>
        <w:t>cnDNR</w:t>
      </w:r>
      <w:proofErr w:type="spellEnd"/>
      <w:r w:rsidR="00535CB2" w:rsidRPr="00C21B99">
        <w:rPr>
          <w:b/>
          <w:snapToGrid w:val="0"/>
          <w:szCs w:val="22"/>
          <w:lang w:eastAsia="en-US"/>
        </w:rPr>
        <w:t xml:space="preserve"> </w:t>
      </w:r>
      <w:r w:rsidRPr="00C21B99">
        <w:rPr>
          <w:b/>
          <w:snapToGrid w:val="0"/>
          <w:szCs w:val="22"/>
          <w:lang w:eastAsia="en-US"/>
        </w:rPr>
        <w:t>mutacijų būklės duomenų santrauka</w:t>
      </w:r>
    </w:p>
    <w:tbl>
      <w:tblPr>
        <w:tblW w:w="9180" w:type="dxa"/>
        <w:tblInd w:w="103" w:type="dxa"/>
        <w:tblLayout w:type="fixed"/>
        <w:tblCellMar>
          <w:left w:w="0" w:type="dxa"/>
          <w:right w:w="0" w:type="dxa"/>
        </w:tblCellMar>
        <w:tblLook w:val="01E0" w:firstRow="1" w:lastRow="1" w:firstColumn="1" w:lastColumn="1" w:noHBand="0" w:noVBand="0"/>
      </w:tblPr>
      <w:tblGrid>
        <w:gridCol w:w="2006"/>
        <w:gridCol w:w="3141"/>
        <w:gridCol w:w="2641"/>
        <w:gridCol w:w="1392"/>
      </w:tblGrid>
      <w:tr w:rsidR="005D2D9B" w:rsidRPr="00C21B99" w14:paraId="0921CAFC" w14:textId="77777777" w:rsidTr="005D2D9B">
        <w:trPr>
          <w:trHeight w:hRule="exact" w:val="530"/>
        </w:trPr>
        <w:tc>
          <w:tcPr>
            <w:tcW w:w="2006" w:type="dxa"/>
            <w:tcBorders>
              <w:top w:val="single" w:sz="4" w:space="0" w:color="000000"/>
              <w:left w:val="single" w:sz="4" w:space="0" w:color="000000"/>
              <w:bottom w:val="single" w:sz="4" w:space="0" w:color="000000"/>
              <w:right w:val="single" w:sz="4" w:space="0" w:color="000000"/>
            </w:tcBorders>
          </w:tcPr>
          <w:p w14:paraId="3FE60198" w14:textId="77777777" w:rsidR="005D2D9B" w:rsidRPr="00C21B99" w:rsidRDefault="005D2D9B" w:rsidP="00543C57">
            <w:pPr>
              <w:widowControl w:val="0"/>
              <w:ind w:left="45" w:right="119"/>
              <w:jc w:val="center"/>
              <w:rPr>
                <w:szCs w:val="22"/>
                <w:lang w:eastAsia="en-US"/>
              </w:rPr>
            </w:pPr>
            <w:r w:rsidRPr="00C21B99">
              <w:rPr>
                <w:szCs w:val="22"/>
                <w:lang w:eastAsia="en-US"/>
              </w:rPr>
              <w:t>Matas</w:t>
            </w:r>
          </w:p>
        </w:tc>
        <w:tc>
          <w:tcPr>
            <w:tcW w:w="3141" w:type="dxa"/>
            <w:tcBorders>
              <w:top w:val="single" w:sz="4" w:space="0" w:color="000000"/>
              <w:left w:val="single" w:sz="4" w:space="0" w:color="000000"/>
              <w:bottom w:val="single" w:sz="4" w:space="0" w:color="000000"/>
              <w:right w:val="single" w:sz="4" w:space="0" w:color="000000"/>
            </w:tcBorders>
          </w:tcPr>
          <w:p w14:paraId="75D802B3" w14:textId="77777777" w:rsidR="005D2D9B" w:rsidRPr="00C21B99" w:rsidRDefault="005D2D9B" w:rsidP="00543C57">
            <w:pPr>
              <w:widowControl w:val="0"/>
              <w:ind w:left="45" w:right="119"/>
              <w:jc w:val="center"/>
              <w:rPr>
                <w:szCs w:val="22"/>
                <w:lang w:eastAsia="en-US"/>
              </w:rPr>
            </w:pPr>
            <w:r w:rsidRPr="00C21B99">
              <w:rPr>
                <w:szCs w:val="22"/>
                <w:lang w:eastAsia="en-US"/>
              </w:rPr>
              <w:t>Apibrėžimas</w:t>
            </w:r>
          </w:p>
        </w:tc>
        <w:tc>
          <w:tcPr>
            <w:tcW w:w="2641" w:type="dxa"/>
            <w:tcBorders>
              <w:top w:val="single" w:sz="4" w:space="0" w:color="000000"/>
              <w:left w:val="single" w:sz="4" w:space="0" w:color="000000"/>
              <w:bottom w:val="single" w:sz="4" w:space="0" w:color="000000"/>
              <w:right w:val="single" w:sz="4" w:space="0" w:color="000000"/>
            </w:tcBorders>
          </w:tcPr>
          <w:p w14:paraId="7AEC8F19" w14:textId="77777777" w:rsidR="005D2D9B" w:rsidRPr="00C21B99" w:rsidRDefault="005D2D9B" w:rsidP="00543C57">
            <w:pPr>
              <w:widowControl w:val="0"/>
              <w:ind w:left="45" w:right="119"/>
              <w:jc w:val="center"/>
              <w:rPr>
                <w:szCs w:val="22"/>
                <w:lang w:eastAsia="en-US"/>
              </w:rPr>
            </w:pPr>
            <w:r w:rsidRPr="00C21B99">
              <w:rPr>
                <w:spacing w:val="-1"/>
                <w:szCs w:val="22"/>
                <w:lang w:eastAsia="en-US"/>
              </w:rPr>
              <w:t>Dažnis IFU</w:t>
            </w:r>
            <w:r w:rsidRPr="00C21B99">
              <w:rPr>
                <w:szCs w:val="22"/>
                <w:lang w:eastAsia="en-US"/>
              </w:rPr>
              <w:t>M duomenimis,</w:t>
            </w:r>
          </w:p>
          <w:p w14:paraId="603ABEDF" w14:textId="77777777" w:rsidR="005D2D9B" w:rsidRPr="00C21B99" w:rsidRDefault="005D2D9B" w:rsidP="00543C57">
            <w:pPr>
              <w:widowControl w:val="0"/>
              <w:ind w:left="45" w:right="119"/>
              <w:jc w:val="center"/>
              <w:rPr>
                <w:szCs w:val="22"/>
                <w:lang w:eastAsia="en-US"/>
              </w:rPr>
            </w:pPr>
            <w:r w:rsidRPr="00C21B99">
              <w:rPr>
                <w:szCs w:val="22"/>
                <w:lang w:eastAsia="en-US"/>
              </w:rPr>
              <w:t>%</w:t>
            </w:r>
            <w:r w:rsidRPr="00C21B99">
              <w:rPr>
                <w:spacing w:val="1"/>
                <w:szCs w:val="22"/>
                <w:lang w:eastAsia="en-US"/>
              </w:rPr>
              <w:t xml:space="preserve"> (</w:t>
            </w:r>
            <w:r w:rsidRPr="00C21B99">
              <w:rPr>
                <w:spacing w:val="-1"/>
                <w:szCs w:val="22"/>
                <w:lang w:eastAsia="en-US"/>
              </w:rPr>
              <w:t>P</w:t>
            </w:r>
            <w:r w:rsidRPr="00C21B99">
              <w:rPr>
                <w:spacing w:val="-4"/>
                <w:szCs w:val="22"/>
                <w:lang w:eastAsia="en-US"/>
              </w:rPr>
              <w:t>I)</w:t>
            </w:r>
          </w:p>
        </w:tc>
        <w:tc>
          <w:tcPr>
            <w:tcW w:w="1392" w:type="dxa"/>
            <w:tcBorders>
              <w:top w:val="single" w:sz="4" w:space="0" w:color="000000"/>
              <w:left w:val="single" w:sz="4" w:space="0" w:color="000000"/>
              <w:bottom w:val="single" w:sz="4" w:space="0" w:color="000000"/>
              <w:right w:val="single" w:sz="4" w:space="0" w:color="000000"/>
            </w:tcBorders>
          </w:tcPr>
          <w:p w14:paraId="48B9568A" w14:textId="77777777" w:rsidR="005D2D9B" w:rsidRPr="00C21B99" w:rsidRDefault="005D2D9B" w:rsidP="00543C57">
            <w:pPr>
              <w:widowControl w:val="0"/>
              <w:ind w:left="45" w:right="119" w:hanging="197"/>
              <w:jc w:val="center"/>
              <w:rPr>
                <w:spacing w:val="-1"/>
                <w:szCs w:val="22"/>
                <w:lang w:eastAsia="en-US"/>
              </w:rPr>
            </w:pPr>
            <w:r w:rsidRPr="00C21B99">
              <w:rPr>
                <w:spacing w:val="-1"/>
                <w:szCs w:val="22"/>
                <w:lang w:eastAsia="en-US"/>
              </w:rPr>
              <w:t xml:space="preserve">IFUM </w:t>
            </w:r>
          </w:p>
          <w:p w14:paraId="0939CAB2" w14:textId="77777777" w:rsidR="005D2D9B" w:rsidRPr="00C21B99" w:rsidRDefault="005D2D9B" w:rsidP="00543C57">
            <w:pPr>
              <w:widowControl w:val="0"/>
              <w:ind w:left="45" w:right="119" w:hanging="197"/>
              <w:jc w:val="center"/>
              <w:rPr>
                <w:szCs w:val="22"/>
                <w:lang w:eastAsia="en-US"/>
              </w:rPr>
            </w:pPr>
            <w:r w:rsidRPr="00C21B99">
              <w:rPr>
                <w:szCs w:val="22"/>
                <w:lang w:eastAsia="en-US"/>
              </w:rPr>
              <w:t>N</w:t>
            </w:r>
          </w:p>
        </w:tc>
      </w:tr>
      <w:tr w:rsidR="005D2D9B" w:rsidRPr="00C21B99" w14:paraId="02106130" w14:textId="77777777" w:rsidTr="005D2D9B">
        <w:trPr>
          <w:trHeight w:hRule="exact" w:val="528"/>
        </w:trPr>
        <w:tc>
          <w:tcPr>
            <w:tcW w:w="2006" w:type="dxa"/>
            <w:tcBorders>
              <w:top w:val="single" w:sz="4" w:space="0" w:color="000000"/>
              <w:left w:val="single" w:sz="4" w:space="0" w:color="000000"/>
              <w:bottom w:val="single" w:sz="4" w:space="0" w:color="000000"/>
              <w:right w:val="single" w:sz="4" w:space="0" w:color="000000"/>
            </w:tcBorders>
          </w:tcPr>
          <w:p w14:paraId="7074E17D" w14:textId="77777777" w:rsidR="005D2D9B" w:rsidRPr="00C21B99" w:rsidRDefault="005D2D9B" w:rsidP="00543C57">
            <w:pPr>
              <w:widowControl w:val="0"/>
              <w:ind w:left="45" w:right="119"/>
              <w:rPr>
                <w:szCs w:val="22"/>
                <w:lang w:eastAsia="en-US"/>
              </w:rPr>
            </w:pPr>
            <w:r w:rsidRPr="00C21B99">
              <w:rPr>
                <w:szCs w:val="22"/>
                <w:lang w:eastAsia="en-US"/>
              </w:rPr>
              <w:t>Jautrumas</w:t>
            </w:r>
          </w:p>
        </w:tc>
        <w:tc>
          <w:tcPr>
            <w:tcW w:w="3141" w:type="dxa"/>
            <w:tcBorders>
              <w:top w:val="single" w:sz="4" w:space="0" w:color="000000"/>
              <w:left w:val="single" w:sz="4" w:space="0" w:color="000000"/>
              <w:bottom w:val="single" w:sz="4" w:space="0" w:color="000000"/>
              <w:right w:val="single" w:sz="4" w:space="0" w:color="000000"/>
            </w:tcBorders>
          </w:tcPr>
          <w:p w14:paraId="4EFB5E3D" w14:textId="77777777" w:rsidR="005D2D9B" w:rsidRPr="00C21B99" w:rsidRDefault="005D2D9B" w:rsidP="00543C57">
            <w:pPr>
              <w:widowControl w:val="0"/>
              <w:ind w:left="45" w:right="119"/>
              <w:rPr>
                <w:szCs w:val="22"/>
                <w:lang w:eastAsia="en-US"/>
              </w:rPr>
            </w:pPr>
            <w:r w:rsidRPr="00C21B99">
              <w:rPr>
                <w:szCs w:val="22"/>
                <w:lang w:eastAsia="en-US"/>
              </w:rPr>
              <w:t xml:space="preserve">Navikų M+ dalis, kai </w:t>
            </w:r>
            <w:proofErr w:type="spellStart"/>
            <w:r w:rsidRPr="00C21B99">
              <w:rPr>
                <w:szCs w:val="22"/>
                <w:lang w:eastAsia="en-US"/>
              </w:rPr>
              <w:t>cnDNR</w:t>
            </w:r>
            <w:proofErr w:type="spellEnd"/>
            <w:r w:rsidRPr="00C21B99">
              <w:rPr>
                <w:szCs w:val="22"/>
                <w:lang w:eastAsia="en-US"/>
              </w:rPr>
              <w:t xml:space="preserve"> rod</w:t>
            </w:r>
            <w:r w:rsidR="00543C57" w:rsidRPr="00C21B99">
              <w:rPr>
                <w:szCs w:val="22"/>
                <w:lang w:eastAsia="en-US"/>
              </w:rPr>
              <w:t>o</w:t>
            </w:r>
            <w:r w:rsidRPr="00C21B99">
              <w:rPr>
                <w:szCs w:val="22"/>
                <w:lang w:eastAsia="en-US"/>
              </w:rPr>
              <w:t xml:space="preserve"> M+</w:t>
            </w:r>
          </w:p>
        </w:tc>
        <w:tc>
          <w:tcPr>
            <w:tcW w:w="2641" w:type="dxa"/>
            <w:tcBorders>
              <w:top w:val="single" w:sz="4" w:space="0" w:color="000000"/>
              <w:left w:val="single" w:sz="4" w:space="0" w:color="000000"/>
              <w:bottom w:val="single" w:sz="4" w:space="0" w:color="000000"/>
              <w:right w:val="single" w:sz="4" w:space="0" w:color="000000"/>
            </w:tcBorders>
          </w:tcPr>
          <w:p w14:paraId="1C5B1E4F" w14:textId="77777777" w:rsidR="005D2D9B" w:rsidRPr="00C21B99" w:rsidRDefault="005D2D9B" w:rsidP="00B23ED9">
            <w:pPr>
              <w:widowControl w:val="0"/>
              <w:ind w:left="45" w:right="119"/>
              <w:jc w:val="center"/>
              <w:rPr>
                <w:szCs w:val="22"/>
                <w:lang w:eastAsia="en-US"/>
              </w:rPr>
            </w:pPr>
            <w:r w:rsidRPr="00C21B99">
              <w:rPr>
                <w:szCs w:val="22"/>
                <w:lang w:eastAsia="en-US"/>
              </w:rPr>
              <w:t>65</w:t>
            </w:r>
            <w:r w:rsidR="00543C57" w:rsidRPr="00C21B99">
              <w:rPr>
                <w:szCs w:val="22"/>
                <w:lang w:eastAsia="en-US"/>
              </w:rPr>
              <w:t>,</w:t>
            </w:r>
            <w:r w:rsidRPr="00C21B99">
              <w:rPr>
                <w:szCs w:val="22"/>
                <w:lang w:eastAsia="en-US"/>
              </w:rPr>
              <w:t>7 (55</w:t>
            </w:r>
            <w:r w:rsidR="00543C57" w:rsidRPr="00C21B99">
              <w:rPr>
                <w:szCs w:val="22"/>
                <w:lang w:eastAsia="en-US"/>
              </w:rPr>
              <w:t>,</w:t>
            </w:r>
            <w:r w:rsidRPr="00C21B99">
              <w:rPr>
                <w:szCs w:val="22"/>
                <w:lang w:eastAsia="en-US"/>
              </w:rPr>
              <w:t>8</w:t>
            </w:r>
            <w:r w:rsidR="00543C57" w:rsidRPr="00C21B99">
              <w:rPr>
                <w:szCs w:val="22"/>
                <w:lang w:eastAsia="en-US"/>
              </w:rPr>
              <w:t>;</w:t>
            </w:r>
            <w:r w:rsidRPr="00C21B99">
              <w:rPr>
                <w:szCs w:val="22"/>
                <w:lang w:eastAsia="en-US"/>
              </w:rPr>
              <w:t xml:space="preserve"> 74</w:t>
            </w:r>
            <w:r w:rsidR="00B23ED9" w:rsidRPr="00C21B99">
              <w:rPr>
                <w:szCs w:val="22"/>
                <w:lang w:eastAsia="en-US"/>
              </w:rPr>
              <w:t>,</w:t>
            </w:r>
            <w:r w:rsidRPr="00C21B99">
              <w:rPr>
                <w:szCs w:val="22"/>
                <w:lang w:eastAsia="en-US"/>
              </w:rPr>
              <w:t>7)</w:t>
            </w:r>
          </w:p>
        </w:tc>
        <w:tc>
          <w:tcPr>
            <w:tcW w:w="1392" w:type="dxa"/>
            <w:tcBorders>
              <w:top w:val="single" w:sz="4" w:space="0" w:color="000000"/>
              <w:left w:val="single" w:sz="4" w:space="0" w:color="000000"/>
              <w:bottom w:val="single" w:sz="4" w:space="0" w:color="000000"/>
              <w:right w:val="single" w:sz="4" w:space="0" w:color="000000"/>
            </w:tcBorders>
          </w:tcPr>
          <w:p w14:paraId="6EA66F80" w14:textId="77777777" w:rsidR="005D2D9B" w:rsidRPr="00C21B99" w:rsidRDefault="005D2D9B" w:rsidP="00543C57">
            <w:pPr>
              <w:widowControl w:val="0"/>
              <w:ind w:left="45" w:right="119"/>
              <w:jc w:val="center"/>
              <w:rPr>
                <w:szCs w:val="22"/>
                <w:lang w:eastAsia="en-US"/>
              </w:rPr>
            </w:pPr>
            <w:r w:rsidRPr="00C21B99">
              <w:rPr>
                <w:szCs w:val="22"/>
                <w:lang w:eastAsia="en-US"/>
              </w:rPr>
              <w:t>105</w:t>
            </w:r>
          </w:p>
        </w:tc>
      </w:tr>
      <w:tr w:rsidR="005D2D9B" w:rsidRPr="00C21B99" w14:paraId="49F65EDE" w14:textId="77777777" w:rsidTr="005D2D9B">
        <w:trPr>
          <w:trHeight w:hRule="exact" w:val="530"/>
        </w:trPr>
        <w:tc>
          <w:tcPr>
            <w:tcW w:w="2006" w:type="dxa"/>
            <w:tcBorders>
              <w:top w:val="single" w:sz="4" w:space="0" w:color="000000"/>
              <w:left w:val="single" w:sz="4" w:space="0" w:color="000000"/>
              <w:bottom w:val="single" w:sz="4" w:space="0" w:color="000000"/>
              <w:right w:val="single" w:sz="4" w:space="0" w:color="000000"/>
            </w:tcBorders>
          </w:tcPr>
          <w:p w14:paraId="496D2044" w14:textId="77777777" w:rsidR="005D2D9B" w:rsidRPr="00C21B99" w:rsidRDefault="005D2D9B" w:rsidP="00543C57">
            <w:pPr>
              <w:widowControl w:val="0"/>
              <w:ind w:left="45" w:right="119"/>
              <w:rPr>
                <w:szCs w:val="22"/>
                <w:lang w:eastAsia="en-US"/>
              </w:rPr>
            </w:pPr>
            <w:r w:rsidRPr="00C21B99">
              <w:rPr>
                <w:szCs w:val="22"/>
                <w:lang w:eastAsia="en-US"/>
              </w:rPr>
              <w:t>Specifiškumas</w:t>
            </w:r>
          </w:p>
        </w:tc>
        <w:tc>
          <w:tcPr>
            <w:tcW w:w="3141" w:type="dxa"/>
            <w:tcBorders>
              <w:top w:val="single" w:sz="4" w:space="0" w:color="000000"/>
              <w:left w:val="single" w:sz="4" w:space="0" w:color="000000"/>
              <w:bottom w:val="single" w:sz="4" w:space="0" w:color="000000"/>
              <w:right w:val="single" w:sz="4" w:space="0" w:color="000000"/>
            </w:tcBorders>
          </w:tcPr>
          <w:p w14:paraId="7A7BA286" w14:textId="77777777" w:rsidR="005D2D9B" w:rsidRPr="00C21B99" w:rsidRDefault="005D2D9B" w:rsidP="00543C57">
            <w:pPr>
              <w:widowControl w:val="0"/>
              <w:ind w:left="45" w:right="119"/>
              <w:rPr>
                <w:szCs w:val="22"/>
                <w:lang w:eastAsia="en-US"/>
              </w:rPr>
            </w:pPr>
            <w:r w:rsidRPr="00C21B99">
              <w:rPr>
                <w:szCs w:val="22"/>
                <w:lang w:eastAsia="en-US"/>
              </w:rPr>
              <w:t xml:space="preserve">Navikų M- dalis, kai </w:t>
            </w:r>
            <w:proofErr w:type="spellStart"/>
            <w:r w:rsidRPr="00C21B99">
              <w:rPr>
                <w:szCs w:val="22"/>
                <w:lang w:eastAsia="en-US"/>
              </w:rPr>
              <w:t>cnDNR</w:t>
            </w:r>
            <w:proofErr w:type="spellEnd"/>
            <w:r w:rsidRPr="00C21B99">
              <w:rPr>
                <w:szCs w:val="22"/>
                <w:lang w:eastAsia="en-US"/>
              </w:rPr>
              <w:t xml:space="preserve"> rod</w:t>
            </w:r>
            <w:r w:rsidR="00543C57" w:rsidRPr="00C21B99">
              <w:rPr>
                <w:szCs w:val="22"/>
                <w:lang w:eastAsia="en-US"/>
              </w:rPr>
              <w:t>o</w:t>
            </w:r>
            <w:r w:rsidRPr="00C21B99">
              <w:rPr>
                <w:szCs w:val="22"/>
                <w:lang w:eastAsia="en-US"/>
              </w:rPr>
              <w:t xml:space="preserve"> M-</w:t>
            </w:r>
            <w:r w:rsidRPr="00C21B99">
              <w:rPr>
                <w:spacing w:val="-1"/>
                <w:szCs w:val="22"/>
                <w:lang w:eastAsia="en-US"/>
              </w:rPr>
              <w:t>)</w:t>
            </w:r>
          </w:p>
        </w:tc>
        <w:tc>
          <w:tcPr>
            <w:tcW w:w="2641" w:type="dxa"/>
            <w:tcBorders>
              <w:top w:val="single" w:sz="4" w:space="0" w:color="000000"/>
              <w:left w:val="single" w:sz="4" w:space="0" w:color="000000"/>
              <w:bottom w:val="single" w:sz="4" w:space="0" w:color="000000"/>
              <w:right w:val="single" w:sz="4" w:space="0" w:color="000000"/>
            </w:tcBorders>
          </w:tcPr>
          <w:p w14:paraId="7416ED02" w14:textId="77777777" w:rsidR="005D2D9B" w:rsidRPr="00C21B99" w:rsidRDefault="005D2D9B" w:rsidP="00B23ED9">
            <w:pPr>
              <w:widowControl w:val="0"/>
              <w:ind w:left="45" w:right="119"/>
              <w:jc w:val="center"/>
              <w:rPr>
                <w:szCs w:val="22"/>
                <w:lang w:eastAsia="en-US"/>
              </w:rPr>
            </w:pPr>
            <w:r w:rsidRPr="00C21B99">
              <w:rPr>
                <w:szCs w:val="22"/>
                <w:lang w:eastAsia="en-US"/>
              </w:rPr>
              <w:t>99</w:t>
            </w:r>
            <w:r w:rsidR="00543C57" w:rsidRPr="00C21B99">
              <w:rPr>
                <w:szCs w:val="22"/>
                <w:lang w:eastAsia="en-US"/>
              </w:rPr>
              <w:t>,</w:t>
            </w:r>
            <w:r w:rsidRPr="00C21B99">
              <w:rPr>
                <w:szCs w:val="22"/>
                <w:lang w:eastAsia="en-US"/>
              </w:rPr>
              <w:t>8 (99</w:t>
            </w:r>
            <w:r w:rsidR="00543C57" w:rsidRPr="00C21B99">
              <w:rPr>
                <w:szCs w:val="22"/>
                <w:lang w:eastAsia="en-US"/>
              </w:rPr>
              <w:t>,</w:t>
            </w:r>
            <w:r w:rsidRPr="00C21B99">
              <w:rPr>
                <w:szCs w:val="22"/>
                <w:lang w:eastAsia="en-US"/>
              </w:rPr>
              <w:t>0</w:t>
            </w:r>
            <w:r w:rsidR="00B23ED9" w:rsidRPr="00C21B99">
              <w:rPr>
                <w:szCs w:val="22"/>
                <w:lang w:eastAsia="en-US"/>
              </w:rPr>
              <w:t>;</w:t>
            </w:r>
            <w:r w:rsidRPr="00C21B99">
              <w:rPr>
                <w:szCs w:val="22"/>
                <w:lang w:eastAsia="en-US"/>
              </w:rPr>
              <w:t xml:space="preserve"> 100</w:t>
            </w:r>
            <w:r w:rsidR="00B23ED9" w:rsidRPr="00C21B99">
              <w:rPr>
                <w:szCs w:val="22"/>
                <w:lang w:eastAsia="en-US"/>
              </w:rPr>
              <w:t>,</w:t>
            </w:r>
            <w:r w:rsidRPr="00C21B99">
              <w:rPr>
                <w:szCs w:val="22"/>
                <w:lang w:eastAsia="en-US"/>
              </w:rPr>
              <w:t>0)</w:t>
            </w:r>
          </w:p>
        </w:tc>
        <w:tc>
          <w:tcPr>
            <w:tcW w:w="1392" w:type="dxa"/>
            <w:tcBorders>
              <w:top w:val="single" w:sz="4" w:space="0" w:color="000000"/>
              <w:left w:val="single" w:sz="4" w:space="0" w:color="000000"/>
              <w:bottom w:val="single" w:sz="4" w:space="0" w:color="000000"/>
              <w:right w:val="single" w:sz="4" w:space="0" w:color="000000"/>
            </w:tcBorders>
          </w:tcPr>
          <w:p w14:paraId="2E8F4928" w14:textId="77777777" w:rsidR="005D2D9B" w:rsidRPr="00C21B99" w:rsidRDefault="005D2D9B" w:rsidP="00543C57">
            <w:pPr>
              <w:widowControl w:val="0"/>
              <w:ind w:left="45" w:right="119"/>
              <w:jc w:val="center"/>
              <w:rPr>
                <w:szCs w:val="22"/>
                <w:lang w:eastAsia="en-US"/>
              </w:rPr>
            </w:pPr>
            <w:r w:rsidRPr="00C21B99">
              <w:rPr>
                <w:szCs w:val="22"/>
                <w:lang w:eastAsia="en-US"/>
              </w:rPr>
              <w:t>547</w:t>
            </w:r>
          </w:p>
        </w:tc>
      </w:tr>
    </w:tbl>
    <w:p w14:paraId="0BA2549A" w14:textId="77777777" w:rsidR="005D2D9B" w:rsidRPr="00C21B99" w:rsidRDefault="005D2D9B" w:rsidP="00554C64">
      <w:pPr>
        <w:widowControl w:val="0"/>
        <w:tabs>
          <w:tab w:val="left" w:pos="567"/>
        </w:tabs>
        <w:rPr>
          <w:snapToGrid w:val="0"/>
          <w:szCs w:val="22"/>
          <w:lang w:eastAsia="en-US"/>
        </w:rPr>
      </w:pPr>
    </w:p>
    <w:p w14:paraId="6D944546" w14:textId="77777777" w:rsidR="005D2D9B" w:rsidRPr="00C21B99" w:rsidRDefault="00B23ED9" w:rsidP="00B23ED9">
      <w:pPr>
        <w:widowControl w:val="0"/>
        <w:tabs>
          <w:tab w:val="left" w:pos="567"/>
        </w:tabs>
        <w:rPr>
          <w:snapToGrid w:val="0"/>
          <w:szCs w:val="22"/>
          <w:lang w:eastAsia="en-US"/>
        </w:rPr>
      </w:pPr>
      <w:r w:rsidRPr="00C21B99">
        <w:rPr>
          <w:snapToGrid w:val="0"/>
          <w:szCs w:val="22"/>
          <w:lang w:eastAsia="en-US"/>
        </w:rPr>
        <w:t xml:space="preserve">Šie duomenys atitinka gautus IPASS tyrimo metu atlikus iš anksto numatytą japonų pogrupio žvalgomąją analizę (Goto 2012). Jo metu rinkiniu EGFR </w:t>
      </w:r>
      <w:proofErr w:type="spellStart"/>
      <w:r w:rsidRPr="00C21B99">
        <w:rPr>
          <w:snapToGrid w:val="0"/>
          <w:szCs w:val="22"/>
          <w:lang w:eastAsia="en-US"/>
        </w:rPr>
        <w:t>Mutation</w:t>
      </w:r>
      <w:proofErr w:type="spellEnd"/>
      <w:r w:rsidRPr="00C21B99">
        <w:rPr>
          <w:snapToGrid w:val="0"/>
          <w:szCs w:val="22"/>
          <w:lang w:eastAsia="en-US"/>
        </w:rPr>
        <w:t xml:space="preserve"> </w:t>
      </w:r>
      <w:proofErr w:type="spellStart"/>
      <w:r w:rsidRPr="00C21B99">
        <w:rPr>
          <w:snapToGrid w:val="0"/>
          <w:szCs w:val="22"/>
          <w:lang w:eastAsia="en-US"/>
        </w:rPr>
        <w:t>Test</w:t>
      </w:r>
      <w:proofErr w:type="spellEnd"/>
      <w:r w:rsidRPr="00C21B99">
        <w:rPr>
          <w:snapToGrid w:val="0"/>
          <w:szCs w:val="22"/>
          <w:lang w:eastAsia="en-US"/>
        </w:rPr>
        <w:t xml:space="preserve"> </w:t>
      </w:r>
      <w:proofErr w:type="spellStart"/>
      <w:r w:rsidRPr="00C21B99">
        <w:rPr>
          <w:snapToGrid w:val="0"/>
          <w:szCs w:val="22"/>
          <w:lang w:eastAsia="en-US"/>
        </w:rPr>
        <w:t>Kit</w:t>
      </w:r>
      <w:proofErr w:type="spellEnd"/>
      <w:r w:rsidRPr="00C21B99">
        <w:rPr>
          <w:snapToGrid w:val="0"/>
          <w:szCs w:val="22"/>
          <w:lang w:eastAsia="en-US"/>
        </w:rPr>
        <w:t xml:space="preserve"> (</w:t>
      </w:r>
      <w:proofErr w:type="spellStart"/>
      <w:r w:rsidRPr="00C21B99">
        <w:rPr>
          <w:snapToGrid w:val="0"/>
          <w:szCs w:val="22"/>
          <w:lang w:eastAsia="en-US"/>
        </w:rPr>
        <w:t>DxS</w:t>
      </w:r>
      <w:proofErr w:type="spellEnd"/>
      <w:r w:rsidRPr="00C21B99">
        <w:rPr>
          <w:snapToGrid w:val="0"/>
          <w:szCs w:val="22"/>
          <w:lang w:eastAsia="en-US"/>
        </w:rPr>
        <w:t xml:space="preserve">) ištyrus iš serumo (ne plazmos) gautos </w:t>
      </w:r>
      <w:proofErr w:type="spellStart"/>
      <w:r w:rsidRPr="00C21B99">
        <w:rPr>
          <w:snapToGrid w:val="0"/>
          <w:szCs w:val="22"/>
          <w:lang w:eastAsia="en-US"/>
        </w:rPr>
        <w:t>cnDNR</w:t>
      </w:r>
      <w:proofErr w:type="spellEnd"/>
      <w:r w:rsidRPr="00C21B99">
        <w:rPr>
          <w:snapToGrid w:val="0"/>
          <w:szCs w:val="22"/>
          <w:lang w:eastAsia="en-US"/>
        </w:rPr>
        <w:t xml:space="preserve"> EAFR mutacijas (N = 86), jautrumas buvo 43,1 %, o specifiškumas – 100 %.</w:t>
      </w:r>
    </w:p>
    <w:p w14:paraId="6C328A82" w14:textId="77777777" w:rsidR="005D2D9B" w:rsidRPr="00C21B99" w:rsidRDefault="005D2D9B" w:rsidP="00554C64">
      <w:pPr>
        <w:widowControl w:val="0"/>
        <w:tabs>
          <w:tab w:val="left" w:pos="567"/>
        </w:tabs>
        <w:rPr>
          <w:snapToGrid w:val="0"/>
          <w:szCs w:val="22"/>
          <w:lang w:eastAsia="en-US"/>
        </w:rPr>
      </w:pPr>
    </w:p>
    <w:p w14:paraId="69F895A2" w14:textId="77777777" w:rsidR="00B23ED9" w:rsidRPr="00C21B99" w:rsidRDefault="00B23ED9" w:rsidP="00B23ED9">
      <w:pPr>
        <w:widowControl w:val="0"/>
        <w:tabs>
          <w:tab w:val="left" w:pos="567"/>
        </w:tabs>
        <w:rPr>
          <w:snapToGrid w:val="0"/>
          <w:szCs w:val="22"/>
          <w:u w:val="single"/>
          <w:lang w:eastAsia="en-US"/>
        </w:rPr>
      </w:pPr>
      <w:r w:rsidRPr="00C21B99">
        <w:rPr>
          <w:snapToGrid w:val="0"/>
          <w:szCs w:val="22"/>
          <w:u w:val="single"/>
          <w:lang w:eastAsia="en-US"/>
        </w:rPr>
        <w:t>Klinikinis veiksmingumas ir saugumas</w:t>
      </w:r>
    </w:p>
    <w:p w14:paraId="00916429" w14:textId="77777777" w:rsidR="00B23ED9" w:rsidRPr="00C21B99" w:rsidRDefault="00B23ED9" w:rsidP="00B23ED9">
      <w:pPr>
        <w:widowControl w:val="0"/>
        <w:tabs>
          <w:tab w:val="left" w:pos="567"/>
        </w:tabs>
        <w:rPr>
          <w:snapToGrid w:val="0"/>
          <w:szCs w:val="22"/>
          <w:lang w:eastAsia="en-US"/>
        </w:rPr>
      </w:pPr>
      <w:r w:rsidRPr="00C21B99">
        <w:rPr>
          <w:snapToGrid w:val="0"/>
          <w:szCs w:val="22"/>
          <w:lang w:eastAsia="en-US"/>
        </w:rPr>
        <w:t>Pirmiausiai pasirenkamas gydymas</w:t>
      </w:r>
    </w:p>
    <w:p w14:paraId="64BC397B" w14:textId="77777777" w:rsidR="00B23ED9" w:rsidRPr="00C21B99" w:rsidRDefault="00B23ED9" w:rsidP="00B23ED9">
      <w:pPr>
        <w:widowControl w:val="0"/>
        <w:tabs>
          <w:tab w:val="left" w:pos="567"/>
        </w:tabs>
        <w:rPr>
          <w:snapToGrid w:val="0"/>
          <w:szCs w:val="22"/>
          <w:lang w:eastAsia="en-US"/>
        </w:rPr>
      </w:pPr>
      <w:r w:rsidRPr="00C21B99">
        <w:rPr>
          <w:snapToGrid w:val="0"/>
          <w:szCs w:val="22"/>
          <w:lang w:eastAsia="en-US"/>
        </w:rPr>
        <w:t>Atsitiktinės atrankos III fazės pirmiausiai pasirenkamo gydymo IPASS tyrime dalyvavo pacientai Azijoje</w:t>
      </w:r>
      <w:r w:rsidRPr="00C21B99">
        <w:rPr>
          <w:snapToGrid w:val="0"/>
          <w:szCs w:val="22"/>
          <w:vertAlign w:val="superscript"/>
          <w:lang w:eastAsia="en-US"/>
        </w:rPr>
        <w:t>1</w:t>
      </w:r>
      <w:r w:rsidRPr="00C21B99">
        <w:rPr>
          <w:snapToGrid w:val="0"/>
          <w:szCs w:val="22"/>
          <w:lang w:eastAsia="en-US"/>
        </w:rPr>
        <w:t xml:space="preserve">, sergantys progresavusiu (IIIB arba IV stadijos) </w:t>
      </w:r>
      <w:proofErr w:type="spellStart"/>
      <w:r w:rsidRPr="00C21B99">
        <w:rPr>
          <w:snapToGrid w:val="0"/>
          <w:szCs w:val="22"/>
          <w:lang w:eastAsia="en-US"/>
        </w:rPr>
        <w:t>adenokarcinomos</w:t>
      </w:r>
      <w:proofErr w:type="spellEnd"/>
      <w:r w:rsidRPr="00C21B99">
        <w:rPr>
          <w:snapToGrid w:val="0"/>
          <w:szCs w:val="22"/>
          <w:lang w:eastAsia="en-US"/>
        </w:rPr>
        <w:t xml:space="preserve"> histologinės struktūros nesmulkiųjų ląstelių plaučių vėžiu. Šie pacientai anksčiau rūkė nedaug (mažiau kaip 10 pakelių per metus, metė rūkyti prieš daugiau kaip 15 metų) arba nerūkė (žr. 3 lentelę).</w:t>
      </w:r>
    </w:p>
    <w:p w14:paraId="23F6138E" w14:textId="77777777" w:rsidR="00B23ED9" w:rsidRPr="00C21B99" w:rsidRDefault="00B23ED9" w:rsidP="00B23ED9">
      <w:pPr>
        <w:widowControl w:val="0"/>
        <w:tabs>
          <w:tab w:val="left" w:pos="567"/>
        </w:tabs>
        <w:rPr>
          <w:snapToGrid w:val="0"/>
          <w:szCs w:val="22"/>
          <w:lang w:eastAsia="en-US"/>
        </w:rPr>
      </w:pPr>
    </w:p>
    <w:p w14:paraId="3258F4CB" w14:textId="77777777" w:rsidR="00B23ED9" w:rsidRPr="00C21B99" w:rsidRDefault="00B23ED9" w:rsidP="00B23ED9">
      <w:pPr>
        <w:widowControl w:val="0"/>
        <w:tabs>
          <w:tab w:val="left" w:pos="567"/>
        </w:tabs>
        <w:rPr>
          <w:snapToGrid w:val="0"/>
          <w:szCs w:val="22"/>
          <w:lang w:eastAsia="en-US"/>
        </w:rPr>
      </w:pPr>
      <w:r w:rsidRPr="00C21B99">
        <w:rPr>
          <w:snapToGrid w:val="0"/>
          <w:szCs w:val="22"/>
          <w:vertAlign w:val="superscript"/>
          <w:lang w:eastAsia="en-US"/>
        </w:rPr>
        <w:t xml:space="preserve">1 </w:t>
      </w:r>
      <w:r w:rsidRPr="00C21B99">
        <w:rPr>
          <w:snapToGrid w:val="0"/>
          <w:szCs w:val="22"/>
          <w:lang w:eastAsia="en-US"/>
        </w:rPr>
        <w:t>Kinija, Honkongas, Indonezija, Japonija, Malaizija, Filipinai, Singapūras, Taivanas ir Tailandas.</w:t>
      </w:r>
    </w:p>
    <w:p w14:paraId="19B3F128" w14:textId="77777777" w:rsidR="00530BE3" w:rsidRPr="00C21B99" w:rsidRDefault="00530BE3" w:rsidP="00B23ED9">
      <w:pPr>
        <w:widowControl w:val="0"/>
        <w:tabs>
          <w:tab w:val="left" w:pos="567"/>
        </w:tabs>
        <w:rPr>
          <w:snapToGrid w:val="0"/>
          <w:szCs w:val="22"/>
          <w:lang w:eastAsia="en-US"/>
        </w:rPr>
      </w:pPr>
    </w:p>
    <w:p w14:paraId="2737441B" w14:textId="77777777" w:rsidR="00530BE3" w:rsidRPr="00C21B99" w:rsidRDefault="00530BE3" w:rsidP="00530BE3">
      <w:pPr>
        <w:widowControl w:val="0"/>
        <w:tabs>
          <w:tab w:val="left" w:pos="567"/>
        </w:tabs>
        <w:rPr>
          <w:b/>
          <w:snapToGrid w:val="0"/>
          <w:szCs w:val="22"/>
          <w:lang w:eastAsia="en-US"/>
        </w:rPr>
      </w:pPr>
      <w:r w:rsidRPr="00C21B99">
        <w:rPr>
          <w:b/>
          <w:snapToGrid w:val="0"/>
          <w:szCs w:val="22"/>
          <w:lang w:eastAsia="en-US"/>
        </w:rPr>
        <w:t xml:space="preserve">3 lentelė. </w:t>
      </w:r>
      <w:proofErr w:type="spellStart"/>
      <w:r w:rsidRPr="00C21B99">
        <w:rPr>
          <w:b/>
          <w:snapToGrid w:val="0"/>
          <w:szCs w:val="22"/>
          <w:lang w:eastAsia="en-US"/>
        </w:rPr>
        <w:t>Gefitinibo</w:t>
      </w:r>
      <w:proofErr w:type="spellEnd"/>
      <w:r w:rsidR="00C2247F" w:rsidRPr="00C21B99">
        <w:rPr>
          <w:b/>
          <w:snapToGrid w:val="0"/>
          <w:szCs w:val="22"/>
          <w:lang w:eastAsia="en-US"/>
        </w:rPr>
        <w:t>,</w:t>
      </w:r>
      <w:r w:rsidRPr="00C21B99">
        <w:rPr>
          <w:b/>
          <w:snapToGrid w:val="0"/>
          <w:szCs w:val="22"/>
          <w:lang w:eastAsia="en-US"/>
        </w:rPr>
        <w:t xml:space="preserve"> </w:t>
      </w:r>
      <w:r w:rsidR="00C2247F" w:rsidRPr="00C21B99">
        <w:rPr>
          <w:b/>
          <w:snapToGrid w:val="0"/>
          <w:szCs w:val="22"/>
          <w:lang w:eastAsia="en-US"/>
        </w:rPr>
        <w:t xml:space="preserve">palyginti su </w:t>
      </w:r>
      <w:proofErr w:type="spellStart"/>
      <w:r w:rsidR="00C2247F" w:rsidRPr="00C21B99">
        <w:rPr>
          <w:b/>
          <w:snapToGrid w:val="0"/>
          <w:szCs w:val="22"/>
          <w:lang w:eastAsia="en-US"/>
        </w:rPr>
        <w:t>karboplatinos</w:t>
      </w:r>
      <w:proofErr w:type="spellEnd"/>
      <w:r w:rsidR="00C2247F" w:rsidRPr="00C21B99">
        <w:rPr>
          <w:b/>
          <w:snapToGrid w:val="0"/>
          <w:szCs w:val="22"/>
          <w:lang w:eastAsia="en-US"/>
        </w:rPr>
        <w:t xml:space="preserve"> ir </w:t>
      </w:r>
      <w:proofErr w:type="spellStart"/>
      <w:r w:rsidR="00C2247F" w:rsidRPr="00C21B99">
        <w:rPr>
          <w:b/>
          <w:snapToGrid w:val="0"/>
          <w:szCs w:val="22"/>
          <w:lang w:eastAsia="en-US"/>
        </w:rPr>
        <w:t>paklitakselio</w:t>
      </w:r>
      <w:proofErr w:type="spellEnd"/>
      <w:r w:rsidR="00C2247F" w:rsidRPr="00C21B99">
        <w:rPr>
          <w:b/>
          <w:snapToGrid w:val="0"/>
          <w:szCs w:val="22"/>
          <w:lang w:eastAsia="en-US"/>
        </w:rPr>
        <w:t xml:space="preserve"> deriniu, </w:t>
      </w:r>
      <w:r w:rsidRPr="00C21B99">
        <w:rPr>
          <w:b/>
          <w:snapToGrid w:val="0"/>
          <w:szCs w:val="22"/>
          <w:lang w:eastAsia="en-US"/>
        </w:rPr>
        <w:t>veiksmingumo rezultat</w:t>
      </w:r>
      <w:r w:rsidR="00C2247F" w:rsidRPr="00C21B99">
        <w:rPr>
          <w:b/>
          <w:snapToGrid w:val="0"/>
          <w:szCs w:val="22"/>
          <w:lang w:eastAsia="en-US"/>
        </w:rPr>
        <w:t>ai</w:t>
      </w:r>
      <w:r w:rsidRPr="00C21B99">
        <w:rPr>
          <w:b/>
          <w:snapToGrid w:val="0"/>
          <w:szCs w:val="22"/>
          <w:lang w:eastAsia="en-US"/>
        </w:rPr>
        <w:t xml:space="preserve"> IPASS tyrimo </w:t>
      </w:r>
      <w:r w:rsidR="00C2247F" w:rsidRPr="00C21B99">
        <w:rPr>
          <w:b/>
          <w:snapToGrid w:val="0"/>
          <w:szCs w:val="22"/>
          <w:lang w:eastAsia="en-US"/>
        </w:rPr>
        <w:t>duomenimis</w:t>
      </w:r>
      <w:r w:rsidRPr="00C21B99">
        <w:rPr>
          <w:b/>
          <w:snapToGrid w:val="0"/>
          <w:szCs w:val="22"/>
          <w:lang w:eastAsia="en-US"/>
        </w:rPr>
        <w:t xml:space="preserve"> </w:t>
      </w:r>
    </w:p>
    <w:p w14:paraId="0E3C789C" w14:textId="77777777" w:rsidR="00B23ED9" w:rsidRPr="00C21B99" w:rsidRDefault="00B23ED9" w:rsidP="00554C64">
      <w:pPr>
        <w:widowControl w:val="0"/>
        <w:tabs>
          <w:tab w:val="left" w:pos="567"/>
        </w:tabs>
        <w:rPr>
          <w:snapToGrid w:val="0"/>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51"/>
        <w:gridCol w:w="1984"/>
        <w:gridCol w:w="1982"/>
        <w:gridCol w:w="1701"/>
      </w:tblGrid>
      <w:tr w:rsidR="00B23ED9" w:rsidRPr="00C21B99" w14:paraId="107998FC" w14:textId="77777777" w:rsidTr="0092757F">
        <w:trPr>
          <w:trHeight w:val="966"/>
          <w:jc w:val="center"/>
        </w:trPr>
        <w:tc>
          <w:tcPr>
            <w:tcW w:w="2126" w:type="dxa"/>
            <w:tcBorders>
              <w:top w:val="single" w:sz="18" w:space="0" w:color="auto"/>
              <w:left w:val="nil"/>
              <w:bottom w:val="single" w:sz="12" w:space="0" w:color="auto"/>
              <w:right w:val="nil"/>
            </w:tcBorders>
            <w:shd w:val="clear" w:color="auto" w:fill="auto"/>
          </w:tcPr>
          <w:p w14:paraId="40EBA002" w14:textId="77777777" w:rsidR="00B23ED9" w:rsidRPr="00C21B99" w:rsidRDefault="00B23ED9" w:rsidP="0092757F">
            <w:pPr>
              <w:widowControl w:val="0"/>
              <w:jc w:val="center"/>
              <w:rPr>
                <w:rFonts w:eastAsia="Calibri"/>
                <w:b/>
                <w:bCs/>
                <w:szCs w:val="22"/>
                <w:lang w:eastAsia="en-US"/>
              </w:rPr>
            </w:pPr>
            <w:r w:rsidRPr="00C21B99">
              <w:rPr>
                <w:rFonts w:eastAsia="Calibri"/>
                <w:b/>
                <w:bCs/>
                <w:szCs w:val="22"/>
                <w:lang w:eastAsia="en-US"/>
              </w:rPr>
              <w:lastRenderedPageBreak/>
              <w:t>Populiacija</w:t>
            </w:r>
          </w:p>
        </w:tc>
        <w:tc>
          <w:tcPr>
            <w:tcW w:w="851" w:type="dxa"/>
            <w:tcBorders>
              <w:top w:val="single" w:sz="18" w:space="0" w:color="auto"/>
              <w:left w:val="nil"/>
              <w:bottom w:val="single" w:sz="12" w:space="0" w:color="auto"/>
              <w:right w:val="nil"/>
            </w:tcBorders>
            <w:shd w:val="clear" w:color="auto" w:fill="auto"/>
          </w:tcPr>
          <w:p w14:paraId="2A66546E" w14:textId="77777777" w:rsidR="00B23ED9" w:rsidRPr="00C21B99" w:rsidRDefault="00B23ED9" w:rsidP="0092757F">
            <w:pPr>
              <w:widowControl w:val="0"/>
              <w:jc w:val="center"/>
              <w:rPr>
                <w:rFonts w:eastAsia="Calibri"/>
                <w:b/>
                <w:bCs/>
                <w:szCs w:val="22"/>
                <w:lang w:eastAsia="en-US"/>
              </w:rPr>
            </w:pPr>
            <w:r w:rsidRPr="00C21B99">
              <w:rPr>
                <w:rFonts w:eastAsia="Calibri"/>
                <w:b/>
                <w:bCs/>
                <w:szCs w:val="22"/>
                <w:lang w:eastAsia="en-US"/>
              </w:rPr>
              <w:t>N</w:t>
            </w:r>
          </w:p>
        </w:tc>
        <w:tc>
          <w:tcPr>
            <w:tcW w:w="1984" w:type="dxa"/>
            <w:tcBorders>
              <w:top w:val="single" w:sz="18" w:space="0" w:color="auto"/>
              <w:left w:val="nil"/>
              <w:bottom w:val="single" w:sz="12" w:space="0" w:color="auto"/>
              <w:right w:val="nil"/>
            </w:tcBorders>
            <w:shd w:val="clear" w:color="auto" w:fill="auto"/>
          </w:tcPr>
          <w:p w14:paraId="32C1C26C" w14:textId="77777777" w:rsidR="00B23ED9" w:rsidRPr="00C21B99" w:rsidRDefault="00B23ED9" w:rsidP="0092757F">
            <w:pPr>
              <w:widowControl w:val="0"/>
              <w:autoSpaceDE w:val="0"/>
              <w:autoSpaceDN w:val="0"/>
              <w:adjustRightInd w:val="0"/>
              <w:jc w:val="center"/>
              <w:rPr>
                <w:rFonts w:eastAsia="Calibri"/>
                <w:b/>
                <w:bCs/>
                <w:szCs w:val="22"/>
                <w:lang w:eastAsia="en-US"/>
              </w:rPr>
            </w:pPr>
            <w:r w:rsidRPr="00C21B99">
              <w:rPr>
                <w:rFonts w:eastAsia="Calibri"/>
                <w:b/>
                <w:bCs/>
                <w:szCs w:val="22"/>
                <w:lang w:eastAsia="en-US"/>
              </w:rPr>
              <w:t>Objektyvaus atsako dažnis ir skirtumo tarp gydymo grupių</w:t>
            </w:r>
          </w:p>
          <w:p w14:paraId="4E4C877E" w14:textId="77777777" w:rsidR="00B23ED9" w:rsidRPr="00C21B99" w:rsidRDefault="00B23ED9" w:rsidP="0092757F">
            <w:pPr>
              <w:widowControl w:val="0"/>
              <w:autoSpaceDE w:val="0"/>
              <w:autoSpaceDN w:val="0"/>
              <w:adjustRightInd w:val="0"/>
              <w:jc w:val="center"/>
              <w:rPr>
                <w:rFonts w:eastAsia="Calibri"/>
                <w:b/>
                <w:bCs/>
                <w:szCs w:val="22"/>
                <w:lang w:eastAsia="en-US"/>
              </w:rPr>
            </w:pPr>
            <w:r w:rsidRPr="00C21B99">
              <w:rPr>
                <w:rFonts w:eastAsia="Calibri"/>
                <w:b/>
                <w:bCs/>
                <w:szCs w:val="22"/>
                <w:lang w:eastAsia="en-US"/>
              </w:rPr>
              <w:t xml:space="preserve">95% </w:t>
            </w:r>
            <w:proofErr w:type="spellStart"/>
            <w:r w:rsidRPr="00C21B99">
              <w:rPr>
                <w:rFonts w:eastAsia="Calibri"/>
                <w:b/>
                <w:bCs/>
                <w:szCs w:val="22"/>
                <w:lang w:eastAsia="en-US"/>
              </w:rPr>
              <w:t>PI</w:t>
            </w:r>
            <w:r w:rsidRPr="00C21B99">
              <w:rPr>
                <w:rFonts w:eastAsia="Calibri"/>
                <w:b/>
                <w:bCs/>
                <w:szCs w:val="22"/>
                <w:vertAlign w:val="superscript"/>
                <w:lang w:eastAsia="en-US"/>
              </w:rPr>
              <w:t>a</w:t>
            </w:r>
            <w:proofErr w:type="spellEnd"/>
          </w:p>
        </w:tc>
        <w:tc>
          <w:tcPr>
            <w:tcW w:w="1982" w:type="dxa"/>
            <w:tcBorders>
              <w:top w:val="single" w:sz="18" w:space="0" w:color="auto"/>
              <w:left w:val="nil"/>
              <w:bottom w:val="single" w:sz="12" w:space="0" w:color="auto"/>
              <w:right w:val="nil"/>
            </w:tcBorders>
            <w:shd w:val="clear" w:color="auto" w:fill="auto"/>
          </w:tcPr>
          <w:p w14:paraId="68F6D9F1" w14:textId="77777777" w:rsidR="00B23ED9" w:rsidRPr="00C21B99" w:rsidRDefault="00B23ED9" w:rsidP="0092757F">
            <w:pPr>
              <w:widowControl w:val="0"/>
              <w:autoSpaceDE w:val="0"/>
              <w:autoSpaceDN w:val="0"/>
              <w:adjustRightInd w:val="0"/>
              <w:jc w:val="center"/>
              <w:rPr>
                <w:rFonts w:eastAsia="Calibri"/>
                <w:b/>
                <w:bCs/>
                <w:szCs w:val="22"/>
                <w:lang w:eastAsia="en-US"/>
              </w:rPr>
            </w:pPr>
            <w:r w:rsidRPr="00C21B99">
              <w:rPr>
                <w:rFonts w:eastAsia="Calibri"/>
                <w:b/>
                <w:bCs/>
                <w:szCs w:val="22"/>
                <w:lang w:eastAsia="en-US"/>
              </w:rPr>
              <w:t>Pagrindinė vertinamoji ba</w:t>
            </w:r>
            <w:r w:rsidR="00C21B99">
              <w:rPr>
                <w:rFonts w:eastAsia="Calibri"/>
                <w:b/>
                <w:bCs/>
                <w:szCs w:val="22"/>
                <w:lang w:eastAsia="en-US"/>
              </w:rPr>
              <w:t>i</w:t>
            </w:r>
            <w:r w:rsidRPr="00C21B99">
              <w:rPr>
                <w:rFonts w:eastAsia="Calibri"/>
                <w:b/>
                <w:bCs/>
                <w:szCs w:val="22"/>
                <w:lang w:eastAsia="en-US"/>
              </w:rPr>
              <w:t>gtis</w:t>
            </w:r>
          </w:p>
          <w:p w14:paraId="6113E557" w14:textId="77777777" w:rsidR="00B23ED9" w:rsidRPr="00C21B99" w:rsidRDefault="00B23ED9" w:rsidP="0092757F">
            <w:pPr>
              <w:widowControl w:val="0"/>
              <w:autoSpaceDE w:val="0"/>
              <w:autoSpaceDN w:val="0"/>
              <w:adjustRightInd w:val="0"/>
              <w:jc w:val="center"/>
              <w:rPr>
                <w:rFonts w:eastAsia="Calibri"/>
                <w:b/>
                <w:bCs/>
                <w:szCs w:val="22"/>
                <w:lang w:eastAsia="en-US"/>
              </w:rPr>
            </w:pPr>
            <w:r w:rsidRPr="00C21B99">
              <w:rPr>
                <w:rFonts w:eastAsia="Calibri"/>
                <w:b/>
                <w:bCs/>
                <w:szCs w:val="22"/>
                <w:lang w:eastAsia="en-US"/>
              </w:rPr>
              <w:t xml:space="preserve">- neprogresuojant ligai išgyvento laikotarpio </w:t>
            </w:r>
            <w:proofErr w:type="spellStart"/>
            <w:r w:rsidRPr="00C21B99">
              <w:rPr>
                <w:rFonts w:eastAsia="Calibri"/>
                <w:b/>
                <w:bCs/>
                <w:szCs w:val="22"/>
                <w:lang w:eastAsia="en-US"/>
              </w:rPr>
              <w:t>trukmė</w:t>
            </w:r>
            <w:r w:rsidRPr="00C21B99">
              <w:rPr>
                <w:rFonts w:eastAsia="Calibri"/>
                <w:b/>
                <w:bCs/>
                <w:szCs w:val="22"/>
                <w:vertAlign w:val="superscript"/>
                <w:lang w:eastAsia="en-US"/>
              </w:rPr>
              <w:t>a</w:t>
            </w:r>
            <w:proofErr w:type="spellEnd"/>
            <w:r w:rsidRPr="00C21B99">
              <w:rPr>
                <w:rFonts w:eastAsia="Calibri"/>
                <w:b/>
                <w:bCs/>
                <w:szCs w:val="22"/>
                <w:vertAlign w:val="superscript"/>
                <w:lang w:eastAsia="en-US"/>
              </w:rPr>
              <w:t>, b</w:t>
            </w:r>
          </w:p>
        </w:tc>
        <w:tc>
          <w:tcPr>
            <w:tcW w:w="1701" w:type="dxa"/>
            <w:tcBorders>
              <w:top w:val="single" w:sz="18" w:space="0" w:color="auto"/>
              <w:left w:val="nil"/>
              <w:bottom w:val="single" w:sz="12" w:space="0" w:color="auto"/>
              <w:right w:val="nil"/>
            </w:tcBorders>
            <w:shd w:val="clear" w:color="auto" w:fill="auto"/>
          </w:tcPr>
          <w:p w14:paraId="53521EEF" w14:textId="77777777" w:rsidR="00B23ED9" w:rsidRPr="00C21B99" w:rsidRDefault="00B23ED9" w:rsidP="0092757F">
            <w:pPr>
              <w:widowControl w:val="0"/>
              <w:jc w:val="center"/>
              <w:rPr>
                <w:rFonts w:eastAsia="Calibri"/>
                <w:b/>
                <w:bCs/>
                <w:szCs w:val="22"/>
                <w:lang w:eastAsia="en-US"/>
              </w:rPr>
            </w:pPr>
            <w:r w:rsidRPr="00C21B99">
              <w:rPr>
                <w:rFonts w:eastAsia="Calibri"/>
                <w:b/>
                <w:bCs/>
                <w:szCs w:val="22"/>
                <w:lang w:eastAsia="en-US"/>
              </w:rPr>
              <w:t xml:space="preserve">Bendras </w:t>
            </w:r>
            <w:proofErr w:type="spellStart"/>
            <w:r w:rsidRPr="00C21B99">
              <w:rPr>
                <w:rFonts w:eastAsia="Calibri"/>
                <w:b/>
                <w:bCs/>
                <w:szCs w:val="22"/>
                <w:lang w:eastAsia="en-US"/>
              </w:rPr>
              <w:t>išgyvenimas</w:t>
            </w:r>
            <w:r w:rsidRPr="00C21B99">
              <w:rPr>
                <w:rFonts w:eastAsia="Calibri"/>
                <w:b/>
                <w:bCs/>
                <w:szCs w:val="22"/>
                <w:vertAlign w:val="superscript"/>
                <w:lang w:eastAsia="en-US"/>
              </w:rPr>
              <w:t>a,b</w:t>
            </w:r>
            <w:proofErr w:type="spellEnd"/>
          </w:p>
        </w:tc>
      </w:tr>
      <w:tr w:rsidR="00B23ED9" w:rsidRPr="00C21B99" w14:paraId="6C5ADB26" w14:textId="77777777" w:rsidTr="0092757F">
        <w:trPr>
          <w:jc w:val="center"/>
        </w:trPr>
        <w:tc>
          <w:tcPr>
            <w:tcW w:w="2126" w:type="dxa"/>
            <w:tcBorders>
              <w:top w:val="single" w:sz="12" w:space="0" w:color="auto"/>
              <w:left w:val="nil"/>
              <w:bottom w:val="single" w:sz="4" w:space="0" w:color="auto"/>
              <w:right w:val="nil"/>
            </w:tcBorders>
            <w:shd w:val="clear" w:color="auto" w:fill="auto"/>
          </w:tcPr>
          <w:p w14:paraId="23EEAD14" w14:textId="77777777" w:rsidR="00B23ED9" w:rsidRPr="00C21B99" w:rsidRDefault="00C2247F" w:rsidP="0092757F">
            <w:pPr>
              <w:widowControl w:val="0"/>
              <w:autoSpaceDE w:val="0"/>
              <w:autoSpaceDN w:val="0"/>
              <w:adjustRightInd w:val="0"/>
              <w:jc w:val="center"/>
              <w:rPr>
                <w:rFonts w:eastAsia="Calibri"/>
                <w:szCs w:val="22"/>
                <w:lang w:eastAsia="en-US"/>
              </w:rPr>
            </w:pPr>
            <w:r w:rsidRPr="00C21B99">
              <w:rPr>
                <w:rFonts w:eastAsia="Calibri"/>
                <w:szCs w:val="22"/>
                <w:lang w:eastAsia="en-US"/>
              </w:rPr>
              <w:t>I</w:t>
            </w:r>
            <w:r w:rsidR="00B23ED9" w:rsidRPr="00C21B99">
              <w:rPr>
                <w:rFonts w:eastAsia="Calibri"/>
                <w:szCs w:val="22"/>
                <w:lang w:eastAsia="en-US"/>
              </w:rPr>
              <w:t>š viso</w:t>
            </w:r>
          </w:p>
        </w:tc>
        <w:tc>
          <w:tcPr>
            <w:tcW w:w="851" w:type="dxa"/>
            <w:tcBorders>
              <w:top w:val="single" w:sz="12" w:space="0" w:color="auto"/>
              <w:left w:val="nil"/>
              <w:bottom w:val="single" w:sz="4" w:space="0" w:color="auto"/>
              <w:right w:val="nil"/>
            </w:tcBorders>
            <w:shd w:val="clear" w:color="auto" w:fill="auto"/>
          </w:tcPr>
          <w:p w14:paraId="16728E38"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1217</w:t>
            </w:r>
          </w:p>
        </w:tc>
        <w:tc>
          <w:tcPr>
            <w:tcW w:w="1984" w:type="dxa"/>
            <w:tcBorders>
              <w:top w:val="single" w:sz="12" w:space="0" w:color="auto"/>
              <w:left w:val="nil"/>
              <w:bottom w:val="single" w:sz="4" w:space="0" w:color="auto"/>
              <w:right w:val="nil"/>
            </w:tcBorders>
            <w:shd w:val="clear" w:color="auto" w:fill="auto"/>
          </w:tcPr>
          <w:p w14:paraId="43C6A56D" w14:textId="77777777" w:rsidR="00B23ED9" w:rsidRPr="00C21B99" w:rsidRDefault="00B23ED9" w:rsidP="0092757F">
            <w:pPr>
              <w:widowControl w:val="0"/>
              <w:jc w:val="center"/>
              <w:rPr>
                <w:rFonts w:eastAsia="Calibri"/>
                <w:szCs w:val="22"/>
                <w:lang w:eastAsia="en-US"/>
              </w:rPr>
            </w:pPr>
            <w:r w:rsidRPr="00C21B99">
              <w:rPr>
                <w:rFonts w:eastAsia="Calibri"/>
                <w:szCs w:val="22"/>
                <w:lang w:eastAsia="en-US"/>
              </w:rPr>
              <w:t>43,0% plg. 32,2%</w:t>
            </w:r>
          </w:p>
          <w:p w14:paraId="36C53172" w14:textId="77777777" w:rsidR="00B23ED9" w:rsidRPr="00C21B99" w:rsidRDefault="00B23ED9" w:rsidP="0092757F">
            <w:pPr>
              <w:widowControl w:val="0"/>
              <w:jc w:val="center"/>
              <w:rPr>
                <w:rFonts w:eastAsia="Calibri"/>
                <w:szCs w:val="22"/>
                <w:lang w:eastAsia="en-US"/>
              </w:rPr>
            </w:pPr>
            <w:r w:rsidRPr="00C21B99">
              <w:rPr>
                <w:rFonts w:eastAsia="Calibri"/>
                <w:szCs w:val="22"/>
                <w:lang w:eastAsia="en-US"/>
              </w:rPr>
              <w:t>[5,3%; 16.1%]</w:t>
            </w:r>
          </w:p>
        </w:tc>
        <w:tc>
          <w:tcPr>
            <w:tcW w:w="1982" w:type="dxa"/>
            <w:tcBorders>
              <w:top w:val="single" w:sz="12" w:space="0" w:color="auto"/>
              <w:left w:val="nil"/>
              <w:bottom w:val="single" w:sz="4" w:space="0" w:color="auto"/>
              <w:right w:val="nil"/>
            </w:tcBorders>
            <w:shd w:val="clear" w:color="auto" w:fill="auto"/>
          </w:tcPr>
          <w:p w14:paraId="4606BD01"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RS 0.74</w:t>
            </w:r>
          </w:p>
          <w:p w14:paraId="0B8D99FF"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[0,65</w:t>
            </w:r>
            <w:r w:rsidR="00FF720E" w:rsidRPr="00C21B99">
              <w:rPr>
                <w:rFonts w:eastAsia="Calibri"/>
                <w:szCs w:val="22"/>
                <w:lang w:eastAsia="en-US"/>
              </w:rPr>
              <w:t xml:space="preserve"> –</w:t>
            </w:r>
            <w:r w:rsidRPr="00C21B99">
              <w:rPr>
                <w:rFonts w:eastAsia="Calibri"/>
                <w:szCs w:val="22"/>
                <w:lang w:eastAsia="en-US"/>
              </w:rPr>
              <w:t xml:space="preserve"> 0</w:t>
            </w:r>
            <w:r w:rsidR="00FF720E" w:rsidRPr="00C21B99">
              <w:rPr>
                <w:rFonts w:eastAsia="Calibri"/>
                <w:szCs w:val="22"/>
                <w:lang w:eastAsia="en-US"/>
              </w:rPr>
              <w:t>,</w:t>
            </w:r>
            <w:r w:rsidRPr="00C21B99">
              <w:rPr>
                <w:rFonts w:eastAsia="Calibri"/>
                <w:szCs w:val="22"/>
                <w:lang w:eastAsia="en-US"/>
              </w:rPr>
              <w:t>85]</w:t>
            </w:r>
          </w:p>
          <w:p w14:paraId="52597BD1"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5.7 m</w:t>
            </w:r>
            <w:r w:rsidR="00FF720E" w:rsidRPr="00C21B99">
              <w:rPr>
                <w:rFonts w:eastAsia="Calibri"/>
                <w:szCs w:val="22"/>
                <w:lang w:eastAsia="en-US"/>
              </w:rPr>
              <w:t>ėn.,</w:t>
            </w:r>
            <w:r w:rsidRPr="00C21B99">
              <w:rPr>
                <w:rFonts w:eastAsia="Calibri"/>
                <w:szCs w:val="22"/>
                <w:lang w:eastAsia="en-US"/>
              </w:rPr>
              <w:t xml:space="preserve"> </w:t>
            </w:r>
            <w:r w:rsidR="00FF720E" w:rsidRPr="00C21B99">
              <w:rPr>
                <w:rFonts w:eastAsia="Calibri"/>
                <w:szCs w:val="22"/>
                <w:lang w:eastAsia="en-US"/>
              </w:rPr>
              <w:t>plg.</w:t>
            </w:r>
            <w:r w:rsidRPr="00C21B99">
              <w:rPr>
                <w:rFonts w:eastAsia="Calibri"/>
                <w:szCs w:val="22"/>
                <w:lang w:eastAsia="en-US"/>
              </w:rPr>
              <w:t xml:space="preserve"> 5.8 m</w:t>
            </w:r>
            <w:r w:rsidR="00FF720E" w:rsidRPr="00C21B99">
              <w:rPr>
                <w:rFonts w:eastAsia="Calibri"/>
                <w:szCs w:val="22"/>
                <w:lang w:eastAsia="en-US"/>
              </w:rPr>
              <w:t>ėn.</w:t>
            </w:r>
          </w:p>
          <w:p w14:paraId="4DEFD2E6" w14:textId="77777777" w:rsidR="00B23ED9" w:rsidRPr="00C21B99" w:rsidRDefault="00B23ED9" w:rsidP="0092757F">
            <w:pPr>
              <w:widowControl w:val="0"/>
              <w:jc w:val="center"/>
              <w:rPr>
                <w:rFonts w:eastAsia="Calibri"/>
                <w:szCs w:val="22"/>
                <w:lang w:eastAsia="en-US"/>
              </w:rPr>
            </w:pPr>
            <w:r w:rsidRPr="00C21B99">
              <w:rPr>
                <w:rFonts w:eastAsia="Calibri"/>
                <w:szCs w:val="22"/>
                <w:lang w:eastAsia="en-US"/>
              </w:rPr>
              <w:t>p&lt;0</w:t>
            </w:r>
            <w:r w:rsidR="00FF720E" w:rsidRPr="00C21B99">
              <w:rPr>
                <w:rFonts w:eastAsia="Calibri"/>
                <w:szCs w:val="22"/>
                <w:lang w:eastAsia="en-US"/>
              </w:rPr>
              <w:t>,</w:t>
            </w:r>
            <w:r w:rsidRPr="00C21B99">
              <w:rPr>
                <w:rFonts w:eastAsia="Calibri"/>
                <w:szCs w:val="22"/>
                <w:lang w:eastAsia="en-US"/>
              </w:rPr>
              <w:t>0001</w:t>
            </w:r>
          </w:p>
        </w:tc>
        <w:tc>
          <w:tcPr>
            <w:tcW w:w="1701" w:type="dxa"/>
            <w:tcBorders>
              <w:top w:val="single" w:sz="12" w:space="0" w:color="auto"/>
              <w:left w:val="nil"/>
              <w:bottom w:val="single" w:sz="4" w:space="0" w:color="auto"/>
              <w:right w:val="nil"/>
            </w:tcBorders>
            <w:shd w:val="clear" w:color="auto" w:fill="auto"/>
          </w:tcPr>
          <w:p w14:paraId="047A9075" w14:textId="77777777" w:rsidR="00B23ED9" w:rsidRPr="00C21B99" w:rsidRDefault="00FF720E" w:rsidP="0092757F">
            <w:pPr>
              <w:widowControl w:val="0"/>
              <w:autoSpaceDE w:val="0"/>
              <w:autoSpaceDN w:val="0"/>
              <w:adjustRightInd w:val="0"/>
              <w:jc w:val="center"/>
              <w:rPr>
                <w:rFonts w:eastAsia="Calibri"/>
                <w:szCs w:val="22"/>
                <w:lang w:eastAsia="en-US"/>
              </w:rPr>
            </w:pPr>
            <w:r w:rsidRPr="00C21B99">
              <w:rPr>
                <w:rFonts w:eastAsia="Calibri"/>
                <w:szCs w:val="22"/>
                <w:lang w:eastAsia="en-US"/>
              </w:rPr>
              <w:t>RS</w:t>
            </w:r>
            <w:r w:rsidR="00B23ED9" w:rsidRPr="00C21B99">
              <w:rPr>
                <w:rFonts w:eastAsia="Calibri"/>
                <w:szCs w:val="22"/>
                <w:lang w:eastAsia="en-US"/>
              </w:rPr>
              <w:t xml:space="preserve"> 0.90</w:t>
            </w:r>
          </w:p>
          <w:p w14:paraId="6D04963E"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[0</w:t>
            </w:r>
            <w:r w:rsidR="00FF720E" w:rsidRPr="00C21B99">
              <w:rPr>
                <w:rFonts w:eastAsia="Calibri"/>
                <w:szCs w:val="22"/>
                <w:lang w:eastAsia="en-US"/>
              </w:rPr>
              <w:t>,</w:t>
            </w:r>
            <w:r w:rsidRPr="00C21B99">
              <w:rPr>
                <w:rFonts w:eastAsia="Calibri"/>
                <w:szCs w:val="22"/>
                <w:lang w:eastAsia="en-US"/>
              </w:rPr>
              <w:t>79</w:t>
            </w:r>
            <w:r w:rsidR="00FF720E" w:rsidRPr="00C21B99">
              <w:rPr>
                <w:rFonts w:eastAsia="Calibri"/>
                <w:szCs w:val="22"/>
                <w:lang w:eastAsia="en-US"/>
              </w:rPr>
              <w:t xml:space="preserve"> –</w:t>
            </w:r>
            <w:r w:rsidRPr="00C21B99">
              <w:rPr>
                <w:rFonts w:eastAsia="Calibri"/>
                <w:szCs w:val="22"/>
                <w:lang w:eastAsia="en-US"/>
              </w:rPr>
              <w:t xml:space="preserve"> 1</w:t>
            </w:r>
            <w:r w:rsidR="00FF720E" w:rsidRPr="00C21B99">
              <w:rPr>
                <w:rFonts w:eastAsia="Calibri"/>
                <w:szCs w:val="22"/>
                <w:lang w:eastAsia="en-US"/>
              </w:rPr>
              <w:t>,</w:t>
            </w:r>
            <w:r w:rsidRPr="00C21B99">
              <w:rPr>
                <w:rFonts w:eastAsia="Calibri"/>
                <w:szCs w:val="22"/>
                <w:lang w:eastAsia="en-US"/>
              </w:rPr>
              <w:t>02]</w:t>
            </w:r>
          </w:p>
          <w:p w14:paraId="6404BC23"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 xml:space="preserve">18.8 </w:t>
            </w:r>
            <w:r w:rsidR="00FF720E" w:rsidRPr="00C21B99">
              <w:rPr>
                <w:rFonts w:eastAsia="Calibri"/>
                <w:szCs w:val="22"/>
                <w:lang w:eastAsia="en-US"/>
              </w:rPr>
              <w:t>mėn.,</w:t>
            </w:r>
            <w:r w:rsidRPr="00C21B99">
              <w:rPr>
                <w:rFonts w:eastAsia="Calibri"/>
                <w:szCs w:val="22"/>
                <w:lang w:eastAsia="en-US"/>
              </w:rPr>
              <w:t xml:space="preserve"> </w:t>
            </w:r>
            <w:proofErr w:type="spellStart"/>
            <w:r w:rsidR="00FF720E" w:rsidRPr="00C21B99">
              <w:rPr>
                <w:rFonts w:eastAsia="Calibri"/>
                <w:szCs w:val="22"/>
                <w:lang w:eastAsia="en-US"/>
              </w:rPr>
              <w:t>plg</w:t>
            </w:r>
            <w:proofErr w:type="spellEnd"/>
            <w:r w:rsidRPr="00C21B99">
              <w:rPr>
                <w:rFonts w:eastAsia="Calibri"/>
                <w:szCs w:val="22"/>
                <w:lang w:eastAsia="en-US"/>
              </w:rPr>
              <w:t xml:space="preserve"> 17</w:t>
            </w:r>
            <w:r w:rsidR="00FF720E" w:rsidRPr="00C21B99">
              <w:rPr>
                <w:rFonts w:eastAsia="Calibri"/>
                <w:szCs w:val="22"/>
                <w:lang w:eastAsia="en-US"/>
              </w:rPr>
              <w:t>,</w:t>
            </w:r>
            <w:r w:rsidRPr="00C21B99">
              <w:rPr>
                <w:rFonts w:eastAsia="Calibri"/>
                <w:szCs w:val="22"/>
                <w:lang w:eastAsia="en-US"/>
              </w:rPr>
              <w:t xml:space="preserve"> 4</w:t>
            </w:r>
            <w:r w:rsidR="00FF720E" w:rsidRPr="00C21B99">
              <w:rPr>
                <w:rFonts w:eastAsia="Calibri"/>
                <w:szCs w:val="22"/>
                <w:lang w:eastAsia="en-US"/>
              </w:rPr>
              <w:t xml:space="preserve"> </w:t>
            </w:r>
            <w:r w:rsidRPr="00C21B99">
              <w:rPr>
                <w:rFonts w:eastAsia="Calibri"/>
                <w:szCs w:val="22"/>
                <w:lang w:eastAsia="en-US"/>
              </w:rPr>
              <w:t>m</w:t>
            </w:r>
            <w:r w:rsidR="00FF720E" w:rsidRPr="00C21B99">
              <w:rPr>
                <w:rFonts w:eastAsia="Calibri"/>
                <w:szCs w:val="22"/>
                <w:lang w:eastAsia="en-US"/>
              </w:rPr>
              <w:t>ėn.</w:t>
            </w:r>
          </w:p>
          <w:p w14:paraId="24B26F0C"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p=0</w:t>
            </w:r>
            <w:r w:rsidR="00FF720E" w:rsidRPr="00C21B99">
              <w:rPr>
                <w:rFonts w:eastAsia="Calibri"/>
                <w:szCs w:val="22"/>
                <w:lang w:eastAsia="en-US"/>
              </w:rPr>
              <w:t>,</w:t>
            </w:r>
            <w:r w:rsidRPr="00C21B99">
              <w:rPr>
                <w:rFonts w:eastAsia="Calibri"/>
                <w:szCs w:val="22"/>
                <w:lang w:eastAsia="en-US"/>
              </w:rPr>
              <w:t>1087</w:t>
            </w:r>
          </w:p>
        </w:tc>
      </w:tr>
      <w:tr w:rsidR="00B23ED9" w:rsidRPr="00C21B99" w14:paraId="77E7A1DF" w14:textId="77777777" w:rsidTr="0092757F">
        <w:trPr>
          <w:jc w:val="center"/>
        </w:trPr>
        <w:tc>
          <w:tcPr>
            <w:tcW w:w="2126" w:type="dxa"/>
            <w:tcBorders>
              <w:top w:val="single" w:sz="4" w:space="0" w:color="auto"/>
              <w:left w:val="nil"/>
              <w:bottom w:val="single" w:sz="2" w:space="0" w:color="auto"/>
              <w:right w:val="nil"/>
            </w:tcBorders>
            <w:shd w:val="clear" w:color="auto" w:fill="auto"/>
          </w:tcPr>
          <w:p w14:paraId="74963F0E"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EGFR</w:t>
            </w:r>
            <w:r w:rsidR="00FF720E" w:rsidRPr="00C21B99">
              <w:rPr>
                <w:rFonts w:eastAsia="Calibri"/>
                <w:szCs w:val="22"/>
                <w:lang w:eastAsia="en-US"/>
              </w:rPr>
              <w:t xml:space="preserve"> </w:t>
            </w:r>
            <w:r w:rsidRPr="00C21B99">
              <w:rPr>
                <w:rFonts w:eastAsia="Calibri"/>
                <w:szCs w:val="22"/>
                <w:lang w:eastAsia="en-US"/>
              </w:rPr>
              <w:t>muta</w:t>
            </w:r>
            <w:r w:rsidR="00FF720E" w:rsidRPr="00C21B99">
              <w:rPr>
                <w:rFonts w:eastAsia="Calibri"/>
                <w:szCs w:val="22"/>
                <w:lang w:eastAsia="en-US"/>
              </w:rPr>
              <w:t>cijos atžvilgiu teigiami</w:t>
            </w:r>
          </w:p>
        </w:tc>
        <w:tc>
          <w:tcPr>
            <w:tcW w:w="851" w:type="dxa"/>
            <w:tcBorders>
              <w:top w:val="single" w:sz="4" w:space="0" w:color="auto"/>
              <w:left w:val="nil"/>
              <w:bottom w:val="single" w:sz="2" w:space="0" w:color="auto"/>
              <w:right w:val="nil"/>
            </w:tcBorders>
            <w:shd w:val="clear" w:color="auto" w:fill="auto"/>
          </w:tcPr>
          <w:p w14:paraId="42FDFED6"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261</w:t>
            </w:r>
          </w:p>
        </w:tc>
        <w:tc>
          <w:tcPr>
            <w:tcW w:w="1984" w:type="dxa"/>
            <w:tcBorders>
              <w:top w:val="single" w:sz="4" w:space="0" w:color="auto"/>
              <w:left w:val="nil"/>
              <w:bottom w:val="single" w:sz="2" w:space="0" w:color="auto"/>
              <w:right w:val="nil"/>
            </w:tcBorders>
            <w:shd w:val="clear" w:color="auto" w:fill="auto"/>
          </w:tcPr>
          <w:p w14:paraId="2526303C"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71</w:t>
            </w:r>
            <w:r w:rsidR="00FF720E" w:rsidRPr="00C21B99">
              <w:rPr>
                <w:rFonts w:eastAsia="Calibri"/>
                <w:szCs w:val="22"/>
                <w:lang w:eastAsia="en-US"/>
              </w:rPr>
              <w:t>,</w:t>
            </w:r>
            <w:r w:rsidRPr="00C21B99">
              <w:rPr>
                <w:rFonts w:eastAsia="Calibri"/>
                <w:szCs w:val="22"/>
                <w:lang w:eastAsia="en-US"/>
              </w:rPr>
              <w:t>2%</w:t>
            </w:r>
            <w:r w:rsidR="00FF720E" w:rsidRPr="00C21B99">
              <w:rPr>
                <w:rFonts w:eastAsia="Calibri"/>
                <w:szCs w:val="22"/>
                <w:lang w:eastAsia="en-US"/>
              </w:rPr>
              <w:t xml:space="preserve">, </w:t>
            </w:r>
            <w:proofErr w:type="spellStart"/>
            <w:r w:rsidR="00FF720E" w:rsidRPr="00C21B99">
              <w:rPr>
                <w:rFonts w:eastAsia="Calibri"/>
                <w:szCs w:val="22"/>
                <w:lang w:eastAsia="en-US"/>
              </w:rPr>
              <w:t>plg</w:t>
            </w:r>
            <w:proofErr w:type="spellEnd"/>
            <w:r w:rsidRPr="00C21B99">
              <w:rPr>
                <w:rFonts w:eastAsia="Calibri"/>
                <w:szCs w:val="22"/>
                <w:lang w:eastAsia="en-US"/>
              </w:rPr>
              <w:t xml:space="preserve"> 47</w:t>
            </w:r>
            <w:r w:rsidR="00FF720E" w:rsidRPr="00C21B99">
              <w:rPr>
                <w:rFonts w:eastAsia="Calibri"/>
                <w:szCs w:val="22"/>
                <w:lang w:eastAsia="en-US"/>
              </w:rPr>
              <w:t>,</w:t>
            </w:r>
            <w:r w:rsidRPr="00C21B99">
              <w:rPr>
                <w:rFonts w:eastAsia="Calibri"/>
                <w:szCs w:val="22"/>
                <w:lang w:eastAsia="en-US"/>
              </w:rPr>
              <w:t>3%</w:t>
            </w:r>
          </w:p>
          <w:p w14:paraId="45153521"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[12</w:t>
            </w:r>
            <w:r w:rsidR="00FF720E" w:rsidRPr="00C21B99">
              <w:rPr>
                <w:rFonts w:eastAsia="Calibri"/>
                <w:szCs w:val="22"/>
                <w:lang w:eastAsia="en-US"/>
              </w:rPr>
              <w:t>,</w:t>
            </w:r>
            <w:r w:rsidRPr="00C21B99">
              <w:rPr>
                <w:rFonts w:eastAsia="Calibri"/>
                <w:szCs w:val="22"/>
                <w:lang w:eastAsia="en-US"/>
              </w:rPr>
              <w:t>0%, 34</w:t>
            </w:r>
            <w:r w:rsidR="00FF720E" w:rsidRPr="00C21B99">
              <w:rPr>
                <w:rFonts w:eastAsia="Calibri"/>
                <w:szCs w:val="22"/>
                <w:lang w:eastAsia="en-US"/>
              </w:rPr>
              <w:t>,</w:t>
            </w:r>
            <w:r w:rsidRPr="00C21B99">
              <w:rPr>
                <w:rFonts w:eastAsia="Calibri"/>
                <w:szCs w:val="22"/>
                <w:lang w:eastAsia="en-US"/>
              </w:rPr>
              <w:t>9%]</w:t>
            </w:r>
          </w:p>
        </w:tc>
        <w:tc>
          <w:tcPr>
            <w:tcW w:w="1982" w:type="dxa"/>
            <w:tcBorders>
              <w:top w:val="single" w:sz="4" w:space="0" w:color="auto"/>
              <w:left w:val="nil"/>
              <w:bottom w:val="single" w:sz="2" w:space="0" w:color="auto"/>
              <w:right w:val="nil"/>
            </w:tcBorders>
            <w:shd w:val="clear" w:color="auto" w:fill="auto"/>
          </w:tcPr>
          <w:p w14:paraId="59A409D4" w14:textId="77777777" w:rsidR="00B23ED9" w:rsidRPr="00C21B99" w:rsidRDefault="00FF720E" w:rsidP="0092757F">
            <w:pPr>
              <w:widowControl w:val="0"/>
              <w:autoSpaceDE w:val="0"/>
              <w:autoSpaceDN w:val="0"/>
              <w:adjustRightInd w:val="0"/>
              <w:jc w:val="center"/>
              <w:rPr>
                <w:rFonts w:eastAsia="Calibri"/>
                <w:szCs w:val="22"/>
                <w:lang w:eastAsia="en-US"/>
              </w:rPr>
            </w:pPr>
            <w:r w:rsidRPr="00C21B99">
              <w:rPr>
                <w:rFonts w:eastAsia="Calibri"/>
                <w:szCs w:val="22"/>
                <w:lang w:eastAsia="en-US"/>
              </w:rPr>
              <w:t>RS</w:t>
            </w:r>
            <w:r w:rsidR="00B23ED9" w:rsidRPr="00C21B99">
              <w:rPr>
                <w:rFonts w:eastAsia="Calibri"/>
                <w:szCs w:val="22"/>
                <w:lang w:eastAsia="en-US"/>
              </w:rPr>
              <w:t xml:space="preserve"> 0.48</w:t>
            </w:r>
          </w:p>
          <w:p w14:paraId="0519F7DD"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[0</w:t>
            </w:r>
            <w:r w:rsidR="00FF720E" w:rsidRPr="00C21B99">
              <w:rPr>
                <w:rFonts w:eastAsia="Calibri"/>
                <w:szCs w:val="22"/>
                <w:lang w:eastAsia="en-US"/>
              </w:rPr>
              <w:t>,</w:t>
            </w:r>
            <w:r w:rsidRPr="00C21B99">
              <w:rPr>
                <w:rFonts w:eastAsia="Calibri"/>
                <w:szCs w:val="22"/>
                <w:lang w:eastAsia="en-US"/>
              </w:rPr>
              <w:t>36</w:t>
            </w:r>
            <w:r w:rsidR="00FF720E" w:rsidRPr="00C21B99">
              <w:rPr>
                <w:rFonts w:eastAsia="Calibri"/>
                <w:szCs w:val="22"/>
                <w:lang w:eastAsia="en-US"/>
              </w:rPr>
              <w:t xml:space="preserve"> –</w:t>
            </w:r>
            <w:r w:rsidRPr="00C21B99">
              <w:rPr>
                <w:rFonts w:eastAsia="Calibri"/>
                <w:szCs w:val="22"/>
                <w:lang w:eastAsia="en-US"/>
              </w:rPr>
              <w:t xml:space="preserve"> 0</w:t>
            </w:r>
            <w:r w:rsidR="00FF720E" w:rsidRPr="00C21B99">
              <w:rPr>
                <w:rFonts w:eastAsia="Calibri"/>
                <w:szCs w:val="22"/>
                <w:lang w:eastAsia="en-US"/>
              </w:rPr>
              <w:t>,</w:t>
            </w:r>
            <w:r w:rsidRPr="00C21B99">
              <w:rPr>
                <w:rFonts w:eastAsia="Calibri"/>
                <w:szCs w:val="22"/>
                <w:lang w:eastAsia="en-US"/>
              </w:rPr>
              <w:t>64]</w:t>
            </w:r>
          </w:p>
          <w:p w14:paraId="504697B3"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9</w:t>
            </w:r>
            <w:r w:rsidR="00FF720E" w:rsidRPr="00C21B99">
              <w:rPr>
                <w:rFonts w:eastAsia="Calibri"/>
                <w:szCs w:val="22"/>
                <w:lang w:eastAsia="en-US"/>
              </w:rPr>
              <w:t>,</w:t>
            </w:r>
            <w:r w:rsidRPr="00C21B99">
              <w:rPr>
                <w:rFonts w:eastAsia="Calibri"/>
                <w:szCs w:val="22"/>
                <w:lang w:eastAsia="en-US"/>
              </w:rPr>
              <w:t>5 m</w:t>
            </w:r>
            <w:r w:rsidR="00FF720E" w:rsidRPr="00C21B99">
              <w:rPr>
                <w:rFonts w:eastAsia="Calibri"/>
                <w:szCs w:val="22"/>
                <w:lang w:eastAsia="en-US"/>
              </w:rPr>
              <w:t>ėn., plg.</w:t>
            </w:r>
            <w:r w:rsidRPr="00C21B99">
              <w:rPr>
                <w:rFonts w:eastAsia="Calibri"/>
                <w:szCs w:val="22"/>
                <w:lang w:eastAsia="en-US"/>
              </w:rPr>
              <w:t xml:space="preserve"> 6.3 </w:t>
            </w:r>
            <w:proofErr w:type="spellStart"/>
            <w:r w:rsidRPr="00C21B99">
              <w:rPr>
                <w:rFonts w:eastAsia="Calibri"/>
                <w:szCs w:val="22"/>
                <w:lang w:eastAsia="en-US"/>
              </w:rPr>
              <w:t>m</w:t>
            </w:r>
            <w:r w:rsidR="00FF720E" w:rsidRPr="00C21B99">
              <w:rPr>
                <w:rFonts w:eastAsia="Calibri"/>
                <w:szCs w:val="22"/>
                <w:lang w:eastAsia="en-US"/>
              </w:rPr>
              <w:t>ėn</w:t>
            </w:r>
            <w:proofErr w:type="spellEnd"/>
          </w:p>
          <w:p w14:paraId="3F3693A1"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p&lt;0.0001</w:t>
            </w:r>
          </w:p>
        </w:tc>
        <w:tc>
          <w:tcPr>
            <w:tcW w:w="1701" w:type="dxa"/>
            <w:tcBorders>
              <w:top w:val="single" w:sz="4" w:space="0" w:color="auto"/>
              <w:left w:val="nil"/>
              <w:bottom w:val="single" w:sz="2" w:space="0" w:color="auto"/>
              <w:right w:val="nil"/>
            </w:tcBorders>
            <w:shd w:val="clear" w:color="auto" w:fill="auto"/>
          </w:tcPr>
          <w:p w14:paraId="2BCA6D05"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R</w:t>
            </w:r>
            <w:r w:rsidR="00FF720E" w:rsidRPr="00C21B99">
              <w:rPr>
                <w:rFonts w:eastAsia="Calibri"/>
                <w:szCs w:val="22"/>
                <w:lang w:eastAsia="en-US"/>
              </w:rPr>
              <w:t>S</w:t>
            </w:r>
            <w:r w:rsidRPr="00C21B99">
              <w:rPr>
                <w:rFonts w:eastAsia="Calibri"/>
                <w:szCs w:val="22"/>
                <w:lang w:eastAsia="en-US"/>
              </w:rPr>
              <w:t xml:space="preserve"> 1</w:t>
            </w:r>
            <w:r w:rsidR="00FF720E" w:rsidRPr="00C21B99">
              <w:rPr>
                <w:rFonts w:eastAsia="Calibri"/>
                <w:szCs w:val="22"/>
                <w:lang w:eastAsia="en-US"/>
              </w:rPr>
              <w:t>,</w:t>
            </w:r>
            <w:r w:rsidRPr="00C21B99">
              <w:rPr>
                <w:rFonts w:eastAsia="Calibri"/>
                <w:szCs w:val="22"/>
                <w:lang w:eastAsia="en-US"/>
              </w:rPr>
              <w:t>00</w:t>
            </w:r>
          </w:p>
          <w:p w14:paraId="0FC51104"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[0</w:t>
            </w:r>
            <w:r w:rsidR="00FF720E" w:rsidRPr="00C21B99">
              <w:rPr>
                <w:rFonts w:eastAsia="Calibri"/>
                <w:szCs w:val="22"/>
                <w:lang w:eastAsia="en-US"/>
              </w:rPr>
              <w:t>,</w:t>
            </w:r>
            <w:r w:rsidRPr="00C21B99">
              <w:rPr>
                <w:rFonts w:eastAsia="Calibri"/>
                <w:szCs w:val="22"/>
                <w:lang w:eastAsia="en-US"/>
              </w:rPr>
              <w:t>76</w:t>
            </w:r>
            <w:r w:rsidR="00FF720E" w:rsidRPr="00C21B99">
              <w:rPr>
                <w:rFonts w:eastAsia="Calibri"/>
                <w:szCs w:val="22"/>
                <w:lang w:eastAsia="en-US"/>
              </w:rPr>
              <w:t xml:space="preserve"> –</w:t>
            </w:r>
            <w:r w:rsidRPr="00C21B99">
              <w:rPr>
                <w:rFonts w:eastAsia="Calibri"/>
                <w:szCs w:val="22"/>
                <w:lang w:eastAsia="en-US"/>
              </w:rPr>
              <w:t xml:space="preserve"> 1</w:t>
            </w:r>
            <w:r w:rsidR="00FF720E" w:rsidRPr="00C21B99">
              <w:rPr>
                <w:rFonts w:eastAsia="Calibri"/>
                <w:szCs w:val="22"/>
                <w:lang w:eastAsia="en-US"/>
              </w:rPr>
              <w:t>,</w:t>
            </w:r>
            <w:r w:rsidRPr="00C21B99">
              <w:rPr>
                <w:rFonts w:eastAsia="Calibri"/>
                <w:szCs w:val="22"/>
                <w:lang w:eastAsia="en-US"/>
              </w:rPr>
              <w:t>33]</w:t>
            </w:r>
          </w:p>
          <w:p w14:paraId="162A82C6"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21</w:t>
            </w:r>
            <w:r w:rsidR="00FF720E" w:rsidRPr="00C21B99">
              <w:rPr>
                <w:rFonts w:eastAsia="Calibri"/>
                <w:szCs w:val="22"/>
                <w:lang w:eastAsia="en-US"/>
              </w:rPr>
              <w:t>,</w:t>
            </w:r>
            <w:r w:rsidRPr="00C21B99">
              <w:rPr>
                <w:rFonts w:eastAsia="Calibri"/>
                <w:szCs w:val="22"/>
                <w:lang w:eastAsia="en-US"/>
              </w:rPr>
              <w:t>6 m</w:t>
            </w:r>
            <w:r w:rsidR="00FF720E" w:rsidRPr="00C21B99">
              <w:rPr>
                <w:rFonts w:eastAsia="Calibri"/>
                <w:szCs w:val="22"/>
                <w:lang w:eastAsia="en-US"/>
              </w:rPr>
              <w:t xml:space="preserve">ėn., </w:t>
            </w:r>
            <w:proofErr w:type="spellStart"/>
            <w:r w:rsidR="00FF720E" w:rsidRPr="00C21B99">
              <w:rPr>
                <w:rFonts w:eastAsia="Calibri"/>
                <w:szCs w:val="22"/>
                <w:lang w:eastAsia="en-US"/>
              </w:rPr>
              <w:t>plg</w:t>
            </w:r>
            <w:proofErr w:type="spellEnd"/>
            <w:r w:rsidRPr="00C21B99">
              <w:rPr>
                <w:rFonts w:eastAsia="Calibri"/>
                <w:szCs w:val="22"/>
                <w:lang w:eastAsia="en-US"/>
              </w:rPr>
              <w:t xml:space="preserve"> 21.9 </w:t>
            </w:r>
            <w:proofErr w:type="spellStart"/>
            <w:r w:rsidRPr="00C21B99">
              <w:rPr>
                <w:rFonts w:eastAsia="Calibri"/>
                <w:szCs w:val="22"/>
                <w:lang w:eastAsia="en-US"/>
              </w:rPr>
              <w:t>m</w:t>
            </w:r>
            <w:r w:rsidR="00FF720E" w:rsidRPr="00C21B99">
              <w:rPr>
                <w:rFonts w:eastAsia="Calibri"/>
                <w:szCs w:val="22"/>
                <w:lang w:eastAsia="en-US"/>
              </w:rPr>
              <w:t>ėn</w:t>
            </w:r>
            <w:proofErr w:type="spellEnd"/>
          </w:p>
        </w:tc>
      </w:tr>
      <w:tr w:rsidR="00B23ED9" w:rsidRPr="00C21B99" w14:paraId="58E99091" w14:textId="77777777" w:rsidTr="0092757F">
        <w:trPr>
          <w:jc w:val="center"/>
        </w:trPr>
        <w:tc>
          <w:tcPr>
            <w:tcW w:w="2126" w:type="dxa"/>
            <w:tcBorders>
              <w:top w:val="single" w:sz="2" w:space="0" w:color="auto"/>
              <w:left w:val="nil"/>
              <w:bottom w:val="single" w:sz="2" w:space="0" w:color="auto"/>
              <w:right w:val="nil"/>
            </w:tcBorders>
            <w:shd w:val="clear" w:color="auto" w:fill="auto"/>
          </w:tcPr>
          <w:p w14:paraId="0C39CDD8" w14:textId="77777777" w:rsidR="00B23ED9" w:rsidRPr="00C21B99" w:rsidRDefault="00FF720E" w:rsidP="0092757F">
            <w:pPr>
              <w:widowControl w:val="0"/>
              <w:autoSpaceDE w:val="0"/>
              <w:autoSpaceDN w:val="0"/>
              <w:adjustRightInd w:val="0"/>
              <w:jc w:val="center"/>
              <w:rPr>
                <w:rFonts w:eastAsia="Calibri"/>
                <w:szCs w:val="22"/>
                <w:lang w:eastAsia="en-US"/>
              </w:rPr>
            </w:pPr>
            <w:r w:rsidRPr="00C21B99">
              <w:rPr>
                <w:rFonts w:eastAsia="Calibri"/>
                <w:szCs w:val="22"/>
                <w:lang w:eastAsia="en-US"/>
              </w:rPr>
              <w:t>EGFR mutacijos atžvilgiu neigiami</w:t>
            </w:r>
          </w:p>
        </w:tc>
        <w:tc>
          <w:tcPr>
            <w:tcW w:w="851" w:type="dxa"/>
            <w:tcBorders>
              <w:top w:val="single" w:sz="2" w:space="0" w:color="auto"/>
              <w:left w:val="nil"/>
              <w:bottom w:val="single" w:sz="2" w:space="0" w:color="auto"/>
              <w:right w:val="nil"/>
            </w:tcBorders>
            <w:shd w:val="clear" w:color="auto" w:fill="auto"/>
          </w:tcPr>
          <w:p w14:paraId="209A8541"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176</w:t>
            </w:r>
          </w:p>
        </w:tc>
        <w:tc>
          <w:tcPr>
            <w:tcW w:w="1984" w:type="dxa"/>
            <w:tcBorders>
              <w:top w:val="single" w:sz="2" w:space="0" w:color="auto"/>
              <w:left w:val="nil"/>
              <w:bottom w:val="single" w:sz="2" w:space="0" w:color="auto"/>
              <w:right w:val="nil"/>
            </w:tcBorders>
            <w:shd w:val="clear" w:color="auto" w:fill="auto"/>
          </w:tcPr>
          <w:p w14:paraId="62F6C16A"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w:t>
            </w:r>
            <w:r w:rsidR="00FF720E" w:rsidRPr="00C21B99">
              <w:rPr>
                <w:rFonts w:eastAsia="Calibri"/>
                <w:szCs w:val="22"/>
                <w:lang w:eastAsia="en-US"/>
              </w:rPr>
              <w:t>,</w:t>
            </w:r>
            <w:r w:rsidRPr="00C21B99">
              <w:rPr>
                <w:rFonts w:eastAsia="Calibri"/>
                <w:szCs w:val="22"/>
                <w:lang w:eastAsia="en-US"/>
              </w:rPr>
              <w:t>1%</w:t>
            </w:r>
            <w:r w:rsidR="00FF720E" w:rsidRPr="00C21B99">
              <w:rPr>
                <w:rFonts w:eastAsia="Calibri"/>
                <w:szCs w:val="22"/>
                <w:lang w:eastAsia="en-US"/>
              </w:rPr>
              <w:t>, plg.</w:t>
            </w:r>
            <w:r w:rsidRPr="00C21B99">
              <w:rPr>
                <w:rFonts w:eastAsia="Calibri"/>
                <w:szCs w:val="22"/>
                <w:lang w:eastAsia="en-US"/>
              </w:rPr>
              <w:t xml:space="preserve"> 23</w:t>
            </w:r>
            <w:r w:rsidR="00FF720E" w:rsidRPr="00C21B99">
              <w:rPr>
                <w:rFonts w:eastAsia="Calibri"/>
                <w:szCs w:val="22"/>
                <w:lang w:eastAsia="en-US"/>
              </w:rPr>
              <w:t>,</w:t>
            </w:r>
            <w:r w:rsidRPr="00C21B99">
              <w:rPr>
                <w:rFonts w:eastAsia="Calibri"/>
                <w:szCs w:val="22"/>
                <w:lang w:eastAsia="en-US"/>
              </w:rPr>
              <w:t>5%</w:t>
            </w:r>
          </w:p>
          <w:p w14:paraId="2F66DF31"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[-32</w:t>
            </w:r>
            <w:r w:rsidR="00FF720E" w:rsidRPr="00C21B99">
              <w:rPr>
                <w:rFonts w:eastAsia="Calibri"/>
                <w:szCs w:val="22"/>
                <w:lang w:eastAsia="en-US"/>
              </w:rPr>
              <w:t>,</w:t>
            </w:r>
            <w:r w:rsidRPr="00C21B99">
              <w:rPr>
                <w:rFonts w:eastAsia="Calibri"/>
                <w:szCs w:val="22"/>
                <w:lang w:eastAsia="en-US"/>
              </w:rPr>
              <w:t>5%, -13</w:t>
            </w:r>
            <w:r w:rsidR="00FF720E" w:rsidRPr="00C21B99">
              <w:rPr>
                <w:rFonts w:eastAsia="Calibri"/>
                <w:szCs w:val="22"/>
                <w:lang w:eastAsia="en-US"/>
              </w:rPr>
              <w:t>,</w:t>
            </w:r>
            <w:r w:rsidRPr="00C21B99">
              <w:rPr>
                <w:rFonts w:eastAsia="Calibri"/>
                <w:szCs w:val="22"/>
                <w:lang w:eastAsia="en-US"/>
              </w:rPr>
              <w:t>3%]</w:t>
            </w:r>
          </w:p>
        </w:tc>
        <w:tc>
          <w:tcPr>
            <w:tcW w:w="1982" w:type="dxa"/>
            <w:tcBorders>
              <w:top w:val="single" w:sz="2" w:space="0" w:color="auto"/>
              <w:left w:val="nil"/>
              <w:bottom w:val="single" w:sz="2" w:space="0" w:color="auto"/>
              <w:right w:val="nil"/>
            </w:tcBorders>
            <w:shd w:val="clear" w:color="auto" w:fill="auto"/>
          </w:tcPr>
          <w:p w14:paraId="188D32EB"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R</w:t>
            </w:r>
            <w:r w:rsidR="00FF720E" w:rsidRPr="00C21B99">
              <w:rPr>
                <w:rFonts w:eastAsia="Calibri"/>
                <w:szCs w:val="22"/>
                <w:lang w:eastAsia="en-US"/>
              </w:rPr>
              <w:t>S</w:t>
            </w:r>
            <w:r w:rsidRPr="00C21B99">
              <w:rPr>
                <w:rFonts w:eastAsia="Calibri"/>
                <w:szCs w:val="22"/>
                <w:lang w:eastAsia="en-US"/>
              </w:rPr>
              <w:t xml:space="preserve"> 2</w:t>
            </w:r>
            <w:r w:rsidR="00FF720E" w:rsidRPr="00C21B99">
              <w:rPr>
                <w:rFonts w:eastAsia="Calibri"/>
                <w:szCs w:val="22"/>
                <w:lang w:eastAsia="en-US"/>
              </w:rPr>
              <w:t>,</w:t>
            </w:r>
            <w:r w:rsidRPr="00C21B99">
              <w:rPr>
                <w:rFonts w:eastAsia="Calibri"/>
                <w:szCs w:val="22"/>
                <w:lang w:eastAsia="en-US"/>
              </w:rPr>
              <w:t>85</w:t>
            </w:r>
          </w:p>
          <w:p w14:paraId="7BE72C39"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[2</w:t>
            </w:r>
            <w:r w:rsidR="00FF720E" w:rsidRPr="00C21B99">
              <w:rPr>
                <w:rFonts w:eastAsia="Calibri"/>
                <w:szCs w:val="22"/>
                <w:lang w:eastAsia="en-US"/>
              </w:rPr>
              <w:t>,</w:t>
            </w:r>
            <w:r w:rsidRPr="00C21B99">
              <w:rPr>
                <w:rFonts w:eastAsia="Calibri"/>
                <w:szCs w:val="22"/>
                <w:lang w:eastAsia="en-US"/>
              </w:rPr>
              <w:t>05</w:t>
            </w:r>
            <w:r w:rsidR="00FF720E" w:rsidRPr="00C21B99">
              <w:rPr>
                <w:rFonts w:eastAsia="Calibri"/>
                <w:szCs w:val="22"/>
                <w:lang w:eastAsia="en-US"/>
              </w:rPr>
              <w:t xml:space="preserve"> -</w:t>
            </w:r>
            <w:r w:rsidRPr="00C21B99">
              <w:rPr>
                <w:rFonts w:eastAsia="Calibri"/>
                <w:szCs w:val="22"/>
                <w:lang w:eastAsia="en-US"/>
              </w:rPr>
              <w:t xml:space="preserve"> 3.98]</w:t>
            </w:r>
          </w:p>
          <w:p w14:paraId="6E987227"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w:t>
            </w:r>
            <w:r w:rsidR="00FF720E" w:rsidRPr="00C21B99">
              <w:rPr>
                <w:rFonts w:eastAsia="Calibri"/>
                <w:szCs w:val="22"/>
                <w:lang w:eastAsia="en-US"/>
              </w:rPr>
              <w:t>,</w:t>
            </w:r>
            <w:r w:rsidRPr="00C21B99">
              <w:rPr>
                <w:rFonts w:eastAsia="Calibri"/>
                <w:szCs w:val="22"/>
                <w:lang w:eastAsia="en-US"/>
              </w:rPr>
              <w:t>5 m</w:t>
            </w:r>
            <w:r w:rsidR="00FF720E" w:rsidRPr="00C21B99">
              <w:rPr>
                <w:rFonts w:eastAsia="Calibri"/>
                <w:szCs w:val="22"/>
                <w:lang w:eastAsia="en-US"/>
              </w:rPr>
              <w:t>ėn., plg.</w:t>
            </w:r>
            <w:r w:rsidRPr="00C21B99">
              <w:rPr>
                <w:rFonts w:eastAsia="Calibri"/>
                <w:szCs w:val="22"/>
                <w:lang w:eastAsia="en-US"/>
              </w:rPr>
              <w:t xml:space="preserve"> 5.5 </w:t>
            </w:r>
            <w:proofErr w:type="spellStart"/>
            <w:r w:rsidRPr="00C21B99">
              <w:rPr>
                <w:rFonts w:eastAsia="Calibri"/>
                <w:szCs w:val="22"/>
                <w:lang w:eastAsia="en-US"/>
              </w:rPr>
              <w:t>m</w:t>
            </w:r>
            <w:r w:rsidR="00FF720E" w:rsidRPr="00C21B99">
              <w:rPr>
                <w:rFonts w:eastAsia="Calibri"/>
                <w:szCs w:val="22"/>
                <w:lang w:eastAsia="en-US"/>
              </w:rPr>
              <w:t>ėn</w:t>
            </w:r>
            <w:proofErr w:type="spellEnd"/>
          </w:p>
          <w:p w14:paraId="69602E4A"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p&lt;0</w:t>
            </w:r>
            <w:r w:rsidR="00FF720E" w:rsidRPr="00C21B99">
              <w:rPr>
                <w:rFonts w:eastAsia="Calibri"/>
                <w:szCs w:val="22"/>
                <w:lang w:eastAsia="en-US"/>
              </w:rPr>
              <w:t>,</w:t>
            </w:r>
            <w:r w:rsidRPr="00C21B99">
              <w:rPr>
                <w:rFonts w:eastAsia="Calibri"/>
                <w:szCs w:val="22"/>
                <w:lang w:eastAsia="en-US"/>
              </w:rPr>
              <w:t>0001</w:t>
            </w:r>
          </w:p>
        </w:tc>
        <w:tc>
          <w:tcPr>
            <w:tcW w:w="1701" w:type="dxa"/>
            <w:tcBorders>
              <w:top w:val="single" w:sz="2" w:space="0" w:color="auto"/>
              <w:left w:val="nil"/>
              <w:bottom w:val="single" w:sz="2" w:space="0" w:color="auto"/>
              <w:right w:val="nil"/>
            </w:tcBorders>
            <w:shd w:val="clear" w:color="auto" w:fill="auto"/>
          </w:tcPr>
          <w:p w14:paraId="29DCAAEB" w14:textId="77777777" w:rsidR="00B23ED9" w:rsidRPr="00C21B99" w:rsidRDefault="00FF720E" w:rsidP="0092757F">
            <w:pPr>
              <w:widowControl w:val="0"/>
              <w:autoSpaceDE w:val="0"/>
              <w:autoSpaceDN w:val="0"/>
              <w:adjustRightInd w:val="0"/>
              <w:jc w:val="center"/>
              <w:rPr>
                <w:rFonts w:eastAsia="Calibri"/>
                <w:szCs w:val="22"/>
                <w:lang w:eastAsia="en-US"/>
              </w:rPr>
            </w:pPr>
            <w:r w:rsidRPr="00C21B99">
              <w:rPr>
                <w:rFonts w:eastAsia="Calibri"/>
                <w:szCs w:val="22"/>
                <w:lang w:eastAsia="en-US"/>
              </w:rPr>
              <w:t>RS</w:t>
            </w:r>
            <w:r w:rsidR="00B23ED9" w:rsidRPr="00C21B99">
              <w:rPr>
                <w:rFonts w:eastAsia="Calibri"/>
                <w:szCs w:val="22"/>
                <w:lang w:eastAsia="en-US"/>
              </w:rPr>
              <w:t xml:space="preserve"> 1</w:t>
            </w:r>
            <w:r w:rsidRPr="00C21B99">
              <w:rPr>
                <w:rFonts w:eastAsia="Calibri"/>
                <w:szCs w:val="22"/>
                <w:lang w:eastAsia="en-US"/>
              </w:rPr>
              <w:t>,</w:t>
            </w:r>
            <w:r w:rsidR="00B23ED9" w:rsidRPr="00C21B99">
              <w:rPr>
                <w:rFonts w:eastAsia="Calibri"/>
                <w:szCs w:val="22"/>
                <w:lang w:eastAsia="en-US"/>
              </w:rPr>
              <w:t>18</w:t>
            </w:r>
          </w:p>
          <w:p w14:paraId="1195D1A4"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[0</w:t>
            </w:r>
            <w:r w:rsidR="00FF720E" w:rsidRPr="00C21B99">
              <w:rPr>
                <w:rFonts w:eastAsia="Calibri"/>
                <w:szCs w:val="22"/>
                <w:lang w:eastAsia="en-US"/>
              </w:rPr>
              <w:t>,</w:t>
            </w:r>
            <w:r w:rsidRPr="00C21B99">
              <w:rPr>
                <w:rFonts w:eastAsia="Calibri"/>
                <w:szCs w:val="22"/>
                <w:lang w:eastAsia="en-US"/>
              </w:rPr>
              <w:t>86</w:t>
            </w:r>
            <w:r w:rsidR="00FF720E" w:rsidRPr="00C21B99">
              <w:rPr>
                <w:rFonts w:eastAsia="Calibri"/>
                <w:szCs w:val="22"/>
                <w:lang w:eastAsia="en-US"/>
              </w:rPr>
              <w:t xml:space="preserve"> –</w:t>
            </w:r>
            <w:r w:rsidRPr="00C21B99">
              <w:rPr>
                <w:rFonts w:eastAsia="Calibri"/>
                <w:szCs w:val="22"/>
                <w:lang w:eastAsia="en-US"/>
              </w:rPr>
              <w:t xml:space="preserve"> 1</w:t>
            </w:r>
            <w:r w:rsidR="00FF720E" w:rsidRPr="00C21B99">
              <w:rPr>
                <w:rFonts w:eastAsia="Calibri"/>
                <w:szCs w:val="22"/>
                <w:lang w:eastAsia="en-US"/>
              </w:rPr>
              <w:t>,</w:t>
            </w:r>
            <w:r w:rsidRPr="00C21B99">
              <w:rPr>
                <w:rFonts w:eastAsia="Calibri"/>
                <w:szCs w:val="22"/>
                <w:lang w:eastAsia="en-US"/>
              </w:rPr>
              <w:t>63]</w:t>
            </w:r>
          </w:p>
          <w:p w14:paraId="3B983301"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11</w:t>
            </w:r>
            <w:r w:rsidR="00FF720E" w:rsidRPr="00C21B99">
              <w:rPr>
                <w:rFonts w:eastAsia="Calibri"/>
                <w:szCs w:val="22"/>
                <w:lang w:eastAsia="en-US"/>
              </w:rPr>
              <w:t>,</w:t>
            </w:r>
            <w:r w:rsidRPr="00C21B99">
              <w:rPr>
                <w:rFonts w:eastAsia="Calibri"/>
                <w:szCs w:val="22"/>
                <w:lang w:eastAsia="en-US"/>
              </w:rPr>
              <w:t xml:space="preserve">2 </w:t>
            </w:r>
            <w:r w:rsidR="00FF720E" w:rsidRPr="00C21B99">
              <w:rPr>
                <w:rFonts w:eastAsia="Calibri"/>
                <w:szCs w:val="22"/>
                <w:lang w:eastAsia="en-US"/>
              </w:rPr>
              <w:t xml:space="preserve">mėn., </w:t>
            </w:r>
            <w:r w:rsidR="00D1271A" w:rsidRPr="00C21B99">
              <w:rPr>
                <w:rFonts w:eastAsia="Calibri"/>
                <w:szCs w:val="22"/>
                <w:lang w:eastAsia="en-US"/>
              </w:rPr>
              <w:t>plg.</w:t>
            </w:r>
            <w:r w:rsidRPr="00C21B99">
              <w:rPr>
                <w:rFonts w:eastAsia="Calibri"/>
                <w:szCs w:val="22"/>
                <w:lang w:eastAsia="en-US"/>
              </w:rPr>
              <w:t xml:space="preserve"> 12</w:t>
            </w:r>
            <w:r w:rsidR="00D1271A" w:rsidRPr="00C21B99">
              <w:rPr>
                <w:rFonts w:eastAsia="Calibri"/>
                <w:szCs w:val="22"/>
                <w:lang w:eastAsia="en-US"/>
              </w:rPr>
              <w:t>,</w:t>
            </w:r>
            <w:r w:rsidRPr="00C21B99">
              <w:rPr>
                <w:rFonts w:eastAsia="Calibri"/>
                <w:szCs w:val="22"/>
                <w:lang w:eastAsia="en-US"/>
              </w:rPr>
              <w:t xml:space="preserve">7 </w:t>
            </w:r>
            <w:proofErr w:type="spellStart"/>
            <w:r w:rsidRPr="00C21B99">
              <w:rPr>
                <w:rFonts w:eastAsia="Calibri"/>
                <w:szCs w:val="22"/>
                <w:lang w:eastAsia="en-US"/>
              </w:rPr>
              <w:t>m</w:t>
            </w:r>
            <w:r w:rsidR="00D1271A" w:rsidRPr="00C21B99">
              <w:rPr>
                <w:rFonts w:eastAsia="Calibri"/>
                <w:szCs w:val="22"/>
                <w:lang w:eastAsia="en-US"/>
              </w:rPr>
              <w:t>ėn</w:t>
            </w:r>
            <w:proofErr w:type="spellEnd"/>
          </w:p>
        </w:tc>
      </w:tr>
      <w:tr w:rsidR="00B23ED9" w:rsidRPr="00C21B99" w14:paraId="54BA4A03" w14:textId="77777777" w:rsidTr="0092757F">
        <w:trPr>
          <w:jc w:val="center"/>
        </w:trPr>
        <w:tc>
          <w:tcPr>
            <w:tcW w:w="2126" w:type="dxa"/>
            <w:tcBorders>
              <w:top w:val="single" w:sz="2" w:space="0" w:color="auto"/>
              <w:left w:val="nil"/>
              <w:bottom w:val="single" w:sz="2" w:space="0" w:color="auto"/>
              <w:right w:val="nil"/>
            </w:tcBorders>
            <w:shd w:val="clear" w:color="auto" w:fill="auto"/>
          </w:tcPr>
          <w:p w14:paraId="135BF766" w14:textId="77777777" w:rsidR="00B23ED9" w:rsidRPr="00C21B99" w:rsidRDefault="00D1271A" w:rsidP="0092757F">
            <w:pPr>
              <w:widowControl w:val="0"/>
              <w:autoSpaceDE w:val="0"/>
              <w:autoSpaceDN w:val="0"/>
              <w:adjustRightInd w:val="0"/>
              <w:jc w:val="center"/>
              <w:rPr>
                <w:rFonts w:eastAsia="Calibri"/>
                <w:szCs w:val="22"/>
                <w:lang w:eastAsia="en-US"/>
              </w:rPr>
            </w:pPr>
            <w:r w:rsidRPr="00C21B99">
              <w:rPr>
                <w:rFonts w:eastAsia="Calibri"/>
                <w:szCs w:val="22"/>
                <w:lang w:eastAsia="en-US"/>
              </w:rPr>
              <w:t>EGFR mutacijos atžvilgiu nežinomi</w:t>
            </w:r>
          </w:p>
        </w:tc>
        <w:tc>
          <w:tcPr>
            <w:tcW w:w="851" w:type="dxa"/>
            <w:tcBorders>
              <w:top w:val="single" w:sz="2" w:space="0" w:color="auto"/>
              <w:left w:val="nil"/>
              <w:bottom w:val="single" w:sz="2" w:space="0" w:color="auto"/>
              <w:right w:val="nil"/>
            </w:tcBorders>
            <w:shd w:val="clear" w:color="auto" w:fill="auto"/>
          </w:tcPr>
          <w:p w14:paraId="4A2ECD09"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780</w:t>
            </w:r>
          </w:p>
        </w:tc>
        <w:tc>
          <w:tcPr>
            <w:tcW w:w="1984" w:type="dxa"/>
            <w:tcBorders>
              <w:top w:val="single" w:sz="2" w:space="0" w:color="auto"/>
              <w:left w:val="nil"/>
              <w:bottom w:val="single" w:sz="2" w:space="0" w:color="auto"/>
              <w:right w:val="nil"/>
            </w:tcBorders>
            <w:shd w:val="clear" w:color="auto" w:fill="auto"/>
          </w:tcPr>
          <w:p w14:paraId="007CA8F7"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43</w:t>
            </w:r>
            <w:r w:rsidR="00D1271A" w:rsidRPr="00C21B99">
              <w:rPr>
                <w:rFonts w:eastAsia="Calibri"/>
                <w:szCs w:val="22"/>
                <w:lang w:eastAsia="en-US"/>
              </w:rPr>
              <w:t>,</w:t>
            </w:r>
            <w:r w:rsidRPr="00C21B99">
              <w:rPr>
                <w:rFonts w:eastAsia="Calibri"/>
                <w:szCs w:val="22"/>
                <w:lang w:eastAsia="en-US"/>
              </w:rPr>
              <w:t>3%</w:t>
            </w:r>
            <w:r w:rsidR="00D1271A" w:rsidRPr="00C21B99">
              <w:rPr>
                <w:rFonts w:eastAsia="Calibri"/>
                <w:szCs w:val="22"/>
                <w:lang w:eastAsia="en-US"/>
              </w:rPr>
              <w:t>, plg.</w:t>
            </w:r>
            <w:r w:rsidRPr="00C21B99">
              <w:rPr>
                <w:rFonts w:eastAsia="Calibri"/>
                <w:szCs w:val="22"/>
                <w:lang w:eastAsia="en-US"/>
              </w:rPr>
              <w:t xml:space="preserve"> 29</w:t>
            </w:r>
            <w:r w:rsidR="00D1271A" w:rsidRPr="00C21B99">
              <w:rPr>
                <w:rFonts w:eastAsia="Calibri"/>
                <w:szCs w:val="22"/>
                <w:lang w:eastAsia="en-US"/>
              </w:rPr>
              <w:t>,</w:t>
            </w:r>
            <w:r w:rsidRPr="00C21B99">
              <w:rPr>
                <w:rFonts w:eastAsia="Calibri"/>
                <w:szCs w:val="22"/>
                <w:lang w:eastAsia="en-US"/>
              </w:rPr>
              <w:t>2%</w:t>
            </w:r>
          </w:p>
          <w:p w14:paraId="496AC546"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[7</w:t>
            </w:r>
            <w:r w:rsidR="00D1271A" w:rsidRPr="00C21B99">
              <w:rPr>
                <w:rFonts w:eastAsia="Calibri"/>
                <w:szCs w:val="22"/>
                <w:lang w:eastAsia="en-US"/>
              </w:rPr>
              <w:t>,</w:t>
            </w:r>
            <w:r w:rsidRPr="00C21B99">
              <w:rPr>
                <w:rFonts w:eastAsia="Calibri"/>
                <w:szCs w:val="22"/>
                <w:lang w:eastAsia="en-US"/>
              </w:rPr>
              <w:t>3%, 20</w:t>
            </w:r>
            <w:r w:rsidR="00D1271A" w:rsidRPr="00C21B99">
              <w:rPr>
                <w:rFonts w:eastAsia="Calibri"/>
                <w:szCs w:val="22"/>
                <w:lang w:eastAsia="en-US"/>
              </w:rPr>
              <w:t>,</w:t>
            </w:r>
            <w:r w:rsidRPr="00C21B99">
              <w:rPr>
                <w:rFonts w:eastAsia="Calibri"/>
                <w:szCs w:val="22"/>
                <w:lang w:eastAsia="en-US"/>
              </w:rPr>
              <w:t>6%]</w:t>
            </w:r>
          </w:p>
        </w:tc>
        <w:tc>
          <w:tcPr>
            <w:tcW w:w="1982" w:type="dxa"/>
            <w:tcBorders>
              <w:top w:val="single" w:sz="2" w:space="0" w:color="auto"/>
              <w:left w:val="nil"/>
              <w:bottom w:val="single" w:sz="2" w:space="0" w:color="auto"/>
              <w:right w:val="nil"/>
            </w:tcBorders>
            <w:shd w:val="clear" w:color="auto" w:fill="auto"/>
          </w:tcPr>
          <w:p w14:paraId="201EFB74" w14:textId="77777777" w:rsidR="00B23ED9" w:rsidRPr="00C21B99" w:rsidRDefault="00D1271A" w:rsidP="0092757F">
            <w:pPr>
              <w:widowControl w:val="0"/>
              <w:autoSpaceDE w:val="0"/>
              <w:autoSpaceDN w:val="0"/>
              <w:adjustRightInd w:val="0"/>
              <w:jc w:val="center"/>
              <w:rPr>
                <w:rFonts w:eastAsia="Calibri"/>
                <w:szCs w:val="22"/>
                <w:lang w:eastAsia="en-US"/>
              </w:rPr>
            </w:pPr>
            <w:r w:rsidRPr="00C21B99">
              <w:rPr>
                <w:rFonts w:eastAsia="Calibri"/>
                <w:szCs w:val="22"/>
                <w:lang w:eastAsia="en-US"/>
              </w:rPr>
              <w:t>RS</w:t>
            </w:r>
            <w:r w:rsidR="00B23ED9" w:rsidRPr="00C21B99">
              <w:rPr>
                <w:rFonts w:eastAsia="Calibri"/>
                <w:szCs w:val="22"/>
                <w:lang w:eastAsia="en-US"/>
              </w:rPr>
              <w:t xml:space="preserve"> 0</w:t>
            </w:r>
            <w:r w:rsidRPr="00C21B99">
              <w:rPr>
                <w:rFonts w:eastAsia="Calibri"/>
                <w:szCs w:val="22"/>
                <w:lang w:eastAsia="en-US"/>
              </w:rPr>
              <w:t>,</w:t>
            </w:r>
            <w:r w:rsidR="00B23ED9" w:rsidRPr="00C21B99">
              <w:rPr>
                <w:rFonts w:eastAsia="Calibri"/>
                <w:szCs w:val="22"/>
                <w:lang w:eastAsia="en-US"/>
              </w:rPr>
              <w:t>68</w:t>
            </w:r>
          </w:p>
          <w:p w14:paraId="5FA15B18"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[0</w:t>
            </w:r>
            <w:r w:rsidR="00D1271A" w:rsidRPr="00C21B99">
              <w:rPr>
                <w:rFonts w:eastAsia="Calibri"/>
                <w:szCs w:val="22"/>
                <w:lang w:eastAsia="en-US"/>
              </w:rPr>
              <w:t>,</w:t>
            </w:r>
            <w:r w:rsidRPr="00C21B99">
              <w:rPr>
                <w:rFonts w:eastAsia="Calibri"/>
                <w:szCs w:val="22"/>
                <w:lang w:eastAsia="en-US"/>
              </w:rPr>
              <w:t xml:space="preserve">58 </w:t>
            </w:r>
            <w:r w:rsidR="00D1271A" w:rsidRPr="00C21B99">
              <w:rPr>
                <w:rFonts w:eastAsia="Calibri"/>
                <w:szCs w:val="22"/>
                <w:lang w:eastAsia="en-US"/>
              </w:rPr>
              <w:t>-</w:t>
            </w:r>
            <w:r w:rsidRPr="00C21B99">
              <w:rPr>
                <w:rFonts w:eastAsia="Calibri"/>
                <w:szCs w:val="22"/>
                <w:lang w:eastAsia="en-US"/>
              </w:rPr>
              <w:t xml:space="preserve"> 0.81]</w:t>
            </w:r>
          </w:p>
          <w:p w14:paraId="4C308C46"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6</w:t>
            </w:r>
            <w:r w:rsidR="00D1271A" w:rsidRPr="00C21B99">
              <w:rPr>
                <w:rFonts w:eastAsia="Calibri"/>
                <w:szCs w:val="22"/>
                <w:lang w:eastAsia="en-US"/>
              </w:rPr>
              <w:t>,</w:t>
            </w:r>
            <w:r w:rsidRPr="00C21B99">
              <w:rPr>
                <w:rFonts w:eastAsia="Calibri"/>
                <w:szCs w:val="22"/>
                <w:lang w:eastAsia="en-US"/>
              </w:rPr>
              <w:t xml:space="preserve">6 </w:t>
            </w:r>
            <w:r w:rsidR="00D1271A" w:rsidRPr="00C21B99">
              <w:rPr>
                <w:rFonts w:eastAsia="Calibri"/>
                <w:szCs w:val="22"/>
                <w:lang w:eastAsia="en-US"/>
              </w:rPr>
              <w:t>mėn., plg.</w:t>
            </w:r>
            <w:r w:rsidRPr="00C21B99">
              <w:rPr>
                <w:rFonts w:eastAsia="Calibri"/>
                <w:szCs w:val="22"/>
                <w:lang w:eastAsia="en-US"/>
              </w:rPr>
              <w:t xml:space="preserve"> 5</w:t>
            </w:r>
            <w:r w:rsidR="00D1271A" w:rsidRPr="00C21B99">
              <w:rPr>
                <w:rFonts w:eastAsia="Calibri"/>
                <w:szCs w:val="22"/>
                <w:lang w:eastAsia="en-US"/>
              </w:rPr>
              <w:t>,</w:t>
            </w:r>
            <w:r w:rsidRPr="00C21B99">
              <w:rPr>
                <w:rFonts w:eastAsia="Calibri"/>
                <w:szCs w:val="22"/>
                <w:lang w:eastAsia="en-US"/>
              </w:rPr>
              <w:t xml:space="preserve">8 </w:t>
            </w:r>
            <w:proofErr w:type="spellStart"/>
            <w:r w:rsidR="00D1271A" w:rsidRPr="00C21B99">
              <w:rPr>
                <w:rFonts w:eastAsia="Calibri"/>
                <w:szCs w:val="22"/>
                <w:lang w:eastAsia="en-US"/>
              </w:rPr>
              <w:t>mėn</w:t>
            </w:r>
            <w:proofErr w:type="spellEnd"/>
          </w:p>
          <w:p w14:paraId="7D822A20"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p&lt;0.0001</w:t>
            </w:r>
          </w:p>
        </w:tc>
        <w:tc>
          <w:tcPr>
            <w:tcW w:w="1701" w:type="dxa"/>
            <w:tcBorders>
              <w:top w:val="single" w:sz="2" w:space="0" w:color="auto"/>
              <w:left w:val="nil"/>
              <w:bottom w:val="single" w:sz="2" w:space="0" w:color="auto"/>
              <w:right w:val="nil"/>
            </w:tcBorders>
            <w:shd w:val="clear" w:color="auto" w:fill="auto"/>
          </w:tcPr>
          <w:p w14:paraId="0596FF85" w14:textId="77777777" w:rsidR="00B23ED9" w:rsidRPr="00C21B99" w:rsidRDefault="00D1271A" w:rsidP="0092757F">
            <w:pPr>
              <w:widowControl w:val="0"/>
              <w:autoSpaceDE w:val="0"/>
              <w:autoSpaceDN w:val="0"/>
              <w:adjustRightInd w:val="0"/>
              <w:jc w:val="center"/>
              <w:rPr>
                <w:rFonts w:eastAsia="Calibri"/>
                <w:szCs w:val="22"/>
                <w:lang w:eastAsia="en-US"/>
              </w:rPr>
            </w:pPr>
            <w:r w:rsidRPr="00C21B99">
              <w:rPr>
                <w:rFonts w:eastAsia="Calibri"/>
                <w:szCs w:val="22"/>
                <w:lang w:eastAsia="en-US"/>
              </w:rPr>
              <w:t>RS</w:t>
            </w:r>
            <w:r w:rsidR="00B23ED9" w:rsidRPr="00C21B99">
              <w:rPr>
                <w:rFonts w:eastAsia="Calibri"/>
                <w:szCs w:val="22"/>
                <w:lang w:eastAsia="en-US"/>
              </w:rPr>
              <w:t xml:space="preserve"> 0</w:t>
            </w:r>
            <w:r w:rsidRPr="00C21B99">
              <w:rPr>
                <w:rFonts w:eastAsia="Calibri"/>
                <w:szCs w:val="22"/>
                <w:lang w:eastAsia="en-US"/>
              </w:rPr>
              <w:t>,</w:t>
            </w:r>
            <w:r w:rsidR="00B23ED9" w:rsidRPr="00C21B99">
              <w:rPr>
                <w:rFonts w:eastAsia="Calibri"/>
                <w:szCs w:val="22"/>
                <w:lang w:eastAsia="en-US"/>
              </w:rPr>
              <w:t>82</w:t>
            </w:r>
          </w:p>
          <w:p w14:paraId="0CD54864"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[0</w:t>
            </w:r>
            <w:r w:rsidR="00D1271A" w:rsidRPr="00C21B99">
              <w:rPr>
                <w:rFonts w:eastAsia="Calibri"/>
                <w:szCs w:val="22"/>
                <w:lang w:eastAsia="en-US"/>
              </w:rPr>
              <w:t>,</w:t>
            </w:r>
            <w:r w:rsidRPr="00C21B99">
              <w:rPr>
                <w:rFonts w:eastAsia="Calibri"/>
                <w:szCs w:val="22"/>
                <w:lang w:eastAsia="en-US"/>
              </w:rPr>
              <w:t xml:space="preserve">70 </w:t>
            </w:r>
            <w:r w:rsidR="00D1271A" w:rsidRPr="00C21B99">
              <w:rPr>
                <w:rFonts w:eastAsia="Calibri"/>
                <w:szCs w:val="22"/>
                <w:lang w:eastAsia="en-US"/>
              </w:rPr>
              <w:t>–</w:t>
            </w:r>
            <w:r w:rsidRPr="00C21B99">
              <w:rPr>
                <w:rFonts w:eastAsia="Calibri"/>
                <w:szCs w:val="22"/>
                <w:lang w:eastAsia="en-US"/>
              </w:rPr>
              <w:t xml:space="preserve"> 0</w:t>
            </w:r>
            <w:r w:rsidR="00D1271A" w:rsidRPr="00C21B99">
              <w:rPr>
                <w:rFonts w:eastAsia="Calibri"/>
                <w:szCs w:val="22"/>
                <w:lang w:eastAsia="en-US"/>
              </w:rPr>
              <w:t>,</w:t>
            </w:r>
            <w:r w:rsidRPr="00C21B99">
              <w:rPr>
                <w:rFonts w:eastAsia="Calibri"/>
                <w:szCs w:val="22"/>
                <w:lang w:eastAsia="en-US"/>
              </w:rPr>
              <w:t>96]</w:t>
            </w:r>
          </w:p>
          <w:p w14:paraId="6D46EB35" w14:textId="77777777" w:rsidR="00B23ED9" w:rsidRPr="00C21B99" w:rsidRDefault="00B23ED9"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18</w:t>
            </w:r>
            <w:r w:rsidR="00D1271A" w:rsidRPr="00C21B99">
              <w:rPr>
                <w:rFonts w:eastAsia="Calibri"/>
                <w:szCs w:val="22"/>
                <w:lang w:eastAsia="en-US"/>
              </w:rPr>
              <w:t>,</w:t>
            </w:r>
            <w:r w:rsidRPr="00C21B99">
              <w:rPr>
                <w:rFonts w:eastAsia="Calibri"/>
                <w:szCs w:val="22"/>
                <w:lang w:eastAsia="en-US"/>
              </w:rPr>
              <w:t>9 m</w:t>
            </w:r>
            <w:r w:rsidR="00D1271A" w:rsidRPr="00C21B99">
              <w:rPr>
                <w:rFonts w:eastAsia="Calibri"/>
                <w:szCs w:val="22"/>
                <w:lang w:eastAsia="en-US"/>
              </w:rPr>
              <w:t>ėn.,</w:t>
            </w:r>
            <w:r w:rsidRPr="00C21B99">
              <w:rPr>
                <w:rFonts w:eastAsia="Calibri"/>
                <w:szCs w:val="22"/>
                <w:lang w:eastAsia="en-US"/>
              </w:rPr>
              <w:t xml:space="preserve"> </w:t>
            </w:r>
            <w:r w:rsidR="00D1271A" w:rsidRPr="00C21B99">
              <w:rPr>
                <w:rFonts w:eastAsia="Calibri"/>
                <w:szCs w:val="22"/>
                <w:lang w:eastAsia="en-US"/>
              </w:rPr>
              <w:t>plg</w:t>
            </w:r>
            <w:r w:rsidRPr="00C21B99">
              <w:rPr>
                <w:rFonts w:eastAsia="Calibri"/>
                <w:szCs w:val="22"/>
                <w:lang w:eastAsia="en-US"/>
              </w:rPr>
              <w:t>. 17</w:t>
            </w:r>
            <w:r w:rsidR="00D1271A" w:rsidRPr="00C21B99">
              <w:rPr>
                <w:rFonts w:eastAsia="Calibri"/>
                <w:szCs w:val="22"/>
                <w:lang w:eastAsia="en-US"/>
              </w:rPr>
              <w:t>,</w:t>
            </w:r>
            <w:r w:rsidRPr="00C21B99">
              <w:rPr>
                <w:rFonts w:eastAsia="Calibri"/>
                <w:szCs w:val="22"/>
                <w:lang w:eastAsia="en-US"/>
              </w:rPr>
              <w:t xml:space="preserve">2 </w:t>
            </w:r>
            <w:proofErr w:type="spellStart"/>
            <w:r w:rsidRPr="00C21B99">
              <w:rPr>
                <w:rFonts w:eastAsia="Calibri"/>
                <w:szCs w:val="22"/>
                <w:lang w:eastAsia="en-US"/>
              </w:rPr>
              <w:t>m</w:t>
            </w:r>
            <w:r w:rsidR="00D1271A" w:rsidRPr="00C21B99">
              <w:rPr>
                <w:rFonts w:eastAsia="Calibri"/>
                <w:szCs w:val="22"/>
                <w:lang w:eastAsia="en-US"/>
              </w:rPr>
              <w:t>ėn</w:t>
            </w:r>
            <w:proofErr w:type="spellEnd"/>
          </w:p>
        </w:tc>
      </w:tr>
    </w:tbl>
    <w:p w14:paraId="09B63560" w14:textId="77777777" w:rsidR="00B23ED9" w:rsidRPr="00C21B99" w:rsidRDefault="00B23ED9" w:rsidP="00554C64">
      <w:pPr>
        <w:widowControl w:val="0"/>
        <w:tabs>
          <w:tab w:val="left" w:pos="567"/>
        </w:tabs>
        <w:rPr>
          <w:snapToGrid w:val="0"/>
          <w:szCs w:val="22"/>
          <w:lang w:eastAsia="en-US"/>
        </w:rPr>
      </w:pPr>
    </w:p>
    <w:p w14:paraId="2E2A6703" w14:textId="77777777" w:rsidR="00D1271A" w:rsidRPr="00C21B99" w:rsidRDefault="00DB6316" w:rsidP="00D1271A">
      <w:pPr>
        <w:widowControl w:val="0"/>
        <w:tabs>
          <w:tab w:val="left" w:pos="567"/>
        </w:tabs>
        <w:rPr>
          <w:snapToGrid w:val="0"/>
          <w:szCs w:val="22"/>
          <w:lang w:eastAsia="en-US"/>
        </w:rPr>
      </w:pPr>
      <w:r w:rsidRPr="00C21B99">
        <w:rPr>
          <w:snapToGrid w:val="0"/>
          <w:szCs w:val="22"/>
          <w:lang w:eastAsia="en-US"/>
        </w:rPr>
        <w:t>A</w:t>
      </w:r>
      <w:r w:rsidRPr="00C21B99">
        <w:rPr>
          <w:snapToGrid w:val="0"/>
          <w:szCs w:val="22"/>
          <w:lang w:eastAsia="en-US"/>
        </w:rPr>
        <w:tab/>
      </w:r>
      <w:r w:rsidR="00D1271A" w:rsidRPr="00C21B99">
        <w:rPr>
          <w:snapToGrid w:val="0"/>
          <w:szCs w:val="22"/>
          <w:lang w:eastAsia="en-US"/>
        </w:rPr>
        <w:t xml:space="preserve">pateiktas </w:t>
      </w:r>
      <w:proofErr w:type="spellStart"/>
      <w:r w:rsidR="00D1271A" w:rsidRPr="00C21B99">
        <w:rPr>
          <w:snapToGrid w:val="0"/>
          <w:szCs w:val="22"/>
          <w:lang w:eastAsia="en-US"/>
        </w:rPr>
        <w:t>gefitinibo</w:t>
      </w:r>
      <w:proofErr w:type="spellEnd"/>
      <w:r w:rsidR="00D1271A" w:rsidRPr="00C21B99">
        <w:rPr>
          <w:snapToGrid w:val="0"/>
          <w:szCs w:val="22"/>
          <w:lang w:eastAsia="en-US"/>
        </w:rPr>
        <w:t xml:space="preserve"> duomenų palyginimas su </w:t>
      </w:r>
      <w:proofErr w:type="spellStart"/>
      <w:r w:rsidR="00D1271A" w:rsidRPr="00C21B99">
        <w:rPr>
          <w:snapToGrid w:val="0"/>
          <w:szCs w:val="22"/>
          <w:lang w:eastAsia="en-US"/>
        </w:rPr>
        <w:t>karboplatinos</w:t>
      </w:r>
      <w:proofErr w:type="spellEnd"/>
      <w:r w:rsidR="00D1271A" w:rsidRPr="00C21B99">
        <w:rPr>
          <w:snapToGrid w:val="0"/>
          <w:szCs w:val="22"/>
          <w:lang w:eastAsia="en-US"/>
        </w:rPr>
        <w:t xml:space="preserve"> ir </w:t>
      </w:r>
      <w:proofErr w:type="spellStart"/>
      <w:r w:rsidR="00D1271A" w:rsidRPr="00C21B99">
        <w:rPr>
          <w:snapToGrid w:val="0"/>
          <w:szCs w:val="22"/>
          <w:lang w:eastAsia="en-US"/>
        </w:rPr>
        <w:t>paklitakselio</w:t>
      </w:r>
      <w:proofErr w:type="spellEnd"/>
      <w:r w:rsidR="00D1271A" w:rsidRPr="00C21B99">
        <w:rPr>
          <w:snapToGrid w:val="0"/>
          <w:szCs w:val="22"/>
          <w:lang w:eastAsia="en-US"/>
        </w:rPr>
        <w:t xml:space="preserve"> derinio duomenimis</w:t>
      </w:r>
    </w:p>
    <w:p w14:paraId="2BBEAE57" w14:textId="77777777" w:rsidR="00D1271A" w:rsidRPr="00C21B99" w:rsidRDefault="00DB6316" w:rsidP="00DB6316">
      <w:pPr>
        <w:widowControl w:val="0"/>
        <w:tabs>
          <w:tab w:val="left" w:pos="567"/>
        </w:tabs>
        <w:ind w:left="567" w:hanging="567"/>
        <w:rPr>
          <w:snapToGrid w:val="0"/>
          <w:szCs w:val="22"/>
          <w:lang w:eastAsia="en-US"/>
        </w:rPr>
      </w:pPr>
      <w:r w:rsidRPr="00C21B99">
        <w:rPr>
          <w:snapToGrid w:val="0"/>
          <w:szCs w:val="22"/>
          <w:lang w:eastAsia="en-US"/>
        </w:rPr>
        <w:t>B</w:t>
      </w:r>
      <w:r w:rsidRPr="00C21B99">
        <w:rPr>
          <w:snapToGrid w:val="0"/>
          <w:szCs w:val="22"/>
          <w:lang w:eastAsia="en-US"/>
        </w:rPr>
        <w:tab/>
        <w:t>„mėn.“ yra medianos mėnesiais. S</w:t>
      </w:r>
      <w:r w:rsidR="00D1271A" w:rsidRPr="00C21B99">
        <w:rPr>
          <w:snapToGrid w:val="0"/>
          <w:szCs w:val="22"/>
          <w:lang w:eastAsia="en-US"/>
        </w:rPr>
        <w:t xml:space="preserve">kaičiai laužtiniuose skliaustuose – </w:t>
      </w:r>
      <w:r w:rsidRPr="00C21B99">
        <w:rPr>
          <w:snapToGrid w:val="0"/>
          <w:szCs w:val="22"/>
          <w:lang w:eastAsia="en-US"/>
        </w:rPr>
        <w:t>RS</w:t>
      </w:r>
      <w:r w:rsidR="00D1271A" w:rsidRPr="00C21B99">
        <w:rPr>
          <w:snapToGrid w:val="0"/>
          <w:szCs w:val="22"/>
          <w:lang w:eastAsia="en-US"/>
        </w:rPr>
        <w:t xml:space="preserve"> 95% </w:t>
      </w:r>
      <w:proofErr w:type="spellStart"/>
      <w:r w:rsidR="00D1271A" w:rsidRPr="00C21B99">
        <w:rPr>
          <w:snapToGrid w:val="0"/>
          <w:szCs w:val="22"/>
          <w:lang w:eastAsia="en-US"/>
        </w:rPr>
        <w:t>pasikliautinieji</w:t>
      </w:r>
      <w:proofErr w:type="spellEnd"/>
      <w:r w:rsidR="00D1271A" w:rsidRPr="00C21B99">
        <w:rPr>
          <w:snapToGrid w:val="0"/>
          <w:szCs w:val="22"/>
          <w:lang w:eastAsia="en-US"/>
        </w:rPr>
        <w:t xml:space="preserve"> intervalai</w:t>
      </w:r>
    </w:p>
    <w:p w14:paraId="4D3307B0" w14:textId="77777777" w:rsidR="00D1271A" w:rsidRPr="00C21B99" w:rsidRDefault="00D1271A" w:rsidP="00D1271A">
      <w:pPr>
        <w:widowControl w:val="0"/>
        <w:tabs>
          <w:tab w:val="left" w:pos="567"/>
        </w:tabs>
        <w:rPr>
          <w:snapToGrid w:val="0"/>
          <w:szCs w:val="22"/>
          <w:lang w:eastAsia="en-US"/>
        </w:rPr>
      </w:pPr>
      <w:r w:rsidRPr="00C21B99">
        <w:rPr>
          <w:snapToGrid w:val="0"/>
          <w:szCs w:val="22"/>
          <w:lang w:eastAsia="en-US"/>
        </w:rPr>
        <w:t>N</w:t>
      </w:r>
      <w:r w:rsidR="00DB6316" w:rsidRPr="00C21B99">
        <w:rPr>
          <w:snapToGrid w:val="0"/>
          <w:szCs w:val="22"/>
          <w:lang w:eastAsia="en-US"/>
        </w:rPr>
        <w:tab/>
      </w:r>
      <w:r w:rsidRPr="00C21B99">
        <w:rPr>
          <w:snapToGrid w:val="0"/>
          <w:szCs w:val="22"/>
          <w:lang w:eastAsia="en-US"/>
        </w:rPr>
        <w:t>atsitiktinai parinktų pacientų skaičius</w:t>
      </w:r>
    </w:p>
    <w:p w14:paraId="39BABABD" w14:textId="77777777" w:rsidR="00D1271A" w:rsidRPr="00C21B99" w:rsidRDefault="00D1271A" w:rsidP="00D1271A">
      <w:pPr>
        <w:widowControl w:val="0"/>
        <w:tabs>
          <w:tab w:val="left" w:pos="567"/>
        </w:tabs>
        <w:rPr>
          <w:snapToGrid w:val="0"/>
          <w:szCs w:val="22"/>
          <w:lang w:eastAsia="en-US"/>
        </w:rPr>
      </w:pPr>
      <w:r w:rsidRPr="00C21B99">
        <w:rPr>
          <w:snapToGrid w:val="0"/>
          <w:szCs w:val="22"/>
          <w:lang w:eastAsia="en-US"/>
        </w:rPr>
        <w:t>RS</w:t>
      </w:r>
      <w:r w:rsidR="00DB6316" w:rsidRPr="00C21B99">
        <w:rPr>
          <w:snapToGrid w:val="0"/>
          <w:szCs w:val="22"/>
          <w:lang w:eastAsia="en-US"/>
        </w:rPr>
        <w:tab/>
        <w:t>R</w:t>
      </w:r>
      <w:r w:rsidRPr="00C21B99">
        <w:rPr>
          <w:snapToGrid w:val="0"/>
          <w:szCs w:val="22"/>
          <w:lang w:eastAsia="en-US"/>
        </w:rPr>
        <w:t xml:space="preserve">izikos santykis (RS &lt; 1 rodo palankesnį </w:t>
      </w:r>
      <w:proofErr w:type="spellStart"/>
      <w:r w:rsidR="00DB6316" w:rsidRPr="00C21B99">
        <w:rPr>
          <w:snapToGrid w:val="0"/>
          <w:szCs w:val="22"/>
          <w:lang w:eastAsia="en-US"/>
        </w:rPr>
        <w:t>gefitinibo</w:t>
      </w:r>
      <w:proofErr w:type="spellEnd"/>
      <w:r w:rsidRPr="00C21B99">
        <w:rPr>
          <w:snapToGrid w:val="0"/>
          <w:szCs w:val="22"/>
          <w:lang w:eastAsia="en-US"/>
        </w:rPr>
        <w:t xml:space="preserve"> poveikį)</w:t>
      </w:r>
    </w:p>
    <w:p w14:paraId="4B9AA94B" w14:textId="77777777" w:rsidR="00D1271A" w:rsidRPr="00C21B99" w:rsidRDefault="00D1271A" w:rsidP="00D1271A">
      <w:pPr>
        <w:widowControl w:val="0"/>
        <w:tabs>
          <w:tab w:val="left" w:pos="567"/>
        </w:tabs>
        <w:rPr>
          <w:snapToGrid w:val="0"/>
          <w:szCs w:val="22"/>
          <w:lang w:eastAsia="en-US"/>
        </w:rPr>
      </w:pPr>
    </w:p>
    <w:p w14:paraId="075D8AC6" w14:textId="77777777" w:rsidR="00B23ED9" w:rsidRPr="00C21B99" w:rsidRDefault="00D1271A" w:rsidP="00D1271A">
      <w:pPr>
        <w:widowControl w:val="0"/>
        <w:tabs>
          <w:tab w:val="left" w:pos="567"/>
        </w:tabs>
        <w:rPr>
          <w:snapToGrid w:val="0"/>
          <w:szCs w:val="22"/>
          <w:lang w:eastAsia="en-US"/>
        </w:rPr>
      </w:pPr>
      <w:r w:rsidRPr="00C21B99">
        <w:rPr>
          <w:snapToGrid w:val="0"/>
          <w:szCs w:val="22"/>
          <w:lang w:eastAsia="en-US"/>
        </w:rPr>
        <w:t xml:space="preserve">Gyvenimo kokybės </w:t>
      </w:r>
      <w:r w:rsidR="00DB6316" w:rsidRPr="00C21B99">
        <w:rPr>
          <w:snapToGrid w:val="0"/>
          <w:szCs w:val="22"/>
          <w:lang w:eastAsia="en-US"/>
        </w:rPr>
        <w:t>rezultatai</w:t>
      </w:r>
      <w:r w:rsidRPr="00C21B99">
        <w:rPr>
          <w:snapToGrid w:val="0"/>
          <w:szCs w:val="22"/>
          <w:lang w:eastAsia="en-US"/>
        </w:rPr>
        <w:t xml:space="preserve"> </w:t>
      </w:r>
      <w:r w:rsidR="00DB6316" w:rsidRPr="00C21B99">
        <w:rPr>
          <w:snapToGrid w:val="0"/>
          <w:szCs w:val="22"/>
          <w:lang w:eastAsia="en-US"/>
        </w:rPr>
        <w:t>skyrėsi pagal</w:t>
      </w:r>
      <w:r w:rsidRPr="00C21B99">
        <w:rPr>
          <w:snapToGrid w:val="0"/>
          <w:szCs w:val="22"/>
          <w:lang w:eastAsia="en-US"/>
        </w:rPr>
        <w:t xml:space="preserve"> EAFR mutaci</w:t>
      </w:r>
      <w:r w:rsidR="00C21B99">
        <w:rPr>
          <w:snapToGrid w:val="0"/>
          <w:szCs w:val="22"/>
          <w:lang w:eastAsia="en-US"/>
        </w:rPr>
        <w:t>j</w:t>
      </w:r>
      <w:r w:rsidR="00DB6316" w:rsidRPr="00C21B99">
        <w:rPr>
          <w:snapToGrid w:val="0"/>
          <w:szCs w:val="22"/>
          <w:lang w:eastAsia="en-US"/>
        </w:rPr>
        <w:t>os</w:t>
      </w:r>
      <w:r w:rsidRPr="00C21B99">
        <w:rPr>
          <w:snapToGrid w:val="0"/>
          <w:szCs w:val="22"/>
          <w:lang w:eastAsia="en-US"/>
        </w:rPr>
        <w:t xml:space="preserve"> būkl</w:t>
      </w:r>
      <w:r w:rsidR="00DB6316" w:rsidRPr="00C21B99">
        <w:rPr>
          <w:snapToGrid w:val="0"/>
          <w:szCs w:val="22"/>
          <w:lang w:eastAsia="en-US"/>
        </w:rPr>
        <w:t>ę</w:t>
      </w:r>
      <w:r w:rsidRPr="00C21B99">
        <w:rPr>
          <w:snapToGrid w:val="0"/>
          <w:szCs w:val="22"/>
          <w:lang w:eastAsia="en-US"/>
        </w:rPr>
        <w:t xml:space="preserve">. </w:t>
      </w:r>
      <w:r w:rsidR="00DB6316" w:rsidRPr="00C21B99">
        <w:rPr>
          <w:snapToGrid w:val="0"/>
          <w:szCs w:val="22"/>
          <w:lang w:eastAsia="en-US"/>
        </w:rPr>
        <w:t>EAFR mutacijos atžvilgiu teigiamiems pacientams g</w:t>
      </w:r>
      <w:r w:rsidRPr="00C21B99">
        <w:rPr>
          <w:snapToGrid w:val="0"/>
          <w:szCs w:val="22"/>
          <w:lang w:eastAsia="en-US"/>
        </w:rPr>
        <w:t>yvenimo kokybė ir plaučių vėžio</w:t>
      </w:r>
      <w:r w:rsidR="00DB6316" w:rsidRPr="00C21B99">
        <w:rPr>
          <w:snapToGrid w:val="0"/>
          <w:szCs w:val="22"/>
          <w:lang w:eastAsia="en-US"/>
        </w:rPr>
        <w:t xml:space="preserve"> </w:t>
      </w:r>
      <w:r w:rsidRPr="00C21B99">
        <w:rPr>
          <w:snapToGrid w:val="0"/>
          <w:szCs w:val="22"/>
          <w:lang w:eastAsia="en-US"/>
        </w:rPr>
        <w:t xml:space="preserve">simptomai pagerėjo reikšmingai </w:t>
      </w:r>
      <w:r w:rsidR="00DB6316" w:rsidRPr="00C21B99">
        <w:rPr>
          <w:snapToGrid w:val="0"/>
          <w:szCs w:val="22"/>
          <w:lang w:eastAsia="en-US"/>
        </w:rPr>
        <w:t xml:space="preserve">labiau </w:t>
      </w:r>
      <w:proofErr w:type="spellStart"/>
      <w:r w:rsidR="00DB6316" w:rsidRPr="00C21B99">
        <w:rPr>
          <w:snapToGrid w:val="0"/>
          <w:szCs w:val="22"/>
          <w:lang w:eastAsia="en-US"/>
        </w:rPr>
        <w:t>gefitinibu</w:t>
      </w:r>
      <w:proofErr w:type="spellEnd"/>
      <w:r w:rsidR="00DB6316" w:rsidRPr="00C21B99">
        <w:rPr>
          <w:snapToGrid w:val="0"/>
          <w:szCs w:val="22"/>
          <w:lang w:eastAsia="en-US"/>
        </w:rPr>
        <w:t xml:space="preserve"> gydytiems pacientams, palyginti su</w:t>
      </w:r>
      <w:r w:rsidRPr="00C21B99">
        <w:rPr>
          <w:snapToGrid w:val="0"/>
          <w:szCs w:val="22"/>
          <w:lang w:eastAsia="en-US"/>
        </w:rPr>
        <w:t xml:space="preserve"> </w:t>
      </w:r>
      <w:proofErr w:type="spellStart"/>
      <w:r w:rsidRPr="00C21B99">
        <w:rPr>
          <w:snapToGrid w:val="0"/>
          <w:szCs w:val="22"/>
          <w:lang w:eastAsia="en-US"/>
        </w:rPr>
        <w:t>karboplatinos</w:t>
      </w:r>
      <w:proofErr w:type="spellEnd"/>
      <w:r w:rsidRPr="00C21B99">
        <w:rPr>
          <w:snapToGrid w:val="0"/>
          <w:szCs w:val="22"/>
          <w:lang w:eastAsia="en-US"/>
        </w:rPr>
        <w:t xml:space="preserve"> ir </w:t>
      </w:r>
      <w:proofErr w:type="spellStart"/>
      <w:r w:rsidRPr="00C21B99">
        <w:rPr>
          <w:snapToGrid w:val="0"/>
          <w:szCs w:val="22"/>
          <w:lang w:eastAsia="en-US"/>
        </w:rPr>
        <w:t>paklitakselio</w:t>
      </w:r>
      <w:proofErr w:type="spellEnd"/>
      <w:r w:rsidRPr="00C21B99">
        <w:rPr>
          <w:snapToGrid w:val="0"/>
          <w:szCs w:val="22"/>
          <w:lang w:eastAsia="en-US"/>
        </w:rPr>
        <w:t xml:space="preserve"> derin</w:t>
      </w:r>
      <w:r w:rsidR="00DB6316" w:rsidRPr="00C21B99">
        <w:rPr>
          <w:snapToGrid w:val="0"/>
          <w:szCs w:val="22"/>
          <w:lang w:eastAsia="en-US"/>
        </w:rPr>
        <w:t>iu gydytais pacientais</w:t>
      </w:r>
      <w:r w:rsidRPr="00C21B99">
        <w:rPr>
          <w:snapToGrid w:val="0"/>
          <w:szCs w:val="22"/>
          <w:lang w:eastAsia="en-US"/>
        </w:rPr>
        <w:t xml:space="preserve"> (žr. 4 lentelę).</w:t>
      </w:r>
    </w:p>
    <w:p w14:paraId="2AA19051" w14:textId="77777777" w:rsidR="00B23ED9" w:rsidRPr="00C21B99" w:rsidRDefault="00B23ED9" w:rsidP="00554C64">
      <w:pPr>
        <w:widowControl w:val="0"/>
        <w:tabs>
          <w:tab w:val="left" w:pos="567"/>
        </w:tabs>
        <w:rPr>
          <w:snapToGrid w:val="0"/>
          <w:szCs w:val="22"/>
          <w:lang w:eastAsia="en-US"/>
        </w:rPr>
      </w:pPr>
    </w:p>
    <w:p w14:paraId="132A4AB8" w14:textId="77777777" w:rsidR="00530BE3" w:rsidRPr="00C21B99" w:rsidRDefault="00530BE3" w:rsidP="00530BE3">
      <w:pPr>
        <w:widowControl w:val="0"/>
        <w:tabs>
          <w:tab w:val="left" w:pos="567"/>
        </w:tabs>
        <w:rPr>
          <w:b/>
          <w:snapToGrid w:val="0"/>
          <w:szCs w:val="22"/>
          <w:lang w:eastAsia="en-US"/>
        </w:rPr>
      </w:pPr>
      <w:r w:rsidRPr="00C21B99">
        <w:rPr>
          <w:b/>
          <w:snapToGrid w:val="0"/>
          <w:szCs w:val="22"/>
          <w:lang w:eastAsia="en-US"/>
        </w:rPr>
        <w:t xml:space="preserve">4 lentelė. </w:t>
      </w:r>
      <w:proofErr w:type="spellStart"/>
      <w:r w:rsidRPr="00C21B99">
        <w:rPr>
          <w:b/>
          <w:snapToGrid w:val="0"/>
          <w:szCs w:val="22"/>
          <w:lang w:eastAsia="en-US"/>
        </w:rPr>
        <w:t>Gefitinibo</w:t>
      </w:r>
      <w:proofErr w:type="spellEnd"/>
      <w:r w:rsidR="00C2247F" w:rsidRPr="00C21B99">
        <w:rPr>
          <w:b/>
          <w:snapToGrid w:val="0"/>
          <w:szCs w:val="22"/>
          <w:lang w:eastAsia="en-US"/>
        </w:rPr>
        <w:t xml:space="preserve">, palyginti su </w:t>
      </w:r>
      <w:proofErr w:type="spellStart"/>
      <w:r w:rsidR="00C2247F" w:rsidRPr="00C21B99">
        <w:rPr>
          <w:b/>
          <w:snapToGrid w:val="0"/>
          <w:szCs w:val="22"/>
          <w:lang w:eastAsia="en-US"/>
        </w:rPr>
        <w:t>karboplatinos</w:t>
      </w:r>
      <w:proofErr w:type="spellEnd"/>
      <w:r w:rsidR="00C2247F" w:rsidRPr="00C21B99">
        <w:rPr>
          <w:b/>
          <w:snapToGrid w:val="0"/>
          <w:szCs w:val="22"/>
          <w:lang w:eastAsia="en-US"/>
        </w:rPr>
        <w:t xml:space="preserve"> ir </w:t>
      </w:r>
      <w:proofErr w:type="spellStart"/>
      <w:r w:rsidR="00C2247F" w:rsidRPr="00C21B99">
        <w:rPr>
          <w:b/>
          <w:snapToGrid w:val="0"/>
          <w:szCs w:val="22"/>
          <w:lang w:eastAsia="en-US"/>
        </w:rPr>
        <w:t>paklitakselio</w:t>
      </w:r>
      <w:proofErr w:type="spellEnd"/>
      <w:r w:rsidR="00C2247F" w:rsidRPr="00C21B99">
        <w:rPr>
          <w:b/>
          <w:snapToGrid w:val="0"/>
          <w:szCs w:val="22"/>
          <w:lang w:eastAsia="en-US"/>
        </w:rPr>
        <w:t xml:space="preserve"> deriniu,</w:t>
      </w:r>
      <w:r w:rsidRPr="00C21B99">
        <w:rPr>
          <w:b/>
        </w:rPr>
        <w:t xml:space="preserve"> </w:t>
      </w:r>
      <w:r w:rsidR="00C2247F" w:rsidRPr="00C21B99">
        <w:rPr>
          <w:b/>
          <w:snapToGrid w:val="0"/>
          <w:szCs w:val="22"/>
          <w:lang w:eastAsia="en-US"/>
        </w:rPr>
        <w:t xml:space="preserve">poveikis gyvenimo kokybės rezultatams </w:t>
      </w:r>
      <w:r w:rsidRPr="00C21B99">
        <w:rPr>
          <w:b/>
          <w:snapToGrid w:val="0"/>
          <w:szCs w:val="22"/>
          <w:lang w:eastAsia="en-US"/>
        </w:rPr>
        <w:t xml:space="preserve">IPASS tyrimo </w:t>
      </w:r>
      <w:r w:rsidR="00C2247F" w:rsidRPr="00C21B99">
        <w:rPr>
          <w:b/>
          <w:snapToGrid w:val="0"/>
          <w:szCs w:val="22"/>
          <w:lang w:eastAsia="en-US"/>
        </w:rPr>
        <w:t>duomenimis</w:t>
      </w:r>
    </w:p>
    <w:p w14:paraId="58813FC5" w14:textId="77777777" w:rsidR="00B23ED9" w:rsidRPr="00C21B99" w:rsidRDefault="00B23ED9" w:rsidP="00554C64">
      <w:pPr>
        <w:widowControl w:val="0"/>
        <w:tabs>
          <w:tab w:val="left" w:pos="567"/>
        </w:tabs>
        <w:rPr>
          <w:snapToGrid w:val="0"/>
          <w:szCs w:val="22"/>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46"/>
        <w:gridCol w:w="2793"/>
        <w:gridCol w:w="3074"/>
      </w:tblGrid>
      <w:tr w:rsidR="00DB6316" w:rsidRPr="00C21B99" w14:paraId="1E0C35D4" w14:textId="77777777" w:rsidTr="0092757F">
        <w:trPr>
          <w:trHeight w:val="761"/>
        </w:trPr>
        <w:tc>
          <w:tcPr>
            <w:tcW w:w="1984" w:type="dxa"/>
            <w:tcBorders>
              <w:top w:val="single" w:sz="18" w:space="0" w:color="auto"/>
              <w:left w:val="nil"/>
              <w:bottom w:val="single" w:sz="12" w:space="0" w:color="auto"/>
              <w:right w:val="nil"/>
            </w:tcBorders>
            <w:shd w:val="clear" w:color="auto" w:fill="auto"/>
          </w:tcPr>
          <w:p w14:paraId="71785AFB" w14:textId="77777777" w:rsidR="00DB6316" w:rsidRPr="00C21B99" w:rsidRDefault="00DB6316" w:rsidP="0092757F">
            <w:pPr>
              <w:widowControl w:val="0"/>
              <w:jc w:val="center"/>
              <w:rPr>
                <w:rFonts w:eastAsia="Calibri"/>
                <w:b/>
                <w:bCs/>
                <w:szCs w:val="22"/>
                <w:lang w:eastAsia="en-US"/>
              </w:rPr>
            </w:pPr>
            <w:r w:rsidRPr="00C21B99">
              <w:rPr>
                <w:rFonts w:eastAsia="Calibri"/>
                <w:b/>
                <w:bCs/>
                <w:szCs w:val="22"/>
                <w:lang w:eastAsia="en-US"/>
              </w:rPr>
              <w:t>Popul</w:t>
            </w:r>
            <w:r w:rsidR="00530BE3" w:rsidRPr="00C21B99">
              <w:rPr>
                <w:rFonts w:eastAsia="Calibri"/>
                <w:b/>
                <w:bCs/>
                <w:szCs w:val="22"/>
                <w:lang w:eastAsia="en-US"/>
              </w:rPr>
              <w:t>iacija</w:t>
            </w:r>
          </w:p>
        </w:tc>
        <w:tc>
          <w:tcPr>
            <w:tcW w:w="851" w:type="dxa"/>
            <w:tcBorders>
              <w:top w:val="single" w:sz="18" w:space="0" w:color="auto"/>
              <w:left w:val="nil"/>
              <w:bottom w:val="single" w:sz="12" w:space="0" w:color="auto"/>
              <w:right w:val="nil"/>
            </w:tcBorders>
            <w:shd w:val="clear" w:color="auto" w:fill="auto"/>
          </w:tcPr>
          <w:p w14:paraId="31473709" w14:textId="77777777" w:rsidR="00DB6316" w:rsidRPr="00C21B99" w:rsidRDefault="00DB6316" w:rsidP="0092757F">
            <w:pPr>
              <w:widowControl w:val="0"/>
              <w:jc w:val="center"/>
              <w:rPr>
                <w:rFonts w:eastAsia="Calibri"/>
                <w:b/>
                <w:bCs/>
                <w:szCs w:val="22"/>
                <w:lang w:eastAsia="en-US"/>
              </w:rPr>
            </w:pPr>
            <w:r w:rsidRPr="00C21B99">
              <w:rPr>
                <w:rFonts w:eastAsia="Calibri"/>
                <w:b/>
                <w:bCs/>
                <w:szCs w:val="22"/>
                <w:lang w:eastAsia="en-US"/>
              </w:rPr>
              <w:t>N</w:t>
            </w:r>
          </w:p>
        </w:tc>
        <w:tc>
          <w:tcPr>
            <w:tcW w:w="2835" w:type="dxa"/>
            <w:tcBorders>
              <w:top w:val="single" w:sz="18" w:space="0" w:color="auto"/>
              <w:left w:val="nil"/>
              <w:bottom w:val="single" w:sz="12" w:space="0" w:color="auto"/>
              <w:right w:val="nil"/>
            </w:tcBorders>
            <w:shd w:val="clear" w:color="auto" w:fill="auto"/>
          </w:tcPr>
          <w:p w14:paraId="141724D2" w14:textId="77777777" w:rsidR="00DB6316" w:rsidRPr="00C21B99" w:rsidRDefault="00DB6316" w:rsidP="0092757F">
            <w:pPr>
              <w:widowControl w:val="0"/>
              <w:autoSpaceDE w:val="0"/>
              <w:autoSpaceDN w:val="0"/>
              <w:adjustRightInd w:val="0"/>
              <w:jc w:val="center"/>
              <w:rPr>
                <w:rFonts w:eastAsia="Calibri"/>
                <w:b/>
                <w:bCs/>
                <w:szCs w:val="22"/>
                <w:lang w:eastAsia="en-US"/>
              </w:rPr>
            </w:pPr>
            <w:r w:rsidRPr="00C21B99">
              <w:rPr>
                <w:rFonts w:eastAsia="Calibri"/>
                <w:b/>
                <w:bCs/>
                <w:szCs w:val="22"/>
                <w:lang w:eastAsia="en-US"/>
              </w:rPr>
              <w:t xml:space="preserve">FACT-L </w:t>
            </w:r>
            <w:proofErr w:type="spellStart"/>
            <w:r w:rsidRPr="00C21B99">
              <w:rPr>
                <w:rFonts w:eastAsia="Calibri"/>
                <w:b/>
                <w:bCs/>
                <w:szCs w:val="22"/>
                <w:lang w:eastAsia="en-US"/>
              </w:rPr>
              <w:t>QoL</w:t>
            </w:r>
            <w:proofErr w:type="spellEnd"/>
          </w:p>
          <w:p w14:paraId="56EC49E1" w14:textId="77777777" w:rsidR="00C2247F" w:rsidRPr="00C21B99" w:rsidRDefault="00C2247F" w:rsidP="0092757F">
            <w:pPr>
              <w:widowControl w:val="0"/>
              <w:autoSpaceDE w:val="0"/>
              <w:autoSpaceDN w:val="0"/>
              <w:adjustRightInd w:val="0"/>
              <w:jc w:val="center"/>
              <w:rPr>
                <w:rFonts w:eastAsia="Calibri"/>
                <w:b/>
                <w:bCs/>
                <w:szCs w:val="22"/>
                <w:lang w:eastAsia="en-US"/>
              </w:rPr>
            </w:pPr>
            <w:r w:rsidRPr="00C21B99">
              <w:rPr>
                <w:rFonts w:eastAsia="Calibri"/>
                <w:b/>
                <w:bCs/>
                <w:szCs w:val="22"/>
                <w:lang w:eastAsia="en-US"/>
              </w:rPr>
              <w:t>pagerėjimo</w:t>
            </w:r>
          </w:p>
          <w:p w14:paraId="41DB226B" w14:textId="77777777" w:rsidR="00DB6316" w:rsidRPr="00C21B99" w:rsidRDefault="00C2247F" w:rsidP="0092757F">
            <w:pPr>
              <w:widowControl w:val="0"/>
              <w:autoSpaceDE w:val="0"/>
              <w:autoSpaceDN w:val="0"/>
              <w:adjustRightInd w:val="0"/>
              <w:jc w:val="center"/>
              <w:rPr>
                <w:rFonts w:eastAsia="Calibri"/>
                <w:b/>
                <w:bCs/>
                <w:szCs w:val="22"/>
                <w:lang w:eastAsia="en-US"/>
              </w:rPr>
            </w:pPr>
            <w:proofErr w:type="spellStart"/>
            <w:r w:rsidRPr="00C21B99">
              <w:rPr>
                <w:rFonts w:eastAsia="Calibri"/>
                <w:b/>
                <w:bCs/>
                <w:szCs w:val="22"/>
                <w:lang w:eastAsia="en-US"/>
              </w:rPr>
              <w:t>dažnis</w:t>
            </w:r>
            <w:r w:rsidRPr="00C21B99">
              <w:rPr>
                <w:rFonts w:eastAsia="Calibri"/>
                <w:b/>
                <w:bCs/>
                <w:szCs w:val="22"/>
                <w:vertAlign w:val="superscript"/>
                <w:lang w:eastAsia="en-US"/>
              </w:rPr>
              <w:t>a</w:t>
            </w:r>
            <w:proofErr w:type="spellEnd"/>
            <w:r w:rsidRPr="00C21B99">
              <w:rPr>
                <w:rFonts w:eastAsia="Calibri"/>
                <w:b/>
                <w:bCs/>
                <w:szCs w:val="22"/>
                <w:lang w:eastAsia="en-US"/>
              </w:rPr>
              <w:t xml:space="preserve"> %</w:t>
            </w:r>
          </w:p>
          <w:p w14:paraId="0EC42902" w14:textId="77777777" w:rsidR="00DB6316" w:rsidRPr="00C21B99" w:rsidRDefault="00DB6316" w:rsidP="0092757F">
            <w:pPr>
              <w:widowControl w:val="0"/>
              <w:autoSpaceDE w:val="0"/>
              <w:autoSpaceDN w:val="0"/>
              <w:adjustRightInd w:val="0"/>
              <w:jc w:val="center"/>
              <w:rPr>
                <w:rFonts w:eastAsia="Calibri"/>
                <w:b/>
                <w:bCs/>
                <w:szCs w:val="22"/>
                <w:lang w:eastAsia="en-US"/>
              </w:rPr>
            </w:pPr>
            <w:r w:rsidRPr="00C21B99">
              <w:rPr>
                <w:rFonts w:eastAsia="Calibri"/>
                <w:b/>
                <w:bCs/>
                <w:szCs w:val="22"/>
                <w:lang w:eastAsia="en-US"/>
              </w:rPr>
              <w:t>%</w:t>
            </w:r>
          </w:p>
        </w:tc>
        <w:tc>
          <w:tcPr>
            <w:tcW w:w="3119" w:type="dxa"/>
            <w:tcBorders>
              <w:top w:val="single" w:sz="18" w:space="0" w:color="auto"/>
              <w:left w:val="nil"/>
              <w:bottom w:val="single" w:sz="12" w:space="0" w:color="auto"/>
              <w:right w:val="nil"/>
            </w:tcBorders>
            <w:shd w:val="clear" w:color="auto" w:fill="auto"/>
          </w:tcPr>
          <w:p w14:paraId="1665E5CE" w14:textId="77777777" w:rsidR="00C2247F" w:rsidRPr="00C21B99" w:rsidRDefault="00C2247F" w:rsidP="0092757F">
            <w:pPr>
              <w:widowControl w:val="0"/>
              <w:autoSpaceDE w:val="0"/>
              <w:autoSpaceDN w:val="0"/>
              <w:adjustRightInd w:val="0"/>
              <w:jc w:val="center"/>
              <w:rPr>
                <w:rFonts w:eastAsia="Calibri"/>
                <w:b/>
                <w:bCs/>
                <w:szCs w:val="22"/>
                <w:lang w:eastAsia="en-US"/>
              </w:rPr>
            </w:pPr>
            <w:r w:rsidRPr="00C21B99">
              <w:rPr>
                <w:rFonts w:eastAsia="Calibri"/>
                <w:b/>
                <w:bCs/>
                <w:szCs w:val="22"/>
                <w:lang w:eastAsia="en-US"/>
              </w:rPr>
              <w:t>LCS simptomų</w:t>
            </w:r>
          </w:p>
          <w:p w14:paraId="5E2DCC87" w14:textId="77777777" w:rsidR="00DB6316" w:rsidRPr="00C21B99" w:rsidRDefault="00C2247F" w:rsidP="0092757F">
            <w:pPr>
              <w:widowControl w:val="0"/>
              <w:autoSpaceDE w:val="0"/>
              <w:autoSpaceDN w:val="0"/>
              <w:adjustRightInd w:val="0"/>
              <w:jc w:val="center"/>
              <w:rPr>
                <w:rFonts w:eastAsia="Calibri"/>
                <w:b/>
                <w:bCs/>
                <w:szCs w:val="22"/>
                <w:lang w:eastAsia="en-US"/>
              </w:rPr>
            </w:pPr>
            <w:r w:rsidRPr="00C21B99">
              <w:rPr>
                <w:rFonts w:eastAsia="Calibri"/>
                <w:b/>
                <w:bCs/>
                <w:szCs w:val="22"/>
                <w:lang w:eastAsia="en-US"/>
              </w:rPr>
              <w:t xml:space="preserve">palengvėjimo </w:t>
            </w:r>
            <w:proofErr w:type="spellStart"/>
            <w:r w:rsidRPr="00C21B99">
              <w:rPr>
                <w:rFonts w:eastAsia="Calibri"/>
                <w:b/>
                <w:bCs/>
                <w:szCs w:val="22"/>
                <w:lang w:eastAsia="en-US"/>
              </w:rPr>
              <w:t>dažnis</w:t>
            </w:r>
            <w:r w:rsidRPr="00C21B99">
              <w:rPr>
                <w:rFonts w:eastAsia="Calibri"/>
                <w:b/>
                <w:bCs/>
                <w:szCs w:val="22"/>
                <w:vertAlign w:val="superscript"/>
                <w:lang w:eastAsia="en-US"/>
              </w:rPr>
              <w:t>a</w:t>
            </w:r>
            <w:proofErr w:type="spellEnd"/>
            <w:r w:rsidRPr="00C21B99">
              <w:rPr>
                <w:rFonts w:eastAsia="Calibri"/>
                <w:b/>
                <w:bCs/>
                <w:szCs w:val="22"/>
                <w:lang w:eastAsia="en-US"/>
              </w:rPr>
              <w:t xml:space="preserve"> %</w:t>
            </w:r>
          </w:p>
        </w:tc>
      </w:tr>
      <w:tr w:rsidR="00DB6316" w:rsidRPr="00C21B99" w14:paraId="44EBE983" w14:textId="77777777" w:rsidTr="0092757F">
        <w:tc>
          <w:tcPr>
            <w:tcW w:w="1984" w:type="dxa"/>
            <w:tcBorders>
              <w:top w:val="single" w:sz="12" w:space="0" w:color="auto"/>
              <w:left w:val="nil"/>
              <w:bottom w:val="single" w:sz="4" w:space="0" w:color="auto"/>
              <w:right w:val="nil"/>
            </w:tcBorders>
            <w:shd w:val="clear" w:color="auto" w:fill="auto"/>
          </w:tcPr>
          <w:p w14:paraId="5579D73D" w14:textId="77777777" w:rsidR="00DB6316" w:rsidRPr="00C21B99" w:rsidRDefault="00C2247F" w:rsidP="0092757F">
            <w:pPr>
              <w:widowControl w:val="0"/>
              <w:autoSpaceDE w:val="0"/>
              <w:autoSpaceDN w:val="0"/>
              <w:adjustRightInd w:val="0"/>
              <w:jc w:val="center"/>
              <w:rPr>
                <w:rFonts w:eastAsia="Calibri"/>
                <w:szCs w:val="22"/>
                <w:lang w:eastAsia="en-US"/>
              </w:rPr>
            </w:pPr>
            <w:r w:rsidRPr="00C21B99">
              <w:rPr>
                <w:rFonts w:eastAsia="Calibri"/>
                <w:szCs w:val="22"/>
                <w:lang w:eastAsia="en-US"/>
              </w:rPr>
              <w:t>Iš viso</w:t>
            </w:r>
          </w:p>
        </w:tc>
        <w:tc>
          <w:tcPr>
            <w:tcW w:w="851" w:type="dxa"/>
            <w:tcBorders>
              <w:top w:val="single" w:sz="12" w:space="0" w:color="auto"/>
              <w:left w:val="nil"/>
              <w:bottom w:val="single" w:sz="4" w:space="0" w:color="auto"/>
              <w:right w:val="nil"/>
            </w:tcBorders>
            <w:shd w:val="clear" w:color="auto" w:fill="auto"/>
          </w:tcPr>
          <w:p w14:paraId="3E43151A" w14:textId="77777777" w:rsidR="00DB6316" w:rsidRPr="00C21B99" w:rsidRDefault="00DB6316"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1151</w:t>
            </w:r>
          </w:p>
        </w:tc>
        <w:tc>
          <w:tcPr>
            <w:tcW w:w="2835" w:type="dxa"/>
            <w:tcBorders>
              <w:top w:val="single" w:sz="12" w:space="0" w:color="auto"/>
              <w:left w:val="nil"/>
              <w:bottom w:val="single" w:sz="4" w:space="0" w:color="auto"/>
              <w:right w:val="nil"/>
            </w:tcBorders>
            <w:shd w:val="clear" w:color="auto" w:fill="auto"/>
          </w:tcPr>
          <w:p w14:paraId="2E8D6D66" w14:textId="77777777" w:rsidR="00DB6316" w:rsidRPr="00C21B99" w:rsidRDefault="00DB6316" w:rsidP="0092757F">
            <w:pPr>
              <w:widowControl w:val="0"/>
              <w:jc w:val="center"/>
              <w:rPr>
                <w:rFonts w:eastAsia="Calibri"/>
                <w:szCs w:val="22"/>
                <w:lang w:eastAsia="en-US"/>
              </w:rPr>
            </w:pPr>
            <w:r w:rsidRPr="00C21B99">
              <w:rPr>
                <w:rFonts w:eastAsia="Calibri"/>
                <w:szCs w:val="22"/>
                <w:lang w:eastAsia="en-US"/>
              </w:rPr>
              <w:t>(48</w:t>
            </w:r>
            <w:r w:rsidR="00C2247F" w:rsidRPr="00C21B99">
              <w:rPr>
                <w:rFonts w:eastAsia="Calibri"/>
                <w:szCs w:val="22"/>
                <w:lang w:eastAsia="en-US"/>
              </w:rPr>
              <w:t>,</w:t>
            </w:r>
            <w:r w:rsidRPr="00C21B99">
              <w:rPr>
                <w:rFonts w:eastAsia="Calibri"/>
                <w:szCs w:val="22"/>
                <w:lang w:eastAsia="en-US"/>
              </w:rPr>
              <w:t>0%</w:t>
            </w:r>
            <w:r w:rsidR="00C2247F" w:rsidRPr="00C21B99">
              <w:rPr>
                <w:rFonts w:eastAsia="Calibri"/>
                <w:szCs w:val="22"/>
                <w:lang w:eastAsia="en-US"/>
              </w:rPr>
              <w:t>, plg.</w:t>
            </w:r>
            <w:r w:rsidRPr="00C21B99">
              <w:rPr>
                <w:rFonts w:eastAsia="Calibri"/>
                <w:szCs w:val="22"/>
                <w:lang w:eastAsia="en-US"/>
              </w:rPr>
              <w:t xml:space="preserve"> 40</w:t>
            </w:r>
            <w:r w:rsidR="00304441" w:rsidRPr="00C21B99">
              <w:rPr>
                <w:rFonts w:eastAsia="Calibri"/>
                <w:szCs w:val="22"/>
                <w:lang w:eastAsia="en-US"/>
              </w:rPr>
              <w:t>,</w:t>
            </w:r>
            <w:r w:rsidRPr="00C21B99">
              <w:rPr>
                <w:rFonts w:eastAsia="Calibri"/>
                <w:szCs w:val="22"/>
                <w:lang w:eastAsia="en-US"/>
              </w:rPr>
              <w:t>8%)</w:t>
            </w:r>
          </w:p>
          <w:p w14:paraId="02AAAB90" w14:textId="77777777" w:rsidR="00DB6316" w:rsidRPr="00C21B99" w:rsidRDefault="00DB6316" w:rsidP="0092757F">
            <w:pPr>
              <w:widowControl w:val="0"/>
              <w:jc w:val="center"/>
              <w:rPr>
                <w:rFonts w:eastAsia="Calibri"/>
                <w:szCs w:val="22"/>
                <w:lang w:eastAsia="en-US"/>
              </w:rPr>
            </w:pPr>
            <w:r w:rsidRPr="00C21B99">
              <w:rPr>
                <w:rFonts w:eastAsia="Calibri"/>
                <w:szCs w:val="22"/>
                <w:lang w:eastAsia="en-US"/>
              </w:rPr>
              <w:t>p</w:t>
            </w:r>
            <w:r w:rsidR="00304441" w:rsidRPr="00C21B99">
              <w:rPr>
                <w:rFonts w:eastAsia="Calibri"/>
                <w:szCs w:val="22"/>
                <w:lang w:eastAsia="en-US"/>
              </w:rPr>
              <w:t xml:space="preserve"> </w:t>
            </w:r>
            <w:r w:rsidRPr="00C21B99">
              <w:rPr>
                <w:rFonts w:eastAsia="Calibri"/>
                <w:szCs w:val="22"/>
                <w:lang w:eastAsia="en-US"/>
              </w:rPr>
              <w:t>=</w:t>
            </w:r>
            <w:r w:rsidR="00304441" w:rsidRPr="00C21B99">
              <w:rPr>
                <w:rFonts w:eastAsia="Calibri"/>
                <w:szCs w:val="22"/>
                <w:lang w:eastAsia="en-US"/>
              </w:rPr>
              <w:t xml:space="preserve"> </w:t>
            </w:r>
            <w:r w:rsidRPr="00C21B99">
              <w:rPr>
                <w:rFonts w:eastAsia="Calibri"/>
                <w:szCs w:val="22"/>
                <w:lang w:eastAsia="en-US"/>
              </w:rPr>
              <w:t>0</w:t>
            </w:r>
            <w:r w:rsidR="00C2247F" w:rsidRPr="00C21B99">
              <w:rPr>
                <w:rFonts w:eastAsia="Calibri"/>
                <w:szCs w:val="22"/>
                <w:lang w:eastAsia="en-US"/>
              </w:rPr>
              <w:t>,</w:t>
            </w:r>
            <w:r w:rsidRPr="00C21B99">
              <w:rPr>
                <w:rFonts w:eastAsia="Calibri"/>
                <w:szCs w:val="22"/>
                <w:lang w:eastAsia="en-US"/>
              </w:rPr>
              <w:t>0148</w:t>
            </w:r>
          </w:p>
          <w:p w14:paraId="68846E0E" w14:textId="77777777" w:rsidR="00DB6316" w:rsidRPr="00C21B99" w:rsidRDefault="00DB6316" w:rsidP="0092757F">
            <w:pPr>
              <w:widowControl w:val="0"/>
              <w:jc w:val="center"/>
              <w:rPr>
                <w:rFonts w:eastAsia="Calibri"/>
                <w:szCs w:val="22"/>
                <w:lang w:eastAsia="en-US"/>
              </w:rPr>
            </w:pPr>
          </w:p>
        </w:tc>
        <w:tc>
          <w:tcPr>
            <w:tcW w:w="3119" w:type="dxa"/>
            <w:tcBorders>
              <w:top w:val="single" w:sz="12" w:space="0" w:color="auto"/>
              <w:left w:val="nil"/>
              <w:bottom w:val="single" w:sz="4" w:space="0" w:color="auto"/>
              <w:right w:val="nil"/>
            </w:tcBorders>
            <w:shd w:val="clear" w:color="auto" w:fill="auto"/>
          </w:tcPr>
          <w:p w14:paraId="3B7EF883" w14:textId="77777777" w:rsidR="00DB6316" w:rsidRPr="00C21B99" w:rsidRDefault="00DB6316" w:rsidP="0092757F">
            <w:pPr>
              <w:widowControl w:val="0"/>
              <w:jc w:val="center"/>
              <w:rPr>
                <w:rFonts w:eastAsia="Calibri"/>
                <w:szCs w:val="22"/>
                <w:lang w:eastAsia="en-US"/>
              </w:rPr>
            </w:pPr>
            <w:r w:rsidRPr="00C21B99">
              <w:rPr>
                <w:rFonts w:eastAsia="Calibri"/>
                <w:szCs w:val="22"/>
                <w:lang w:eastAsia="en-US"/>
              </w:rPr>
              <w:t>(51</w:t>
            </w:r>
            <w:r w:rsidR="00304441" w:rsidRPr="00C21B99">
              <w:rPr>
                <w:rFonts w:eastAsia="Calibri"/>
                <w:szCs w:val="22"/>
                <w:lang w:eastAsia="en-US"/>
              </w:rPr>
              <w:t>,</w:t>
            </w:r>
            <w:r w:rsidRPr="00C21B99">
              <w:rPr>
                <w:rFonts w:eastAsia="Calibri"/>
                <w:szCs w:val="22"/>
                <w:lang w:eastAsia="en-US"/>
              </w:rPr>
              <w:t>5%</w:t>
            </w:r>
            <w:r w:rsidR="00C2247F" w:rsidRPr="00C21B99">
              <w:rPr>
                <w:rFonts w:eastAsia="Calibri"/>
                <w:szCs w:val="22"/>
                <w:lang w:eastAsia="en-US"/>
              </w:rPr>
              <w:t>, plg</w:t>
            </w:r>
            <w:r w:rsidR="00B07794" w:rsidRPr="00C21B99">
              <w:rPr>
                <w:rFonts w:eastAsia="Calibri"/>
                <w:szCs w:val="22"/>
                <w:lang w:eastAsia="en-US"/>
              </w:rPr>
              <w:t>.</w:t>
            </w:r>
            <w:r w:rsidRPr="00C21B99">
              <w:rPr>
                <w:rFonts w:eastAsia="Calibri"/>
                <w:szCs w:val="22"/>
                <w:lang w:eastAsia="en-US"/>
              </w:rPr>
              <w:t xml:space="preserve"> 48</w:t>
            </w:r>
            <w:r w:rsidR="00304441" w:rsidRPr="00C21B99">
              <w:rPr>
                <w:rFonts w:eastAsia="Calibri"/>
                <w:szCs w:val="22"/>
                <w:lang w:eastAsia="en-US"/>
              </w:rPr>
              <w:t>,</w:t>
            </w:r>
            <w:r w:rsidRPr="00C21B99">
              <w:rPr>
                <w:rFonts w:eastAsia="Calibri"/>
                <w:szCs w:val="22"/>
                <w:lang w:eastAsia="en-US"/>
              </w:rPr>
              <w:t>5%)</w:t>
            </w:r>
          </w:p>
          <w:p w14:paraId="111099E0" w14:textId="77777777" w:rsidR="00DB6316" w:rsidRPr="00C21B99" w:rsidRDefault="00DB6316" w:rsidP="0092757F">
            <w:pPr>
              <w:widowControl w:val="0"/>
              <w:jc w:val="center"/>
              <w:rPr>
                <w:rFonts w:eastAsia="Calibri"/>
                <w:szCs w:val="22"/>
                <w:lang w:eastAsia="en-US"/>
              </w:rPr>
            </w:pPr>
            <w:r w:rsidRPr="00C21B99">
              <w:rPr>
                <w:rFonts w:eastAsia="Calibri"/>
                <w:szCs w:val="22"/>
                <w:lang w:eastAsia="en-US"/>
              </w:rPr>
              <w:t>p</w:t>
            </w:r>
            <w:r w:rsidR="00304441" w:rsidRPr="00C21B99">
              <w:rPr>
                <w:rFonts w:eastAsia="Calibri"/>
                <w:szCs w:val="22"/>
                <w:lang w:eastAsia="en-US"/>
              </w:rPr>
              <w:t xml:space="preserve"> </w:t>
            </w:r>
            <w:r w:rsidRPr="00C21B99">
              <w:rPr>
                <w:rFonts w:eastAsia="Calibri"/>
                <w:szCs w:val="22"/>
                <w:lang w:eastAsia="en-US"/>
              </w:rPr>
              <w:t>=</w:t>
            </w:r>
            <w:r w:rsidR="00304441" w:rsidRPr="00C21B99">
              <w:rPr>
                <w:rFonts w:eastAsia="Calibri"/>
                <w:szCs w:val="22"/>
                <w:lang w:eastAsia="en-US"/>
              </w:rPr>
              <w:t xml:space="preserve"> </w:t>
            </w:r>
            <w:r w:rsidRPr="00C21B99">
              <w:rPr>
                <w:rFonts w:eastAsia="Calibri"/>
                <w:szCs w:val="22"/>
                <w:lang w:eastAsia="en-US"/>
              </w:rPr>
              <w:t>0</w:t>
            </w:r>
            <w:r w:rsidR="00B07794" w:rsidRPr="00C21B99">
              <w:rPr>
                <w:rFonts w:eastAsia="Calibri"/>
                <w:szCs w:val="22"/>
                <w:lang w:eastAsia="en-US"/>
              </w:rPr>
              <w:t>,</w:t>
            </w:r>
            <w:r w:rsidRPr="00C21B99">
              <w:rPr>
                <w:rFonts w:eastAsia="Calibri"/>
                <w:szCs w:val="22"/>
                <w:lang w:eastAsia="en-US"/>
              </w:rPr>
              <w:t>3037</w:t>
            </w:r>
          </w:p>
        </w:tc>
      </w:tr>
      <w:tr w:rsidR="00DB6316" w:rsidRPr="00C21B99" w14:paraId="4CD05246" w14:textId="77777777" w:rsidTr="0092757F">
        <w:tc>
          <w:tcPr>
            <w:tcW w:w="1984" w:type="dxa"/>
            <w:tcBorders>
              <w:top w:val="single" w:sz="4" w:space="0" w:color="auto"/>
              <w:left w:val="nil"/>
              <w:bottom w:val="single" w:sz="2" w:space="0" w:color="auto"/>
              <w:right w:val="nil"/>
            </w:tcBorders>
            <w:shd w:val="clear" w:color="auto" w:fill="auto"/>
          </w:tcPr>
          <w:p w14:paraId="296A16D7" w14:textId="77777777" w:rsidR="00DB6316" w:rsidRPr="00C21B99" w:rsidRDefault="00C2247F" w:rsidP="0092757F">
            <w:pPr>
              <w:widowControl w:val="0"/>
              <w:autoSpaceDE w:val="0"/>
              <w:autoSpaceDN w:val="0"/>
              <w:adjustRightInd w:val="0"/>
              <w:jc w:val="center"/>
              <w:rPr>
                <w:rFonts w:eastAsia="Calibri"/>
                <w:szCs w:val="22"/>
                <w:lang w:eastAsia="en-US"/>
              </w:rPr>
            </w:pPr>
            <w:r w:rsidRPr="00C21B99">
              <w:rPr>
                <w:rFonts w:eastAsia="Calibri"/>
                <w:szCs w:val="22"/>
                <w:lang w:eastAsia="en-US"/>
              </w:rPr>
              <w:t>EGFR mutacijos atžvilgiu teigiami</w:t>
            </w:r>
          </w:p>
        </w:tc>
        <w:tc>
          <w:tcPr>
            <w:tcW w:w="851" w:type="dxa"/>
            <w:tcBorders>
              <w:top w:val="single" w:sz="4" w:space="0" w:color="auto"/>
              <w:left w:val="nil"/>
              <w:bottom w:val="single" w:sz="2" w:space="0" w:color="auto"/>
              <w:right w:val="nil"/>
            </w:tcBorders>
            <w:shd w:val="clear" w:color="auto" w:fill="auto"/>
          </w:tcPr>
          <w:p w14:paraId="65FAFE2F" w14:textId="77777777" w:rsidR="00DB6316" w:rsidRPr="00C21B99" w:rsidRDefault="00DB6316" w:rsidP="0092757F">
            <w:pPr>
              <w:widowControl w:val="0"/>
              <w:autoSpaceDE w:val="0"/>
              <w:autoSpaceDN w:val="0"/>
              <w:adjustRightInd w:val="0"/>
              <w:jc w:val="center"/>
              <w:rPr>
                <w:rFonts w:eastAsia="Calibri"/>
                <w:szCs w:val="22"/>
                <w:lang w:eastAsia="en-US"/>
              </w:rPr>
            </w:pPr>
            <w:r w:rsidRPr="00C21B99">
              <w:rPr>
                <w:rFonts w:eastAsia="Calibri"/>
                <w:szCs w:val="22"/>
                <w:lang w:eastAsia="en-US"/>
              </w:rPr>
              <w:t>259</w:t>
            </w:r>
          </w:p>
        </w:tc>
        <w:tc>
          <w:tcPr>
            <w:tcW w:w="2835" w:type="dxa"/>
            <w:tcBorders>
              <w:top w:val="single" w:sz="4" w:space="0" w:color="auto"/>
              <w:left w:val="nil"/>
              <w:bottom w:val="single" w:sz="2" w:space="0" w:color="auto"/>
              <w:right w:val="nil"/>
            </w:tcBorders>
            <w:shd w:val="clear" w:color="auto" w:fill="auto"/>
          </w:tcPr>
          <w:p w14:paraId="68F6473C" w14:textId="77777777" w:rsidR="00DB6316" w:rsidRPr="00C21B99" w:rsidRDefault="00DB6316" w:rsidP="0092757F">
            <w:pPr>
              <w:widowControl w:val="0"/>
              <w:autoSpaceDE w:val="0"/>
              <w:autoSpaceDN w:val="0"/>
              <w:adjustRightInd w:val="0"/>
              <w:jc w:val="center"/>
              <w:rPr>
                <w:rFonts w:eastAsia="Calibri"/>
                <w:szCs w:val="22"/>
                <w:lang w:eastAsia="en-US"/>
              </w:rPr>
            </w:pPr>
            <w:r w:rsidRPr="00C21B99">
              <w:rPr>
                <w:rFonts w:eastAsia="Calibri"/>
                <w:szCs w:val="22"/>
                <w:lang w:eastAsia="en-US"/>
              </w:rPr>
              <w:t>(70</w:t>
            </w:r>
            <w:r w:rsidR="00304441" w:rsidRPr="00C21B99">
              <w:rPr>
                <w:rFonts w:eastAsia="Calibri"/>
                <w:szCs w:val="22"/>
                <w:lang w:eastAsia="en-US"/>
              </w:rPr>
              <w:t>,</w:t>
            </w:r>
            <w:r w:rsidRPr="00C21B99">
              <w:rPr>
                <w:rFonts w:eastAsia="Calibri"/>
                <w:szCs w:val="22"/>
                <w:lang w:eastAsia="en-US"/>
              </w:rPr>
              <w:t>2%</w:t>
            </w:r>
            <w:r w:rsidR="00B07794" w:rsidRPr="00C21B99">
              <w:rPr>
                <w:rFonts w:eastAsia="Calibri"/>
                <w:szCs w:val="22"/>
                <w:lang w:eastAsia="en-US"/>
              </w:rPr>
              <w:t>, plg.</w:t>
            </w:r>
            <w:r w:rsidRPr="00C21B99">
              <w:rPr>
                <w:rFonts w:eastAsia="Calibri"/>
                <w:szCs w:val="22"/>
                <w:lang w:eastAsia="en-US"/>
              </w:rPr>
              <w:t xml:space="preserve"> 44</w:t>
            </w:r>
            <w:r w:rsidR="00304441" w:rsidRPr="00C21B99">
              <w:rPr>
                <w:rFonts w:eastAsia="Calibri"/>
                <w:szCs w:val="22"/>
                <w:lang w:eastAsia="en-US"/>
              </w:rPr>
              <w:t>,</w:t>
            </w:r>
            <w:r w:rsidRPr="00C21B99">
              <w:rPr>
                <w:rFonts w:eastAsia="Calibri"/>
                <w:szCs w:val="22"/>
                <w:lang w:eastAsia="en-US"/>
              </w:rPr>
              <w:t>5%)</w:t>
            </w:r>
          </w:p>
          <w:p w14:paraId="4B17B3CB" w14:textId="77777777" w:rsidR="00DB6316" w:rsidRPr="00C21B99" w:rsidRDefault="00DB6316" w:rsidP="0092757F">
            <w:pPr>
              <w:widowControl w:val="0"/>
              <w:autoSpaceDE w:val="0"/>
              <w:autoSpaceDN w:val="0"/>
              <w:adjustRightInd w:val="0"/>
              <w:jc w:val="center"/>
              <w:rPr>
                <w:rFonts w:eastAsia="Calibri"/>
                <w:szCs w:val="22"/>
                <w:lang w:eastAsia="en-US"/>
              </w:rPr>
            </w:pPr>
            <w:r w:rsidRPr="00C21B99">
              <w:rPr>
                <w:rFonts w:eastAsia="Calibri"/>
                <w:szCs w:val="22"/>
                <w:lang w:eastAsia="en-US"/>
              </w:rPr>
              <w:t>p</w:t>
            </w:r>
            <w:r w:rsidR="00304441" w:rsidRPr="00C21B99">
              <w:rPr>
                <w:rFonts w:eastAsia="Calibri"/>
                <w:szCs w:val="22"/>
                <w:lang w:eastAsia="en-US"/>
              </w:rPr>
              <w:t xml:space="preserve"> </w:t>
            </w:r>
            <w:r w:rsidRPr="00C21B99">
              <w:rPr>
                <w:rFonts w:eastAsia="Calibri"/>
                <w:szCs w:val="22"/>
                <w:lang w:eastAsia="en-US"/>
              </w:rPr>
              <w:t>&lt;</w:t>
            </w:r>
            <w:r w:rsidR="00304441" w:rsidRPr="00C21B99">
              <w:rPr>
                <w:rFonts w:eastAsia="Calibri"/>
                <w:szCs w:val="22"/>
                <w:lang w:eastAsia="en-US"/>
              </w:rPr>
              <w:t xml:space="preserve"> </w:t>
            </w:r>
            <w:r w:rsidRPr="00C21B99">
              <w:rPr>
                <w:rFonts w:eastAsia="Calibri"/>
                <w:szCs w:val="22"/>
                <w:lang w:eastAsia="en-US"/>
              </w:rPr>
              <w:t>0</w:t>
            </w:r>
            <w:r w:rsidR="00B07794" w:rsidRPr="00C21B99">
              <w:rPr>
                <w:rFonts w:eastAsia="Calibri"/>
                <w:szCs w:val="22"/>
                <w:lang w:eastAsia="en-US"/>
              </w:rPr>
              <w:t>,</w:t>
            </w:r>
            <w:r w:rsidRPr="00C21B99">
              <w:rPr>
                <w:rFonts w:eastAsia="Calibri"/>
                <w:szCs w:val="22"/>
                <w:lang w:eastAsia="en-US"/>
              </w:rPr>
              <w:t>0001</w:t>
            </w:r>
          </w:p>
          <w:p w14:paraId="67595B45" w14:textId="77777777" w:rsidR="00DB6316" w:rsidRPr="00C21B99" w:rsidRDefault="00DB6316" w:rsidP="0092757F">
            <w:pPr>
              <w:widowControl w:val="0"/>
              <w:autoSpaceDE w:val="0"/>
              <w:autoSpaceDN w:val="0"/>
              <w:adjustRightInd w:val="0"/>
              <w:jc w:val="center"/>
              <w:rPr>
                <w:rFonts w:eastAsia="Calibri"/>
                <w:szCs w:val="22"/>
                <w:lang w:eastAsia="en-US"/>
              </w:rPr>
            </w:pPr>
          </w:p>
        </w:tc>
        <w:tc>
          <w:tcPr>
            <w:tcW w:w="3119" w:type="dxa"/>
            <w:tcBorders>
              <w:top w:val="single" w:sz="4" w:space="0" w:color="auto"/>
              <w:left w:val="nil"/>
              <w:bottom w:val="single" w:sz="2" w:space="0" w:color="auto"/>
              <w:right w:val="nil"/>
            </w:tcBorders>
            <w:shd w:val="clear" w:color="auto" w:fill="auto"/>
          </w:tcPr>
          <w:p w14:paraId="6A0F4ED0" w14:textId="77777777" w:rsidR="00DB6316" w:rsidRPr="00C21B99" w:rsidRDefault="00DB6316" w:rsidP="0092757F">
            <w:pPr>
              <w:widowControl w:val="0"/>
              <w:autoSpaceDE w:val="0"/>
              <w:autoSpaceDN w:val="0"/>
              <w:adjustRightInd w:val="0"/>
              <w:jc w:val="center"/>
              <w:rPr>
                <w:rFonts w:eastAsia="Calibri"/>
                <w:szCs w:val="22"/>
                <w:lang w:eastAsia="en-US"/>
              </w:rPr>
            </w:pPr>
            <w:r w:rsidRPr="00C21B99">
              <w:rPr>
                <w:rFonts w:eastAsia="Calibri"/>
                <w:szCs w:val="22"/>
                <w:lang w:eastAsia="en-US"/>
              </w:rPr>
              <w:t>(75.6%</w:t>
            </w:r>
            <w:r w:rsidR="00B07794" w:rsidRPr="00C21B99">
              <w:rPr>
                <w:rFonts w:eastAsia="Calibri"/>
                <w:szCs w:val="22"/>
                <w:lang w:eastAsia="en-US"/>
              </w:rPr>
              <w:t>, plg.</w:t>
            </w:r>
            <w:r w:rsidRPr="00C21B99">
              <w:rPr>
                <w:rFonts w:eastAsia="Calibri"/>
                <w:szCs w:val="22"/>
                <w:lang w:eastAsia="en-US"/>
              </w:rPr>
              <w:t xml:space="preserve"> 53.9%)</w:t>
            </w:r>
          </w:p>
          <w:p w14:paraId="684F7F37" w14:textId="77777777" w:rsidR="00DB6316" w:rsidRPr="00C21B99" w:rsidRDefault="00DB6316" w:rsidP="00304441">
            <w:pPr>
              <w:widowControl w:val="0"/>
              <w:autoSpaceDE w:val="0"/>
              <w:autoSpaceDN w:val="0"/>
              <w:adjustRightInd w:val="0"/>
              <w:jc w:val="center"/>
              <w:rPr>
                <w:rFonts w:eastAsia="Calibri"/>
                <w:szCs w:val="22"/>
                <w:lang w:eastAsia="en-US"/>
              </w:rPr>
            </w:pPr>
            <w:r w:rsidRPr="00C21B99">
              <w:rPr>
                <w:rFonts w:eastAsia="Calibri"/>
                <w:szCs w:val="22"/>
                <w:lang w:eastAsia="en-US"/>
              </w:rPr>
              <w:t>p</w:t>
            </w:r>
            <w:r w:rsidR="00304441" w:rsidRPr="00C21B99">
              <w:rPr>
                <w:rFonts w:eastAsia="Calibri"/>
                <w:szCs w:val="22"/>
                <w:lang w:eastAsia="en-US"/>
              </w:rPr>
              <w:t xml:space="preserve"> </w:t>
            </w:r>
            <w:r w:rsidRPr="00C21B99">
              <w:rPr>
                <w:rFonts w:eastAsia="Calibri"/>
                <w:szCs w:val="22"/>
                <w:lang w:eastAsia="en-US"/>
              </w:rPr>
              <w:t>=</w:t>
            </w:r>
            <w:r w:rsidR="00304441" w:rsidRPr="00C21B99">
              <w:rPr>
                <w:rFonts w:eastAsia="Calibri"/>
                <w:szCs w:val="22"/>
                <w:lang w:eastAsia="en-US"/>
              </w:rPr>
              <w:t xml:space="preserve"> </w:t>
            </w:r>
            <w:r w:rsidRPr="00C21B99">
              <w:rPr>
                <w:rFonts w:eastAsia="Calibri"/>
                <w:szCs w:val="22"/>
                <w:lang w:eastAsia="en-US"/>
              </w:rPr>
              <w:t>0</w:t>
            </w:r>
            <w:r w:rsidR="00304441" w:rsidRPr="00C21B99">
              <w:rPr>
                <w:rFonts w:eastAsia="Calibri"/>
                <w:szCs w:val="22"/>
                <w:lang w:eastAsia="en-US"/>
              </w:rPr>
              <w:t>,</w:t>
            </w:r>
            <w:r w:rsidRPr="00C21B99">
              <w:rPr>
                <w:rFonts w:eastAsia="Calibri"/>
                <w:szCs w:val="22"/>
                <w:lang w:eastAsia="en-US"/>
              </w:rPr>
              <w:t>0003</w:t>
            </w:r>
          </w:p>
        </w:tc>
      </w:tr>
      <w:tr w:rsidR="00DB6316" w:rsidRPr="00C21B99" w14:paraId="2A046F08" w14:textId="77777777" w:rsidTr="0092757F">
        <w:tc>
          <w:tcPr>
            <w:tcW w:w="1984" w:type="dxa"/>
            <w:tcBorders>
              <w:top w:val="single" w:sz="2" w:space="0" w:color="auto"/>
              <w:left w:val="nil"/>
              <w:bottom w:val="single" w:sz="2" w:space="0" w:color="auto"/>
              <w:right w:val="nil"/>
            </w:tcBorders>
            <w:shd w:val="clear" w:color="auto" w:fill="auto"/>
          </w:tcPr>
          <w:p w14:paraId="6EF1137B" w14:textId="77777777" w:rsidR="00DB6316" w:rsidRPr="00C21B99" w:rsidRDefault="00C2247F" w:rsidP="0092757F">
            <w:pPr>
              <w:widowControl w:val="0"/>
              <w:autoSpaceDE w:val="0"/>
              <w:autoSpaceDN w:val="0"/>
              <w:adjustRightInd w:val="0"/>
              <w:jc w:val="center"/>
              <w:rPr>
                <w:rFonts w:eastAsia="Calibri"/>
                <w:szCs w:val="22"/>
                <w:lang w:eastAsia="en-US"/>
              </w:rPr>
            </w:pPr>
            <w:r w:rsidRPr="00C21B99">
              <w:rPr>
                <w:rFonts w:eastAsia="Calibri"/>
                <w:szCs w:val="22"/>
                <w:lang w:eastAsia="en-US"/>
              </w:rPr>
              <w:t>EGFR mutacijos atžvilgiu neigiami</w:t>
            </w:r>
          </w:p>
        </w:tc>
        <w:tc>
          <w:tcPr>
            <w:tcW w:w="851" w:type="dxa"/>
            <w:tcBorders>
              <w:top w:val="single" w:sz="2" w:space="0" w:color="auto"/>
              <w:left w:val="nil"/>
              <w:bottom w:val="single" w:sz="2" w:space="0" w:color="auto"/>
              <w:right w:val="nil"/>
            </w:tcBorders>
            <w:shd w:val="clear" w:color="auto" w:fill="auto"/>
          </w:tcPr>
          <w:p w14:paraId="31853D89" w14:textId="77777777" w:rsidR="00DB6316" w:rsidRPr="00C21B99" w:rsidRDefault="00DB6316"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169</w:t>
            </w:r>
          </w:p>
        </w:tc>
        <w:tc>
          <w:tcPr>
            <w:tcW w:w="2835" w:type="dxa"/>
            <w:tcBorders>
              <w:top w:val="single" w:sz="2" w:space="0" w:color="auto"/>
              <w:left w:val="nil"/>
              <w:bottom w:val="single" w:sz="2" w:space="0" w:color="auto"/>
              <w:right w:val="nil"/>
            </w:tcBorders>
            <w:shd w:val="clear" w:color="auto" w:fill="auto"/>
          </w:tcPr>
          <w:p w14:paraId="5F968151" w14:textId="77777777" w:rsidR="00DB6316" w:rsidRPr="00C21B99" w:rsidRDefault="00DB6316" w:rsidP="0092757F">
            <w:pPr>
              <w:widowControl w:val="0"/>
              <w:autoSpaceDE w:val="0"/>
              <w:autoSpaceDN w:val="0"/>
              <w:adjustRightInd w:val="0"/>
              <w:jc w:val="center"/>
              <w:rPr>
                <w:rFonts w:eastAsia="Calibri"/>
                <w:szCs w:val="22"/>
                <w:lang w:eastAsia="en-US"/>
              </w:rPr>
            </w:pPr>
            <w:r w:rsidRPr="00C21B99">
              <w:rPr>
                <w:rFonts w:eastAsia="Calibri"/>
                <w:szCs w:val="22"/>
                <w:lang w:eastAsia="en-US"/>
              </w:rPr>
              <w:t>(14</w:t>
            </w:r>
            <w:r w:rsidR="00304441" w:rsidRPr="00C21B99">
              <w:rPr>
                <w:rFonts w:eastAsia="Calibri"/>
                <w:szCs w:val="22"/>
                <w:lang w:eastAsia="en-US"/>
              </w:rPr>
              <w:t>,</w:t>
            </w:r>
            <w:r w:rsidRPr="00C21B99">
              <w:rPr>
                <w:rFonts w:eastAsia="Calibri"/>
                <w:szCs w:val="22"/>
                <w:lang w:eastAsia="en-US"/>
              </w:rPr>
              <w:t>6%</w:t>
            </w:r>
            <w:r w:rsidR="00B07794" w:rsidRPr="00C21B99">
              <w:rPr>
                <w:rFonts w:eastAsia="Calibri"/>
                <w:szCs w:val="22"/>
                <w:lang w:eastAsia="en-US"/>
              </w:rPr>
              <w:t>, plg.</w:t>
            </w:r>
            <w:r w:rsidRPr="00C21B99">
              <w:rPr>
                <w:rFonts w:eastAsia="Calibri"/>
                <w:szCs w:val="22"/>
                <w:lang w:eastAsia="en-US"/>
              </w:rPr>
              <w:t xml:space="preserve"> 36</w:t>
            </w:r>
            <w:r w:rsidR="00304441" w:rsidRPr="00C21B99">
              <w:rPr>
                <w:rFonts w:eastAsia="Calibri"/>
                <w:szCs w:val="22"/>
                <w:lang w:eastAsia="en-US"/>
              </w:rPr>
              <w:t>,</w:t>
            </w:r>
            <w:r w:rsidRPr="00C21B99">
              <w:rPr>
                <w:rFonts w:eastAsia="Calibri"/>
                <w:szCs w:val="22"/>
                <w:lang w:eastAsia="en-US"/>
              </w:rPr>
              <w:t>3%)</w:t>
            </w:r>
          </w:p>
          <w:p w14:paraId="2BEBE462" w14:textId="77777777" w:rsidR="00DB6316" w:rsidRPr="00C21B99" w:rsidRDefault="00DB6316" w:rsidP="0092757F">
            <w:pPr>
              <w:widowControl w:val="0"/>
              <w:autoSpaceDE w:val="0"/>
              <w:autoSpaceDN w:val="0"/>
              <w:adjustRightInd w:val="0"/>
              <w:jc w:val="center"/>
              <w:rPr>
                <w:rFonts w:eastAsia="Calibri"/>
                <w:szCs w:val="22"/>
                <w:lang w:eastAsia="en-US"/>
              </w:rPr>
            </w:pPr>
            <w:r w:rsidRPr="00C21B99">
              <w:rPr>
                <w:rFonts w:eastAsia="Calibri"/>
                <w:szCs w:val="22"/>
                <w:lang w:eastAsia="en-US"/>
              </w:rPr>
              <w:t>p</w:t>
            </w:r>
            <w:r w:rsidR="00304441" w:rsidRPr="00C21B99">
              <w:rPr>
                <w:rFonts w:eastAsia="Calibri"/>
                <w:szCs w:val="22"/>
                <w:lang w:eastAsia="en-US"/>
              </w:rPr>
              <w:t xml:space="preserve"> </w:t>
            </w:r>
            <w:r w:rsidRPr="00C21B99">
              <w:rPr>
                <w:rFonts w:eastAsia="Calibri"/>
                <w:szCs w:val="22"/>
                <w:lang w:eastAsia="en-US"/>
              </w:rPr>
              <w:t>=</w:t>
            </w:r>
            <w:r w:rsidR="00304441" w:rsidRPr="00C21B99">
              <w:rPr>
                <w:rFonts w:eastAsia="Calibri"/>
                <w:szCs w:val="22"/>
                <w:lang w:eastAsia="en-US"/>
              </w:rPr>
              <w:t xml:space="preserve"> </w:t>
            </w:r>
            <w:r w:rsidRPr="00C21B99">
              <w:rPr>
                <w:rFonts w:eastAsia="Calibri"/>
                <w:szCs w:val="22"/>
                <w:lang w:eastAsia="en-US"/>
              </w:rPr>
              <w:t>0</w:t>
            </w:r>
            <w:r w:rsidR="00304441" w:rsidRPr="00C21B99">
              <w:rPr>
                <w:rFonts w:eastAsia="Calibri"/>
                <w:szCs w:val="22"/>
                <w:lang w:eastAsia="en-US"/>
              </w:rPr>
              <w:t>,</w:t>
            </w:r>
            <w:r w:rsidRPr="00C21B99">
              <w:rPr>
                <w:rFonts w:eastAsia="Calibri"/>
                <w:szCs w:val="22"/>
                <w:lang w:eastAsia="en-US"/>
              </w:rPr>
              <w:t>0021</w:t>
            </w:r>
          </w:p>
          <w:p w14:paraId="13A542EB" w14:textId="77777777" w:rsidR="00DB6316" w:rsidRPr="00C21B99" w:rsidRDefault="00DB6316" w:rsidP="0092757F">
            <w:pPr>
              <w:widowControl w:val="0"/>
              <w:autoSpaceDE w:val="0"/>
              <w:autoSpaceDN w:val="0"/>
              <w:adjustRightInd w:val="0"/>
              <w:jc w:val="center"/>
              <w:rPr>
                <w:rFonts w:eastAsia="Calibri"/>
                <w:szCs w:val="22"/>
                <w:lang w:eastAsia="en-US"/>
              </w:rPr>
            </w:pPr>
          </w:p>
        </w:tc>
        <w:tc>
          <w:tcPr>
            <w:tcW w:w="3119" w:type="dxa"/>
            <w:tcBorders>
              <w:top w:val="single" w:sz="2" w:space="0" w:color="auto"/>
              <w:left w:val="nil"/>
              <w:bottom w:val="single" w:sz="2" w:space="0" w:color="auto"/>
              <w:right w:val="nil"/>
            </w:tcBorders>
            <w:shd w:val="clear" w:color="auto" w:fill="auto"/>
          </w:tcPr>
          <w:p w14:paraId="4604F781" w14:textId="77777777" w:rsidR="00DB6316" w:rsidRPr="00C21B99" w:rsidRDefault="00DB6316" w:rsidP="0092757F">
            <w:pPr>
              <w:widowControl w:val="0"/>
              <w:autoSpaceDE w:val="0"/>
              <w:autoSpaceDN w:val="0"/>
              <w:adjustRightInd w:val="0"/>
              <w:jc w:val="center"/>
              <w:rPr>
                <w:rFonts w:eastAsia="Calibri"/>
                <w:szCs w:val="22"/>
                <w:lang w:eastAsia="en-US"/>
              </w:rPr>
            </w:pPr>
            <w:r w:rsidRPr="00C21B99">
              <w:rPr>
                <w:rFonts w:eastAsia="Calibri"/>
                <w:szCs w:val="22"/>
                <w:lang w:eastAsia="en-US"/>
              </w:rPr>
              <w:t>(20</w:t>
            </w:r>
            <w:r w:rsidR="00304441" w:rsidRPr="00C21B99">
              <w:rPr>
                <w:rFonts w:eastAsia="Calibri"/>
                <w:szCs w:val="22"/>
                <w:lang w:eastAsia="en-US"/>
              </w:rPr>
              <w:t>,</w:t>
            </w:r>
            <w:r w:rsidRPr="00C21B99">
              <w:rPr>
                <w:rFonts w:eastAsia="Calibri"/>
                <w:szCs w:val="22"/>
                <w:lang w:eastAsia="en-US"/>
              </w:rPr>
              <w:t>2%</w:t>
            </w:r>
            <w:r w:rsidR="00B07794" w:rsidRPr="00C21B99">
              <w:rPr>
                <w:rFonts w:eastAsia="Calibri"/>
                <w:szCs w:val="22"/>
                <w:lang w:eastAsia="en-US"/>
              </w:rPr>
              <w:t>, plg.</w:t>
            </w:r>
            <w:r w:rsidRPr="00C21B99">
              <w:rPr>
                <w:rFonts w:eastAsia="Calibri"/>
                <w:szCs w:val="22"/>
                <w:lang w:eastAsia="en-US"/>
              </w:rPr>
              <w:t xml:space="preserve"> 47</w:t>
            </w:r>
            <w:r w:rsidR="00304441" w:rsidRPr="00C21B99">
              <w:rPr>
                <w:rFonts w:eastAsia="Calibri"/>
                <w:szCs w:val="22"/>
                <w:lang w:eastAsia="en-US"/>
              </w:rPr>
              <w:t>,</w:t>
            </w:r>
            <w:r w:rsidRPr="00C21B99">
              <w:rPr>
                <w:rFonts w:eastAsia="Calibri"/>
                <w:szCs w:val="22"/>
                <w:lang w:eastAsia="en-US"/>
              </w:rPr>
              <w:t>5%)</w:t>
            </w:r>
          </w:p>
          <w:p w14:paraId="4797EA4D" w14:textId="77777777" w:rsidR="00DB6316" w:rsidRPr="00C21B99" w:rsidRDefault="00DB6316" w:rsidP="00304441">
            <w:pPr>
              <w:widowControl w:val="0"/>
              <w:autoSpaceDE w:val="0"/>
              <w:autoSpaceDN w:val="0"/>
              <w:adjustRightInd w:val="0"/>
              <w:jc w:val="center"/>
              <w:rPr>
                <w:rFonts w:eastAsia="Calibri"/>
                <w:szCs w:val="22"/>
                <w:lang w:eastAsia="en-US"/>
              </w:rPr>
            </w:pPr>
            <w:r w:rsidRPr="00C21B99">
              <w:rPr>
                <w:rFonts w:eastAsia="Calibri"/>
                <w:szCs w:val="22"/>
                <w:lang w:eastAsia="en-US"/>
              </w:rPr>
              <w:t>p</w:t>
            </w:r>
            <w:r w:rsidR="00304441" w:rsidRPr="00C21B99">
              <w:rPr>
                <w:rFonts w:eastAsia="Calibri"/>
                <w:szCs w:val="22"/>
                <w:lang w:eastAsia="en-US"/>
              </w:rPr>
              <w:t xml:space="preserve"> </w:t>
            </w:r>
            <w:r w:rsidRPr="00C21B99">
              <w:rPr>
                <w:rFonts w:eastAsia="Calibri"/>
                <w:szCs w:val="22"/>
                <w:lang w:eastAsia="en-US"/>
              </w:rPr>
              <w:t>=</w:t>
            </w:r>
            <w:r w:rsidR="00304441" w:rsidRPr="00C21B99">
              <w:rPr>
                <w:rFonts w:eastAsia="Calibri"/>
                <w:szCs w:val="22"/>
                <w:lang w:eastAsia="en-US"/>
              </w:rPr>
              <w:t xml:space="preserve"> </w:t>
            </w:r>
            <w:r w:rsidRPr="00C21B99">
              <w:rPr>
                <w:rFonts w:eastAsia="Calibri"/>
                <w:szCs w:val="22"/>
                <w:lang w:eastAsia="en-US"/>
              </w:rPr>
              <w:t>0</w:t>
            </w:r>
            <w:r w:rsidR="00304441" w:rsidRPr="00C21B99">
              <w:rPr>
                <w:rFonts w:eastAsia="Calibri"/>
                <w:szCs w:val="22"/>
                <w:lang w:eastAsia="en-US"/>
              </w:rPr>
              <w:t>,</w:t>
            </w:r>
            <w:r w:rsidRPr="00C21B99">
              <w:rPr>
                <w:rFonts w:eastAsia="Calibri"/>
                <w:szCs w:val="22"/>
                <w:lang w:eastAsia="en-US"/>
              </w:rPr>
              <w:t>0002</w:t>
            </w:r>
          </w:p>
        </w:tc>
      </w:tr>
    </w:tbl>
    <w:p w14:paraId="07243E55" w14:textId="77777777" w:rsidR="00B07794" w:rsidRPr="00C21B99" w:rsidRDefault="00B07794" w:rsidP="00B07794">
      <w:pPr>
        <w:widowControl w:val="0"/>
        <w:tabs>
          <w:tab w:val="left" w:pos="567"/>
        </w:tabs>
        <w:rPr>
          <w:snapToGrid w:val="0"/>
          <w:szCs w:val="22"/>
          <w:lang w:eastAsia="en-US"/>
        </w:rPr>
      </w:pPr>
      <w:r w:rsidRPr="00C21B99">
        <w:rPr>
          <w:snapToGrid w:val="0"/>
          <w:szCs w:val="22"/>
          <w:lang w:eastAsia="en-US"/>
        </w:rPr>
        <w:t xml:space="preserve">Tyrimo </w:t>
      </w:r>
      <w:r w:rsidR="00C21B99">
        <w:rPr>
          <w:snapToGrid w:val="0"/>
          <w:szCs w:val="22"/>
          <w:lang w:eastAsia="en-US"/>
        </w:rPr>
        <w:t>r</w:t>
      </w:r>
      <w:r w:rsidRPr="00C21B99">
        <w:rPr>
          <w:snapToGrid w:val="0"/>
          <w:szCs w:val="22"/>
          <w:lang w:eastAsia="en-US"/>
        </w:rPr>
        <w:t xml:space="preserve">ezultatų indekso </w:t>
      </w:r>
      <w:r w:rsidR="00C21B99">
        <w:rPr>
          <w:snapToGrid w:val="0"/>
          <w:szCs w:val="22"/>
          <w:lang w:eastAsia="en-US"/>
        </w:rPr>
        <w:t>reikšmės</w:t>
      </w:r>
      <w:r w:rsidRPr="00C21B99">
        <w:rPr>
          <w:snapToGrid w:val="0"/>
          <w:szCs w:val="22"/>
          <w:lang w:eastAsia="en-US"/>
        </w:rPr>
        <w:t xml:space="preserve"> buvo patvirtint</w:t>
      </w:r>
      <w:r w:rsidR="00C21B99">
        <w:rPr>
          <w:snapToGrid w:val="0"/>
          <w:szCs w:val="22"/>
          <w:lang w:eastAsia="en-US"/>
        </w:rPr>
        <w:t>os</w:t>
      </w:r>
      <w:r w:rsidRPr="00C21B99">
        <w:rPr>
          <w:snapToGrid w:val="0"/>
          <w:szCs w:val="22"/>
          <w:lang w:eastAsia="en-US"/>
        </w:rPr>
        <w:t xml:space="preserve"> FACT-L ir LCS duomenimis</w:t>
      </w:r>
    </w:p>
    <w:p w14:paraId="1477EDBE" w14:textId="77777777" w:rsidR="00B07794" w:rsidRPr="00C21B99" w:rsidRDefault="00B07794" w:rsidP="00B07794">
      <w:pPr>
        <w:widowControl w:val="0"/>
        <w:tabs>
          <w:tab w:val="left" w:pos="567"/>
        </w:tabs>
        <w:rPr>
          <w:snapToGrid w:val="0"/>
          <w:szCs w:val="22"/>
          <w:lang w:eastAsia="en-US"/>
        </w:rPr>
      </w:pPr>
      <w:r w:rsidRPr="00C21B99">
        <w:rPr>
          <w:snapToGrid w:val="0"/>
          <w:szCs w:val="22"/>
          <w:lang w:eastAsia="en-US"/>
        </w:rPr>
        <w:lastRenderedPageBreak/>
        <w:t xml:space="preserve">a </w:t>
      </w:r>
      <w:r w:rsidRPr="00C21B99">
        <w:rPr>
          <w:snapToGrid w:val="0"/>
          <w:szCs w:val="22"/>
          <w:lang w:eastAsia="en-US"/>
        </w:rPr>
        <w:tab/>
        <w:t xml:space="preserve">pateiki </w:t>
      </w:r>
      <w:proofErr w:type="spellStart"/>
      <w:r w:rsidRPr="00C21B99">
        <w:rPr>
          <w:snapToGrid w:val="0"/>
          <w:szCs w:val="22"/>
          <w:lang w:eastAsia="en-US"/>
        </w:rPr>
        <w:t>gefitinibo</w:t>
      </w:r>
      <w:proofErr w:type="spellEnd"/>
      <w:r w:rsidRPr="00C21B99">
        <w:rPr>
          <w:snapToGrid w:val="0"/>
          <w:szCs w:val="22"/>
          <w:lang w:eastAsia="en-US"/>
        </w:rPr>
        <w:t xml:space="preserve">, palyginus su </w:t>
      </w:r>
      <w:proofErr w:type="spellStart"/>
      <w:r w:rsidRPr="00C21B99">
        <w:rPr>
          <w:snapToGrid w:val="0"/>
          <w:szCs w:val="22"/>
          <w:lang w:eastAsia="en-US"/>
        </w:rPr>
        <w:t>karboplatinos</w:t>
      </w:r>
      <w:proofErr w:type="spellEnd"/>
      <w:r w:rsidRPr="00C21B99">
        <w:rPr>
          <w:snapToGrid w:val="0"/>
          <w:szCs w:val="22"/>
          <w:lang w:eastAsia="en-US"/>
        </w:rPr>
        <w:t xml:space="preserve"> ir </w:t>
      </w:r>
      <w:proofErr w:type="spellStart"/>
      <w:r w:rsidRPr="00C21B99">
        <w:rPr>
          <w:snapToGrid w:val="0"/>
          <w:szCs w:val="22"/>
          <w:lang w:eastAsia="en-US"/>
        </w:rPr>
        <w:t>paklitakselio</w:t>
      </w:r>
      <w:proofErr w:type="spellEnd"/>
      <w:r w:rsidRPr="00C21B99">
        <w:rPr>
          <w:snapToGrid w:val="0"/>
          <w:szCs w:val="22"/>
          <w:lang w:eastAsia="en-US"/>
        </w:rPr>
        <w:t xml:space="preserve"> deriniu, duomenys</w:t>
      </w:r>
    </w:p>
    <w:p w14:paraId="57E8419A" w14:textId="77777777" w:rsidR="00B07794" w:rsidRPr="00C21B99" w:rsidRDefault="00B07794" w:rsidP="00B07794">
      <w:pPr>
        <w:widowControl w:val="0"/>
        <w:tabs>
          <w:tab w:val="left" w:pos="567"/>
        </w:tabs>
        <w:rPr>
          <w:snapToGrid w:val="0"/>
          <w:szCs w:val="22"/>
          <w:lang w:eastAsia="en-US"/>
        </w:rPr>
      </w:pPr>
      <w:r w:rsidRPr="00C21B99">
        <w:rPr>
          <w:snapToGrid w:val="0"/>
          <w:szCs w:val="22"/>
          <w:lang w:eastAsia="en-US"/>
        </w:rPr>
        <w:t xml:space="preserve">N </w:t>
      </w:r>
      <w:r w:rsidRPr="00C21B99">
        <w:rPr>
          <w:snapToGrid w:val="0"/>
          <w:szCs w:val="22"/>
          <w:lang w:eastAsia="en-US"/>
        </w:rPr>
        <w:tab/>
        <w:t>pacientų, kurių gyvenimo kokybės analizę buvo galima atlikti, skaičius</w:t>
      </w:r>
    </w:p>
    <w:p w14:paraId="042997E7" w14:textId="77777777" w:rsidR="00B07794" w:rsidRPr="00C21B99" w:rsidRDefault="00B07794" w:rsidP="00B07794">
      <w:pPr>
        <w:widowControl w:val="0"/>
        <w:tabs>
          <w:tab w:val="left" w:pos="567"/>
        </w:tabs>
        <w:rPr>
          <w:snapToGrid w:val="0"/>
          <w:szCs w:val="22"/>
          <w:lang w:eastAsia="en-US"/>
        </w:rPr>
      </w:pPr>
      <w:proofErr w:type="spellStart"/>
      <w:r w:rsidRPr="00C21B99">
        <w:rPr>
          <w:snapToGrid w:val="0"/>
          <w:szCs w:val="22"/>
          <w:lang w:eastAsia="en-US"/>
        </w:rPr>
        <w:t>QoL</w:t>
      </w:r>
      <w:proofErr w:type="spellEnd"/>
      <w:r w:rsidRPr="00C21B99">
        <w:rPr>
          <w:snapToGrid w:val="0"/>
          <w:szCs w:val="22"/>
          <w:lang w:eastAsia="en-US"/>
        </w:rPr>
        <w:t xml:space="preserve"> </w:t>
      </w:r>
      <w:r w:rsidRPr="00C21B99">
        <w:rPr>
          <w:snapToGrid w:val="0"/>
          <w:szCs w:val="22"/>
          <w:lang w:eastAsia="en-US"/>
        </w:rPr>
        <w:tab/>
        <w:t>gyvenimo kokybė</w:t>
      </w:r>
    </w:p>
    <w:p w14:paraId="4AB51C0F" w14:textId="77777777" w:rsidR="00B07794" w:rsidRPr="00C21B99" w:rsidRDefault="00B07794" w:rsidP="00B07794">
      <w:pPr>
        <w:widowControl w:val="0"/>
        <w:tabs>
          <w:tab w:val="left" w:pos="567"/>
        </w:tabs>
        <w:rPr>
          <w:snapToGrid w:val="0"/>
          <w:szCs w:val="22"/>
          <w:lang w:eastAsia="en-US"/>
        </w:rPr>
      </w:pPr>
      <w:r w:rsidRPr="00C21B99">
        <w:rPr>
          <w:snapToGrid w:val="0"/>
          <w:szCs w:val="22"/>
          <w:lang w:eastAsia="en-US"/>
        </w:rPr>
        <w:t>FACT-L funkcinis (plaučių) vėžio gydymo vertinimas</w:t>
      </w:r>
    </w:p>
    <w:p w14:paraId="21024C8F" w14:textId="77777777" w:rsidR="00B07794" w:rsidRPr="00C21B99" w:rsidRDefault="00B07794" w:rsidP="00B07794">
      <w:pPr>
        <w:widowControl w:val="0"/>
        <w:tabs>
          <w:tab w:val="left" w:pos="567"/>
        </w:tabs>
        <w:rPr>
          <w:snapToGrid w:val="0"/>
          <w:szCs w:val="22"/>
          <w:lang w:eastAsia="en-US"/>
        </w:rPr>
      </w:pPr>
      <w:r w:rsidRPr="00C21B99">
        <w:rPr>
          <w:snapToGrid w:val="0"/>
          <w:szCs w:val="22"/>
          <w:lang w:eastAsia="en-US"/>
        </w:rPr>
        <w:t xml:space="preserve">LCS plaučių vėžio </w:t>
      </w:r>
      <w:proofErr w:type="spellStart"/>
      <w:r w:rsidRPr="00C21B99">
        <w:rPr>
          <w:snapToGrid w:val="0"/>
          <w:szCs w:val="22"/>
          <w:lang w:eastAsia="en-US"/>
        </w:rPr>
        <w:t>subskalė</w:t>
      </w:r>
      <w:proofErr w:type="spellEnd"/>
    </w:p>
    <w:p w14:paraId="703FCD02" w14:textId="77777777" w:rsidR="00B07794" w:rsidRPr="00C21B99" w:rsidRDefault="00B07794" w:rsidP="00B07794">
      <w:pPr>
        <w:widowControl w:val="0"/>
        <w:tabs>
          <w:tab w:val="left" w:pos="567"/>
        </w:tabs>
        <w:rPr>
          <w:snapToGrid w:val="0"/>
          <w:szCs w:val="22"/>
          <w:lang w:eastAsia="en-US"/>
        </w:rPr>
      </w:pPr>
    </w:p>
    <w:p w14:paraId="5AA8B55E" w14:textId="77777777" w:rsidR="00B07794" w:rsidRPr="00C21B99" w:rsidRDefault="00B07794" w:rsidP="00B07794">
      <w:pPr>
        <w:widowControl w:val="0"/>
        <w:tabs>
          <w:tab w:val="left" w:pos="567"/>
        </w:tabs>
        <w:rPr>
          <w:snapToGrid w:val="0"/>
          <w:szCs w:val="22"/>
          <w:lang w:eastAsia="en-US"/>
        </w:rPr>
      </w:pPr>
      <w:r w:rsidRPr="00C21B99">
        <w:rPr>
          <w:snapToGrid w:val="0"/>
          <w:szCs w:val="22"/>
          <w:lang w:eastAsia="en-US"/>
        </w:rPr>
        <w:t>IPASS tyrimas</w:t>
      </w:r>
      <w:r w:rsidR="005472D4" w:rsidRPr="00C21B99">
        <w:rPr>
          <w:snapToGrid w:val="0"/>
          <w:szCs w:val="22"/>
          <w:lang w:eastAsia="en-US"/>
        </w:rPr>
        <w:t>, ku</w:t>
      </w:r>
      <w:r w:rsidR="006A73EA" w:rsidRPr="00C21B99">
        <w:rPr>
          <w:snapToGrid w:val="0"/>
          <w:szCs w:val="22"/>
          <w:lang w:eastAsia="en-US"/>
        </w:rPr>
        <w:t>r</w:t>
      </w:r>
      <w:r w:rsidR="005472D4" w:rsidRPr="00C21B99">
        <w:rPr>
          <w:snapToGrid w:val="0"/>
          <w:szCs w:val="22"/>
          <w:lang w:eastAsia="en-US"/>
        </w:rPr>
        <w:t>iame dalyvavo</w:t>
      </w:r>
      <w:r w:rsidRPr="00C21B99">
        <w:rPr>
          <w:snapToGrid w:val="0"/>
          <w:szCs w:val="22"/>
          <w:lang w:eastAsia="en-US"/>
        </w:rPr>
        <w:t xml:space="preserve"> </w:t>
      </w:r>
      <w:r w:rsidR="005472D4" w:rsidRPr="00C21B99">
        <w:rPr>
          <w:snapToGrid w:val="0"/>
          <w:szCs w:val="22"/>
          <w:lang w:eastAsia="en-US"/>
        </w:rPr>
        <w:t xml:space="preserve">anksčiau negydyti pacientai, sergantys lokaliai progresavusiu ar </w:t>
      </w:r>
      <w:proofErr w:type="spellStart"/>
      <w:r w:rsidR="005472D4" w:rsidRPr="00C21B99">
        <w:rPr>
          <w:snapToGrid w:val="0"/>
          <w:szCs w:val="22"/>
          <w:lang w:eastAsia="en-US"/>
        </w:rPr>
        <w:t>metastazavusiu</w:t>
      </w:r>
      <w:proofErr w:type="spellEnd"/>
      <w:r w:rsidR="005472D4" w:rsidRPr="00C21B99">
        <w:rPr>
          <w:snapToGrid w:val="0"/>
          <w:szCs w:val="22"/>
          <w:lang w:eastAsia="en-US"/>
        </w:rPr>
        <w:t xml:space="preserve"> nesmulkiųjų ląstelių plaučių vėžiu (NSCLC), kuri</w:t>
      </w:r>
      <w:r w:rsidR="006A73EA" w:rsidRPr="00C21B99">
        <w:rPr>
          <w:snapToGrid w:val="0"/>
          <w:szCs w:val="22"/>
          <w:lang w:eastAsia="en-US"/>
        </w:rPr>
        <w:t xml:space="preserve">ame buvo nustatyta </w:t>
      </w:r>
      <w:r w:rsidR="005472D4" w:rsidRPr="00C21B99">
        <w:rPr>
          <w:snapToGrid w:val="0"/>
          <w:szCs w:val="22"/>
          <w:lang w:eastAsia="en-US"/>
        </w:rPr>
        <w:t xml:space="preserve">epitelio augimo faktoriaus receptorių (EGFR) </w:t>
      </w:r>
      <w:proofErr w:type="spellStart"/>
      <w:r w:rsidR="005472D4" w:rsidRPr="00C21B99">
        <w:rPr>
          <w:snapToGrid w:val="0"/>
          <w:szCs w:val="22"/>
          <w:lang w:eastAsia="en-US"/>
        </w:rPr>
        <w:t>tirozino</w:t>
      </w:r>
      <w:proofErr w:type="spellEnd"/>
      <w:r w:rsidR="005472D4" w:rsidRPr="00C21B99">
        <w:rPr>
          <w:snapToGrid w:val="0"/>
          <w:szCs w:val="22"/>
          <w:lang w:eastAsia="en-US"/>
        </w:rPr>
        <w:t xml:space="preserve"> </w:t>
      </w:r>
      <w:proofErr w:type="spellStart"/>
      <w:r w:rsidR="005472D4" w:rsidRPr="00C21B99">
        <w:rPr>
          <w:snapToGrid w:val="0"/>
          <w:szCs w:val="22"/>
          <w:lang w:eastAsia="en-US"/>
        </w:rPr>
        <w:t>kinazę</w:t>
      </w:r>
      <w:proofErr w:type="spellEnd"/>
      <w:r w:rsidR="005472D4" w:rsidRPr="00C21B99">
        <w:rPr>
          <w:snapToGrid w:val="0"/>
          <w:szCs w:val="22"/>
          <w:lang w:eastAsia="en-US"/>
        </w:rPr>
        <w:t xml:space="preserve"> aktyvinančių mutacijų</w:t>
      </w:r>
      <w:r w:rsidR="006A73EA" w:rsidRPr="00C21B99">
        <w:rPr>
          <w:snapToGrid w:val="0"/>
          <w:szCs w:val="22"/>
          <w:lang w:eastAsia="en-US"/>
        </w:rPr>
        <w:t xml:space="preserve">, </w:t>
      </w:r>
      <w:r w:rsidRPr="00C21B99">
        <w:rPr>
          <w:snapToGrid w:val="0"/>
          <w:szCs w:val="22"/>
          <w:lang w:eastAsia="en-US"/>
        </w:rPr>
        <w:t xml:space="preserve">parodė palankesnį </w:t>
      </w:r>
      <w:proofErr w:type="spellStart"/>
      <w:r w:rsidRPr="00C21B99">
        <w:rPr>
          <w:snapToGrid w:val="0"/>
          <w:szCs w:val="22"/>
          <w:lang w:eastAsia="en-US"/>
        </w:rPr>
        <w:t>gefitinibo</w:t>
      </w:r>
      <w:proofErr w:type="spellEnd"/>
      <w:r w:rsidRPr="00C21B99">
        <w:rPr>
          <w:snapToGrid w:val="0"/>
          <w:szCs w:val="22"/>
          <w:lang w:eastAsia="en-US"/>
        </w:rPr>
        <w:t xml:space="preserve">, palyginti su </w:t>
      </w:r>
      <w:proofErr w:type="spellStart"/>
      <w:r w:rsidRPr="00C21B99">
        <w:rPr>
          <w:snapToGrid w:val="0"/>
          <w:szCs w:val="22"/>
          <w:lang w:eastAsia="en-US"/>
        </w:rPr>
        <w:t>karboplatinos</w:t>
      </w:r>
      <w:proofErr w:type="spellEnd"/>
      <w:r w:rsidRPr="00C21B99">
        <w:rPr>
          <w:snapToGrid w:val="0"/>
          <w:szCs w:val="22"/>
          <w:lang w:eastAsia="en-US"/>
        </w:rPr>
        <w:t xml:space="preserve"> ir </w:t>
      </w:r>
      <w:proofErr w:type="spellStart"/>
      <w:r w:rsidRPr="00C21B99">
        <w:rPr>
          <w:snapToGrid w:val="0"/>
          <w:szCs w:val="22"/>
          <w:lang w:eastAsia="en-US"/>
        </w:rPr>
        <w:t>paklitakselio</w:t>
      </w:r>
      <w:proofErr w:type="spellEnd"/>
      <w:r w:rsidRPr="00C21B99">
        <w:rPr>
          <w:snapToGrid w:val="0"/>
          <w:szCs w:val="22"/>
          <w:lang w:eastAsia="en-US"/>
        </w:rPr>
        <w:t xml:space="preserve"> deriniu, poveikį </w:t>
      </w:r>
      <w:r w:rsidR="005472D4" w:rsidRPr="00C21B99">
        <w:rPr>
          <w:snapToGrid w:val="0"/>
          <w:szCs w:val="22"/>
          <w:lang w:eastAsia="en-US"/>
        </w:rPr>
        <w:t>neprogresuojant ligai išgyventam laikotarpiui (PFS), bendram atsako dažniui (ORR), gyvenimo kokybei (</w:t>
      </w:r>
      <w:proofErr w:type="spellStart"/>
      <w:r w:rsidR="005472D4" w:rsidRPr="00C21B99">
        <w:rPr>
          <w:snapToGrid w:val="0"/>
          <w:szCs w:val="22"/>
          <w:lang w:eastAsia="en-US"/>
        </w:rPr>
        <w:t>QoL</w:t>
      </w:r>
      <w:proofErr w:type="spellEnd"/>
      <w:r w:rsidR="005472D4" w:rsidRPr="00C21B99">
        <w:rPr>
          <w:snapToGrid w:val="0"/>
          <w:szCs w:val="22"/>
          <w:lang w:eastAsia="en-US"/>
        </w:rPr>
        <w:t>) ir simptomų palengvėjimui, tačiau reikšmingo skirtumo bendram išgyven</w:t>
      </w:r>
      <w:r w:rsidR="007A1BA0" w:rsidRPr="00C21B99">
        <w:rPr>
          <w:snapToGrid w:val="0"/>
          <w:szCs w:val="22"/>
          <w:lang w:eastAsia="en-US"/>
        </w:rPr>
        <w:t>imui</w:t>
      </w:r>
      <w:r w:rsidR="005472D4" w:rsidRPr="00C21B99">
        <w:rPr>
          <w:snapToGrid w:val="0"/>
          <w:szCs w:val="22"/>
          <w:lang w:eastAsia="en-US"/>
        </w:rPr>
        <w:t xml:space="preserve"> neparodė</w:t>
      </w:r>
      <w:r w:rsidRPr="00C21B99">
        <w:rPr>
          <w:snapToGrid w:val="0"/>
          <w:szCs w:val="22"/>
          <w:lang w:eastAsia="en-US"/>
        </w:rPr>
        <w:t>.</w:t>
      </w:r>
    </w:p>
    <w:p w14:paraId="1542C9DE" w14:textId="77777777" w:rsidR="006A73EA" w:rsidRPr="00C21B99" w:rsidRDefault="006A73EA" w:rsidP="00B07794">
      <w:pPr>
        <w:widowControl w:val="0"/>
        <w:tabs>
          <w:tab w:val="left" w:pos="567"/>
        </w:tabs>
        <w:rPr>
          <w:snapToGrid w:val="0"/>
          <w:szCs w:val="22"/>
          <w:lang w:eastAsia="en-US"/>
        </w:rPr>
      </w:pPr>
    </w:p>
    <w:p w14:paraId="3E4700A5" w14:textId="77777777" w:rsidR="00B07794" w:rsidRPr="00C21B99" w:rsidRDefault="006A73EA" w:rsidP="00B07794">
      <w:pPr>
        <w:widowControl w:val="0"/>
        <w:tabs>
          <w:tab w:val="left" w:pos="567"/>
        </w:tabs>
        <w:rPr>
          <w:i/>
          <w:snapToGrid w:val="0"/>
          <w:szCs w:val="22"/>
          <w:lang w:eastAsia="en-US"/>
        </w:rPr>
      </w:pPr>
      <w:r w:rsidRPr="00C21B99">
        <w:rPr>
          <w:i/>
          <w:snapToGrid w:val="0"/>
          <w:szCs w:val="22"/>
          <w:lang w:eastAsia="en-US"/>
        </w:rPr>
        <w:t>Iš anksčiau</w:t>
      </w:r>
      <w:r w:rsidR="00B07794" w:rsidRPr="00C21B99">
        <w:rPr>
          <w:i/>
          <w:snapToGrid w:val="0"/>
          <w:szCs w:val="22"/>
          <w:lang w:eastAsia="en-US"/>
        </w:rPr>
        <w:t xml:space="preserve"> gydyti pacientai</w:t>
      </w:r>
    </w:p>
    <w:p w14:paraId="44F0A038" w14:textId="77777777" w:rsidR="00DB6316" w:rsidRPr="00C21B99" w:rsidRDefault="00B07794" w:rsidP="00B07794">
      <w:pPr>
        <w:widowControl w:val="0"/>
        <w:tabs>
          <w:tab w:val="left" w:pos="567"/>
        </w:tabs>
        <w:rPr>
          <w:snapToGrid w:val="0"/>
          <w:szCs w:val="22"/>
          <w:lang w:eastAsia="en-US"/>
        </w:rPr>
      </w:pPr>
      <w:r w:rsidRPr="00C21B99">
        <w:rPr>
          <w:snapToGrid w:val="0"/>
          <w:szCs w:val="22"/>
          <w:lang w:eastAsia="en-US"/>
        </w:rPr>
        <w:t xml:space="preserve">Atsitiktinės atrankos III fazės INTEREST tyrime dalyvavo lokaliai progresavusiu arba </w:t>
      </w:r>
      <w:proofErr w:type="spellStart"/>
      <w:r w:rsidRPr="00C21B99">
        <w:rPr>
          <w:snapToGrid w:val="0"/>
          <w:szCs w:val="22"/>
          <w:lang w:eastAsia="en-US"/>
        </w:rPr>
        <w:t>metastazavusiu</w:t>
      </w:r>
      <w:proofErr w:type="spellEnd"/>
      <w:r w:rsidR="006A73EA" w:rsidRPr="00C21B99">
        <w:rPr>
          <w:snapToGrid w:val="0"/>
          <w:szCs w:val="22"/>
          <w:lang w:eastAsia="en-US"/>
        </w:rPr>
        <w:t xml:space="preserve"> </w:t>
      </w:r>
      <w:r w:rsidRPr="00C21B99">
        <w:rPr>
          <w:snapToGrid w:val="0"/>
          <w:szCs w:val="22"/>
          <w:lang w:eastAsia="en-US"/>
        </w:rPr>
        <w:t xml:space="preserve">nesmulkiųjų ląstelių plaučių vėžiu </w:t>
      </w:r>
      <w:r w:rsidR="006A73EA" w:rsidRPr="00C21B99">
        <w:rPr>
          <w:snapToGrid w:val="0"/>
          <w:szCs w:val="22"/>
          <w:lang w:eastAsia="en-US"/>
        </w:rPr>
        <w:t>sergantys</w:t>
      </w:r>
      <w:r w:rsidRPr="00C21B99">
        <w:rPr>
          <w:snapToGrid w:val="0"/>
          <w:szCs w:val="22"/>
          <w:lang w:eastAsia="en-US"/>
        </w:rPr>
        <w:t xml:space="preserve"> pacientai</w:t>
      </w:r>
      <w:r w:rsidR="006A73EA" w:rsidRPr="00C21B99">
        <w:rPr>
          <w:snapToGrid w:val="0"/>
          <w:szCs w:val="22"/>
          <w:lang w:eastAsia="en-US"/>
        </w:rPr>
        <w:t>, kuriems tai</w:t>
      </w:r>
      <w:r w:rsidR="00C21B99">
        <w:rPr>
          <w:snapToGrid w:val="0"/>
          <w:szCs w:val="22"/>
          <w:lang w:eastAsia="en-US"/>
        </w:rPr>
        <w:t>k</w:t>
      </w:r>
      <w:r w:rsidR="006A73EA" w:rsidRPr="00C21B99">
        <w:rPr>
          <w:snapToGrid w:val="0"/>
          <w:szCs w:val="22"/>
          <w:lang w:eastAsia="en-US"/>
        </w:rPr>
        <w:t>yta chemoterapija platinos pagrindu</w:t>
      </w:r>
      <w:r w:rsidRPr="00C21B99">
        <w:rPr>
          <w:snapToGrid w:val="0"/>
          <w:szCs w:val="22"/>
          <w:lang w:eastAsia="en-US"/>
        </w:rPr>
        <w:t xml:space="preserve">. </w:t>
      </w:r>
      <w:proofErr w:type="spellStart"/>
      <w:r w:rsidR="006A73EA" w:rsidRPr="00C21B99">
        <w:rPr>
          <w:snapToGrid w:val="0"/>
          <w:szCs w:val="22"/>
          <w:lang w:eastAsia="en-US"/>
        </w:rPr>
        <w:t>Gefitinibo</w:t>
      </w:r>
      <w:proofErr w:type="spellEnd"/>
      <w:r w:rsidR="006A73EA" w:rsidRPr="00C21B99">
        <w:rPr>
          <w:snapToGrid w:val="0"/>
          <w:szCs w:val="22"/>
          <w:lang w:eastAsia="en-US"/>
        </w:rPr>
        <w:t xml:space="preserve">, palyginti su </w:t>
      </w:r>
      <w:proofErr w:type="spellStart"/>
      <w:r w:rsidR="006A73EA" w:rsidRPr="00C21B99">
        <w:rPr>
          <w:snapToGrid w:val="0"/>
          <w:szCs w:val="22"/>
          <w:lang w:eastAsia="en-US"/>
        </w:rPr>
        <w:t>docetakseliu</w:t>
      </w:r>
      <w:proofErr w:type="spellEnd"/>
      <w:r w:rsidR="006A73EA" w:rsidRPr="00C21B99">
        <w:rPr>
          <w:snapToGrid w:val="0"/>
          <w:szCs w:val="22"/>
          <w:lang w:eastAsia="en-US"/>
        </w:rPr>
        <w:t xml:space="preserve"> (75 mg/m</w:t>
      </w:r>
      <w:r w:rsidR="006A73EA" w:rsidRPr="00C21B99">
        <w:rPr>
          <w:snapToGrid w:val="0"/>
          <w:szCs w:val="22"/>
          <w:vertAlign w:val="superscript"/>
          <w:lang w:eastAsia="en-US"/>
        </w:rPr>
        <w:t>2</w:t>
      </w:r>
      <w:r w:rsidR="006A73EA" w:rsidRPr="00C21B99">
        <w:rPr>
          <w:snapToGrid w:val="0"/>
          <w:szCs w:val="22"/>
          <w:lang w:eastAsia="en-US"/>
        </w:rPr>
        <w:t>), poveikis bendram išgyven</w:t>
      </w:r>
      <w:r w:rsidR="007A1BA0" w:rsidRPr="00C21B99">
        <w:rPr>
          <w:snapToGrid w:val="0"/>
          <w:szCs w:val="22"/>
          <w:lang w:eastAsia="en-US"/>
        </w:rPr>
        <w:t>imui</w:t>
      </w:r>
      <w:r w:rsidR="006A73EA" w:rsidRPr="00C21B99">
        <w:rPr>
          <w:snapToGrid w:val="0"/>
          <w:szCs w:val="22"/>
          <w:lang w:eastAsia="en-US"/>
        </w:rPr>
        <w:t>, neprogresuojant ligai išgyvento laikotarpio trukmei ir jų sukelto objektyvaus atsako dažniui bendroje populiacijoje statistiškai reikšmingai nesiskyrė</w:t>
      </w:r>
      <w:r w:rsidRPr="00C21B99">
        <w:rPr>
          <w:snapToGrid w:val="0"/>
          <w:szCs w:val="22"/>
          <w:lang w:eastAsia="en-US"/>
        </w:rPr>
        <w:t xml:space="preserve"> (žr. 5 lentelę).</w:t>
      </w:r>
    </w:p>
    <w:p w14:paraId="5E3F5BDC" w14:textId="77777777" w:rsidR="00DB6316" w:rsidRPr="00C21B99" w:rsidRDefault="00DB6316" w:rsidP="00554C64">
      <w:pPr>
        <w:widowControl w:val="0"/>
        <w:tabs>
          <w:tab w:val="left" w:pos="567"/>
        </w:tabs>
        <w:rPr>
          <w:snapToGrid w:val="0"/>
          <w:szCs w:val="22"/>
          <w:lang w:eastAsia="en-US"/>
        </w:rPr>
      </w:pPr>
    </w:p>
    <w:p w14:paraId="3FB3E6C1" w14:textId="77777777" w:rsidR="007A1BA0" w:rsidRPr="00C21B99" w:rsidRDefault="007A1BA0" w:rsidP="007A1BA0">
      <w:pPr>
        <w:widowControl w:val="0"/>
        <w:tabs>
          <w:tab w:val="left" w:pos="567"/>
        </w:tabs>
        <w:rPr>
          <w:b/>
          <w:snapToGrid w:val="0"/>
          <w:szCs w:val="22"/>
          <w:lang w:eastAsia="en-US"/>
        </w:rPr>
      </w:pPr>
      <w:r w:rsidRPr="00C21B99">
        <w:rPr>
          <w:b/>
          <w:snapToGrid w:val="0"/>
          <w:szCs w:val="22"/>
          <w:lang w:eastAsia="en-US"/>
        </w:rPr>
        <w:t xml:space="preserve">5 lentelė. </w:t>
      </w:r>
      <w:proofErr w:type="spellStart"/>
      <w:r w:rsidRPr="00C21B99">
        <w:rPr>
          <w:b/>
          <w:snapToGrid w:val="0"/>
          <w:szCs w:val="22"/>
          <w:lang w:eastAsia="en-US"/>
        </w:rPr>
        <w:t>Gefitinibo</w:t>
      </w:r>
      <w:proofErr w:type="spellEnd"/>
      <w:r w:rsidRPr="00C21B99">
        <w:rPr>
          <w:b/>
          <w:snapToGrid w:val="0"/>
          <w:szCs w:val="22"/>
          <w:lang w:eastAsia="en-US"/>
        </w:rPr>
        <w:t xml:space="preserve">, palyginti su </w:t>
      </w:r>
      <w:proofErr w:type="spellStart"/>
      <w:r w:rsidRPr="00C21B99">
        <w:rPr>
          <w:b/>
          <w:snapToGrid w:val="0"/>
          <w:szCs w:val="22"/>
          <w:lang w:eastAsia="en-US"/>
        </w:rPr>
        <w:t>docetakseliu</w:t>
      </w:r>
      <w:proofErr w:type="spellEnd"/>
      <w:r w:rsidRPr="00C21B99">
        <w:rPr>
          <w:b/>
          <w:snapToGrid w:val="0"/>
          <w:szCs w:val="22"/>
          <w:lang w:eastAsia="en-US"/>
        </w:rPr>
        <w:t xml:space="preserve">, veiksmingumo rezultatai INTEREST tyrimo duomenimis </w:t>
      </w:r>
    </w:p>
    <w:p w14:paraId="73A8602A" w14:textId="77777777" w:rsidR="00DB6316" w:rsidRPr="00C21B99" w:rsidRDefault="00DB6316" w:rsidP="00554C64">
      <w:pPr>
        <w:widowControl w:val="0"/>
        <w:tabs>
          <w:tab w:val="left" w:pos="567"/>
        </w:tabs>
        <w:rPr>
          <w:snapToGrid w:val="0"/>
          <w:szCs w:val="22"/>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51"/>
        <w:gridCol w:w="1984"/>
        <w:gridCol w:w="1982"/>
        <w:gridCol w:w="1701"/>
      </w:tblGrid>
      <w:tr w:rsidR="00DB2729" w:rsidRPr="00C21B99" w14:paraId="6A08B9CB" w14:textId="77777777" w:rsidTr="009A493C">
        <w:trPr>
          <w:trHeight w:val="966"/>
        </w:trPr>
        <w:tc>
          <w:tcPr>
            <w:tcW w:w="1984" w:type="dxa"/>
            <w:tcBorders>
              <w:top w:val="single" w:sz="18" w:space="0" w:color="auto"/>
              <w:left w:val="nil"/>
              <w:bottom w:val="single" w:sz="12" w:space="0" w:color="auto"/>
              <w:right w:val="nil"/>
            </w:tcBorders>
            <w:shd w:val="clear" w:color="auto" w:fill="auto"/>
          </w:tcPr>
          <w:p w14:paraId="1D7E143C" w14:textId="77777777" w:rsidR="00DB2729" w:rsidRPr="00C21B99" w:rsidRDefault="00DB2729" w:rsidP="009A493C">
            <w:pPr>
              <w:widowControl w:val="0"/>
              <w:tabs>
                <w:tab w:val="left" w:pos="567"/>
              </w:tabs>
              <w:rPr>
                <w:b/>
                <w:bCs/>
                <w:snapToGrid w:val="0"/>
                <w:szCs w:val="22"/>
                <w:lang w:eastAsia="en-US"/>
              </w:rPr>
            </w:pPr>
            <w:r w:rsidRPr="00C21B99">
              <w:rPr>
                <w:b/>
                <w:bCs/>
                <w:snapToGrid w:val="0"/>
                <w:szCs w:val="22"/>
                <w:lang w:eastAsia="en-US"/>
              </w:rPr>
              <w:t>Populiacija</w:t>
            </w:r>
          </w:p>
        </w:tc>
        <w:tc>
          <w:tcPr>
            <w:tcW w:w="851" w:type="dxa"/>
            <w:tcBorders>
              <w:top w:val="single" w:sz="18" w:space="0" w:color="auto"/>
              <w:left w:val="nil"/>
              <w:bottom w:val="single" w:sz="12" w:space="0" w:color="auto"/>
              <w:right w:val="nil"/>
            </w:tcBorders>
            <w:shd w:val="clear" w:color="auto" w:fill="auto"/>
          </w:tcPr>
          <w:p w14:paraId="08DB07B5" w14:textId="77777777" w:rsidR="00DB2729" w:rsidRPr="00C21B99" w:rsidRDefault="00DB2729" w:rsidP="009A493C">
            <w:pPr>
              <w:widowControl w:val="0"/>
              <w:tabs>
                <w:tab w:val="left" w:pos="567"/>
              </w:tabs>
              <w:rPr>
                <w:b/>
                <w:bCs/>
                <w:snapToGrid w:val="0"/>
                <w:szCs w:val="22"/>
                <w:lang w:eastAsia="en-US"/>
              </w:rPr>
            </w:pPr>
            <w:r w:rsidRPr="00C21B99">
              <w:rPr>
                <w:b/>
                <w:bCs/>
                <w:snapToGrid w:val="0"/>
                <w:szCs w:val="22"/>
                <w:lang w:eastAsia="en-US"/>
              </w:rPr>
              <w:t>N</w:t>
            </w:r>
          </w:p>
        </w:tc>
        <w:tc>
          <w:tcPr>
            <w:tcW w:w="1984" w:type="dxa"/>
            <w:tcBorders>
              <w:top w:val="single" w:sz="18" w:space="0" w:color="auto"/>
              <w:left w:val="nil"/>
              <w:bottom w:val="single" w:sz="12" w:space="0" w:color="auto"/>
              <w:right w:val="nil"/>
            </w:tcBorders>
            <w:shd w:val="clear" w:color="auto" w:fill="auto"/>
          </w:tcPr>
          <w:p w14:paraId="55C37049" w14:textId="77777777" w:rsidR="00DB2729" w:rsidRPr="00C21B99" w:rsidRDefault="00DB2729" w:rsidP="009A493C">
            <w:pPr>
              <w:widowControl w:val="0"/>
              <w:tabs>
                <w:tab w:val="left" w:pos="567"/>
              </w:tabs>
              <w:rPr>
                <w:b/>
                <w:bCs/>
                <w:snapToGrid w:val="0"/>
                <w:szCs w:val="22"/>
                <w:lang w:eastAsia="en-US"/>
              </w:rPr>
            </w:pPr>
            <w:r w:rsidRPr="00C21B99">
              <w:rPr>
                <w:b/>
                <w:bCs/>
                <w:snapToGrid w:val="0"/>
                <w:szCs w:val="22"/>
                <w:lang w:eastAsia="en-US"/>
              </w:rPr>
              <w:t>Objektyvaus atsako dažnis ir skirtumo tarp gydymo grupių</w:t>
            </w:r>
          </w:p>
          <w:p w14:paraId="45B78FF0" w14:textId="77777777" w:rsidR="00DB2729" w:rsidRPr="00C21B99" w:rsidRDefault="00DB2729" w:rsidP="009A493C">
            <w:pPr>
              <w:widowControl w:val="0"/>
              <w:tabs>
                <w:tab w:val="left" w:pos="567"/>
              </w:tabs>
              <w:rPr>
                <w:b/>
                <w:bCs/>
                <w:snapToGrid w:val="0"/>
                <w:szCs w:val="22"/>
                <w:lang w:eastAsia="en-US"/>
              </w:rPr>
            </w:pPr>
            <w:r w:rsidRPr="00C21B99">
              <w:rPr>
                <w:b/>
                <w:bCs/>
                <w:snapToGrid w:val="0"/>
                <w:szCs w:val="22"/>
                <w:lang w:eastAsia="en-US"/>
              </w:rPr>
              <w:t xml:space="preserve">95 % </w:t>
            </w:r>
            <w:proofErr w:type="spellStart"/>
            <w:r w:rsidRPr="00C21B99">
              <w:rPr>
                <w:b/>
                <w:bCs/>
                <w:snapToGrid w:val="0"/>
                <w:szCs w:val="22"/>
                <w:lang w:eastAsia="en-US"/>
              </w:rPr>
              <w:t>PI</w:t>
            </w:r>
            <w:r w:rsidRPr="00C21B99">
              <w:rPr>
                <w:b/>
                <w:bCs/>
                <w:snapToGrid w:val="0"/>
                <w:szCs w:val="22"/>
                <w:vertAlign w:val="superscript"/>
                <w:lang w:eastAsia="en-US"/>
              </w:rPr>
              <w:t>a</w:t>
            </w:r>
            <w:proofErr w:type="spellEnd"/>
          </w:p>
        </w:tc>
        <w:tc>
          <w:tcPr>
            <w:tcW w:w="1982" w:type="dxa"/>
            <w:tcBorders>
              <w:top w:val="single" w:sz="18" w:space="0" w:color="auto"/>
              <w:left w:val="nil"/>
              <w:bottom w:val="single" w:sz="12" w:space="0" w:color="auto"/>
              <w:right w:val="nil"/>
            </w:tcBorders>
            <w:shd w:val="clear" w:color="auto" w:fill="auto"/>
          </w:tcPr>
          <w:p w14:paraId="2E19C7D9" w14:textId="77777777" w:rsidR="00DB2729" w:rsidRPr="00C21B99" w:rsidRDefault="00DB2729" w:rsidP="009A493C">
            <w:pPr>
              <w:widowControl w:val="0"/>
              <w:tabs>
                <w:tab w:val="left" w:pos="567"/>
              </w:tabs>
              <w:rPr>
                <w:b/>
                <w:bCs/>
                <w:snapToGrid w:val="0"/>
                <w:szCs w:val="22"/>
                <w:lang w:eastAsia="en-US"/>
              </w:rPr>
            </w:pPr>
            <w:r w:rsidRPr="00C21B99">
              <w:rPr>
                <w:b/>
                <w:bCs/>
                <w:snapToGrid w:val="0"/>
                <w:szCs w:val="22"/>
                <w:lang w:eastAsia="en-US"/>
              </w:rPr>
              <w:t xml:space="preserve">Neprogresuojant ligai išgyvento laikotarpio </w:t>
            </w:r>
            <w:proofErr w:type="spellStart"/>
            <w:r w:rsidRPr="00C21B99">
              <w:rPr>
                <w:b/>
                <w:bCs/>
                <w:snapToGrid w:val="0"/>
                <w:szCs w:val="22"/>
                <w:lang w:eastAsia="en-US"/>
              </w:rPr>
              <w:t>trukmė</w:t>
            </w:r>
            <w:r w:rsidRPr="00C21B99">
              <w:rPr>
                <w:b/>
                <w:bCs/>
                <w:snapToGrid w:val="0"/>
                <w:szCs w:val="22"/>
                <w:vertAlign w:val="superscript"/>
                <w:lang w:eastAsia="en-US"/>
              </w:rPr>
              <w:t>ab</w:t>
            </w:r>
            <w:proofErr w:type="spellEnd"/>
          </w:p>
        </w:tc>
        <w:tc>
          <w:tcPr>
            <w:tcW w:w="1701" w:type="dxa"/>
            <w:tcBorders>
              <w:top w:val="single" w:sz="18" w:space="0" w:color="auto"/>
              <w:left w:val="nil"/>
              <w:bottom w:val="single" w:sz="12" w:space="0" w:color="auto"/>
              <w:right w:val="nil"/>
            </w:tcBorders>
            <w:shd w:val="clear" w:color="auto" w:fill="auto"/>
          </w:tcPr>
          <w:p w14:paraId="2E14AB9F" w14:textId="77777777" w:rsidR="00DB2729" w:rsidRPr="00C21B99" w:rsidRDefault="00DB2729" w:rsidP="009A493C">
            <w:pPr>
              <w:widowControl w:val="0"/>
              <w:tabs>
                <w:tab w:val="left" w:pos="567"/>
              </w:tabs>
              <w:rPr>
                <w:b/>
                <w:bCs/>
                <w:snapToGrid w:val="0"/>
                <w:szCs w:val="22"/>
                <w:lang w:eastAsia="en-US"/>
              </w:rPr>
            </w:pPr>
            <w:r w:rsidRPr="00C21B99">
              <w:rPr>
                <w:b/>
                <w:bCs/>
                <w:snapToGrid w:val="0"/>
                <w:szCs w:val="22"/>
                <w:lang w:eastAsia="en-US"/>
              </w:rPr>
              <w:t xml:space="preserve">Pagrindinė vertinamoji baigtis </w:t>
            </w:r>
            <w:r w:rsidR="00F24B2F" w:rsidRPr="00C21B99">
              <w:rPr>
                <w:b/>
                <w:bCs/>
                <w:snapToGrid w:val="0"/>
                <w:szCs w:val="22"/>
                <w:lang w:eastAsia="en-US"/>
              </w:rPr>
              <w:t>– b</w:t>
            </w:r>
            <w:r w:rsidRPr="00C21B99">
              <w:rPr>
                <w:b/>
                <w:bCs/>
                <w:snapToGrid w:val="0"/>
                <w:szCs w:val="22"/>
                <w:lang w:eastAsia="en-US"/>
              </w:rPr>
              <w:t xml:space="preserve">endras </w:t>
            </w:r>
            <w:proofErr w:type="spellStart"/>
            <w:r w:rsidRPr="00C21B99">
              <w:rPr>
                <w:b/>
                <w:bCs/>
                <w:snapToGrid w:val="0"/>
                <w:szCs w:val="22"/>
                <w:lang w:eastAsia="en-US"/>
              </w:rPr>
              <w:t>išgyvenimas</w:t>
            </w:r>
            <w:r w:rsidRPr="00C21B99">
              <w:rPr>
                <w:b/>
                <w:bCs/>
                <w:snapToGrid w:val="0"/>
                <w:szCs w:val="22"/>
                <w:vertAlign w:val="superscript"/>
                <w:lang w:eastAsia="en-US"/>
              </w:rPr>
              <w:t>ab</w:t>
            </w:r>
            <w:proofErr w:type="spellEnd"/>
          </w:p>
        </w:tc>
      </w:tr>
      <w:tr w:rsidR="00DB2729" w:rsidRPr="00C21B99" w14:paraId="52AFB889" w14:textId="77777777" w:rsidTr="009A493C">
        <w:tc>
          <w:tcPr>
            <w:tcW w:w="1984" w:type="dxa"/>
            <w:tcBorders>
              <w:top w:val="single" w:sz="12" w:space="0" w:color="auto"/>
              <w:left w:val="nil"/>
              <w:bottom w:val="single" w:sz="4" w:space="0" w:color="auto"/>
              <w:right w:val="nil"/>
            </w:tcBorders>
            <w:shd w:val="clear" w:color="auto" w:fill="auto"/>
          </w:tcPr>
          <w:p w14:paraId="6BCC8213" w14:textId="77777777" w:rsidR="00DB2729" w:rsidRPr="00C21B99" w:rsidRDefault="0043201E" w:rsidP="009A493C">
            <w:pPr>
              <w:widowControl w:val="0"/>
              <w:tabs>
                <w:tab w:val="left" w:pos="567"/>
              </w:tabs>
              <w:rPr>
                <w:snapToGrid w:val="0"/>
                <w:szCs w:val="22"/>
                <w:lang w:eastAsia="en-US"/>
              </w:rPr>
            </w:pPr>
            <w:r w:rsidRPr="00C21B99">
              <w:rPr>
                <w:snapToGrid w:val="0"/>
                <w:szCs w:val="22"/>
                <w:lang w:eastAsia="en-US"/>
              </w:rPr>
              <w:t>I</w:t>
            </w:r>
            <w:r w:rsidR="00DB2729" w:rsidRPr="00C21B99">
              <w:rPr>
                <w:snapToGrid w:val="0"/>
                <w:szCs w:val="22"/>
                <w:lang w:eastAsia="en-US"/>
              </w:rPr>
              <w:t>š viso</w:t>
            </w:r>
          </w:p>
        </w:tc>
        <w:tc>
          <w:tcPr>
            <w:tcW w:w="851" w:type="dxa"/>
            <w:tcBorders>
              <w:top w:val="single" w:sz="12" w:space="0" w:color="auto"/>
              <w:left w:val="nil"/>
              <w:bottom w:val="single" w:sz="4" w:space="0" w:color="auto"/>
              <w:right w:val="nil"/>
            </w:tcBorders>
            <w:shd w:val="clear" w:color="auto" w:fill="auto"/>
          </w:tcPr>
          <w:p w14:paraId="1FA7113C"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1466</w:t>
            </w:r>
          </w:p>
        </w:tc>
        <w:tc>
          <w:tcPr>
            <w:tcW w:w="1984" w:type="dxa"/>
            <w:tcBorders>
              <w:top w:val="single" w:sz="12" w:space="0" w:color="auto"/>
              <w:left w:val="nil"/>
              <w:bottom w:val="single" w:sz="4" w:space="0" w:color="auto"/>
              <w:right w:val="nil"/>
            </w:tcBorders>
            <w:shd w:val="clear" w:color="auto" w:fill="auto"/>
          </w:tcPr>
          <w:p w14:paraId="674CE7DD"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9</w:t>
            </w:r>
            <w:r w:rsidR="00304441" w:rsidRPr="00C21B99">
              <w:rPr>
                <w:snapToGrid w:val="0"/>
                <w:szCs w:val="22"/>
                <w:lang w:eastAsia="en-US"/>
              </w:rPr>
              <w:t>,</w:t>
            </w:r>
            <w:r w:rsidRPr="00C21B99">
              <w:rPr>
                <w:snapToGrid w:val="0"/>
                <w:szCs w:val="22"/>
                <w:lang w:eastAsia="en-US"/>
              </w:rPr>
              <w:t>1%</w:t>
            </w:r>
            <w:r w:rsidR="007B2A4C" w:rsidRPr="00C21B99">
              <w:rPr>
                <w:snapToGrid w:val="0"/>
                <w:szCs w:val="22"/>
                <w:lang w:eastAsia="en-US"/>
              </w:rPr>
              <w:t>,</w:t>
            </w:r>
            <w:r w:rsidRPr="00C21B99">
              <w:rPr>
                <w:snapToGrid w:val="0"/>
                <w:szCs w:val="22"/>
                <w:lang w:eastAsia="en-US"/>
              </w:rPr>
              <w:t xml:space="preserve"> </w:t>
            </w:r>
            <w:proofErr w:type="spellStart"/>
            <w:r w:rsidRPr="00C21B99">
              <w:rPr>
                <w:snapToGrid w:val="0"/>
                <w:szCs w:val="22"/>
                <w:lang w:eastAsia="en-US"/>
              </w:rPr>
              <w:t>plg</w:t>
            </w:r>
            <w:proofErr w:type="spellEnd"/>
            <w:r w:rsidRPr="00C21B99">
              <w:rPr>
                <w:snapToGrid w:val="0"/>
                <w:szCs w:val="22"/>
                <w:lang w:eastAsia="en-US"/>
              </w:rPr>
              <w:t xml:space="preserve"> 7</w:t>
            </w:r>
            <w:r w:rsidR="00304441" w:rsidRPr="00C21B99">
              <w:rPr>
                <w:snapToGrid w:val="0"/>
                <w:szCs w:val="22"/>
                <w:lang w:eastAsia="en-US"/>
              </w:rPr>
              <w:t>,</w:t>
            </w:r>
            <w:r w:rsidRPr="00C21B99">
              <w:rPr>
                <w:snapToGrid w:val="0"/>
                <w:szCs w:val="22"/>
                <w:lang w:eastAsia="en-US"/>
              </w:rPr>
              <w:t>6%</w:t>
            </w:r>
          </w:p>
          <w:p w14:paraId="0C67E48D"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[-1</w:t>
            </w:r>
            <w:r w:rsidR="00304441" w:rsidRPr="00C21B99">
              <w:rPr>
                <w:snapToGrid w:val="0"/>
                <w:szCs w:val="22"/>
                <w:lang w:eastAsia="en-US"/>
              </w:rPr>
              <w:t>,</w:t>
            </w:r>
            <w:r w:rsidRPr="00C21B99">
              <w:rPr>
                <w:snapToGrid w:val="0"/>
                <w:szCs w:val="22"/>
                <w:lang w:eastAsia="en-US"/>
              </w:rPr>
              <w:t>5%</w:t>
            </w:r>
            <w:r w:rsidR="00304441" w:rsidRPr="00C21B99">
              <w:rPr>
                <w:snapToGrid w:val="0"/>
                <w:szCs w:val="22"/>
                <w:lang w:eastAsia="en-US"/>
              </w:rPr>
              <w:t>;</w:t>
            </w:r>
            <w:r w:rsidRPr="00C21B99">
              <w:rPr>
                <w:snapToGrid w:val="0"/>
                <w:szCs w:val="22"/>
                <w:lang w:eastAsia="en-US"/>
              </w:rPr>
              <w:t xml:space="preserve"> 4</w:t>
            </w:r>
            <w:r w:rsidR="00304441" w:rsidRPr="00C21B99">
              <w:rPr>
                <w:snapToGrid w:val="0"/>
                <w:szCs w:val="22"/>
                <w:lang w:eastAsia="en-US"/>
              </w:rPr>
              <w:t>,</w:t>
            </w:r>
            <w:r w:rsidRPr="00C21B99">
              <w:rPr>
                <w:snapToGrid w:val="0"/>
                <w:szCs w:val="22"/>
                <w:lang w:eastAsia="en-US"/>
              </w:rPr>
              <w:t>5%]</w:t>
            </w:r>
          </w:p>
        </w:tc>
        <w:tc>
          <w:tcPr>
            <w:tcW w:w="1982" w:type="dxa"/>
            <w:tcBorders>
              <w:top w:val="single" w:sz="12" w:space="0" w:color="auto"/>
              <w:left w:val="nil"/>
              <w:bottom w:val="single" w:sz="4" w:space="0" w:color="auto"/>
              <w:right w:val="nil"/>
            </w:tcBorders>
            <w:shd w:val="clear" w:color="auto" w:fill="auto"/>
          </w:tcPr>
          <w:p w14:paraId="08B7B1D8" w14:textId="77777777" w:rsidR="00DB2729" w:rsidRPr="00C21B99" w:rsidRDefault="00304441"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1</w:t>
            </w:r>
            <w:r w:rsidRPr="00C21B99">
              <w:rPr>
                <w:snapToGrid w:val="0"/>
                <w:szCs w:val="22"/>
                <w:lang w:eastAsia="en-US"/>
              </w:rPr>
              <w:t>,</w:t>
            </w:r>
            <w:r w:rsidR="00DB2729" w:rsidRPr="00C21B99">
              <w:rPr>
                <w:snapToGrid w:val="0"/>
                <w:szCs w:val="22"/>
                <w:lang w:eastAsia="en-US"/>
              </w:rPr>
              <w:t>04</w:t>
            </w:r>
          </w:p>
          <w:p w14:paraId="0A2E5CED"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[0.93</w:t>
            </w:r>
            <w:r w:rsidR="007B2A4C" w:rsidRPr="00C21B99">
              <w:rPr>
                <w:snapToGrid w:val="0"/>
                <w:szCs w:val="22"/>
                <w:lang w:eastAsia="en-US"/>
              </w:rPr>
              <w:t xml:space="preserve"> - </w:t>
            </w:r>
            <w:r w:rsidRPr="00C21B99">
              <w:rPr>
                <w:snapToGrid w:val="0"/>
                <w:szCs w:val="22"/>
                <w:lang w:eastAsia="en-US"/>
              </w:rPr>
              <w:t>1.18]</w:t>
            </w:r>
          </w:p>
          <w:p w14:paraId="2FAF9F14"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2</w:t>
            </w:r>
            <w:r w:rsidR="00304441" w:rsidRPr="00C21B99">
              <w:rPr>
                <w:snapToGrid w:val="0"/>
                <w:szCs w:val="22"/>
                <w:lang w:eastAsia="en-US"/>
              </w:rPr>
              <w:t>,</w:t>
            </w:r>
            <w:r w:rsidRPr="00C21B99">
              <w:rPr>
                <w:snapToGrid w:val="0"/>
                <w:szCs w:val="22"/>
                <w:lang w:eastAsia="en-US"/>
              </w:rPr>
              <w:t xml:space="preserve">2 </w:t>
            </w:r>
            <w:proofErr w:type="spellStart"/>
            <w:r w:rsidRPr="00C21B99">
              <w:rPr>
                <w:snapToGrid w:val="0"/>
                <w:szCs w:val="22"/>
                <w:lang w:eastAsia="en-US"/>
              </w:rPr>
              <w:t>m</w:t>
            </w:r>
            <w:r w:rsidR="007B2A4C" w:rsidRPr="00C21B99">
              <w:rPr>
                <w:snapToGrid w:val="0"/>
                <w:szCs w:val="22"/>
                <w:lang w:eastAsia="en-US"/>
              </w:rPr>
              <w:t>ėn</w:t>
            </w:r>
            <w:proofErr w:type="spellEnd"/>
            <w:r w:rsidR="007B2A4C" w:rsidRPr="00C21B99">
              <w:rPr>
                <w:snapToGrid w:val="0"/>
                <w:szCs w:val="22"/>
                <w:lang w:eastAsia="en-US"/>
              </w:rPr>
              <w:t>, plg</w:t>
            </w:r>
            <w:r w:rsidR="00304441" w:rsidRPr="00C21B99">
              <w:rPr>
                <w:snapToGrid w:val="0"/>
                <w:szCs w:val="22"/>
                <w:lang w:eastAsia="en-US"/>
              </w:rPr>
              <w:t>.</w:t>
            </w:r>
            <w:r w:rsidRPr="00C21B99">
              <w:rPr>
                <w:snapToGrid w:val="0"/>
                <w:szCs w:val="22"/>
                <w:lang w:eastAsia="en-US"/>
              </w:rPr>
              <w:t xml:space="preserve"> 2</w:t>
            </w:r>
            <w:r w:rsidR="00304441" w:rsidRPr="00C21B99">
              <w:rPr>
                <w:snapToGrid w:val="0"/>
                <w:szCs w:val="22"/>
                <w:lang w:eastAsia="en-US"/>
              </w:rPr>
              <w:t>,</w:t>
            </w:r>
            <w:r w:rsidRPr="00C21B99">
              <w:rPr>
                <w:snapToGrid w:val="0"/>
                <w:szCs w:val="22"/>
                <w:lang w:eastAsia="en-US"/>
              </w:rPr>
              <w:t xml:space="preserve">7 </w:t>
            </w:r>
            <w:proofErr w:type="spellStart"/>
            <w:r w:rsidR="00C21B99">
              <w:rPr>
                <w:snapToGrid w:val="0"/>
                <w:szCs w:val="22"/>
                <w:lang w:eastAsia="en-US"/>
              </w:rPr>
              <w:t>m</w:t>
            </w:r>
            <w:r w:rsidR="007B2A4C" w:rsidRPr="00C21B99">
              <w:rPr>
                <w:snapToGrid w:val="0"/>
                <w:szCs w:val="22"/>
                <w:lang w:eastAsia="en-US"/>
              </w:rPr>
              <w:t>ėn</w:t>
            </w:r>
            <w:proofErr w:type="spellEnd"/>
          </w:p>
          <w:p w14:paraId="7F7697D5"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7B2A4C" w:rsidRPr="00C21B99">
              <w:rPr>
                <w:snapToGrid w:val="0"/>
                <w:szCs w:val="22"/>
                <w:lang w:eastAsia="en-US"/>
              </w:rPr>
              <w:t xml:space="preserve"> </w:t>
            </w:r>
            <w:r w:rsidRPr="00C21B99">
              <w:rPr>
                <w:snapToGrid w:val="0"/>
                <w:szCs w:val="22"/>
                <w:lang w:eastAsia="en-US"/>
              </w:rPr>
              <w:t>=</w:t>
            </w:r>
            <w:r w:rsidR="007B2A4C" w:rsidRPr="00C21B99">
              <w:rPr>
                <w:snapToGrid w:val="0"/>
                <w:szCs w:val="22"/>
                <w:lang w:eastAsia="en-US"/>
              </w:rPr>
              <w:t xml:space="preserve"> </w:t>
            </w:r>
            <w:r w:rsidRPr="00C21B99">
              <w:rPr>
                <w:snapToGrid w:val="0"/>
                <w:szCs w:val="22"/>
                <w:lang w:eastAsia="en-US"/>
              </w:rPr>
              <w:t>0</w:t>
            </w:r>
            <w:r w:rsidR="00304441" w:rsidRPr="00C21B99">
              <w:rPr>
                <w:snapToGrid w:val="0"/>
                <w:szCs w:val="22"/>
                <w:lang w:eastAsia="en-US"/>
              </w:rPr>
              <w:t>,</w:t>
            </w:r>
            <w:r w:rsidRPr="00C21B99">
              <w:rPr>
                <w:snapToGrid w:val="0"/>
                <w:szCs w:val="22"/>
                <w:lang w:eastAsia="en-US"/>
              </w:rPr>
              <w:t>4658</w:t>
            </w:r>
          </w:p>
        </w:tc>
        <w:tc>
          <w:tcPr>
            <w:tcW w:w="1701" w:type="dxa"/>
            <w:tcBorders>
              <w:top w:val="single" w:sz="12" w:space="0" w:color="auto"/>
              <w:left w:val="nil"/>
              <w:bottom w:val="single" w:sz="4" w:space="0" w:color="auto"/>
              <w:right w:val="nil"/>
            </w:tcBorders>
            <w:shd w:val="clear" w:color="auto" w:fill="auto"/>
          </w:tcPr>
          <w:p w14:paraId="03ABB0DB" w14:textId="77777777" w:rsidR="00DB2729" w:rsidRPr="00C21B99" w:rsidRDefault="007B2A4C"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1</w:t>
            </w:r>
            <w:r w:rsidR="00304441" w:rsidRPr="00C21B99">
              <w:rPr>
                <w:snapToGrid w:val="0"/>
                <w:szCs w:val="22"/>
                <w:lang w:eastAsia="en-US"/>
              </w:rPr>
              <w:t>,</w:t>
            </w:r>
            <w:r w:rsidR="00DB2729" w:rsidRPr="00C21B99">
              <w:rPr>
                <w:snapToGrid w:val="0"/>
                <w:szCs w:val="22"/>
                <w:lang w:eastAsia="en-US"/>
              </w:rPr>
              <w:t>020</w:t>
            </w:r>
          </w:p>
          <w:p w14:paraId="6CAC7961"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[0.905</w:t>
            </w:r>
            <w:r w:rsidR="007B2A4C" w:rsidRPr="00C21B99">
              <w:rPr>
                <w:snapToGrid w:val="0"/>
                <w:szCs w:val="22"/>
                <w:lang w:eastAsia="en-US"/>
              </w:rPr>
              <w:t xml:space="preserve"> -</w:t>
            </w:r>
            <w:r w:rsidRPr="00C21B99">
              <w:rPr>
                <w:snapToGrid w:val="0"/>
                <w:szCs w:val="22"/>
                <w:lang w:eastAsia="en-US"/>
              </w:rPr>
              <w:t xml:space="preserve"> 1.150]</w:t>
            </w:r>
            <w:r w:rsidR="007B2A4C" w:rsidRPr="00C21B99">
              <w:rPr>
                <w:snapToGrid w:val="0"/>
                <w:szCs w:val="22"/>
                <w:vertAlign w:val="superscript"/>
                <w:lang w:eastAsia="en-US"/>
              </w:rPr>
              <w:t>c</w:t>
            </w:r>
          </w:p>
          <w:p w14:paraId="2FB96471"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 xml:space="preserve">7.6 </w:t>
            </w:r>
            <w:r w:rsidR="00304441" w:rsidRPr="00C21B99">
              <w:rPr>
                <w:snapToGrid w:val="0"/>
                <w:szCs w:val="22"/>
                <w:lang w:eastAsia="en-US"/>
              </w:rPr>
              <w:t>mėn., plg.</w:t>
            </w:r>
            <w:r w:rsidRPr="00C21B99">
              <w:rPr>
                <w:snapToGrid w:val="0"/>
                <w:szCs w:val="22"/>
                <w:lang w:eastAsia="en-US"/>
              </w:rPr>
              <w:t xml:space="preserve"> 8</w:t>
            </w:r>
            <w:r w:rsidR="00304441" w:rsidRPr="00C21B99">
              <w:rPr>
                <w:snapToGrid w:val="0"/>
                <w:szCs w:val="22"/>
                <w:lang w:eastAsia="en-US"/>
              </w:rPr>
              <w:t>,</w:t>
            </w:r>
            <w:r w:rsidRPr="00C21B99">
              <w:rPr>
                <w:snapToGrid w:val="0"/>
                <w:szCs w:val="22"/>
                <w:lang w:eastAsia="en-US"/>
              </w:rPr>
              <w:t xml:space="preserve">0 </w:t>
            </w:r>
            <w:proofErr w:type="spellStart"/>
            <w:r w:rsidRPr="00C21B99">
              <w:rPr>
                <w:snapToGrid w:val="0"/>
                <w:szCs w:val="22"/>
                <w:lang w:eastAsia="en-US"/>
              </w:rPr>
              <w:t>m</w:t>
            </w:r>
            <w:r w:rsidR="00304441" w:rsidRPr="00C21B99">
              <w:rPr>
                <w:snapToGrid w:val="0"/>
                <w:szCs w:val="22"/>
                <w:lang w:eastAsia="en-US"/>
              </w:rPr>
              <w:t>ėn</w:t>
            </w:r>
            <w:proofErr w:type="spellEnd"/>
          </w:p>
          <w:p w14:paraId="764F1399"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304441" w:rsidRPr="00C21B99">
              <w:rPr>
                <w:snapToGrid w:val="0"/>
                <w:szCs w:val="22"/>
                <w:lang w:eastAsia="en-US"/>
              </w:rPr>
              <w:t xml:space="preserve"> </w:t>
            </w:r>
            <w:r w:rsidRPr="00C21B99">
              <w:rPr>
                <w:snapToGrid w:val="0"/>
                <w:szCs w:val="22"/>
                <w:lang w:eastAsia="en-US"/>
              </w:rPr>
              <w:t>=</w:t>
            </w:r>
            <w:r w:rsidR="00304441" w:rsidRPr="00C21B99">
              <w:rPr>
                <w:snapToGrid w:val="0"/>
                <w:szCs w:val="22"/>
                <w:lang w:eastAsia="en-US"/>
              </w:rPr>
              <w:t xml:space="preserve"> </w:t>
            </w:r>
            <w:r w:rsidRPr="00C21B99">
              <w:rPr>
                <w:snapToGrid w:val="0"/>
                <w:szCs w:val="22"/>
                <w:lang w:eastAsia="en-US"/>
              </w:rPr>
              <w:t>0</w:t>
            </w:r>
            <w:r w:rsidR="00304441" w:rsidRPr="00C21B99">
              <w:rPr>
                <w:snapToGrid w:val="0"/>
                <w:szCs w:val="22"/>
                <w:lang w:eastAsia="en-US"/>
              </w:rPr>
              <w:t>,</w:t>
            </w:r>
            <w:r w:rsidRPr="00C21B99">
              <w:rPr>
                <w:snapToGrid w:val="0"/>
                <w:szCs w:val="22"/>
                <w:lang w:eastAsia="en-US"/>
              </w:rPr>
              <w:t>7332</w:t>
            </w:r>
          </w:p>
        </w:tc>
      </w:tr>
      <w:tr w:rsidR="00DB2729" w:rsidRPr="00C21B99" w14:paraId="619F5674" w14:textId="77777777" w:rsidTr="009A493C">
        <w:tc>
          <w:tcPr>
            <w:tcW w:w="1984" w:type="dxa"/>
            <w:tcBorders>
              <w:top w:val="single" w:sz="4" w:space="0" w:color="auto"/>
              <w:left w:val="nil"/>
              <w:bottom w:val="single" w:sz="2" w:space="0" w:color="auto"/>
              <w:right w:val="nil"/>
            </w:tcBorders>
            <w:shd w:val="clear" w:color="auto" w:fill="auto"/>
          </w:tcPr>
          <w:p w14:paraId="3A474599" w14:textId="77777777" w:rsidR="00DB2729" w:rsidRPr="00C21B99" w:rsidRDefault="007B2A4C" w:rsidP="009A493C">
            <w:pPr>
              <w:widowControl w:val="0"/>
              <w:tabs>
                <w:tab w:val="left" w:pos="567"/>
              </w:tabs>
              <w:rPr>
                <w:snapToGrid w:val="0"/>
                <w:szCs w:val="22"/>
                <w:lang w:eastAsia="en-US"/>
              </w:rPr>
            </w:pPr>
            <w:r w:rsidRPr="00C21B99">
              <w:rPr>
                <w:snapToGrid w:val="0"/>
                <w:szCs w:val="22"/>
                <w:lang w:eastAsia="en-US"/>
              </w:rPr>
              <w:t>EAFR mutacijos atžvilgiu teigiami</w:t>
            </w:r>
          </w:p>
        </w:tc>
        <w:tc>
          <w:tcPr>
            <w:tcW w:w="851" w:type="dxa"/>
            <w:tcBorders>
              <w:top w:val="single" w:sz="4" w:space="0" w:color="auto"/>
              <w:left w:val="nil"/>
              <w:bottom w:val="single" w:sz="2" w:space="0" w:color="auto"/>
              <w:right w:val="nil"/>
            </w:tcBorders>
            <w:shd w:val="clear" w:color="auto" w:fill="auto"/>
          </w:tcPr>
          <w:p w14:paraId="5B45D2A6"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44</w:t>
            </w:r>
          </w:p>
        </w:tc>
        <w:tc>
          <w:tcPr>
            <w:tcW w:w="1984" w:type="dxa"/>
            <w:tcBorders>
              <w:top w:val="single" w:sz="4" w:space="0" w:color="auto"/>
              <w:left w:val="nil"/>
              <w:bottom w:val="single" w:sz="2" w:space="0" w:color="auto"/>
              <w:right w:val="nil"/>
            </w:tcBorders>
            <w:shd w:val="clear" w:color="auto" w:fill="auto"/>
          </w:tcPr>
          <w:p w14:paraId="20AF22DE"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42</w:t>
            </w:r>
            <w:r w:rsidR="00304441" w:rsidRPr="00C21B99">
              <w:rPr>
                <w:snapToGrid w:val="0"/>
                <w:szCs w:val="22"/>
                <w:lang w:eastAsia="en-US"/>
              </w:rPr>
              <w:t>,</w:t>
            </w:r>
            <w:r w:rsidRPr="00C21B99">
              <w:rPr>
                <w:snapToGrid w:val="0"/>
                <w:szCs w:val="22"/>
                <w:lang w:eastAsia="en-US"/>
              </w:rPr>
              <w:t>1%</w:t>
            </w:r>
            <w:r w:rsidR="00304441" w:rsidRPr="00C21B99">
              <w:rPr>
                <w:snapToGrid w:val="0"/>
                <w:szCs w:val="22"/>
                <w:lang w:eastAsia="en-US"/>
              </w:rPr>
              <w:t>,</w:t>
            </w:r>
            <w:r w:rsidRPr="00C21B99">
              <w:rPr>
                <w:snapToGrid w:val="0"/>
                <w:szCs w:val="22"/>
                <w:lang w:eastAsia="en-US"/>
              </w:rPr>
              <w:t xml:space="preserve"> </w:t>
            </w:r>
            <w:r w:rsidR="007B2A4C" w:rsidRPr="00C21B99">
              <w:rPr>
                <w:snapToGrid w:val="0"/>
                <w:szCs w:val="22"/>
                <w:lang w:eastAsia="en-US"/>
              </w:rPr>
              <w:t>plg</w:t>
            </w:r>
            <w:r w:rsidR="00304441" w:rsidRPr="00C21B99">
              <w:rPr>
                <w:snapToGrid w:val="0"/>
                <w:szCs w:val="22"/>
                <w:lang w:eastAsia="en-US"/>
              </w:rPr>
              <w:t>.</w:t>
            </w:r>
            <w:r w:rsidRPr="00C21B99">
              <w:rPr>
                <w:snapToGrid w:val="0"/>
                <w:szCs w:val="22"/>
                <w:lang w:eastAsia="en-US"/>
              </w:rPr>
              <w:t xml:space="preserve"> 21</w:t>
            </w:r>
            <w:r w:rsidR="00304441" w:rsidRPr="00C21B99">
              <w:rPr>
                <w:snapToGrid w:val="0"/>
                <w:szCs w:val="22"/>
                <w:lang w:eastAsia="en-US"/>
              </w:rPr>
              <w:t>,</w:t>
            </w:r>
            <w:r w:rsidRPr="00C21B99">
              <w:rPr>
                <w:snapToGrid w:val="0"/>
                <w:szCs w:val="22"/>
                <w:lang w:eastAsia="en-US"/>
              </w:rPr>
              <w:t>1%</w:t>
            </w:r>
          </w:p>
          <w:p w14:paraId="79D95C16"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[-8</w:t>
            </w:r>
            <w:r w:rsidR="00304441" w:rsidRPr="00C21B99">
              <w:rPr>
                <w:snapToGrid w:val="0"/>
                <w:szCs w:val="22"/>
                <w:lang w:eastAsia="en-US"/>
              </w:rPr>
              <w:t>,</w:t>
            </w:r>
            <w:r w:rsidRPr="00C21B99">
              <w:rPr>
                <w:snapToGrid w:val="0"/>
                <w:szCs w:val="22"/>
                <w:lang w:eastAsia="en-US"/>
              </w:rPr>
              <w:t>2%</w:t>
            </w:r>
            <w:r w:rsidR="00304441" w:rsidRPr="00C21B99">
              <w:rPr>
                <w:snapToGrid w:val="0"/>
                <w:szCs w:val="22"/>
                <w:lang w:eastAsia="en-US"/>
              </w:rPr>
              <w:t>;</w:t>
            </w:r>
            <w:r w:rsidRPr="00C21B99">
              <w:rPr>
                <w:snapToGrid w:val="0"/>
                <w:szCs w:val="22"/>
                <w:lang w:eastAsia="en-US"/>
              </w:rPr>
              <w:t xml:space="preserve"> 46.0%]</w:t>
            </w:r>
          </w:p>
        </w:tc>
        <w:tc>
          <w:tcPr>
            <w:tcW w:w="1982" w:type="dxa"/>
            <w:tcBorders>
              <w:top w:val="single" w:sz="4" w:space="0" w:color="auto"/>
              <w:left w:val="nil"/>
              <w:bottom w:val="single" w:sz="2" w:space="0" w:color="auto"/>
              <w:right w:val="nil"/>
            </w:tcBorders>
            <w:shd w:val="clear" w:color="auto" w:fill="auto"/>
          </w:tcPr>
          <w:p w14:paraId="22AEB619" w14:textId="77777777" w:rsidR="00DB2729" w:rsidRPr="00C21B99" w:rsidRDefault="00304441"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0.16</w:t>
            </w:r>
          </w:p>
          <w:p w14:paraId="238CAB89"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w:t>
            </w:r>
            <w:r w:rsidR="00304441" w:rsidRPr="00C21B99">
              <w:rPr>
                <w:snapToGrid w:val="0"/>
                <w:szCs w:val="22"/>
                <w:lang w:eastAsia="en-US"/>
              </w:rPr>
              <w:t>,</w:t>
            </w:r>
            <w:r w:rsidRPr="00C21B99">
              <w:rPr>
                <w:snapToGrid w:val="0"/>
                <w:szCs w:val="22"/>
                <w:lang w:eastAsia="en-US"/>
              </w:rPr>
              <w:t>05</w:t>
            </w:r>
            <w:r w:rsidR="00304441" w:rsidRPr="00C21B99">
              <w:rPr>
                <w:snapToGrid w:val="0"/>
                <w:szCs w:val="22"/>
                <w:lang w:eastAsia="en-US"/>
              </w:rPr>
              <w:t xml:space="preserve"> –</w:t>
            </w:r>
            <w:r w:rsidRPr="00C21B99">
              <w:rPr>
                <w:snapToGrid w:val="0"/>
                <w:szCs w:val="22"/>
                <w:lang w:eastAsia="en-US"/>
              </w:rPr>
              <w:t xml:space="preserve"> 0</w:t>
            </w:r>
            <w:r w:rsidR="00304441" w:rsidRPr="00C21B99">
              <w:rPr>
                <w:snapToGrid w:val="0"/>
                <w:szCs w:val="22"/>
                <w:lang w:eastAsia="en-US"/>
              </w:rPr>
              <w:t>,</w:t>
            </w:r>
            <w:r w:rsidRPr="00C21B99">
              <w:rPr>
                <w:snapToGrid w:val="0"/>
                <w:szCs w:val="22"/>
                <w:lang w:eastAsia="en-US"/>
              </w:rPr>
              <w:t>49]</w:t>
            </w:r>
          </w:p>
          <w:p w14:paraId="669D6110"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7</w:t>
            </w:r>
            <w:r w:rsidR="00304441" w:rsidRPr="00C21B99">
              <w:rPr>
                <w:snapToGrid w:val="0"/>
                <w:szCs w:val="22"/>
                <w:lang w:eastAsia="en-US"/>
              </w:rPr>
              <w:t>,</w:t>
            </w:r>
            <w:r w:rsidRPr="00C21B99">
              <w:rPr>
                <w:snapToGrid w:val="0"/>
                <w:szCs w:val="22"/>
                <w:lang w:eastAsia="en-US"/>
              </w:rPr>
              <w:t xml:space="preserve">0 </w:t>
            </w:r>
            <w:proofErr w:type="spellStart"/>
            <w:r w:rsidRPr="00C21B99">
              <w:rPr>
                <w:snapToGrid w:val="0"/>
                <w:szCs w:val="22"/>
                <w:lang w:eastAsia="en-US"/>
              </w:rPr>
              <w:t>m</w:t>
            </w:r>
            <w:r w:rsidR="00304441" w:rsidRPr="00C21B99">
              <w:rPr>
                <w:snapToGrid w:val="0"/>
                <w:szCs w:val="22"/>
                <w:lang w:eastAsia="en-US"/>
              </w:rPr>
              <w:t>ėn</w:t>
            </w:r>
            <w:proofErr w:type="spellEnd"/>
            <w:r w:rsidR="00304441" w:rsidRPr="00C21B99">
              <w:rPr>
                <w:snapToGrid w:val="0"/>
                <w:szCs w:val="22"/>
                <w:lang w:eastAsia="en-US"/>
              </w:rPr>
              <w:t>,</w:t>
            </w:r>
            <w:r w:rsidRPr="00C21B99">
              <w:rPr>
                <w:snapToGrid w:val="0"/>
                <w:szCs w:val="22"/>
                <w:lang w:eastAsia="en-US"/>
              </w:rPr>
              <w:t xml:space="preserve"> </w:t>
            </w:r>
            <w:r w:rsidR="00304441" w:rsidRPr="00C21B99">
              <w:rPr>
                <w:snapToGrid w:val="0"/>
                <w:szCs w:val="22"/>
                <w:lang w:eastAsia="en-US"/>
              </w:rPr>
              <w:t>plg.</w:t>
            </w:r>
            <w:r w:rsidRPr="00C21B99">
              <w:rPr>
                <w:snapToGrid w:val="0"/>
                <w:szCs w:val="22"/>
                <w:lang w:eastAsia="en-US"/>
              </w:rPr>
              <w:t xml:space="preserve"> 4</w:t>
            </w:r>
            <w:r w:rsidR="00304441" w:rsidRPr="00C21B99">
              <w:rPr>
                <w:snapToGrid w:val="0"/>
                <w:szCs w:val="22"/>
                <w:lang w:eastAsia="en-US"/>
              </w:rPr>
              <w:t>,</w:t>
            </w:r>
            <w:r w:rsidRPr="00C21B99">
              <w:rPr>
                <w:snapToGrid w:val="0"/>
                <w:szCs w:val="22"/>
                <w:lang w:eastAsia="en-US"/>
              </w:rPr>
              <w:t xml:space="preserve">1 </w:t>
            </w:r>
            <w:proofErr w:type="spellStart"/>
            <w:r w:rsidRPr="00C21B99">
              <w:rPr>
                <w:snapToGrid w:val="0"/>
                <w:szCs w:val="22"/>
                <w:lang w:eastAsia="en-US"/>
              </w:rPr>
              <w:t>m</w:t>
            </w:r>
            <w:r w:rsidR="00304441" w:rsidRPr="00C21B99">
              <w:rPr>
                <w:snapToGrid w:val="0"/>
                <w:szCs w:val="22"/>
                <w:lang w:eastAsia="en-US"/>
              </w:rPr>
              <w:t>ėn</w:t>
            </w:r>
            <w:proofErr w:type="spellEnd"/>
          </w:p>
          <w:p w14:paraId="3EA188CA"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304441" w:rsidRPr="00C21B99">
              <w:rPr>
                <w:snapToGrid w:val="0"/>
                <w:szCs w:val="22"/>
                <w:lang w:eastAsia="en-US"/>
              </w:rPr>
              <w:t xml:space="preserve"> </w:t>
            </w:r>
            <w:r w:rsidRPr="00C21B99">
              <w:rPr>
                <w:snapToGrid w:val="0"/>
                <w:szCs w:val="22"/>
                <w:lang w:eastAsia="en-US"/>
              </w:rPr>
              <w:t>=</w:t>
            </w:r>
            <w:r w:rsidR="00304441" w:rsidRPr="00C21B99">
              <w:rPr>
                <w:snapToGrid w:val="0"/>
                <w:szCs w:val="22"/>
                <w:lang w:eastAsia="en-US"/>
              </w:rPr>
              <w:t xml:space="preserve"> </w:t>
            </w:r>
            <w:r w:rsidRPr="00C21B99">
              <w:rPr>
                <w:snapToGrid w:val="0"/>
                <w:szCs w:val="22"/>
                <w:lang w:eastAsia="en-US"/>
              </w:rPr>
              <w:t>0</w:t>
            </w:r>
            <w:r w:rsidR="00304441" w:rsidRPr="00C21B99">
              <w:rPr>
                <w:snapToGrid w:val="0"/>
                <w:szCs w:val="22"/>
                <w:lang w:eastAsia="en-US"/>
              </w:rPr>
              <w:t>,</w:t>
            </w:r>
            <w:r w:rsidRPr="00C21B99">
              <w:rPr>
                <w:snapToGrid w:val="0"/>
                <w:szCs w:val="22"/>
                <w:lang w:eastAsia="en-US"/>
              </w:rPr>
              <w:t>0012</w:t>
            </w:r>
          </w:p>
        </w:tc>
        <w:tc>
          <w:tcPr>
            <w:tcW w:w="1701" w:type="dxa"/>
            <w:tcBorders>
              <w:top w:val="single" w:sz="4" w:space="0" w:color="auto"/>
              <w:left w:val="nil"/>
              <w:bottom w:val="single" w:sz="2" w:space="0" w:color="auto"/>
              <w:right w:val="nil"/>
            </w:tcBorders>
            <w:shd w:val="clear" w:color="auto" w:fill="auto"/>
          </w:tcPr>
          <w:p w14:paraId="56098F63" w14:textId="77777777" w:rsidR="00DB2729" w:rsidRPr="00C21B99" w:rsidRDefault="00304441"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0.83</w:t>
            </w:r>
          </w:p>
          <w:p w14:paraId="47CEB948"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w:t>
            </w:r>
            <w:r w:rsidR="00304441" w:rsidRPr="00C21B99">
              <w:rPr>
                <w:snapToGrid w:val="0"/>
                <w:szCs w:val="22"/>
                <w:lang w:eastAsia="en-US"/>
              </w:rPr>
              <w:t>,</w:t>
            </w:r>
            <w:r w:rsidRPr="00C21B99">
              <w:rPr>
                <w:snapToGrid w:val="0"/>
                <w:szCs w:val="22"/>
                <w:lang w:eastAsia="en-US"/>
              </w:rPr>
              <w:t>41</w:t>
            </w:r>
            <w:r w:rsidR="00304441" w:rsidRPr="00C21B99">
              <w:rPr>
                <w:snapToGrid w:val="0"/>
                <w:szCs w:val="22"/>
                <w:lang w:eastAsia="en-US"/>
              </w:rPr>
              <w:t xml:space="preserve"> –</w:t>
            </w:r>
            <w:r w:rsidRPr="00C21B99">
              <w:rPr>
                <w:snapToGrid w:val="0"/>
                <w:szCs w:val="22"/>
                <w:lang w:eastAsia="en-US"/>
              </w:rPr>
              <w:t xml:space="preserve"> 1</w:t>
            </w:r>
            <w:r w:rsidR="00304441" w:rsidRPr="00C21B99">
              <w:rPr>
                <w:snapToGrid w:val="0"/>
                <w:szCs w:val="22"/>
                <w:lang w:eastAsia="en-US"/>
              </w:rPr>
              <w:t>,</w:t>
            </w:r>
            <w:r w:rsidRPr="00C21B99">
              <w:rPr>
                <w:snapToGrid w:val="0"/>
                <w:szCs w:val="22"/>
                <w:lang w:eastAsia="en-US"/>
              </w:rPr>
              <w:t>67]</w:t>
            </w:r>
          </w:p>
          <w:p w14:paraId="60A6E3B5"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14</w:t>
            </w:r>
            <w:r w:rsidR="00304441" w:rsidRPr="00C21B99">
              <w:rPr>
                <w:snapToGrid w:val="0"/>
                <w:szCs w:val="22"/>
                <w:lang w:eastAsia="en-US"/>
              </w:rPr>
              <w:t>,</w:t>
            </w:r>
            <w:r w:rsidRPr="00C21B99">
              <w:rPr>
                <w:snapToGrid w:val="0"/>
                <w:szCs w:val="22"/>
                <w:lang w:eastAsia="en-US"/>
              </w:rPr>
              <w:t xml:space="preserve">2 </w:t>
            </w:r>
            <w:proofErr w:type="spellStart"/>
            <w:r w:rsidRPr="00C21B99">
              <w:rPr>
                <w:snapToGrid w:val="0"/>
                <w:szCs w:val="22"/>
                <w:lang w:eastAsia="en-US"/>
              </w:rPr>
              <w:t>m</w:t>
            </w:r>
            <w:r w:rsidR="00304441" w:rsidRPr="00C21B99">
              <w:rPr>
                <w:snapToGrid w:val="0"/>
                <w:szCs w:val="22"/>
                <w:lang w:eastAsia="en-US"/>
              </w:rPr>
              <w:t>ėn</w:t>
            </w:r>
            <w:proofErr w:type="spellEnd"/>
            <w:r w:rsidR="00304441" w:rsidRPr="00C21B99">
              <w:rPr>
                <w:snapToGrid w:val="0"/>
                <w:szCs w:val="22"/>
                <w:lang w:eastAsia="en-US"/>
              </w:rPr>
              <w:t xml:space="preserve">, </w:t>
            </w:r>
            <w:proofErr w:type="spellStart"/>
            <w:r w:rsidR="00304441" w:rsidRPr="00C21B99">
              <w:rPr>
                <w:snapToGrid w:val="0"/>
                <w:szCs w:val="22"/>
                <w:lang w:eastAsia="en-US"/>
              </w:rPr>
              <w:t>plg</w:t>
            </w:r>
            <w:proofErr w:type="spellEnd"/>
            <w:r w:rsidRPr="00C21B99">
              <w:rPr>
                <w:snapToGrid w:val="0"/>
                <w:szCs w:val="22"/>
                <w:lang w:eastAsia="en-US"/>
              </w:rPr>
              <w:t xml:space="preserve"> 16</w:t>
            </w:r>
            <w:r w:rsidR="00304441" w:rsidRPr="00C21B99">
              <w:rPr>
                <w:snapToGrid w:val="0"/>
                <w:szCs w:val="22"/>
                <w:lang w:eastAsia="en-US"/>
              </w:rPr>
              <w:t>,</w:t>
            </w:r>
            <w:r w:rsidRPr="00C21B99">
              <w:rPr>
                <w:snapToGrid w:val="0"/>
                <w:szCs w:val="22"/>
                <w:lang w:eastAsia="en-US"/>
              </w:rPr>
              <w:t xml:space="preserve">6 </w:t>
            </w:r>
            <w:proofErr w:type="spellStart"/>
            <w:r w:rsidRPr="00C21B99">
              <w:rPr>
                <w:snapToGrid w:val="0"/>
                <w:szCs w:val="22"/>
                <w:lang w:eastAsia="en-US"/>
              </w:rPr>
              <w:t>m</w:t>
            </w:r>
            <w:r w:rsidR="00304441" w:rsidRPr="00C21B99">
              <w:rPr>
                <w:snapToGrid w:val="0"/>
                <w:szCs w:val="22"/>
                <w:lang w:eastAsia="en-US"/>
              </w:rPr>
              <w:t>ėn</w:t>
            </w:r>
            <w:proofErr w:type="spellEnd"/>
          </w:p>
          <w:p w14:paraId="7D7A8DD0"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304441" w:rsidRPr="00C21B99">
              <w:rPr>
                <w:snapToGrid w:val="0"/>
                <w:szCs w:val="22"/>
                <w:lang w:eastAsia="en-US"/>
              </w:rPr>
              <w:t xml:space="preserve"> </w:t>
            </w:r>
            <w:r w:rsidRPr="00C21B99">
              <w:rPr>
                <w:snapToGrid w:val="0"/>
                <w:szCs w:val="22"/>
                <w:lang w:eastAsia="en-US"/>
              </w:rPr>
              <w:t>=</w:t>
            </w:r>
            <w:r w:rsidR="00304441" w:rsidRPr="00C21B99">
              <w:rPr>
                <w:snapToGrid w:val="0"/>
                <w:szCs w:val="22"/>
                <w:lang w:eastAsia="en-US"/>
              </w:rPr>
              <w:t xml:space="preserve"> </w:t>
            </w:r>
            <w:r w:rsidRPr="00C21B99">
              <w:rPr>
                <w:snapToGrid w:val="0"/>
                <w:szCs w:val="22"/>
                <w:lang w:eastAsia="en-US"/>
              </w:rPr>
              <w:t>0</w:t>
            </w:r>
            <w:r w:rsidR="00304441" w:rsidRPr="00C21B99">
              <w:rPr>
                <w:snapToGrid w:val="0"/>
                <w:szCs w:val="22"/>
                <w:lang w:eastAsia="en-US"/>
              </w:rPr>
              <w:t>,</w:t>
            </w:r>
            <w:r w:rsidRPr="00C21B99">
              <w:rPr>
                <w:snapToGrid w:val="0"/>
                <w:szCs w:val="22"/>
                <w:lang w:eastAsia="en-US"/>
              </w:rPr>
              <w:t>6043</w:t>
            </w:r>
          </w:p>
        </w:tc>
      </w:tr>
      <w:tr w:rsidR="00DB2729" w:rsidRPr="00C21B99" w14:paraId="61AA9064" w14:textId="77777777" w:rsidTr="009A493C">
        <w:tc>
          <w:tcPr>
            <w:tcW w:w="1984" w:type="dxa"/>
            <w:tcBorders>
              <w:top w:val="single" w:sz="2" w:space="0" w:color="auto"/>
              <w:left w:val="nil"/>
              <w:bottom w:val="single" w:sz="2" w:space="0" w:color="auto"/>
              <w:right w:val="nil"/>
            </w:tcBorders>
            <w:shd w:val="clear" w:color="auto" w:fill="auto"/>
          </w:tcPr>
          <w:p w14:paraId="38C47D94" w14:textId="77777777" w:rsidR="00DB2729" w:rsidRPr="00C21B99" w:rsidRDefault="00304441" w:rsidP="009A493C">
            <w:pPr>
              <w:widowControl w:val="0"/>
              <w:tabs>
                <w:tab w:val="left" w:pos="567"/>
              </w:tabs>
              <w:rPr>
                <w:snapToGrid w:val="0"/>
                <w:szCs w:val="22"/>
                <w:lang w:eastAsia="en-US"/>
              </w:rPr>
            </w:pPr>
            <w:r w:rsidRPr="00C21B99">
              <w:rPr>
                <w:snapToGrid w:val="0"/>
                <w:szCs w:val="22"/>
                <w:lang w:eastAsia="en-US"/>
              </w:rPr>
              <w:t>EAFR mutacijos atžvilgiu neigiami</w:t>
            </w:r>
          </w:p>
        </w:tc>
        <w:tc>
          <w:tcPr>
            <w:tcW w:w="851" w:type="dxa"/>
            <w:tcBorders>
              <w:top w:val="single" w:sz="2" w:space="0" w:color="auto"/>
              <w:left w:val="nil"/>
              <w:bottom w:val="single" w:sz="2" w:space="0" w:color="auto"/>
              <w:right w:val="nil"/>
            </w:tcBorders>
            <w:shd w:val="clear" w:color="auto" w:fill="auto"/>
          </w:tcPr>
          <w:p w14:paraId="65125DA5"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253</w:t>
            </w:r>
          </w:p>
        </w:tc>
        <w:tc>
          <w:tcPr>
            <w:tcW w:w="1984" w:type="dxa"/>
            <w:tcBorders>
              <w:top w:val="single" w:sz="2" w:space="0" w:color="auto"/>
              <w:left w:val="nil"/>
              <w:bottom w:val="single" w:sz="2" w:space="0" w:color="auto"/>
              <w:right w:val="nil"/>
            </w:tcBorders>
            <w:shd w:val="clear" w:color="auto" w:fill="auto"/>
          </w:tcPr>
          <w:p w14:paraId="0C9F7CB4"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6.6%</w:t>
            </w:r>
            <w:r w:rsidR="00304441" w:rsidRPr="00C21B99">
              <w:rPr>
                <w:snapToGrid w:val="0"/>
                <w:szCs w:val="22"/>
                <w:lang w:eastAsia="en-US"/>
              </w:rPr>
              <w:t xml:space="preserve">, </w:t>
            </w:r>
            <w:proofErr w:type="spellStart"/>
            <w:r w:rsidR="00304441" w:rsidRPr="00C21B99">
              <w:rPr>
                <w:snapToGrid w:val="0"/>
                <w:szCs w:val="22"/>
                <w:lang w:eastAsia="en-US"/>
              </w:rPr>
              <w:t>plg</w:t>
            </w:r>
            <w:proofErr w:type="spellEnd"/>
            <w:r w:rsidRPr="00C21B99">
              <w:rPr>
                <w:snapToGrid w:val="0"/>
                <w:szCs w:val="22"/>
                <w:lang w:eastAsia="en-US"/>
              </w:rPr>
              <w:t xml:space="preserve"> 9</w:t>
            </w:r>
            <w:r w:rsidR="00304441" w:rsidRPr="00C21B99">
              <w:rPr>
                <w:snapToGrid w:val="0"/>
                <w:szCs w:val="22"/>
                <w:lang w:eastAsia="en-US"/>
              </w:rPr>
              <w:t>,</w:t>
            </w:r>
            <w:r w:rsidRPr="00C21B99">
              <w:rPr>
                <w:snapToGrid w:val="0"/>
                <w:szCs w:val="22"/>
                <w:lang w:eastAsia="en-US"/>
              </w:rPr>
              <w:t>8%</w:t>
            </w:r>
          </w:p>
          <w:p w14:paraId="5D7FBF3C"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[-10.5%</w:t>
            </w:r>
            <w:r w:rsidR="00F26866" w:rsidRPr="00C21B99">
              <w:rPr>
                <w:snapToGrid w:val="0"/>
                <w:szCs w:val="22"/>
                <w:lang w:eastAsia="en-US"/>
              </w:rPr>
              <w:t>;</w:t>
            </w:r>
            <w:r w:rsidRPr="00C21B99">
              <w:rPr>
                <w:snapToGrid w:val="0"/>
                <w:szCs w:val="22"/>
                <w:lang w:eastAsia="en-US"/>
              </w:rPr>
              <w:t xml:space="preserve"> 4.4%]</w:t>
            </w:r>
          </w:p>
        </w:tc>
        <w:tc>
          <w:tcPr>
            <w:tcW w:w="1982" w:type="dxa"/>
            <w:tcBorders>
              <w:top w:val="single" w:sz="2" w:space="0" w:color="auto"/>
              <w:left w:val="nil"/>
              <w:bottom w:val="single" w:sz="2" w:space="0" w:color="auto"/>
              <w:right w:val="nil"/>
            </w:tcBorders>
            <w:shd w:val="clear" w:color="auto" w:fill="auto"/>
          </w:tcPr>
          <w:p w14:paraId="08D84355" w14:textId="77777777" w:rsidR="00DB2729" w:rsidRPr="00C21B99" w:rsidRDefault="00F26866"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1</w:t>
            </w:r>
            <w:r w:rsidRPr="00C21B99">
              <w:rPr>
                <w:snapToGrid w:val="0"/>
                <w:szCs w:val="22"/>
                <w:lang w:eastAsia="en-US"/>
              </w:rPr>
              <w:t>,</w:t>
            </w:r>
            <w:r w:rsidR="00DB2729" w:rsidRPr="00C21B99">
              <w:rPr>
                <w:snapToGrid w:val="0"/>
                <w:szCs w:val="22"/>
                <w:lang w:eastAsia="en-US"/>
              </w:rPr>
              <w:t>24</w:t>
            </w:r>
          </w:p>
          <w:p w14:paraId="6B9BC1E2"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w:t>
            </w:r>
            <w:r w:rsidR="00F26866" w:rsidRPr="00C21B99">
              <w:rPr>
                <w:snapToGrid w:val="0"/>
                <w:szCs w:val="22"/>
                <w:lang w:eastAsia="en-US"/>
              </w:rPr>
              <w:t>,</w:t>
            </w:r>
            <w:r w:rsidRPr="00C21B99">
              <w:rPr>
                <w:snapToGrid w:val="0"/>
                <w:szCs w:val="22"/>
                <w:lang w:eastAsia="en-US"/>
              </w:rPr>
              <w:t>94</w:t>
            </w:r>
            <w:r w:rsidR="00F26866" w:rsidRPr="00C21B99">
              <w:rPr>
                <w:snapToGrid w:val="0"/>
                <w:szCs w:val="22"/>
                <w:lang w:eastAsia="en-US"/>
              </w:rPr>
              <w:t xml:space="preserve"> – </w:t>
            </w:r>
            <w:r w:rsidRPr="00C21B99">
              <w:rPr>
                <w:snapToGrid w:val="0"/>
                <w:szCs w:val="22"/>
                <w:lang w:eastAsia="en-US"/>
              </w:rPr>
              <w:t>1</w:t>
            </w:r>
            <w:r w:rsidR="00F26866" w:rsidRPr="00C21B99">
              <w:rPr>
                <w:snapToGrid w:val="0"/>
                <w:szCs w:val="22"/>
                <w:lang w:eastAsia="en-US"/>
              </w:rPr>
              <w:t>,</w:t>
            </w:r>
            <w:r w:rsidRPr="00C21B99">
              <w:rPr>
                <w:snapToGrid w:val="0"/>
                <w:szCs w:val="22"/>
                <w:lang w:eastAsia="en-US"/>
              </w:rPr>
              <w:t>64]</w:t>
            </w:r>
          </w:p>
          <w:p w14:paraId="5169E92C"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1</w:t>
            </w:r>
            <w:r w:rsidR="00F26866" w:rsidRPr="00C21B99">
              <w:rPr>
                <w:snapToGrid w:val="0"/>
                <w:szCs w:val="22"/>
                <w:lang w:eastAsia="en-US"/>
              </w:rPr>
              <w:t>,</w:t>
            </w:r>
            <w:r w:rsidRPr="00C21B99">
              <w:rPr>
                <w:snapToGrid w:val="0"/>
                <w:szCs w:val="22"/>
                <w:lang w:eastAsia="en-US"/>
              </w:rPr>
              <w:t xml:space="preserve">7 </w:t>
            </w:r>
            <w:proofErr w:type="spellStart"/>
            <w:r w:rsidR="00F26866" w:rsidRPr="00C21B99">
              <w:rPr>
                <w:snapToGrid w:val="0"/>
                <w:szCs w:val="22"/>
                <w:lang w:eastAsia="en-US"/>
              </w:rPr>
              <w:t>mėn</w:t>
            </w:r>
            <w:proofErr w:type="spellEnd"/>
            <w:r w:rsidR="00F26866" w:rsidRPr="00C21B99">
              <w:rPr>
                <w:snapToGrid w:val="0"/>
                <w:szCs w:val="22"/>
                <w:lang w:eastAsia="en-US"/>
              </w:rPr>
              <w:t xml:space="preserve">, plg. </w:t>
            </w:r>
            <w:r w:rsidRPr="00C21B99">
              <w:rPr>
                <w:snapToGrid w:val="0"/>
                <w:szCs w:val="22"/>
                <w:lang w:eastAsia="en-US"/>
              </w:rPr>
              <w:t>2.6 m</w:t>
            </w:r>
            <w:r w:rsidR="00F26866" w:rsidRPr="00C21B99">
              <w:rPr>
                <w:snapToGrid w:val="0"/>
                <w:szCs w:val="22"/>
                <w:lang w:eastAsia="en-US"/>
              </w:rPr>
              <w:t>ėn.</w:t>
            </w:r>
          </w:p>
          <w:p w14:paraId="67231061"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F26866" w:rsidRPr="00C21B99">
              <w:rPr>
                <w:snapToGrid w:val="0"/>
                <w:szCs w:val="22"/>
                <w:lang w:eastAsia="en-US"/>
              </w:rPr>
              <w:t xml:space="preserve"> </w:t>
            </w:r>
            <w:r w:rsidRPr="00C21B99">
              <w:rPr>
                <w:snapToGrid w:val="0"/>
                <w:szCs w:val="22"/>
                <w:lang w:eastAsia="en-US"/>
              </w:rPr>
              <w:t>=</w:t>
            </w:r>
            <w:r w:rsidR="00F26866" w:rsidRPr="00C21B99">
              <w:rPr>
                <w:snapToGrid w:val="0"/>
                <w:szCs w:val="22"/>
                <w:lang w:eastAsia="en-US"/>
              </w:rPr>
              <w:t xml:space="preserve"> </w:t>
            </w:r>
            <w:r w:rsidRPr="00C21B99">
              <w:rPr>
                <w:snapToGrid w:val="0"/>
                <w:szCs w:val="22"/>
                <w:lang w:eastAsia="en-US"/>
              </w:rPr>
              <w:t>0</w:t>
            </w:r>
            <w:r w:rsidR="00F26866" w:rsidRPr="00C21B99">
              <w:rPr>
                <w:snapToGrid w:val="0"/>
                <w:szCs w:val="22"/>
                <w:lang w:eastAsia="en-US"/>
              </w:rPr>
              <w:t>,</w:t>
            </w:r>
            <w:r w:rsidRPr="00C21B99">
              <w:rPr>
                <w:snapToGrid w:val="0"/>
                <w:szCs w:val="22"/>
                <w:lang w:eastAsia="en-US"/>
              </w:rPr>
              <w:t>1353</w:t>
            </w:r>
          </w:p>
        </w:tc>
        <w:tc>
          <w:tcPr>
            <w:tcW w:w="1701" w:type="dxa"/>
            <w:tcBorders>
              <w:top w:val="single" w:sz="2" w:space="0" w:color="auto"/>
              <w:left w:val="nil"/>
              <w:bottom w:val="single" w:sz="2" w:space="0" w:color="auto"/>
              <w:right w:val="nil"/>
            </w:tcBorders>
            <w:shd w:val="clear" w:color="auto" w:fill="auto"/>
          </w:tcPr>
          <w:p w14:paraId="47383972" w14:textId="77777777" w:rsidR="00DB2729" w:rsidRPr="00C21B99" w:rsidRDefault="00F26866"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1</w:t>
            </w:r>
            <w:r w:rsidRPr="00C21B99">
              <w:rPr>
                <w:snapToGrid w:val="0"/>
                <w:szCs w:val="22"/>
                <w:lang w:eastAsia="en-US"/>
              </w:rPr>
              <w:t>,</w:t>
            </w:r>
            <w:r w:rsidR="00DB2729" w:rsidRPr="00C21B99">
              <w:rPr>
                <w:snapToGrid w:val="0"/>
                <w:szCs w:val="22"/>
                <w:lang w:eastAsia="en-US"/>
              </w:rPr>
              <w:t>02</w:t>
            </w:r>
          </w:p>
          <w:p w14:paraId="5300ACF2"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w:t>
            </w:r>
            <w:r w:rsidR="00F26866" w:rsidRPr="00C21B99">
              <w:rPr>
                <w:snapToGrid w:val="0"/>
                <w:szCs w:val="22"/>
                <w:lang w:eastAsia="en-US"/>
              </w:rPr>
              <w:t>,</w:t>
            </w:r>
            <w:r w:rsidRPr="00C21B99">
              <w:rPr>
                <w:snapToGrid w:val="0"/>
                <w:szCs w:val="22"/>
                <w:lang w:eastAsia="en-US"/>
              </w:rPr>
              <w:t>78</w:t>
            </w:r>
            <w:r w:rsidR="00F26866" w:rsidRPr="00C21B99">
              <w:rPr>
                <w:snapToGrid w:val="0"/>
                <w:szCs w:val="22"/>
                <w:lang w:eastAsia="en-US"/>
              </w:rPr>
              <w:t xml:space="preserve"> – </w:t>
            </w:r>
            <w:r w:rsidRPr="00C21B99">
              <w:rPr>
                <w:snapToGrid w:val="0"/>
                <w:szCs w:val="22"/>
                <w:lang w:eastAsia="en-US"/>
              </w:rPr>
              <w:t>1</w:t>
            </w:r>
            <w:r w:rsidR="00F26866" w:rsidRPr="00C21B99">
              <w:rPr>
                <w:snapToGrid w:val="0"/>
                <w:szCs w:val="22"/>
                <w:lang w:eastAsia="en-US"/>
              </w:rPr>
              <w:t>,</w:t>
            </w:r>
            <w:r w:rsidRPr="00C21B99">
              <w:rPr>
                <w:snapToGrid w:val="0"/>
                <w:szCs w:val="22"/>
                <w:lang w:eastAsia="en-US"/>
              </w:rPr>
              <w:t>33]</w:t>
            </w:r>
          </w:p>
          <w:p w14:paraId="5BF79448"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6</w:t>
            </w:r>
            <w:r w:rsidR="00F26866" w:rsidRPr="00C21B99">
              <w:rPr>
                <w:snapToGrid w:val="0"/>
                <w:szCs w:val="22"/>
                <w:lang w:eastAsia="en-US"/>
              </w:rPr>
              <w:t>,</w:t>
            </w:r>
            <w:r w:rsidRPr="00C21B99">
              <w:rPr>
                <w:snapToGrid w:val="0"/>
                <w:szCs w:val="22"/>
                <w:lang w:eastAsia="en-US"/>
              </w:rPr>
              <w:t xml:space="preserve">4 </w:t>
            </w:r>
            <w:proofErr w:type="spellStart"/>
            <w:r w:rsidR="00F26866" w:rsidRPr="00C21B99">
              <w:rPr>
                <w:snapToGrid w:val="0"/>
                <w:szCs w:val="22"/>
                <w:lang w:eastAsia="en-US"/>
              </w:rPr>
              <w:t>mėn</w:t>
            </w:r>
            <w:proofErr w:type="spellEnd"/>
            <w:r w:rsidR="00F26866" w:rsidRPr="00C21B99">
              <w:rPr>
                <w:snapToGrid w:val="0"/>
                <w:szCs w:val="22"/>
                <w:lang w:eastAsia="en-US"/>
              </w:rPr>
              <w:t xml:space="preserve">, plg. </w:t>
            </w:r>
            <w:r w:rsidRPr="00C21B99">
              <w:rPr>
                <w:snapToGrid w:val="0"/>
                <w:szCs w:val="22"/>
                <w:lang w:eastAsia="en-US"/>
              </w:rPr>
              <w:t>6</w:t>
            </w:r>
            <w:r w:rsidR="00F26866" w:rsidRPr="00C21B99">
              <w:rPr>
                <w:snapToGrid w:val="0"/>
                <w:szCs w:val="22"/>
                <w:lang w:eastAsia="en-US"/>
              </w:rPr>
              <w:t>,</w:t>
            </w:r>
            <w:r w:rsidRPr="00C21B99">
              <w:rPr>
                <w:snapToGrid w:val="0"/>
                <w:szCs w:val="22"/>
                <w:lang w:eastAsia="en-US"/>
              </w:rPr>
              <w:t>0 m</w:t>
            </w:r>
            <w:r w:rsidR="00F26866" w:rsidRPr="00C21B99">
              <w:rPr>
                <w:snapToGrid w:val="0"/>
                <w:szCs w:val="22"/>
                <w:lang w:eastAsia="en-US"/>
              </w:rPr>
              <w:t>ėn.</w:t>
            </w:r>
          </w:p>
          <w:p w14:paraId="44007C3A"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F26866" w:rsidRPr="00C21B99">
              <w:rPr>
                <w:snapToGrid w:val="0"/>
                <w:szCs w:val="22"/>
                <w:lang w:eastAsia="en-US"/>
              </w:rPr>
              <w:t xml:space="preserve"> </w:t>
            </w:r>
            <w:r w:rsidRPr="00C21B99">
              <w:rPr>
                <w:snapToGrid w:val="0"/>
                <w:szCs w:val="22"/>
                <w:lang w:eastAsia="en-US"/>
              </w:rPr>
              <w:t>=</w:t>
            </w:r>
            <w:r w:rsidR="00F26866" w:rsidRPr="00C21B99">
              <w:rPr>
                <w:snapToGrid w:val="0"/>
                <w:szCs w:val="22"/>
                <w:lang w:eastAsia="en-US"/>
              </w:rPr>
              <w:t xml:space="preserve"> </w:t>
            </w:r>
            <w:r w:rsidRPr="00C21B99">
              <w:rPr>
                <w:snapToGrid w:val="0"/>
                <w:szCs w:val="22"/>
                <w:lang w:eastAsia="en-US"/>
              </w:rPr>
              <w:t>0</w:t>
            </w:r>
            <w:r w:rsidR="00F26866" w:rsidRPr="00C21B99">
              <w:rPr>
                <w:snapToGrid w:val="0"/>
                <w:szCs w:val="22"/>
                <w:lang w:eastAsia="en-US"/>
              </w:rPr>
              <w:t>,</w:t>
            </w:r>
            <w:r w:rsidRPr="00C21B99">
              <w:rPr>
                <w:snapToGrid w:val="0"/>
                <w:szCs w:val="22"/>
                <w:lang w:eastAsia="en-US"/>
              </w:rPr>
              <w:t>9131</w:t>
            </w:r>
          </w:p>
        </w:tc>
      </w:tr>
      <w:tr w:rsidR="00DB2729" w:rsidRPr="00C21B99" w14:paraId="05CC3CB0" w14:textId="77777777" w:rsidTr="009A493C">
        <w:tc>
          <w:tcPr>
            <w:tcW w:w="1984" w:type="dxa"/>
            <w:tcBorders>
              <w:top w:val="single" w:sz="2" w:space="0" w:color="auto"/>
              <w:left w:val="nil"/>
              <w:bottom w:val="single" w:sz="2" w:space="0" w:color="auto"/>
              <w:right w:val="nil"/>
            </w:tcBorders>
            <w:shd w:val="clear" w:color="auto" w:fill="auto"/>
          </w:tcPr>
          <w:p w14:paraId="67722591" w14:textId="77777777" w:rsidR="00DB2729" w:rsidRPr="00C21B99" w:rsidRDefault="00F26866" w:rsidP="009A493C">
            <w:pPr>
              <w:widowControl w:val="0"/>
              <w:tabs>
                <w:tab w:val="left" w:pos="567"/>
              </w:tabs>
              <w:rPr>
                <w:snapToGrid w:val="0"/>
                <w:szCs w:val="22"/>
                <w:lang w:eastAsia="en-US"/>
              </w:rPr>
            </w:pPr>
            <w:proofErr w:type="spellStart"/>
            <w:r w:rsidRPr="00C21B99">
              <w:rPr>
                <w:snapToGrid w:val="0"/>
                <w:szCs w:val="22"/>
                <w:lang w:eastAsia="en-US"/>
              </w:rPr>
              <w:t>Azijiečiai</w:t>
            </w:r>
            <w:r w:rsidR="00DB2729" w:rsidRPr="00C21B99">
              <w:rPr>
                <w:snapToGrid w:val="0"/>
                <w:szCs w:val="22"/>
                <w:vertAlign w:val="superscript"/>
                <w:lang w:eastAsia="en-US"/>
              </w:rPr>
              <w:t>c</w:t>
            </w:r>
            <w:proofErr w:type="spellEnd"/>
          </w:p>
        </w:tc>
        <w:tc>
          <w:tcPr>
            <w:tcW w:w="851" w:type="dxa"/>
            <w:tcBorders>
              <w:top w:val="single" w:sz="2" w:space="0" w:color="auto"/>
              <w:left w:val="nil"/>
              <w:bottom w:val="single" w:sz="2" w:space="0" w:color="auto"/>
              <w:right w:val="nil"/>
            </w:tcBorders>
            <w:shd w:val="clear" w:color="auto" w:fill="auto"/>
          </w:tcPr>
          <w:p w14:paraId="21181254"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323</w:t>
            </w:r>
          </w:p>
        </w:tc>
        <w:tc>
          <w:tcPr>
            <w:tcW w:w="1984" w:type="dxa"/>
            <w:tcBorders>
              <w:top w:val="single" w:sz="2" w:space="0" w:color="auto"/>
              <w:left w:val="nil"/>
              <w:bottom w:val="single" w:sz="2" w:space="0" w:color="auto"/>
              <w:right w:val="nil"/>
            </w:tcBorders>
            <w:shd w:val="clear" w:color="auto" w:fill="auto"/>
          </w:tcPr>
          <w:p w14:paraId="3383F483"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19</w:t>
            </w:r>
            <w:r w:rsidR="00F26866" w:rsidRPr="00C21B99">
              <w:rPr>
                <w:snapToGrid w:val="0"/>
                <w:szCs w:val="22"/>
                <w:lang w:eastAsia="en-US"/>
              </w:rPr>
              <w:t>,</w:t>
            </w:r>
            <w:r w:rsidRPr="00C21B99">
              <w:rPr>
                <w:snapToGrid w:val="0"/>
                <w:szCs w:val="22"/>
                <w:lang w:eastAsia="en-US"/>
              </w:rPr>
              <w:t>7%</w:t>
            </w:r>
            <w:r w:rsidR="00F26866" w:rsidRPr="00C21B99">
              <w:rPr>
                <w:snapToGrid w:val="0"/>
                <w:szCs w:val="22"/>
                <w:lang w:eastAsia="en-US"/>
              </w:rPr>
              <w:t xml:space="preserve">, </w:t>
            </w:r>
            <w:proofErr w:type="spellStart"/>
            <w:r w:rsidR="00F26866" w:rsidRPr="00C21B99">
              <w:rPr>
                <w:snapToGrid w:val="0"/>
                <w:szCs w:val="22"/>
                <w:lang w:eastAsia="en-US"/>
              </w:rPr>
              <w:t>plg</w:t>
            </w:r>
            <w:proofErr w:type="spellEnd"/>
            <w:r w:rsidRPr="00C21B99">
              <w:rPr>
                <w:snapToGrid w:val="0"/>
                <w:szCs w:val="22"/>
                <w:lang w:eastAsia="en-US"/>
              </w:rPr>
              <w:t xml:space="preserve"> 8</w:t>
            </w:r>
            <w:r w:rsidR="00F26866" w:rsidRPr="00C21B99">
              <w:rPr>
                <w:snapToGrid w:val="0"/>
                <w:szCs w:val="22"/>
                <w:lang w:eastAsia="en-US"/>
              </w:rPr>
              <w:t>,</w:t>
            </w:r>
            <w:r w:rsidRPr="00C21B99">
              <w:rPr>
                <w:snapToGrid w:val="0"/>
                <w:szCs w:val="22"/>
                <w:lang w:eastAsia="en-US"/>
              </w:rPr>
              <w:t>7%</w:t>
            </w:r>
          </w:p>
          <w:p w14:paraId="684810D1"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[3</w:t>
            </w:r>
            <w:r w:rsidR="00F26866" w:rsidRPr="00C21B99">
              <w:rPr>
                <w:snapToGrid w:val="0"/>
                <w:szCs w:val="22"/>
                <w:lang w:eastAsia="en-US"/>
              </w:rPr>
              <w:t>,</w:t>
            </w:r>
            <w:r w:rsidRPr="00C21B99">
              <w:rPr>
                <w:snapToGrid w:val="0"/>
                <w:szCs w:val="22"/>
                <w:lang w:eastAsia="en-US"/>
              </w:rPr>
              <w:t>1 %</w:t>
            </w:r>
            <w:r w:rsidR="00F26866" w:rsidRPr="00C21B99">
              <w:rPr>
                <w:snapToGrid w:val="0"/>
                <w:szCs w:val="22"/>
                <w:lang w:eastAsia="en-US"/>
              </w:rPr>
              <w:t>;</w:t>
            </w:r>
            <w:r w:rsidRPr="00C21B99">
              <w:rPr>
                <w:snapToGrid w:val="0"/>
                <w:szCs w:val="22"/>
                <w:lang w:eastAsia="en-US"/>
              </w:rPr>
              <w:t xml:space="preserve"> 19</w:t>
            </w:r>
            <w:r w:rsidR="00F26866" w:rsidRPr="00C21B99">
              <w:rPr>
                <w:snapToGrid w:val="0"/>
                <w:szCs w:val="22"/>
                <w:lang w:eastAsia="en-US"/>
              </w:rPr>
              <w:t>,</w:t>
            </w:r>
            <w:r w:rsidRPr="00C21B99">
              <w:rPr>
                <w:snapToGrid w:val="0"/>
                <w:szCs w:val="22"/>
                <w:lang w:eastAsia="en-US"/>
              </w:rPr>
              <w:t>2 %]</w:t>
            </w:r>
          </w:p>
        </w:tc>
        <w:tc>
          <w:tcPr>
            <w:tcW w:w="1982" w:type="dxa"/>
            <w:tcBorders>
              <w:top w:val="single" w:sz="2" w:space="0" w:color="auto"/>
              <w:left w:val="nil"/>
              <w:bottom w:val="single" w:sz="2" w:space="0" w:color="auto"/>
              <w:right w:val="nil"/>
            </w:tcBorders>
            <w:shd w:val="clear" w:color="auto" w:fill="auto"/>
          </w:tcPr>
          <w:p w14:paraId="2FBA09DA" w14:textId="77777777" w:rsidR="00DB2729" w:rsidRPr="00C21B99" w:rsidRDefault="00F26866"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0</w:t>
            </w:r>
            <w:r w:rsidRPr="00C21B99">
              <w:rPr>
                <w:snapToGrid w:val="0"/>
                <w:szCs w:val="22"/>
                <w:lang w:eastAsia="en-US"/>
              </w:rPr>
              <w:t>,</w:t>
            </w:r>
            <w:r w:rsidR="00DB2729" w:rsidRPr="00C21B99">
              <w:rPr>
                <w:snapToGrid w:val="0"/>
                <w:szCs w:val="22"/>
                <w:lang w:eastAsia="en-US"/>
              </w:rPr>
              <w:t>83</w:t>
            </w:r>
          </w:p>
          <w:p w14:paraId="0F18C791"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w:t>
            </w:r>
            <w:r w:rsidR="00F26866" w:rsidRPr="00C21B99">
              <w:rPr>
                <w:snapToGrid w:val="0"/>
                <w:szCs w:val="22"/>
                <w:lang w:eastAsia="en-US"/>
              </w:rPr>
              <w:t>,</w:t>
            </w:r>
            <w:r w:rsidRPr="00C21B99">
              <w:rPr>
                <w:snapToGrid w:val="0"/>
                <w:szCs w:val="22"/>
                <w:lang w:eastAsia="en-US"/>
              </w:rPr>
              <w:t>64</w:t>
            </w:r>
            <w:r w:rsidR="00F26866" w:rsidRPr="00C21B99">
              <w:rPr>
                <w:snapToGrid w:val="0"/>
                <w:szCs w:val="22"/>
                <w:lang w:eastAsia="en-US"/>
              </w:rPr>
              <w:t xml:space="preserve"> – </w:t>
            </w:r>
            <w:r w:rsidRPr="00C21B99">
              <w:rPr>
                <w:snapToGrid w:val="0"/>
                <w:szCs w:val="22"/>
                <w:lang w:eastAsia="en-US"/>
              </w:rPr>
              <w:t>1</w:t>
            </w:r>
            <w:r w:rsidR="00F26866" w:rsidRPr="00C21B99">
              <w:rPr>
                <w:snapToGrid w:val="0"/>
                <w:szCs w:val="22"/>
                <w:lang w:eastAsia="en-US"/>
              </w:rPr>
              <w:t>,</w:t>
            </w:r>
            <w:r w:rsidRPr="00C21B99">
              <w:rPr>
                <w:snapToGrid w:val="0"/>
                <w:szCs w:val="22"/>
                <w:lang w:eastAsia="en-US"/>
              </w:rPr>
              <w:t>08]</w:t>
            </w:r>
          </w:p>
          <w:p w14:paraId="44ACB136"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2</w:t>
            </w:r>
            <w:r w:rsidR="00F26866" w:rsidRPr="00C21B99">
              <w:rPr>
                <w:snapToGrid w:val="0"/>
                <w:szCs w:val="22"/>
                <w:lang w:eastAsia="en-US"/>
              </w:rPr>
              <w:t>,</w:t>
            </w:r>
            <w:r w:rsidRPr="00C21B99">
              <w:rPr>
                <w:snapToGrid w:val="0"/>
                <w:szCs w:val="22"/>
                <w:lang w:eastAsia="en-US"/>
              </w:rPr>
              <w:t xml:space="preserve">9 </w:t>
            </w:r>
            <w:proofErr w:type="spellStart"/>
            <w:r w:rsidR="00F26866" w:rsidRPr="00C21B99">
              <w:rPr>
                <w:snapToGrid w:val="0"/>
                <w:szCs w:val="22"/>
                <w:lang w:eastAsia="en-US"/>
              </w:rPr>
              <w:t>mėn</w:t>
            </w:r>
            <w:proofErr w:type="spellEnd"/>
            <w:r w:rsidR="00F26866" w:rsidRPr="00C21B99">
              <w:rPr>
                <w:snapToGrid w:val="0"/>
                <w:szCs w:val="22"/>
                <w:lang w:eastAsia="en-US"/>
              </w:rPr>
              <w:t xml:space="preserve">, plg. </w:t>
            </w:r>
            <w:r w:rsidRPr="00C21B99">
              <w:rPr>
                <w:snapToGrid w:val="0"/>
                <w:szCs w:val="22"/>
                <w:lang w:eastAsia="en-US"/>
              </w:rPr>
              <w:t>2.8 m</w:t>
            </w:r>
            <w:r w:rsidR="00F26866" w:rsidRPr="00C21B99">
              <w:rPr>
                <w:snapToGrid w:val="0"/>
                <w:szCs w:val="22"/>
                <w:lang w:eastAsia="en-US"/>
              </w:rPr>
              <w:t>ėn.</w:t>
            </w:r>
          </w:p>
          <w:p w14:paraId="30172C8D"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F26866" w:rsidRPr="00C21B99">
              <w:rPr>
                <w:snapToGrid w:val="0"/>
                <w:szCs w:val="22"/>
                <w:lang w:eastAsia="en-US"/>
              </w:rPr>
              <w:t xml:space="preserve"> </w:t>
            </w:r>
            <w:r w:rsidRPr="00C21B99">
              <w:rPr>
                <w:snapToGrid w:val="0"/>
                <w:szCs w:val="22"/>
                <w:lang w:eastAsia="en-US"/>
              </w:rPr>
              <w:t>=</w:t>
            </w:r>
            <w:r w:rsidR="00F26866" w:rsidRPr="00C21B99">
              <w:rPr>
                <w:snapToGrid w:val="0"/>
                <w:szCs w:val="22"/>
                <w:lang w:eastAsia="en-US"/>
              </w:rPr>
              <w:t xml:space="preserve"> </w:t>
            </w:r>
            <w:r w:rsidRPr="00C21B99">
              <w:rPr>
                <w:snapToGrid w:val="0"/>
                <w:szCs w:val="22"/>
                <w:lang w:eastAsia="en-US"/>
              </w:rPr>
              <w:t>0</w:t>
            </w:r>
            <w:r w:rsidR="00F26866" w:rsidRPr="00C21B99">
              <w:rPr>
                <w:snapToGrid w:val="0"/>
                <w:szCs w:val="22"/>
                <w:lang w:eastAsia="en-US"/>
              </w:rPr>
              <w:t>,</w:t>
            </w:r>
            <w:r w:rsidRPr="00C21B99">
              <w:rPr>
                <w:snapToGrid w:val="0"/>
                <w:szCs w:val="22"/>
                <w:lang w:eastAsia="en-US"/>
              </w:rPr>
              <w:t>1746</w:t>
            </w:r>
          </w:p>
        </w:tc>
        <w:tc>
          <w:tcPr>
            <w:tcW w:w="1701" w:type="dxa"/>
            <w:tcBorders>
              <w:top w:val="single" w:sz="2" w:space="0" w:color="auto"/>
              <w:left w:val="nil"/>
              <w:bottom w:val="single" w:sz="2" w:space="0" w:color="auto"/>
              <w:right w:val="nil"/>
            </w:tcBorders>
            <w:shd w:val="clear" w:color="auto" w:fill="auto"/>
          </w:tcPr>
          <w:p w14:paraId="0414DF17" w14:textId="77777777" w:rsidR="00DB2729" w:rsidRPr="00C21B99" w:rsidRDefault="00F26866"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1</w:t>
            </w:r>
            <w:r w:rsidRPr="00C21B99">
              <w:rPr>
                <w:snapToGrid w:val="0"/>
                <w:szCs w:val="22"/>
                <w:lang w:eastAsia="en-US"/>
              </w:rPr>
              <w:t>,</w:t>
            </w:r>
            <w:r w:rsidR="00DB2729" w:rsidRPr="00C21B99">
              <w:rPr>
                <w:snapToGrid w:val="0"/>
                <w:szCs w:val="22"/>
                <w:lang w:eastAsia="en-US"/>
              </w:rPr>
              <w:t>04</w:t>
            </w:r>
          </w:p>
          <w:p w14:paraId="2FBF1BDF"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w:t>
            </w:r>
            <w:r w:rsidR="00F26866" w:rsidRPr="00C21B99">
              <w:rPr>
                <w:snapToGrid w:val="0"/>
                <w:szCs w:val="22"/>
                <w:lang w:eastAsia="en-US"/>
              </w:rPr>
              <w:t>,</w:t>
            </w:r>
            <w:r w:rsidRPr="00C21B99">
              <w:rPr>
                <w:snapToGrid w:val="0"/>
                <w:szCs w:val="22"/>
                <w:lang w:eastAsia="en-US"/>
              </w:rPr>
              <w:t>80</w:t>
            </w:r>
            <w:r w:rsidR="00F26866" w:rsidRPr="00C21B99">
              <w:rPr>
                <w:snapToGrid w:val="0"/>
                <w:szCs w:val="22"/>
                <w:lang w:eastAsia="en-US"/>
              </w:rPr>
              <w:t xml:space="preserve"> –</w:t>
            </w:r>
            <w:r w:rsidRPr="00C21B99">
              <w:rPr>
                <w:snapToGrid w:val="0"/>
                <w:szCs w:val="22"/>
                <w:lang w:eastAsia="en-US"/>
              </w:rPr>
              <w:t xml:space="preserve"> 1</w:t>
            </w:r>
            <w:r w:rsidR="00F26866" w:rsidRPr="00C21B99">
              <w:rPr>
                <w:snapToGrid w:val="0"/>
                <w:szCs w:val="22"/>
                <w:lang w:eastAsia="en-US"/>
              </w:rPr>
              <w:t>,</w:t>
            </w:r>
            <w:r w:rsidRPr="00C21B99">
              <w:rPr>
                <w:snapToGrid w:val="0"/>
                <w:szCs w:val="22"/>
                <w:lang w:eastAsia="en-US"/>
              </w:rPr>
              <w:t>35]</w:t>
            </w:r>
          </w:p>
          <w:p w14:paraId="519CFB6C"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10</w:t>
            </w:r>
            <w:r w:rsidR="00F26866" w:rsidRPr="00C21B99">
              <w:rPr>
                <w:snapToGrid w:val="0"/>
                <w:szCs w:val="22"/>
                <w:lang w:eastAsia="en-US"/>
              </w:rPr>
              <w:t>,</w:t>
            </w:r>
            <w:r w:rsidRPr="00C21B99">
              <w:rPr>
                <w:snapToGrid w:val="0"/>
                <w:szCs w:val="22"/>
                <w:lang w:eastAsia="en-US"/>
              </w:rPr>
              <w:t xml:space="preserve">4 </w:t>
            </w:r>
            <w:proofErr w:type="spellStart"/>
            <w:r w:rsidR="00F26866" w:rsidRPr="00C21B99">
              <w:rPr>
                <w:snapToGrid w:val="0"/>
                <w:szCs w:val="22"/>
                <w:lang w:eastAsia="en-US"/>
              </w:rPr>
              <w:t>mėn</w:t>
            </w:r>
            <w:proofErr w:type="spellEnd"/>
            <w:r w:rsidR="00F26866" w:rsidRPr="00C21B99">
              <w:rPr>
                <w:snapToGrid w:val="0"/>
                <w:szCs w:val="22"/>
                <w:lang w:eastAsia="en-US"/>
              </w:rPr>
              <w:t xml:space="preserve">, plg. </w:t>
            </w:r>
            <w:r w:rsidRPr="00C21B99">
              <w:rPr>
                <w:snapToGrid w:val="0"/>
                <w:szCs w:val="22"/>
                <w:lang w:eastAsia="en-US"/>
              </w:rPr>
              <w:t>12</w:t>
            </w:r>
            <w:r w:rsidR="00F26866" w:rsidRPr="00C21B99">
              <w:rPr>
                <w:snapToGrid w:val="0"/>
                <w:szCs w:val="22"/>
                <w:lang w:eastAsia="en-US"/>
              </w:rPr>
              <w:t>,</w:t>
            </w:r>
            <w:r w:rsidRPr="00C21B99">
              <w:rPr>
                <w:snapToGrid w:val="0"/>
                <w:szCs w:val="22"/>
                <w:lang w:eastAsia="en-US"/>
              </w:rPr>
              <w:t>2 m</w:t>
            </w:r>
            <w:r w:rsidR="00F26866" w:rsidRPr="00C21B99">
              <w:rPr>
                <w:snapToGrid w:val="0"/>
                <w:szCs w:val="22"/>
                <w:lang w:eastAsia="en-US"/>
              </w:rPr>
              <w:t>ėn.</w:t>
            </w:r>
          </w:p>
          <w:p w14:paraId="0E664E08"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F26866" w:rsidRPr="00C21B99">
              <w:rPr>
                <w:snapToGrid w:val="0"/>
                <w:szCs w:val="22"/>
                <w:lang w:eastAsia="en-US"/>
              </w:rPr>
              <w:t xml:space="preserve"> </w:t>
            </w:r>
            <w:r w:rsidRPr="00C21B99">
              <w:rPr>
                <w:snapToGrid w:val="0"/>
                <w:szCs w:val="22"/>
                <w:lang w:eastAsia="en-US"/>
              </w:rPr>
              <w:t>=</w:t>
            </w:r>
            <w:r w:rsidR="00F26866" w:rsidRPr="00C21B99">
              <w:rPr>
                <w:snapToGrid w:val="0"/>
                <w:szCs w:val="22"/>
                <w:lang w:eastAsia="en-US"/>
              </w:rPr>
              <w:t xml:space="preserve"> </w:t>
            </w:r>
            <w:r w:rsidRPr="00C21B99">
              <w:rPr>
                <w:snapToGrid w:val="0"/>
                <w:szCs w:val="22"/>
                <w:lang w:eastAsia="en-US"/>
              </w:rPr>
              <w:t>0</w:t>
            </w:r>
            <w:r w:rsidR="00F26866" w:rsidRPr="00C21B99">
              <w:rPr>
                <w:snapToGrid w:val="0"/>
                <w:szCs w:val="22"/>
                <w:lang w:eastAsia="en-US"/>
              </w:rPr>
              <w:t>,</w:t>
            </w:r>
            <w:r w:rsidRPr="00C21B99">
              <w:rPr>
                <w:snapToGrid w:val="0"/>
                <w:szCs w:val="22"/>
                <w:lang w:eastAsia="en-US"/>
              </w:rPr>
              <w:t>7711</w:t>
            </w:r>
          </w:p>
        </w:tc>
      </w:tr>
      <w:tr w:rsidR="00DB2729" w:rsidRPr="00C21B99" w14:paraId="6A159627" w14:textId="77777777" w:rsidTr="009A493C">
        <w:tc>
          <w:tcPr>
            <w:tcW w:w="1984" w:type="dxa"/>
            <w:tcBorders>
              <w:top w:val="single" w:sz="2" w:space="0" w:color="auto"/>
              <w:left w:val="nil"/>
              <w:bottom w:val="single" w:sz="2" w:space="0" w:color="auto"/>
              <w:right w:val="nil"/>
            </w:tcBorders>
            <w:shd w:val="clear" w:color="auto" w:fill="auto"/>
          </w:tcPr>
          <w:p w14:paraId="0740CCC3" w14:textId="77777777" w:rsidR="00DB2729" w:rsidRPr="00C21B99" w:rsidRDefault="00F26866" w:rsidP="009A493C">
            <w:pPr>
              <w:widowControl w:val="0"/>
              <w:tabs>
                <w:tab w:val="left" w:pos="567"/>
              </w:tabs>
              <w:rPr>
                <w:snapToGrid w:val="0"/>
                <w:szCs w:val="22"/>
                <w:lang w:eastAsia="en-US"/>
              </w:rPr>
            </w:pPr>
            <w:r w:rsidRPr="00C21B99">
              <w:rPr>
                <w:snapToGrid w:val="0"/>
                <w:szCs w:val="22"/>
                <w:lang w:eastAsia="en-US"/>
              </w:rPr>
              <w:t>Ne azijiečiai</w:t>
            </w:r>
          </w:p>
        </w:tc>
        <w:tc>
          <w:tcPr>
            <w:tcW w:w="851" w:type="dxa"/>
            <w:tcBorders>
              <w:top w:val="single" w:sz="2" w:space="0" w:color="auto"/>
              <w:left w:val="nil"/>
              <w:bottom w:val="single" w:sz="2" w:space="0" w:color="auto"/>
              <w:right w:val="nil"/>
            </w:tcBorders>
            <w:shd w:val="clear" w:color="auto" w:fill="auto"/>
          </w:tcPr>
          <w:p w14:paraId="5BFBF761"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1143</w:t>
            </w:r>
          </w:p>
        </w:tc>
        <w:tc>
          <w:tcPr>
            <w:tcW w:w="1984" w:type="dxa"/>
            <w:tcBorders>
              <w:top w:val="single" w:sz="2" w:space="0" w:color="auto"/>
              <w:left w:val="nil"/>
              <w:bottom w:val="single" w:sz="2" w:space="0" w:color="auto"/>
              <w:right w:val="nil"/>
            </w:tcBorders>
            <w:shd w:val="clear" w:color="auto" w:fill="auto"/>
          </w:tcPr>
          <w:p w14:paraId="6C4E3A53"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6</w:t>
            </w:r>
            <w:r w:rsidR="00F26866" w:rsidRPr="00C21B99">
              <w:rPr>
                <w:snapToGrid w:val="0"/>
                <w:szCs w:val="22"/>
                <w:lang w:eastAsia="en-US"/>
              </w:rPr>
              <w:t>,</w:t>
            </w:r>
            <w:r w:rsidRPr="00C21B99">
              <w:rPr>
                <w:snapToGrid w:val="0"/>
                <w:szCs w:val="22"/>
                <w:lang w:eastAsia="en-US"/>
              </w:rPr>
              <w:t>2%</w:t>
            </w:r>
            <w:r w:rsidR="00F26866" w:rsidRPr="00C21B99">
              <w:rPr>
                <w:snapToGrid w:val="0"/>
                <w:szCs w:val="22"/>
                <w:lang w:eastAsia="en-US"/>
              </w:rPr>
              <w:t xml:space="preserve">, </w:t>
            </w:r>
            <w:proofErr w:type="spellStart"/>
            <w:r w:rsidR="00F26866" w:rsidRPr="00C21B99">
              <w:rPr>
                <w:snapToGrid w:val="0"/>
                <w:szCs w:val="22"/>
                <w:lang w:eastAsia="en-US"/>
              </w:rPr>
              <w:t>plg</w:t>
            </w:r>
            <w:proofErr w:type="spellEnd"/>
            <w:r w:rsidRPr="00C21B99">
              <w:rPr>
                <w:snapToGrid w:val="0"/>
                <w:szCs w:val="22"/>
                <w:lang w:eastAsia="en-US"/>
              </w:rPr>
              <w:t xml:space="preserve"> 7</w:t>
            </w:r>
            <w:r w:rsidR="00F26866" w:rsidRPr="00C21B99">
              <w:rPr>
                <w:snapToGrid w:val="0"/>
                <w:szCs w:val="22"/>
                <w:lang w:eastAsia="en-US"/>
              </w:rPr>
              <w:t>,</w:t>
            </w:r>
            <w:r w:rsidRPr="00C21B99">
              <w:rPr>
                <w:snapToGrid w:val="0"/>
                <w:szCs w:val="22"/>
                <w:lang w:eastAsia="en-US"/>
              </w:rPr>
              <w:t>3%</w:t>
            </w:r>
          </w:p>
          <w:p w14:paraId="1020662F"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[-4</w:t>
            </w:r>
            <w:r w:rsidR="00F26866" w:rsidRPr="00C21B99">
              <w:rPr>
                <w:snapToGrid w:val="0"/>
                <w:szCs w:val="22"/>
                <w:lang w:eastAsia="en-US"/>
              </w:rPr>
              <w:t>,</w:t>
            </w:r>
            <w:r w:rsidRPr="00C21B99">
              <w:rPr>
                <w:snapToGrid w:val="0"/>
                <w:szCs w:val="22"/>
                <w:lang w:eastAsia="en-US"/>
              </w:rPr>
              <w:t>3%</w:t>
            </w:r>
            <w:r w:rsidR="00F26866" w:rsidRPr="00C21B99">
              <w:rPr>
                <w:snapToGrid w:val="0"/>
                <w:szCs w:val="22"/>
                <w:lang w:eastAsia="en-US"/>
              </w:rPr>
              <w:t>;</w:t>
            </w:r>
            <w:r w:rsidRPr="00C21B99">
              <w:rPr>
                <w:snapToGrid w:val="0"/>
                <w:szCs w:val="22"/>
                <w:lang w:eastAsia="en-US"/>
              </w:rPr>
              <w:t xml:space="preserve"> 2</w:t>
            </w:r>
            <w:r w:rsidR="00F26866" w:rsidRPr="00C21B99">
              <w:rPr>
                <w:snapToGrid w:val="0"/>
                <w:szCs w:val="22"/>
                <w:lang w:eastAsia="en-US"/>
              </w:rPr>
              <w:t>,</w:t>
            </w:r>
            <w:r w:rsidRPr="00C21B99">
              <w:rPr>
                <w:snapToGrid w:val="0"/>
                <w:szCs w:val="22"/>
                <w:lang w:eastAsia="en-US"/>
              </w:rPr>
              <w:t>0%]</w:t>
            </w:r>
          </w:p>
        </w:tc>
        <w:tc>
          <w:tcPr>
            <w:tcW w:w="1982" w:type="dxa"/>
            <w:tcBorders>
              <w:top w:val="single" w:sz="2" w:space="0" w:color="auto"/>
              <w:left w:val="nil"/>
              <w:bottom w:val="single" w:sz="2" w:space="0" w:color="auto"/>
              <w:right w:val="nil"/>
            </w:tcBorders>
            <w:shd w:val="clear" w:color="auto" w:fill="auto"/>
          </w:tcPr>
          <w:p w14:paraId="45FCDF6F" w14:textId="77777777" w:rsidR="00DB2729" w:rsidRPr="00C21B99" w:rsidRDefault="00F26866"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1</w:t>
            </w:r>
            <w:r w:rsidRPr="00C21B99">
              <w:rPr>
                <w:snapToGrid w:val="0"/>
                <w:szCs w:val="22"/>
                <w:lang w:eastAsia="en-US"/>
              </w:rPr>
              <w:t>,</w:t>
            </w:r>
            <w:r w:rsidR="00DB2729" w:rsidRPr="00C21B99">
              <w:rPr>
                <w:snapToGrid w:val="0"/>
                <w:szCs w:val="22"/>
                <w:lang w:eastAsia="en-US"/>
              </w:rPr>
              <w:t>12</w:t>
            </w:r>
          </w:p>
          <w:p w14:paraId="11146E4F"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w:t>
            </w:r>
            <w:r w:rsidR="00F26866" w:rsidRPr="00C21B99">
              <w:rPr>
                <w:snapToGrid w:val="0"/>
                <w:szCs w:val="22"/>
                <w:lang w:eastAsia="en-US"/>
              </w:rPr>
              <w:t>,</w:t>
            </w:r>
            <w:r w:rsidRPr="00C21B99">
              <w:rPr>
                <w:snapToGrid w:val="0"/>
                <w:szCs w:val="22"/>
                <w:lang w:eastAsia="en-US"/>
              </w:rPr>
              <w:t>98</w:t>
            </w:r>
            <w:r w:rsidR="00F26866" w:rsidRPr="00C21B99">
              <w:rPr>
                <w:snapToGrid w:val="0"/>
                <w:szCs w:val="22"/>
                <w:lang w:eastAsia="en-US"/>
              </w:rPr>
              <w:t xml:space="preserve"> –</w:t>
            </w:r>
            <w:r w:rsidRPr="00C21B99">
              <w:rPr>
                <w:snapToGrid w:val="0"/>
                <w:szCs w:val="22"/>
                <w:lang w:eastAsia="en-US"/>
              </w:rPr>
              <w:t xml:space="preserve"> 1</w:t>
            </w:r>
            <w:r w:rsidR="00F26866" w:rsidRPr="00C21B99">
              <w:rPr>
                <w:snapToGrid w:val="0"/>
                <w:szCs w:val="22"/>
                <w:lang w:eastAsia="en-US"/>
              </w:rPr>
              <w:t>,</w:t>
            </w:r>
            <w:r w:rsidRPr="00C21B99">
              <w:rPr>
                <w:snapToGrid w:val="0"/>
                <w:szCs w:val="22"/>
                <w:lang w:eastAsia="en-US"/>
              </w:rPr>
              <w:t>28]</w:t>
            </w:r>
          </w:p>
          <w:p w14:paraId="57D87D07"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2</w:t>
            </w:r>
            <w:r w:rsidR="00F26866" w:rsidRPr="00C21B99">
              <w:rPr>
                <w:snapToGrid w:val="0"/>
                <w:szCs w:val="22"/>
                <w:lang w:eastAsia="en-US"/>
              </w:rPr>
              <w:t>,</w:t>
            </w:r>
            <w:r w:rsidRPr="00C21B99">
              <w:rPr>
                <w:snapToGrid w:val="0"/>
                <w:szCs w:val="22"/>
                <w:lang w:eastAsia="en-US"/>
              </w:rPr>
              <w:t xml:space="preserve">0 </w:t>
            </w:r>
            <w:proofErr w:type="spellStart"/>
            <w:r w:rsidR="00F26866" w:rsidRPr="00C21B99">
              <w:rPr>
                <w:snapToGrid w:val="0"/>
                <w:szCs w:val="22"/>
                <w:lang w:eastAsia="en-US"/>
              </w:rPr>
              <w:t>mėn</w:t>
            </w:r>
            <w:proofErr w:type="spellEnd"/>
            <w:r w:rsidR="00F26866" w:rsidRPr="00C21B99">
              <w:rPr>
                <w:snapToGrid w:val="0"/>
                <w:szCs w:val="22"/>
                <w:lang w:eastAsia="en-US"/>
              </w:rPr>
              <w:t xml:space="preserve">, plg. </w:t>
            </w:r>
            <w:r w:rsidRPr="00C21B99">
              <w:rPr>
                <w:snapToGrid w:val="0"/>
                <w:szCs w:val="22"/>
                <w:lang w:eastAsia="en-US"/>
              </w:rPr>
              <w:t>2</w:t>
            </w:r>
            <w:r w:rsidR="00F26866" w:rsidRPr="00C21B99">
              <w:rPr>
                <w:snapToGrid w:val="0"/>
                <w:szCs w:val="22"/>
                <w:lang w:eastAsia="en-US"/>
              </w:rPr>
              <w:t>,</w:t>
            </w:r>
            <w:r w:rsidRPr="00C21B99">
              <w:rPr>
                <w:snapToGrid w:val="0"/>
                <w:szCs w:val="22"/>
                <w:lang w:eastAsia="en-US"/>
              </w:rPr>
              <w:t>7 m</w:t>
            </w:r>
            <w:r w:rsidR="00F26866" w:rsidRPr="00C21B99">
              <w:rPr>
                <w:snapToGrid w:val="0"/>
                <w:szCs w:val="22"/>
                <w:lang w:eastAsia="en-US"/>
              </w:rPr>
              <w:t>ėn.</w:t>
            </w:r>
          </w:p>
          <w:p w14:paraId="27415574"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F26866" w:rsidRPr="00C21B99">
              <w:rPr>
                <w:snapToGrid w:val="0"/>
                <w:szCs w:val="22"/>
                <w:lang w:eastAsia="en-US"/>
              </w:rPr>
              <w:t xml:space="preserve"> </w:t>
            </w:r>
            <w:r w:rsidRPr="00C21B99">
              <w:rPr>
                <w:snapToGrid w:val="0"/>
                <w:szCs w:val="22"/>
                <w:lang w:eastAsia="en-US"/>
              </w:rPr>
              <w:t>=</w:t>
            </w:r>
            <w:r w:rsidR="00F26866" w:rsidRPr="00C21B99">
              <w:rPr>
                <w:snapToGrid w:val="0"/>
                <w:szCs w:val="22"/>
                <w:lang w:eastAsia="en-US"/>
              </w:rPr>
              <w:t xml:space="preserve"> </w:t>
            </w:r>
            <w:r w:rsidRPr="00C21B99">
              <w:rPr>
                <w:snapToGrid w:val="0"/>
                <w:szCs w:val="22"/>
                <w:lang w:eastAsia="en-US"/>
              </w:rPr>
              <w:t>0</w:t>
            </w:r>
            <w:r w:rsidR="00F26866" w:rsidRPr="00C21B99">
              <w:rPr>
                <w:snapToGrid w:val="0"/>
                <w:szCs w:val="22"/>
                <w:lang w:eastAsia="en-US"/>
              </w:rPr>
              <w:t>,</w:t>
            </w:r>
            <w:r w:rsidRPr="00C21B99">
              <w:rPr>
                <w:snapToGrid w:val="0"/>
                <w:szCs w:val="22"/>
                <w:lang w:eastAsia="en-US"/>
              </w:rPr>
              <w:t>1041</w:t>
            </w:r>
          </w:p>
        </w:tc>
        <w:tc>
          <w:tcPr>
            <w:tcW w:w="1701" w:type="dxa"/>
            <w:tcBorders>
              <w:top w:val="single" w:sz="2" w:space="0" w:color="auto"/>
              <w:left w:val="nil"/>
              <w:bottom w:val="single" w:sz="2" w:space="0" w:color="auto"/>
              <w:right w:val="nil"/>
            </w:tcBorders>
            <w:shd w:val="clear" w:color="auto" w:fill="auto"/>
          </w:tcPr>
          <w:p w14:paraId="107809CD" w14:textId="77777777" w:rsidR="00DB2729" w:rsidRPr="00C21B99" w:rsidRDefault="00F26866" w:rsidP="009A493C">
            <w:pPr>
              <w:widowControl w:val="0"/>
              <w:tabs>
                <w:tab w:val="left" w:pos="567"/>
              </w:tabs>
              <w:rPr>
                <w:snapToGrid w:val="0"/>
                <w:szCs w:val="22"/>
                <w:lang w:eastAsia="en-US"/>
              </w:rPr>
            </w:pPr>
            <w:r w:rsidRPr="00C21B99">
              <w:rPr>
                <w:snapToGrid w:val="0"/>
                <w:szCs w:val="22"/>
                <w:lang w:eastAsia="en-US"/>
              </w:rPr>
              <w:t>RS</w:t>
            </w:r>
            <w:r w:rsidR="00DB2729" w:rsidRPr="00C21B99">
              <w:rPr>
                <w:snapToGrid w:val="0"/>
                <w:szCs w:val="22"/>
                <w:lang w:eastAsia="en-US"/>
              </w:rPr>
              <w:t xml:space="preserve"> 1</w:t>
            </w:r>
            <w:r w:rsidRPr="00C21B99">
              <w:rPr>
                <w:snapToGrid w:val="0"/>
                <w:szCs w:val="22"/>
                <w:lang w:eastAsia="en-US"/>
              </w:rPr>
              <w:t>,</w:t>
            </w:r>
            <w:r w:rsidR="00DB2729" w:rsidRPr="00C21B99">
              <w:rPr>
                <w:snapToGrid w:val="0"/>
                <w:szCs w:val="22"/>
                <w:lang w:eastAsia="en-US"/>
              </w:rPr>
              <w:t>01</w:t>
            </w:r>
          </w:p>
          <w:p w14:paraId="681CBBF6"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[0</w:t>
            </w:r>
            <w:r w:rsidR="00F26866" w:rsidRPr="00C21B99">
              <w:rPr>
                <w:snapToGrid w:val="0"/>
                <w:szCs w:val="22"/>
                <w:lang w:eastAsia="en-US"/>
              </w:rPr>
              <w:t>,</w:t>
            </w:r>
            <w:r w:rsidRPr="00C21B99">
              <w:rPr>
                <w:snapToGrid w:val="0"/>
                <w:szCs w:val="22"/>
                <w:lang w:eastAsia="en-US"/>
              </w:rPr>
              <w:t>89</w:t>
            </w:r>
            <w:r w:rsidR="00F26866" w:rsidRPr="00C21B99">
              <w:rPr>
                <w:snapToGrid w:val="0"/>
                <w:szCs w:val="22"/>
                <w:lang w:eastAsia="en-US"/>
              </w:rPr>
              <w:t xml:space="preserve"> –</w:t>
            </w:r>
            <w:r w:rsidRPr="00C21B99">
              <w:rPr>
                <w:snapToGrid w:val="0"/>
                <w:szCs w:val="22"/>
                <w:lang w:eastAsia="en-US"/>
              </w:rPr>
              <w:t xml:space="preserve"> 1</w:t>
            </w:r>
            <w:r w:rsidR="00F26866" w:rsidRPr="00C21B99">
              <w:rPr>
                <w:snapToGrid w:val="0"/>
                <w:szCs w:val="22"/>
                <w:lang w:eastAsia="en-US"/>
              </w:rPr>
              <w:t>,</w:t>
            </w:r>
            <w:r w:rsidRPr="00C21B99">
              <w:rPr>
                <w:snapToGrid w:val="0"/>
                <w:szCs w:val="22"/>
                <w:lang w:eastAsia="en-US"/>
              </w:rPr>
              <w:t>14]</w:t>
            </w:r>
          </w:p>
          <w:p w14:paraId="3163B8F1"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6</w:t>
            </w:r>
            <w:r w:rsidR="00F26866" w:rsidRPr="00C21B99">
              <w:rPr>
                <w:snapToGrid w:val="0"/>
                <w:szCs w:val="22"/>
                <w:lang w:eastAsia="en-US"/>
              </w:rPr>
              <w:t>,</w:t>
            </w:r>
            <w:r w:rsidRPr="00C21B99">
              <w:rPr>
                <w:snapToGrid w:val="0"/>
                <w:szCs w:val="22"/>
                <w:lang w:eastAsia="en-US"/>
              </w:rPr>
              <w:t xml:space="preserve">9 </w:t>
            </w:r>
            <w:proofErr w:type="spellStart"/>
            <w:r w:rsidR="00F26866" w:rsidRPr="00C21B99">
              <w:rPr>
                <w:snapToGrid w:val="0"/>
                <w:szCs w:val="22"/>
                <w:lang w:eastAsia="en-US"/>
              </w:rPr>
              <w:t>mėn</w:t>
            </w:r>
            <w:proofErr w:type="spellEnd"/>
            <w:r w:rsidR="00F26866" w:rsidRPr="00C21B99">
              <w:rPr>
                <w:snapToGrid w:val="0"/>
                <w:szCs w:val="22"/>
                <w:lang w:eastAsia="en-US"/>
              </w:rPr>
              <w:t xml:space="preserve">, plg. </w:t>
            </w:r>
            <w:r w:rsidRPr="00C21B99">
              <w:rPr>
                <w:snapToGrid w:val="0"/>
                <w:szCs w:val="22"/>
                <w:lang w:eastAsia="en-US"/>
              </w:rPr>
              <w:t>6.9 m</w:t>
            </w:r>
            <w:r w:rsidR="00F26866" w:rsidRPr="00C21B99">
              <w:rPr>
                <w:snapToGrid w:val="0"/>
                <w:szCs w:val="22"/>
                <w:lang w:eastAsia="en-US"/>
              </w:rPr>
              <w:t>ėn.</w:t>
            </w:r>
          </w:p>
          <w:p w14:paraId="59BAB098" w14:textId="77777777" w:rsidR="00DB2729" w:rsidRPr="00C21B99" w:rsidRDefault="00DB2729" w:rsidP="009A493C">
            <w:pPr>
              <w:widowControl w:val="0"/>
              <w:tabs>
                <w:tab w:val="left" w:pos="567"/>
              </w:tabs>
              <w:rPr>
                <w:snapToGrid w:val="0"/>
                <w:szCs w:val="22"/>
                <w:lang w:eastAsia="en-US"/>
              </w:rPr>
            </w:pPr>
            <w:r w:rsidRPr="00C21B99">
              <w:rPr>
                <w:snapToGrid w:val="0"/>
                <w:szCs w:val="22"/>
                <w:lang w:eastAsia="en-US"/>
              </w:rPr>
              <w:t>p</w:t>
            </w:r>
            <w:r w:rsidR="00F26866" w:rsidRPr="00C21B99">
              <w:rPr>
                <w:snapToGrid w:val="0"/>
                <w:szCs w:val="22"/>
                <w:lang w:eastAsia="en-US"/>
              </w:rPr>
              <w:t xml:space="preserve"> </w:t>
            </w:r>
            <w:r w:rsidRPr="00C21B99">
              <w:rPr>
                <w:snapToGrid w:val="0"/>
                <w:szCs w:val="22"/>
                <w:lang w:eastAsia="en-US"/>
              </w:rPr>
              <w:t>=</w:t>
            </w:r>
            <w:r w:rsidR="00F26866" w:rsidRPr="00C21B99">
              <w:rPr>
                <w:snapToGrid w:val="0"/>
                <w:szCs w:val="22"/>
                <w:lang w:eastAsia="en-US"/>
              </w:rPr>
              <w:t xml:space="preserve"> </w:t>
            </w:r>
            <w:r w:rsidRPr="00C21B99">
              <w:rPr>
                <w:snapToGrid w:val="0"/>
                <w:szCs w:val="22"/>
                <w:lang w:eastAsia="en-US"/>
              </w:rPr>
              <w:t>0</w:t>
            </w:r>
            <w:r w:rsidR="00F26866" w:rsidRPr="00C21B99">
              <w:rPr>
                <w:snapToGrid w:val="0"/>
                <w:szCs w:val="22"/>
                <w:lang w:eastAsia="en-US"/>
              </w:rPr>
              <w:t>,</w:t>
            </w:r>
            <w:r w:rsidRPr="00C21B99">
              <w:rPr>
                <w:snapToGrid w:val="0"/>
                <w:szCs w:val="22"/>
                <w:lang w:eastAsia="en-US"/>
              </w:rPr>
              <w:t>9259</w:t>
            </w:r>
          </w:p>
        </w:tc>
      </w:tr>
    </w:tbl>
    <w:p w14:paraId="592E3553" w14:textId="77777777" w:rsidR="00F26866" w:rsidRPr="00C21B99" w:rsidRDefault="00F26866" w:rsidP="00F26866">
      <w:pPr>
        <w:widowControl w:val="0"/>
        <w:tabs>
          <w:tab w:val="left" w:pos="567"/>
        </w:tabs>
        <w:rPr>
          <w:snapToGrid w:val="0"/>
          <w:sz w:val="20"/>
          <w:lang w:eastAsia="en-US"/>
        </w:rPr>
      </w:pPr>
      <w:r w:rsidRPr="00C21B99">
        <w:rPr>
          <w:snapToGrid w:val="0"/>
          <w:sz w:val="20"/>
          <w:lang w:eastAsia="en-US"/>
        </w:rPr>
        <w:t>a</w:t>
      </w:r>
      <w:r w:rsidRPr="00C21B99">
        <w:rPr>
          <w:snapToGrid w:val="0"/>
          <w:sz w:val="20"/>
          <w:lang w:eastAsia="en-US"/>
        </w:rPr>
        <w:tab/>
        <w:t xml:space="preserve">pateikiami </w:t>
      </w:r>
      <w:proofErr w:type="spellStart"/>
      <w:r w:rsidR="00F15194" w:rsidRPr="00C21B99">
        <w:rPr>
          <w:snapToGrid w:val="0"/>
          <w:sz w:val="20"/>
          <w:lang w:eastAsia="en-US"/>
        </w:rPr>
        <w:t>gefitinibo</w:t>
      </w:r>
      <w:proofErr w:type="spellEnd"/>
      <w:r w:rsidRPr="00C21B99">
        <w:rPr>
          <w:snapToGrid w:val="0"/>
          <w:sz w:val="20"/>
          <w:lang w:eastAsia="en-US"/>
        </w:rPr>
        <w:t xml:space="preserve"> duomenys palyginus su </w:t>
      </w:r>
      <w:proofErr w:type="spellStart"/>
      <w:r w:rsidRPr="00C21B99">
        <w:rPr>
          <w:snapToGrid w:val="0"/>
          <w:sz w:val="20"/>
          <w:lang w:eastAsia="en-US"/>
        </w:rPr>
        <w:t>docetakseliu</w:t>
      </w:r>
      <w:proofErr w:type="spellEnd"/>
    </w:p>
    <w:p w14:paraId="5CC0A537" w14:textId="77777777" w:rsidR="00F26866" w:rsidRPr="00C21B99" w:rsidRDefault="00F26866" w:rsidP="00F15194">
      <w:pPr>
        <w:widowControl w:val="0"/>
        <w:tabs>
          <w:tab w:val="left" w:pos="567"/>
        </w:tabs>
        <w:ind w:left="567" w:hanging="567"/>
        <w:rPr>
          <w:snapToGrid w:val="0"/>
          <w:sz w:val="20"/>
          <w:lang w:eastAsia="en-US"/>
        </w:rPr>
      </w:pPr>
      <w:r w:rsidRPr="00C21B99">
        <w:rPr>
          <w:snapToGrid w:val="0"/>
          <w:sz w:val="20"/>
          <w:lang w:eastAsia="en-US"/>
        </w:rPr>
        <w:t>b</w:t>
      </w:r>
      <w:r w:rsidR="00F15194" w:rsidRPr="00C21B99">
        <w:rPr>
          <w:snapToGrid w:val="0"/>
          <w:sz w:val="20"/>
          <w:lang w:eastAsia="en-US"/>
        </w:rPr>
        <w:tab/>
        <w:t>s</w:t>
      </w:r>
      <w:r w:rsidRPr="00C21B99">
        <w:rPr>
          <w:snapToGrid w:val="0"/>
          <w:sz w:val="20"/>
          <w:lang w:eastAsia="en-US"/>
        </w:rPr>
        <w:t xml:space="preserve">kaičiai laužtiniuose skliaustuose – bendro išgyvenimo bendroje populiacijoje </w:t>
      </w:r>
      <w:r w:rsidR="00F15194" w:rsidRPr="00C21B99">
        <w:rPr>
          <w:snapToGrid w:val="0"/>
          <w:sz w:val="20"/>
          <w:lang w:eastAsia="en-US"/>
        </w:rPr>
        <w:t>RS</w:t>
      </w:r>
      <w:r w:rsidRPr="00C21B99">
        <w:rPr>
          <w:snapToGrid w:val="0"/>
          <w:sz w:val="20"/>
          <w:lang w:eastAsia="en-US"/>
        </w:rPr>
        <w:t xml:space="preserve"> 96% </w:t>
      </w:r>
      <w:proofErr w:type="spellStart"/>
      <w:r w:rsidRPr="00C21B99">
        <w:rPr>
          <w:snapToGrid w:val="0"/>
          <w:sz w:val="20"/>
          <w:lang w:eastAsia="en-US"/>
        </w:rPr>
        <w:t>pasikliautinieji</w:t>
      </w:r>
      <w:proofErr w:type="spellEnd"/>
      <w:r w:rsidR="00F15194" w:rsidRPr="00C21B99">
        <w:rPr>
          <w:snapToGrid w:val="0"/>
          <w:sz w:val="20"/>
          <w:lang w:eastAsia="en-US"/>
        </w:rPr>
        <w:t xml:space="preserve"> </w:t>
      </w:r>
      <w:r w:rsidRPr="00C21B99">
        <w:rPr>
          <w:snapToGrid w:val="0"/>
          <w:sz w:val="20"/>
          <w:lang w:eastAsia="en-US"/>
        </w:rPr>
        <w:t xml:space="preserve">intervalai ir </w:t>
      </w:r>
      <w:r w:rsidR="00F15194" w:rsidRPr="00C21B99">
        <w:rPr>
          <w:snapToGrid w:val="0"/>
          <w:sz w:val="20"/>
          <w:lang w:eastAsia="en-US"/>
        </w:rPr>
        <w:t>RS</w:t>
      </w:r>
      <w:r w:rsidRPr="00C21B99">
        <w:rPr>
          <w:snapToGrid w:val="0"/>
          <w:sz w:val="20"/>
          <w:lang w:eastAsia="en-US"/>
        </w:rPr>
        <w:t xml:space="preserve"> 95% </w:t>
      </w:r>
      <w:proofErr w:type="spellStart"/>
      <w:r w:rsidRPr="00C21B99">
        <w:rPr>
          <w:snapToGrid w:val="0"/>
          <w:sz w:val="20"/>
          <w:lang w:eastAsia="en-US"/>
        </w:rPr>
        <w:t>pasikliautinieji</w:t>
      </w:r>
      <w:proofErr w:type="spellEnd"/>
      <w:r w:rsidRPr="00C21B99">
        <w:rPr>
          <w:snapToGrid w:val="0"/>
          <w:sz w:val="20"/>
          <w:lang w:eastAsia="en-US"/>
        </w:rPr>
        <w:t xml:space="preserve"> intervalai kitais atvejais</w:t>
      </w:r>
    </w:p>
    <w:p w14:paraId="658F16AE" w14:textId="77777777" w:rsidR="00F26866" w:rsidRPr="00C21B99" w:rsidRDefault="00F26866" w:rsidP="00F26866">
      <w:pPr>
        <w:widowControl w:val="0"/>
        <w:tabs>
          <w:tab w:val="left" w:pos="567"/>
        </w:tabs>
        <w:rPr>
          <w:snapToGrid w:val="0"/>
          <w:sz w:val="20"/>
          <w:lang w:eastAsia="en-US"/>
        </w:rPr>
      </w:pPr>
      <w:r w:rsidRPr="00C21B99">
        <w:rPr>
          <w:snapToGrid w:val="0"/>
          <w:sz w:val="20"/>
          <w:lang w:eastAsia="en-US"/>
        </w:rPr>
        <w:t>c</w:t>
      </w:r>
      <w:r w:rsidR="00F15194" w:rsidRPr="00C21B99">
        <w:rPr>
          <w:snapToGrid w:val="0"/>
          <w:sz w:val="20"/>
          <w:lang w:eastAsia="en-US"/>
        </w:rPr>
        <w:tab/>
      </w:r>
      <w:r w:rsidRPr="00C21B99">
        <w:rPr>
          <w:snapToGrid w:val="0"/>
          <w:sz w:val="20"/>
          <w:lang w:eastAsia="en-US"/>
        </w:rPr>
        <w:t xml:space="preserve">visas </w:t>
      </w:r>
      <w:proofErr w:type="spellStart"/>
      <w:r w:rsidRPr="00C21B99">
        <w:rPr>
          <w:snapToGrid w:val="0"/>
          <w:sz w:val="20"/>
          <w:lang w:eastAsia="en-US"/>
        </w:rPr>
        <w:t>pasikliautinasis</w:t>
      </w:r>
      <w:proofErr w:type="spellEnd"/>
      <w:r w:rsidRPr="00C21B99">
        <w:rPr>
          <w:snapToGrid w:val="0"/>
          <w:sz w:val="20"/>
          <w:lang w:eastAsia="en-US"/>
        </w:rPr>
        <w:t xml:space="preserve"> intervalas – žemiau 1,154 ne blogesnio poveikio ribos</w:t>
      </w:r>
    </w:p>
    <w:p w14:paraId="3D65FA09" w14:textId="77777777" w:rsidR="00F26866" w:rsidRPr="00C21B99" w:rsidRDefault="00F26866" w:rsidP="00F26866">
      <w:pPr>
        <w:widowControl w:val="0"/>
        <w:tabs>
          <w:tab w:val="left" w:pos="567"/>
        </w:tabs>
        <w:rPr>
          <w:snapToGrid w:val="0"/>
          <w:sz w:val="20"/>
          <w:lang w:eastAsia="en-US"/>
        </w:rPr>
      </w:pPr>
      <w:r w:rsidRPr="00C21B99">
        <w:rPr>
          <w:snapToGrid w:val="0"/>
          <w:sz w:val="20"/>
          <w:lang w:eastAsia="en-US"/>
        </w:rPr>
        <w:lastRenderedPageBreak/>
        <w:t>N</w:t>
      </w:r>
      <w:r w:rsidR="00F15194" w:rsidRPr="00C21B99">
        <w:rPr>
          <w:snapToGrid w:val="0"/>
          <w:sz w:val="20"/>
          <w:lang w:eastAsia="en-US"/>
        </w:rPr>
        <w:tab/>
      </w:r>
      <w:r w:rsidRPr="00C21B99">
        <w:rPr>
          <w:snapToGrid w:val="0"/>
          <w:sz w:val="20"/>
          <w:lang w:eastAsia="en-US"/>
        </w:rPr>
        <w:t>pacientų</w:t>
      </w:r>
      <w:r w:rsidR="00F15194" w:rsidRPr="00C21B99">
        <w:rPr>
          <w:snapToGrid w:val="0"/>
          <w:sz w:val="20"/>
          <w:lang w:eastAsia="en-US"/>
        </w:rPr>
        <w:t>, dalyvavusių atsitiktinėje atrankoje</w:t>
      </w:r>
      <w:r w:rsidRPr="00C21B99">
        <w:rPr>
          <w:snapToGrid w:val="0"/>
          <w:sz w:val="20"/>
          <w:lang w:eastAsia="en-US"/>
        </w:rPr>
        <w:t xml:space="preserve"> skaičius</w:t>
      </w:r>
    </w:p>
    <w:p w14:paraId="0C360988" w14:textId="77777777" w:rsidR="00B23ED9" w:rsidRPr="00C21B99" w:rsidRDefault="00F15194" w:rsidP="00F26866">
      <w:pPr>
        <w:widowControl w:val="0"/>
        <w:tabs>
          <w:tab w:val="left" w:pos="567"/>
        </w:tabs>
        <w:rPr>
          <w:snapToGrid w:val="0"/>
          <w:sz w:val="20"/>
          <w:lang w:eastAsia="en-US"/>
        </w:rPr>
      </w:pPr>
      <w:r w:rsidRPr="00C21B99">
        <w:rPr>
          <w:snapToGrid w:val="0"/>
          <w:sz w:val="20"/>
          <w:lang w:eastAsia="en-US"/>
        </w:rPr>
        <w:t>RS</w:t>
      </w:r>
      <w:r w:rsidRPr="00C21B99">
        <w:rPr>
          <w:snapToGrid w:val="0"/>
          <w:sz w:val="20"/>
          <w:lang w:eastAsia="en-US"/>
        </w:rPr>
        <w:tab/>
      </w:r>
      <w:r w:rsidR="00F26866" w:rsidRPr="00C21B99">
        <w:rPr>
          <w:snapToGrid w:val="0"/>
          <w:sz w:val="20"/>
          <w:lang w:eastAsia="en-US"/>
        </w:rPr>
        <w:t>rizikos santykis (</w:t>
      </w:r>
      <w:r w:rsidRPr="00C21B99">
        <w:rPr>
          <w:snapToGrid w:val="0"/>
          <w:sz w:val="20"/>
          <w:lang w:eastAsia="en-US"/>
        </w:rPr>
        <w:t>RS</w:t>
      </w:r>
      <w:r w:rsidR="00F26866" w:rsidRPr="00C21B99">
        <w:rPr>
          <w:snapToGrid w:val="0"/>
          <w:sz w:val="20"/>
          <w:lang w:eastAsia="en-US"/>
        </w:rPr>
        <w:t xml:space="preserve"> &lt; 1 rodo palankesnį </w:t>
      </w:r>
      <w:proofErr w:type="spellStart"/>
      <w:r w:rsidRPr="00C21B99">
        <w:rPr>
          <w:snapToGrid w:val="0"/>
          <w:sz w:val="20"/>
          <w:lang w:eastAsia="en-US"/>
        </w:rPr>
        <w:t>gef</w:t>
      </w:r>
      <w:r w:rsidR="00C21B99">
        <w:rPr>
          <w:snapToGrid w:val="0"/>
          <w:sz w:val="20"/>
          <w:lang w:eastAsia="en-US"/>
        </w:rPr>
        <w:t>i</w:t>
      </w:r>
      <w:r w:rsidRPr="00C21B99">
        <w:rPr>
          <w:snapToGrid w:val="0"/>
          <w:sz w:val="20"/>
          <w:lang w:eastAsia="en-US"/>
        </w:rPr>
        <w:t>tinibo</w:t>
      </w:r>
      <w:proofErr w:type="spellEnd"/>
      <w:r w:rsidR="00F26866" w:rsidRPr="00C21B99">
        <w:rPr>
          <w:snapToGrid w:val="0"/>
          <w:sz w:val="20"/>
          <w:lang w:eastAsia="en-US"/>
        </w:rPr>
        <w:t xml:space="preserve"> poveikį)</w:t>
      </w:r>
    </w:p>
    <w:p w14:paraId="10186D37" w14:textId="77777777" w:rsidR="005D2D9B" w:rsidRPr="00C21B99" w:rsidRDefault="005D2D9B" w:rsidP="00554C64">
      <w:pPr>
        <w:widowControl w:val="0"/>
        <w:tabs>
          <w:tab w:val="left" w:pos="567"/>
        </w:tabs>
        <w:rPr>
          <w:b/>
          <w:snapToGrid w:val="0"/>
          <w:szCs w:val="22"/>
          <w:lang w:eastAsia="en-US"/>
        </w:rPr>
      </w:pPr>
    </w:p>
    <w:p w14:paraId="1422A369" w14:textId="77777777" w:rsidR="00F15194" w:rsidRPr="000627B9" w:rsidRDefault="00F15194" w:rsidP="00F15194">
      <w:pPr>
        <w:widowControl w:val="0"/>
        <w:tabs>
          <w:tab w:val="left" w:pos="567"/>
        </w:tabs>
        <w:rPr>
          <w:b/>
          <w:bCs/>
          <w:snapToGrid w:val="0"/>
          <w:szCs w:val="22"/>
          <w:highlight w:val="lightGray"/>
          <w:lang w:eastAsia="en-US"/>
        </w:rPr>
      </w:pPr>
      <w:r w:rsidRPr="000627B9">
        <w:rPr>
          <w:b/>
          <w:bCs/>
          <w:snapToGrid w:val="0"/>
          <w:szCs w:val="22"/>
          <w:highlight w:val="lightGray"/>
          <w:lang w:eastAsia="en-US"/>
        </w:rPr>
        <w:t>1 ir 2 pieš. Veiksmingumo rodikliai ne Azijos rasės pacientų pogrupiuose INTEREST tyrimo metu (N – pacientų, dalyvavusių atsitiktinėje atrankoje skaičius)</w:t>
      </w:r>
    </w:p>
    <w:p w14:paraId="0FE3B11D" w14:textId="77777777" w:rsidR="003E0129" w:rsidRPr="00C21B99" w:rsidRDefault="003E0129" w:rsidP="00F15194">
      <w:pPr>
        <w:widowControl w:val="0"/>
        <w:tabs>
          <w:tab w:val="left" w:pos="567"/>
        </w:tabs>
        <w:rPr>
          <w:bCs/>
          <w:snapToGrid w:val="0"/>
          <w:szCs w:val="22"/>
          <w:lang w:eastAsia="en-US"/>
        </w:rPr>
      </w:pPr>
    </w:p>
    <w:p w14:paraId="2D0E6154" w14:textId="77777777" w:rsidR="00F15194" w:rsidRPr="00C21B99" w:rsidRDefault="00D15104" w:rsidP="00F15194">
      <w:pPr>
        <w:widowControl w:val="0"/>
        <w:tabs>
          <w:tab w:val="left" w:pos="567"/>
        </w:tabs>
        <w:rPr>
          <w:bCs/>
          <w:snapToGrid w:val="0"/>
          <w:szCs w:val="22"/>
          <w:lang w:eastAsia="en-US"/>
        </w:rPr>
      </w:pPr>
      <w:r>
        <w:rPr>
          <w:rFonts w:ascii="Calibri" w:eastAsia="Calibri" w:hAnsi="Calibri"/>
          <w:noProof/>
          <w:szCs w:val="22"/>
        </w:rPr>
        <w:drawing>
          <wp:inline distT="0" distB="0" distL="0" distR="0" wp14:anchorId="7A8625F8" wp14:editId="076BA198">
            <wp:extent cx="5486400" cy="3634740"/>
            <wp:effectExtent l="19050" t="0" r="0" b="0"/>
            <wp:docPr id="1" name="Picture 1" descr="1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diagrama"/>
                    <pic:cNvPicPr>
                      <a:picLocks noChangeAspect="1" noChangeArrowheads="1"/>
                    </pic:cNvPicPr>
                  </pic:nvPicPr>
                  <pic:blipFill>
                    <a:blip r:embed="rId8" cstate="print"/>
                    <a:srcRect/>
                    <a:stretch>
                      <a:fillRect/>
                    </a:stretch>
                  </pic:blipFill>
                  <pic:spPr bwMode="auto">
                    <a:xfrm>
                      <a:off x="0" y="0"/>
                      <a:ext cx="5486400" cy="3634740"/>
                    </a:xfrm>
                    <a:prstGeom prst="rect">
                      <a:avLst/>
                    </a:prstGeom>
                    <a:noFill/>
                    <a:ln w="9525">
                      <a:noFill/>
                      <a:miter lim="800000"/>
                      <a:headEnd/>
                      <a:tailEnd/>
                    </a:ln>
                  </pic:spPr>
                </pic:pic>
              </a:graphicData>
            </a:graphic>
          </wp:inline>
        </w:drawing>
      </w:r>
    </w:p>
    <w:p w14:paraId="1BB8AB69" w14:textId="77777777" w:rsidR="004E36DF" w:rsidRPr="00C21B99" w:rsidRDefault="004E36DF" w:rsidP="00F15194">
      <w:pPr>
        <w:widowControl w:val="0"/>
        <w:tabs>
          <w:tab w:val="left" w:pos="567"/>
        </w:tabs>
        <w:rPr>
          <w:bCs/>
          <w:snapToGrid w:val="0"/>
          <w:szCs w:val="22"/>
          <w:lang w:eastAsia="en-US"/>
        </w:rPr>
      </w:pPr>
    </w:p>
    <w:p w14:paraId="16949119" w14:textId="77777777" w:rsidR="00F15194" w:rsidRPr="00C21B99" w:rsidRDefault="00D15104" w:rsidP="00F15194">
      <w:pPr>
        <w:widowControl w:val="0"/>
        <w:tabs>
          <w:tab w:val="left" w:pos="567"/>
        </w:tabs>
        <w:rPr>
          <w:bCs/>
          <w:snapToGrid w:val="0"/>
          <w:szCs w:val="22"/>
          <w:lang w:eastAsia="en-US"/>
        </w:rPr>
      </w:pPr>
      <w:r>
        <w:rPr>
          <w:rFonts w:ascii="Calibri" w:eastAsia="Calibri" w:hAnsi="Calibri"/>
          <w:noProof/>
          <w:szCs w:val="22"/>
        </w:rPr>
        <w:drawing>
          <wp:inline distT="0" distB="0" distL="0" distR="0" wp14:anchorId="4722F97E" wp14:editId="23CA363C">
            <wp:extent cx="5753100" cy="3307080"/>
            <wp:effectExtent l="19050" t="0" r="0" b="0"/>
            <wp:docPr id="2" name="Picture 2" descr="2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diagrama"/>
                    <pic:cNvPicPr>
                      <a:picLocks noChangeAspect="1" noChangeArrowheads="1"/>
                    </pic:cNvPicPr>
                  </pic:nvPicPr>
                  <pic:blipFill>
                    <a:blip r:embed="rId9" cstate="print"/>
                    <a:srcRect/>
                    <a:stretch>
                      <a:fillRect/>
                    </a:stretch>
                  </pic:blipFill>
                  <pic:spPr bwMode="auto">
                    <a:xfrm>
                      <a:off x="0" y="0"/>
                      <a:ext cx="5753100" cy="3307080"/>
                    </a:xfrm>
                    <a:prstGeom prst="rect">
                      <a:avLst/>
                    </a:prstGeom>
                    <a:noFill/>
                    <a:ln w="9525">
                      <a:noFill/>
                      <a:miter lim="800000"/>
                      <a:headEnd/>
                      <a:tailEnd/>
                    </a:ln>
                  </pic:spPr>
                </pic:pic>
              </a:graphicData>
            </a:graphic>
          </wp:inline>
        </w:drawing>
      </w:r>
    </w:p>
    <w:p w14:paraId="5C8F172A" w14:textId="77777777" w:rsidR="00F15194" w:rsidRPr="00C21B99" w:rsidRDefault="00F15194" w:rsidP="00F15194">
      <w:pPr>
        <w:widowControl w:val="0"/>
        <w:tabs>
          <w:tab w:val="left" w:pos="567"/>
        </w:tabs>
        <w:rPr>
          <w:bCs/>
          <w:snapToGrid w:val="0"/>
          <w:szCs w:val="22"/>
          <w:lang w:eastAsia="en-US"/>
        </w:rPr>
      </w:pPr>
    </w:p>
    <w:p w14:paraId="7878911A" w14:textId="77777777" w:rsidR="00F122B5" w:rsidRPr="00C21B99" w:rsidRDefault="00F122B5" w:rsidP="00F122B5">
      <w:pPr>
        <w:widowControl w:val="0"/>
        <w:tabs>
          <w:tab w:val="left" w:pos="567"/>
        </w:tabs>
        <w:rPr>
          <w:bCs/>
          <w:snapToGrid w:val="0"/>
          <w:szCs w:val="22"/>
          <w:lang w:eastAsia="en-US"/>
        </w:rPr>
      </w:pPr>
      <w:r w:rsidRPr="00C21B99">
        <w:rPr>
          <w:bCs/>
          <w:snapToGrid w:val="0"/>
          <w:szCs w:val="22"/>
          <w:lang w:eastAsia="en-US"/>
        </w:rPr>
        <w:t xml:space="preserve">Atsitiktinės atrankos III fazės ISEL tyrime dalyvavo progresavusiu nesmulkiųjų ląstelių plaučių vėžiu sergantys pacientai, kuriems iki tol taikyta chemoterapija viena arba dviem schemomis, iš kurių paskutinei buvo </w:t>
      </w:r>
      <w:proofErr w:type="spellStart"/>
      <w:r w:rsidRPr="00C21B99">
        <w:rPr>
          <w:bCs/>
          <w:snapToGrid w:val="0"/>
          <w:szCs w:val="22"/>
          <w:lang w:eastAsia="en-US"/>
        </w:rPr>
        <w:t>refraktoriški</w:t>
      </w:r>
      <w:proofErr w:type="spellEnd"/>
      <w:r w:rsidRPr="00C21B99">
        <w:rPr>
          <w:bCs/>
          <w:snapToGrid w:val="0"/>
          <w:szCs w:val="22"/>
          <w:lang w:eastAsia="en-US"/>
        </w:rPr>
        <w:t xml:space="preserve"> arba jos netoleravo. </w:t>
      </w:r>
      <w:proofErr w:type="spellStart"/>
      <w:r w:rsidRPr="00C21B99">
        <w:rPr>
          <w:bCs/>
          <w:snapToGrid w:val="0"/>
          <w:szCs w:val="22"/>
          <w:lang w:eastAsia="en-US"/>
        </w:rPr>
        <w:t>Gefitinibo</w:t>
      </w:r>
      <w:proofErr w:type="spellEnd"/>
      <w:r w:rsidRPr="00C21B99">
        <w:rPr>
          <w:bCs/>
          <w:snapToGrid w:val="0"/>
          <w:szCs w:val="22"/>
          <w:lang w:eastAsia="en-US"/>
        </w:rPr>
        <w:t xml:space="preserve"> ir tinkamiausios palaikomosios slaugos derinys buvo lyginamas su placebo ir tinkamiausios slaugos deriniu. Bendros populiacijos išgyvenimo pailgėjimo </w:t>
      </w:r>
      <w:proofErr w:type="spellStart"/>
      <w:r w:rsidRPr="00C21B99">
        <w:rPr>
          <w:bCs/>
          <w:snapToGrid w:val="0"/>
          <w:szCs w:val="22"/>
          <w:lang w:eastAsia="en-US"/>
        </w:rPr>
        <w:t>gefitinibas</w:t>
      </w:r>
      <w:proofErr w:type="spellEnd"/>
      <w:r w:rsidRPr="00C21B99">
        <w:rPr>
          <w:bCs/>
          <w:snapToGrid w:val="0"/>
          <w:szCs w:val="22"/>
          <w:lang w:eastAsia="en-US"/>
        </w:rPr>
        <w:t xml:space="preserve"> nesukėlė. Išgyvenimo rodikliai skyrėsi </w:t>
      </w:r>
      <w:r w:rsidR="0043201E" w:rsidRPr="00C21B99">
        <w:rPr>
          <w:bCs/>
          <w:snapToGrid w:val="0"/>
          <w:szCs w:val="22"/>
          <w:lang w:eastAsia="en-US"/>
        </w:rPr>
        <w:t xml:space="preserve">pagal būseną rūkymo atžvilgiu ir rasę </w:t>
      </w:r>
      <w:r w:rsidRPr="00C21B99">
        <w:rPr>
          <w:bCs/>
          <w:snapToGrid w:val="0"/>
          <w:szCs w:val="22"/>
          <w:lang w:eastAsia="en-US"/>
        </w:rPr>
        <w:t>(žr. 6 lentelę)</w:t>
      </w:r>
      <w:r w:rsidR="0043201E" w:rsidRPr="00C21B99">
        <w:rPr>
          <w:bCs/>
          <w:snapToGrid w:val="0"/>
          <w:szCs w:val="22"/>
          <w:lang w:eastAsia="en-US"/>
        </w:rPr>
        <w:t>.</w:t>
      </w:r>
    </w:p>
    <w:p w14:paraId="44639366" w14:textId="77777777" w:rsidR="0043201E" w:rsidRPr="00C21B99" w:rsidRDefault="0043201E" w:rsidP="00F122B5">
      <w:pPr>
        <w:widowControl w:val="0"/>
        <w:tabs>
          <w:tab w:val="left" w:pos="567"/>
        </w:tabs>
        <w:rPr>
          <w:bCs/>
          <w:snapToGrid w:val="0"/>
          <w:szCs w:val="22"/>
          <w:lang w:eastAsia="en-US"/>
        </w:rPr>
      </w:pPr>
    </w:p>
    <w:p w14:paraId="3B1A7AC2" w14:textId="77777777" w:rsidR="004E36DF" w:rsidRPr="00C21B99" w:rsidRDefault="00F122B5" w:rsidP="00F122B5">
      <w:pPr>
        <w:widowControl w:val="0"/>
        <w:tabs>
          <w:tab w:val="left" w:pos="567"/>
        </w:tabs>
        <w:rPr>
          <w:b/>
          <w:bCs/>
          <w:snapToGrid w:val="0"/>
          <w:szCs w:val="22"/>
          <w:lang w:eastAsia="en-US"/>
        </w:rPr>
      </w:pPr>
      <w:r w:rsidRPr="00C21B99">
        <w:rPr>
          <w:b/>
          <w:bCs/>
          <w:snapToGrid w:val="0"/>
          <w:szCs w:val="22"/>
          <w:lang w:eastAsia="en-US"/>
        </w:rPr>
        <w:t xml:space="preserve">6 lentelė. ISEL tyrimo metu nustatyti </w:t>
      </w:r>
      <w:proofErr w:type="spellStart"/>
      <w:r w:rsidRPr="00C21B99">
        <w:rPr>
          <w:b/>
          <w:bCs/>
          <w:snapToGrid w:val="0"/>
          <w:szCs w:val="22"/>
          <w:lang w:eastAsia="en-US"/>
        </w:rPr>
        <w:t>gefitinibo</w:t>
      </w:r>
      <w:proofErr w:type="spellEnd"/>
      <w:r w:rsidRPr="00C21B99">
        <w:rPr>
          <w:b/>
          <w:bCs/>
          <w:snapToGrid w:val="0"/>
          <w:szCs w:val="22"/>
          <w:lang w:eastAsia="en-US"/>
        </w:rPr>
        <w:t xml:space="preserve"> veiksmingumo r</w:t>
      </w:r>
      <w:r w:rsidR="0043201E" w:rsidRPr="00C21B99">
        <w:rPr>
          <w:b/>
          <w:bCs/>
          <w:snapToGrid w:val="0"/>
          <w:szCs w:val="22"/>
          <w:lang w:eastAsia="en-US"/>
        </w:rPr>
        <w:t>ezultatai,</w:t>
      </w:r>
      <w:r w:rsidRPr="00C21B99">
        <w:rPr>
          <w:b/>
          <w:bCs/>
          <w:snapToGrid w:val="0"/>
          <w:szCs w:val="22"/>
          <w:lang w:eastAsia="en-US"/>
        </w:rPr>
        <w:t xml:space="preserve"> p</w:t>
      </w:r>
      <w:r w:rsidR="0043201E" w:rsidRPr="00C21B99">
        <w:rPr>
          <w:b/>
          <w:bCs/>
          <w:snapToGrid w:val="0"/>
          <w:szCs w:val="22"/>
          <w:lang w:eastAsia="en-US"/>
        </w:rPr>
        <w:t>alyginti</w:t>
      </w:r>
      <w:r w:rsidRPr="00C21B99">
        <w:rPr>
          <w:b/>
          <w:bCs/>
          <w:snapToGrid w:val="0"/>
          <w:szCs w:val="22"/>
          <w:lang w:eastAsia="en-US"/>
        </w:rPr>
        <w:t xml:space="preserve"> su placebu</w:t>
      </w:r>
    </w:p>
    <w:p w14:paraId="01E441FE" w14:textId="77777777" w:rsidR="004E36DF" w:rsidRPr="00C21B99" w:rsidRDefault="004E36DF" w:rsidP="00F15194">
      <w:pPr>
        <w:widowControl w:val="0"/>
        <w:tabs>
          <w:tab w:val="left" w:pos="567"/>
        </w:tabs>
        <w:rPr>
          <w:bCs/>
          <w:snapToGrid w:val="0"/>
          <w:szCs w:val="22"/>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51"/>
        <w:gridCol w:w="1984"/>
        <w:gridCol w:w="1982"/>
        <w:gridCol w:w="1701"/>
      </w:tblGrid>
      <w:tr w:rsidR="0043201E" w:rsidRPr="00C21B99" w14:paraId="40C35C45" w14:textId="77777777" w:rsidTr="009A493C">
        <w:trPr>
          <w:trHeight w:val="966"/>
        </w:trPr>
        <w:tc>
          <w:tcPr>
            <w:tcW w:w="1984" w:type="dxa"/>
            <w:tcBorders>
              <w:top w:val="single" w:sz="18" w:space="0" w:color="auto"/>
              <w:left w:val="nil"/>
              <w:bottom w:val="single" w:sz="12" w:space="0" w:color="auto"/>
              <w:right w:val="nil"/>
            </w:tcBorders>
            <w:shd w:val="clear" w:color="auto" w:fill="auto"/>
          </w:tcPr>
          <w:p w14:paraId="2CC454C3" w14:textId="77777777" w:rsidR="0043201E" w:rsidRPr="00C21B99" w:rsidRDefault="0043201E" w:rsidP="009A493C">
            <w:pPr>
              <w:widowControl w:val="0"/>
              <w:tabs>
                <w:tab w:val="left" w:pos="567"/>
              </w:tabs>
              <w:rPr>
                <w:b/>
                <w:bCs/>
                <w:snapToGrid w:val="0"/>
                <w:szCs w:val="22"/>
                <w:lang w:eastAsia="en-US"/>
              </w:rPr>
            </w:pPr>
            <w:r w:rsidRPr="00C21B99">
              <w:rPr>
                <w:b/>
                <w:bCs/>
                <w:snapToGrid w:val="0"/>
                <w:szCs w:val="22"/>
                <w:lang w:eastAsia="en-US"/>
              </w:rPr>
              <w:t>Populiacija</w:t>
            </w:r>
          </w:p>
        </w:tc>
        <w:tc>
          <w:tcPr>
            <w:tcW w:w="851" w:type="dxa"/>
            <w:tcBorders>
              <w:top w:val="single" w:sz="18" w:space="0" w:color="auto"/>
              <w:left w:val="nil"/>
              <w:bottom w:val="single" w:sz="12" w:space="0" w:color="auto"/>
              <w:right w:val="nil"/>
            </w:tcBorders>
            <w:shd w:val="clear" w:color="auto" w:fill="auto"/>
          </w:tcPr>
          <w:p w14:paraId="02F48C1F" w14:textId="77777777" w:rsidR="0043201E" w:rsidRPr="00C21B99" w:rsidRDefault="0043201E" w:rsidP="009A493C">
            <w:pPr>
              <w:widowControl w:val="0"/>
              <w:tabs>
                <w:tab w:val="left" w:pos="567"/>
              </w:tabs>
              <w:rPr>
                <w:b/>
                <w:bCs/>
                <w:snapToGrid w:val="0"/>
                <w:szCs w:val="22"/>
                <w:lang w:eastAsia="en-US"/>
              </w:rPr>
            </w:pPr>
            <w:r w:rsidRPr="00C21B99">
              <w:rPr>
                <w:b/>
                <w:bCs/>
                <w:snapToGrid w:val="0"/>
                <w:szCs w:val="22"/>
                <w:lang w:eastAsia="en-US"/>
              </w:rPr>
              <w:t>N</w:t>
            </w:r>
          </w:p>
        </w:tc>
        <w:tc>
          <w:tcPr>
            <w:tcW w:w="1984" w:type="dxa"/>
            <w:tcBorders>
              <w:top w:val="single" w:sz="18" w:space="0" w:color="auto"/>
              <w:left w:val="nil"/>
              <w:bottom w:val="single" w:sz="12" w:space="0" w:color="auto"/>
              <w:right w:val="nil"/>
            </w:tcBorders>
            <w:shd w:val="clear" w:color="auto" w:fill="auto"/>
          </w:tcPr>
          <w:p w14:paraId="7AB02C1E" w14:textId="77777777" w:rsidR="0043201E" w:rsidRPr="00C21B99" w:rsidRDefault="0043201E" w:rsidP="009A493C">
            <w:pPr>
              <w:widowControl w:val="0"/>
              <w:tabs>
                <w:tab w:val="left" w:pos="567"/>
              </w:tabs>
              <w:rPr>
                <w:b/>
                <w:bCs/>
                <w:snapToGrid w:val="0"/>
                <w:szCs w:val="22"/>
                <w:lang w:eastAsia="en-US"/>
              </w:rPr>
            </w:pPr>
            <w:r w:rsidRPr="00C21B99">
              <w:rPr>
                <w:b/>
                <w:bCs/>
                <w:snapToGrid w:val="0"/>
                <w:szCs w:val="22"/>
                <w:lang w:eastAsia="en-US"/>
              </w:rPr>
              <w:t xml:space="preserve">Objektyvaus atsako dažnis ir skirtumo tarp gydymo grupių 95 % </w:t>
            </w:r>
            <w:proofErr w:type="spellStart"/>
            <w:r w:rsidRPr="00C21B99">
              <w:rPr>
                <w:b/>
                <w:bCs/>
                <w:snapToGrid w:val="0"/>
                <w:szCs w:val="22"/>
                <w:lang w:eastAsia="en-US"/>
              </w:rPr>
              <w:t>PI</w:t>
            </w:r>
            <w:r w:rsidRPr="00C21B99">
              <w:rPr>
                <w:b/>
                <w:bCs/>
                <w:snapToGrid w:val="0"/>
                <w:szCs w:val="22"/>
                <w:vertAlign w:val="superscript"/>
                <w:lang w:eastAsia="en-US"/>
              </w:rPr>
              <w:t>a</w:t>
            </w:r>
            <w:proofErr w:type="spellEnd"/>
          </w:p>
        </w:tc>
        <w:tc>
          <w:tcPr>
            <w:tcW w:w="1982" w:type="dxa"/>
            <w:tcBorders>
              <w:top w:val="single" w:sz="18" w:space="0" w:color="auto"/>
              <w:left w:val="nil"/>
              <w:bottom w:val="single" w:sz="12" w:space="0" w:color="auto"/>
              <w:right w:val="nil"/>
            </w:tcBorders>
            <w:shd w:val="clear" w:color="auto" w:fill="auto"/>
          </w:tcPr>
          <w:p w14:paraId="53997735" w14:textId="77777777" w:rsidR="0043201E" w:rsidRPr="00C21B99" w:rsidRDefault="00F24B2F" w:rsidP="009A493C">
            <w:pPr>
              <w:widowControl w:val="0"/>
              <w:tabs>
                <w:tab w:val="left" w:pos="567"/>
              </w:tabs>
              <w:rPr>
                <w:b/>
                <w:bCs/>
                <w:snapToGrid w:val="0"/>
                <w:szCs w:val="22"/>
                <w:lang w:eastAsia="en-US"/>
              </w:rPr>
            </w:pPr>
            <w:r w:rsidRPr="00C21B99">
              <w:rPr>
                <w:b/>
                <w:bCs/>
                <w:snapToGrid w:val="0"/>
                <w:szCs w:val="22"/>
                <w:lang w:eastAsia="en-US"/>
              </w:rPr>
              <w:t>Laiko, per kurį gydymas tapo neveiksmingas, trukmė</w:t>
            </w:r>
            <w:r w:rsidRPr="00C21B99">
              <w:rPr>
                <w:b/>
                <w:bCs/>
                <w:snapToGrid w:val="0"/>
                <w:szCs w:val="22"/>
                <w:vertAlign w:val="superscript"/>
                <w:lang w:eastAsia="en-US"/>
              </w:rPr>
              <w:t xml:space="preserve"> </w:t>
            </w:r>
            <w:proofErr w:type="spellStart"/>
            <w:r w:rsidR="0043201E" w:rsidRPr="00C21B99">
              <w:rPr>
                <w:b/>
                <w:bCs/>
                <w:snapToGrid w:val="0"/>
                <w:szCs w:val="22"/>
                <w:vertAlign w:val="superscript"/>
                <w:lang w:eastAsia="en-US"/>
              </w:rPr>
              <w:t>ab</w:t>
            </w:r>
            <w:proofErr w:type="spellEnd"/>
          </w:p>
        </w:tc>
        <w:tc>
          <w:tcPr>
            <w:tcW w:w="1701" w:type="dxa"/>
            <w:tcBorders>
              <w:top w:val="single" w:sz="18" w:space="0" w:color="auto"/>
              <w:left w:val="nil"/>
              <w:bottom w:val="single" w:sz="12" w:space="0" w:color="auto"/>
              <w:right w:val="nil"/>
            </w:tcBorders>
            <w:shd w:val="clear" w:color="auto" w:fill="auto"/>
          </w:tcPr>
          <w:p w14:paraId="417F03D8" w14:textId="77777777" w:rsidR="0043201E" w:rsidRPr="00C21B99" w:rsidRDefault="00F24B2F" w:rsidP="009A493C">
            <w:pPr>
              <w:widowControl w:val="0"/>
              <w:tabs>
                <w:tab w:val="left" w:pos="567"/>
              </w:tabs>
              <w:rPr>
                <w:b/>
                <w:bCs/>
                <w:snapToGrid w:val="0"/>
                <w:szCs w:val="22"/>
                <w:lang w:eastAsia="en-US"/>
              </w:rPr>
            </w:pPr>
            <w:r w:rsidRPr="00C21B99">
              <w:rPr>
                <w:b/>
                <w:bCs/>
                <w:snapToGrid w:val="0"/>
                <w:szCs w:val="22"/>
                <w:lang w:eastAsia="en-US"/>
              </w:rPr>
              <w:t xml:space="preserve">pagrindinė vertinamoji baigtis – bendras </w:t>
            </w:r>
            <w:proofErr w:type="spellStart"/>
            <w:r w:rsidRPr="00C21B99">
              <w:rPr>
                <w:b/>
                <w:bCs/>
                <w:snapToGrid w:val="0"/>
                <w:szCs w:val="22"/>
                <w:lang w:eastAsia="en-US"/>
              </w:rPr>
              <w:t>išgyvenimas</w:t>
            </w:r>
            <w:r w:rsidR="0043201E" w:rsidRPr="00C21B99">
              <w:rPr>
                <w:b/>
                <w:bCs/>
                <w:snapToGrid w:val="0"/>
                <w:szCs w:val="22"/>
                <w:vertAlign w:val="superscript"/>
                <w:lang w:eastAsia="en-US"/>
              </w:rPr>
              <w:t>abc</w:t>
            </w:r>
            <w:proofErr w:type="spellEnd"/>
          </w:p>
        </w:tc>
      </w:tr>
      <w:tr w:rsidR="0043201E" w:rsidRPr="00C21B99" w14:paraId="6B6E5B70" w14:textId="77777777" w:rsidTr="009A493C">
        <w:tc>
          <w:tcPr>
            <w:tcW w:w="1984" w:type="dxa"/>
            <w:tcBorders>
              <w:top w:val="single" w:sz="12" w:space="0" w:color="auto"/>
              <w:left w:val="nil"/>
              <w:bottom w:val="single" w:sz="4" w:space="0" w:color="auto"/>
              <w:right w:val="nil"/>
            </w:tcBorders>
            <w:shd w:val="clear" w:color="auto" w:fill="auto"/>
          </w:tcPr>
          <w:p w14:paraId="21B7A500"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Iš viso</w:t>
            </w:r>
          </w:p>
        </w:tc>
        <w:tc>
          <w:tcPr>
            <w:tcW w:w="851" w:type="dxa"/>
            <w:tcBorders>
              <w:top w:val="single" w:sz="12" w:space="0" w:color="auto"/>
              <w:left w:val="nil"/>
              <w:bottom w:val="single" w:sz="4" w:space="0" w:color="auto"/>
              <w:right w:val="nil"/>
            </w:tcBorders>
            <w:shd w:val="clear" w:color="auto" w:fill="auto"/>
          </w:tcPr>
          <w:p w14:paraId="1D41B3FD"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1692</w:t>
            </w:r>
          </w:p>
        </w:tc>
        <w:tc>
          <w:tcPr>
            <w:tcW w:w="1984" w:type="dxa"/>
            <w:tcBorders>
              <w:top w:val="single" w:sz="12" w:space="0" w:color="auto"/>
              <w:left w:val="nil"/>
              <w:bottom w:val="single" w:sz="4" w:space="0" w:color="auto"/>
              <w:right w:val="nil"/>
            </w:tcBorders>
            <w:shd w:val="clear" w:color="auto" w:fill="auto"/>
          </w:tcPr>
          <w:p w14:paraId="7CA2B338"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8</w:t>
            </w:r>
            <w:r w:rsidR="00F24B2F" w:rsidRPr="00C21B99">
              <w:rPr>
                <w:bCs/>
                <w:snapToGrid w:val="0"/>
                <w:szCs w:val="22"/>
                <w:lang w:eastAsia="en-US"/>
              </w:rPr>
              <w:t>,</w:t>
            </w:r>
            <w:r w:rsidRPr="00C21B99">
              <w:rPr>
                <w:bCs/>
                <w:snapToGrid w:val="0"/>
                <w:szCs w:val="22"/>
                <w:lang w:eastAsia="en-US"/>
              </w:rPr>
              <w:t>0%</w:t>
            </w:r>
            <w:r w:rsidR="00F24B2F" w:rsidRPr="00C21B99">
              <w:rPr>
                <w:bCs/>
                <w:snapToGrid w:val="0"/>
                <w:szCs w:val="22"/>
                <w:lang w:eastAsia="en-US"/>
              </w:rPr>
              <w:t>, plg.</w:t>
            </w:r>
            <w:r w:rsidRPr="00C21B99">
              <w:rPr>
                <w:bCs/>
                <w:snapToGrid w:val="0"/>
                <w:szCs w:val="22"/>
                <w:lang w:eastAsia="en-US"/>
              </w:rPr>
              <w:t xml:space="preserve"> 1</w:t>
            </w:r>
            <w:r w:rsidR="00F24B2F" w:rsidRPr="00C21B99">
              <w:rPr>
                <w:bCs/>
                <w:snapToGrid w:val="0"/>
                <w:szCs w:val="22"/>
                <w:lang w:eastAsia="en-US"/>
              </w:rPr>
              <w:t>,</w:t>
            </w:r>
            <w:r w:rsidRPr="00C21B99">
              <w:rPr>
                <w:bCs/>
                <w:snapToGrid w:val="0"/>
                <w:szCs w:val="22"/>
                <w:lang w:eastAsia="en-US"/>
              </w:rPr>
              <w:t>3%</w:t>
            </w:r>
          </w:p>
          <w:p w14:paraId="08C26209"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[4</w:t>
            </w:r>
            <w:r w:rsidR="00F24B2F" w:rsidRPr="00C21B99">
              <w:rPr>
                <w:bCs/>
                <w:snapToGrid w:val="0"/>
                <w:szCs w:val="22"/>
                <w:lang w:eastAsia="en-US"/>
              </w:rPr>
              <w:t>,</w:t>
            </w:r>
            <w:r w:rsidRPr="00C21B99">
              <w:rPr>
                <w:bCs/>
                <w:snapToGrid w:val="0"/>
                <w:szCs w:val="22"/>
                <w:lang w:eastAsia="en-US"/>
              </w:rPr>
              <w:t>7%</w:t>
            </w:r>
            <w:r w:rsidR="00F24B2F" w:rsidRPr="00C21B99">
              <w:rPr>
                <w:bCs/>
                <w:snapToGrid w:val="0"/>
                <w:szCs w:val="22"/>
                <w:lang w:eastAsia="en-US"/>
              </w:rPr>
              <w:t>;</w:t>
            </w:r>
            <w:r w:rsidRPr="00C21B99">
              <w:rPr>
                <w:bCs/>
                <w:snapToGrid w:val="0"/>
                <w:szCs w:val="22"/>
                <w:lang w:eastAsia="en-US"/>
              </w:rPr>
              <w:t xml:space="preserve"> 8</w:t>
            </w:r>
            <w:r w:rsidR="00F24B2F" w:rsidRPr="00C21B99">
              <w:rPr>
                <w:bCs/>
                <w:snapToGrid w:val="0"/>
                <w:szCs w:val="22"/>
                <w:lang w:eastAsia="en-US"/>
              </w:rPr>
              <w:t>,</w:t>
            </w:r>
            <w:r w:rsidRPr="00C21B99">
              <w:rPr>
                <w:bCs/>
                <w:snapToGrid w:val="0"/>
                <w:szCs w:val="22"/>
                <w:lang w:eastAsia="en-US"/>
              </w:rPr>
              <w:t>8%]</w:t>
            </w:r>
          </w:p>
        </w:tc>
        <w:tc>
          <w:tcPr>
            <w:tcW w:w="1982" w:type="dxa"/>
            <w:tcBorders>
              <w:top w:val="single" w:sz="12" w:space="0" w:color="auto"/>
              <w:left w:val="nil"/>
              <w:bottom w:val="single" w:sz="4" w:space="0" w:color="auto"/>
              <w:right w:val="nil"/>
            </w:tcBorders>
            <w:shd w:val="clear" w:color="auto" w:fill="auto"/>
          </w:tcPr>
          <w:p w14:paraId="24379BF5" w14:textId="77777777" w:rsidR="0043201E" w:rsidRPr="00C21B99" w:rsidRDefault="00F24B2F"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002509C6" w:rsidRPr="00C21B99">
              <w:rPr>
                <w:bCs/>
                <w:snapToGrid w:val="0"/>
                <w:szCs w:val="22"/>
                <w:lang w:eastAsia="en-US"/>
              </w:rPr>
              <w:t>,</w:t>
            </w:r>
            <w:r w:rsidR="0043201E" w:rsidRPr="00C21B99">
              <w:rPr>
                <w:bCs/>
                <w:snapToGrid w:val="0"/>
                <w:szCs w:val="22"/>
                <w:lang w:eastAsia="en-US"/>
              </w:rPr>
              <w:t>82</w:t>
            </w:r>
          </w:p>
          <w:p w14:paraId="0466D1AF"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F24B2F" w:rsidRPr="00C21B99">
              <w:rPr>
                <w:bCs/>
                <w:snapToGrid w:val="0"/>
                <w:szCs w:val="22"/>
                <w:lang w:eastAsia="en-US"/>
              </w:rPr>
              <w:t>,</w:t>
            </w:r>
            <w:r w:rsidRPr="00C21B99">
              <w:rPr>
                <w:bCs/>
                <w:snapToGrid w:val="0"/>
                <w:szCs w:val="22"/>
                <w:lang w:eastAsia="en-US"/>
              </w:rPr>
              <w:t>73</w:t>
            </w:r>
            <w:r w:rsidR="00F24B2F" w:rsidRPr="00C21B99">
              <w:rPr>
                <w:bCs/>
                <w:snapToGrid w:val="0"/>
                <w:szCs w:val="22"/>
                <w:lang w:eastAsia="en-US"/>
              </w:rPr>
              <w:t xml:space="preserve"> –</w:t>
            </w:r>
            <w:r w:rsidRPr="00C21B99">
              <w:rPr>
                <w:bCs/>
                <w:snapToGrid w:val="0"/>
                <w:szCs w:val="22"/>
                <w:lang w:eastAsia="en-US"/>
              </w:rPr>
              <w:t xml:space="preserve"> 0</w:t>
            </w:r>
            <w:r w:rsidR="00F24B2F" w:rsidRPr="00C21B99">
              <w:rPr>
                <w:bCs/>
                <w:snapToGrid w:val="0"/>
                <w:szCs w:val="22"/>
                <w:lang w:eastAsia="en-US"/>
              </w:rPr>
              <w:t>,</w:t>
            </w:r>
            <w:r w:rsidRPr="00C21B99">
              <w:rPr>
                <w:bCs/>
                <w:snapToGrid w:val="0"/>
                <w:szCs w:val="22"/>
                <w:lang w:eastAsia="en-US"/>
              </w:rPr>
              <w:t>92]</w:t>
            </w:r>
          </w:p>
          <w:p w14:paraId="7786EB95"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3</w:t>
            </w:r>
            <w:r w:rsidR="00F24B2F" w:rsidRPr="00C21B99">
              <w:rPr>
                <w:bCs/>
                <w:snapToGrid w:val="0"/>
                <w:szCs w:val="22"/>
                <w:lang w:eastAsia="en-US"/>
              </w:rPr>
              <w:t>,</w:t>
            </w:r>
            <w:r w:rsidRPr="00C21B99">
              <w:rPr>
                <w:bCs/>
                <w:snapToGrid w:val="0"/>
                <w:szCs w:val="22"/>
                <w:lang w:eastAsia="en-US"/>
              </w:rPr>
              <w:t xml:space="preserve">0 </w:t>
            </w:r>
            <w:proofErr w:type="spellStart"/>
            <w:r w:rsidRPr="00C21B99">
              <w:rPr>
                <w:bCs/>
                <w:snapToGrid w:val="0"/>
                <w:szCs w:val="22"/>
                <w:lang w:eastAsia="en-US"/>
              </w:rPr>
              <w:t>m</w:t>
            </w:r>
            <w:r w:rsidR="00F24B2F" w:rsidRPr="00C21B99">
              <w:rPr>
                <w:bCs/>
                <w:snapToGrid w:val="0"/>
                <w:szCs w:val="22"/>
                <w:lang w:eastAsia="en-US"/>
              </w:rPr>
              <w:t>ėn</w:t>
            </w:r>
            <w:proofErr w:type="spellEnd"/>
            <w:r w:rsidR="00F24B2F" w:rsidRPr="00C21B99">
              <w:rPr>
                <w:bCs/>
                <w:snapToGrid w:val="0"/>
                <w:szCs w:val="22"/>
                <w:lang w:eastAsia="en-US"/>
              </w:rPr>
              <w:t>, plg</w:t>
            </w:r>
            <w:r w:rsidR="002509C6" w:rsidRPr="00C21B99">
              <w:rPr>
                <w:bCs/>
                <w:snapToGrid w:val="0"/>
                <w:szCs w:val="22"/>
                <w:lang w:eastAsia="en-US"/>
              </w:rPr>
              <w:t>.</w:t>
            </w:r>
            <w:r w:rsidRPr="00C21B99">
              <w:rPr>
                <w:bCs/>
                <w:snapToGrid w:val="0"/>
                <w:szCs w:val="22"/>
                <w:lang w:eastAsia="en-US"/>
              </w:rPr>
              <w:t xml:space="preserve"> 2</w:t>
            </w:r>
            <w:r w:rsidR="00F24B2F" w:rsidRPr="00C21B99">
              <w:rPr>
                <w:bCs/>
                <w:snapToGrid w:val="0"/>
                <w:szCs w:val="22"/>
                <w:lang w:eastAsia="en-US"/>
              </w:rPr>
              <w:t>,</w:t>
            </w:r>
            <w:r w:rsidRPr="00C21B99">
              <w:rPr>
                <w:bCs/>
                <w:snapToGrid w:val="0"/>
                <w:szCs w:val="22"/>
                <w:lang w:eastAsia="en-US"/>
              </w:rPr>
              <w:t>6 m</w:t>
            </w:r>
            <w:r w:rsidR="00F24B2F" w:rsidRPr="00C21B99">
              <w:rPr>
                <w:bCs/>
                <w:snapToGrid w:val="0"/>
                <w:szCs w:val="22"/>
                <w:lang w:eastAsia="en-US"/>
              </w:rPr>
              <w:t>ėn.</w:t>
            </w:r>
          </w:p>
          <w:p w14:paraId="0E089823"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F24B2F" w:rsidRPr="00C21B99">
              <w:rPr>
                <w:bCs/>
                <w:snapToGrid w:val="0"/>
                <w:szCs w:val="22"/>
                <w:lang w:eastAsia="en-US"/>
              </w:rPr>
              <w:t xml:space="preserve">  </w:t>
            </w:r>
            <w:r w:rsidRPr="00C21B99">
              <w:rPr>
                <w:bCs/>
                <w:snapToGrid w:val="0"/>
                <w:szCs w:val="22"/>
                <w:lang w:eastAsia="en-US"/>
              </w:rPr>
              <w:t>=</w:t>
            </w:r>
            <w:r w:rsidR="00F24B2F" w:rsidRPr="00C21B99">
              <w:rPr>
                <w:bCs/>
                <w:snapToGrid w:val="0"/>
                <w:szCs w:val="22"/>
                <w:lang w:eastAsia="en-US"/>
              </w:rPr>
              <w:t xml:space="preserve"> </w:t>
            </w:r>
            <w:r w:rsidRPr="00C21B99">
              <w:rPr>
                <w:bCs/>
                <w:snapToGrid w:val="0"/>
                <w:szCs w:val="22"/>
                <w:lang w:eastAsia="en-US"/>
              </w:rPr>
              <w:t>0</w:t>
            </w:r>
            <w:r w:rsidR="00F24B2F" w:rsidRPr="00C21B99">
              <w:rPr>
                <w:bCs/>
                <w:snapToGrid w:val="0"/>
                <w:szCs w:val="22"/>
                <w:lang w:eastAsia="en-US"/>
              </w:rPr>
              <w:t>,</w:t>
            </w:r>
            <w:r w:rsidRPr="00C21B99">
              <w:rPr>
                <w:bCs/>
                <w:snapToGrid w:val="0"/>
                <w:szCs w:val="22"/>
                <w:lang w:eastAsia="en-US"/>
              </w:rPr>
              <w:t>0006</w:t>
            </w:r>
          </w:p>
        </w:tc>
        <w:tc>
          <w:tcPr>
            <w:tcW w:w="1701" w:type="dxa"/>
            <w:tcBorders>
              <w:top w:val="single" w:sz="12" w:space="0" w:color="auto"/>
              <w:left w:val="nil"/>
              <w:bottom w:val="single" w:sz="4" w:space="0" w:color="auto"/>
              <w:right w:val="nil"/>
            </w:tcBorders>
            <w:shd w:val="clear" w:color="auto" w:fill="auto"/>
          </w:tcPr>
          <w:p w14:paraId="7AC1247E" w14:textId="77777777" w:rsidR="0043201E" w:rsidRPr="00C21B99" w:rsidRDefault="00F24B2F"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Pr="00C21B99">
              <w:rPr>
                <w:bCs/>
                <w:snapToGrid w:val="0"/>
                <w:szCs w:val="22"/>
                <w:lang w:eastAsia="en-US"/>
              </w:rPr>
              <w:t>,</w:t>
            </w:r>
            <w:r w:rsidR="0043201E" w:rsidRPr="00C21B99">
              <w:rPr>
                <w:bCs/>
                <w:snapToGrid w:val="0"/>
                <w:szCs w:val="22"/>
                <w:lang w:eastAsia="en-US"/>
              </w:rPr>
              <w:t>89</w:t>
            </w:r>
          </w:p>
          <w:p w14:paraId="5EA1F54D"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F24B2F" w:rsidRPr="00C21B99">
              <w:rPr>
                <w:bCs/>
                <w:snapToGrid w:val="0"/>
                <w:szCs w:val="22"/>
                <w:lang w:eastAsia="en-US"/>
              </w:rPr>
              <w:t>,</w:t>
            </w:r>
            <w:r w:rsidRPr="00C21B99">
              <w:rPr>
                <w:bCs/>
                <w:snapToGrid w:val="0"/>
                <w:szCs w:val="22"/>
                <w:lang w:eastAsia="en-US"/>
              </w:rPr>
              <w:t>77</w:t>
            </w:r>
            <w:r w:rsidR="00F24B2F" w:rsidRPr="00C21B99">
              <w:rPr>
                <w:bCs/>
                <w:snapToGrid w:val="0"/>
                <w:szCs w:val="22"/>
                <w:lang w:eastAsia="en-US"/>
              </w:rPr>
              <w:t xml:space="preserve"> – </w:t>
            </w:r>
            <w:r w:rsidRPr="00C21B99">
              <w:rPr>
                <w:bCs/>
                <w:snapToGrid w:val="0"/>
                <w:szCs w:val="22"/>
                <w:lang w:eastAsia="en-US"/>
              </w:rPr>
              <w:t>1</w:t>
            </w:r>
            <w:r w:rsidR="00F24B2F" w:rsidRPr="00C21B99">
              <w:rPr>
                <w:bCs/>
                <w:snapToGrid w:val="0"/>
                <w:szCs w:val="22"/>
                <w:lang w:eastAsia="en-US"/>
              </w:rPr>
              <w:t>,</w:t>
            </w:r>
            <w:r w:rsidRPr="00C21B99">
              <w:rPr>
                <w:bCs/>
                <w:snapToGrid w:val="0"/>
                <w:szCs w:val="22"/>
                <w:lang w:eastAsia="en-US"/>
              </w:rPr>
              <w:t>02]</w:t>
            </w:r>
          </w:p>
          <w:p w14:paraId="064C6ACF"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5</w:t>
            </w:r>
            <w:r w:rsidR="00F24B2F" w:rsidRPr="00C21B99">
              <w:rPr>
                <w:bCs/>
                <w:snapToGrid w:val="0"/>
                <w:szCs w:val="22"/>
                <w:lang w:eastAsia="en-US"/>
              </w:rPr>
              <w:t>,</w:t>
            </w:r>
            <w:r w:rsidRPr="00C21B99">
              <w:rPr>
                <w:bCs/>
                <w:snapToGrid w:val="0"/>
                <w:szCs w:val="22"/>
                <w:lang w:eastAsia="en-US"/>
              </w:rPr>
              <w:t xml:space="preserve">6 </w:t>
            </w:r>
            <w:proofErr w:type="spellStart"/>
            <w:r w:rsidRPr="00C21B99">
              <w:rPr>
                <w:bCs/>
                <w:snapToGrid w:val="0"/>
                <w:szCs w:val="22"/>
                <w:lang w:eastAsia="en-US"/>
              </w:rPr>
              <w:t>m</w:t>
            </w:r>
            <w:r w:rsidR="00F24B2F" w:rsidRPr="00C21B99">
              <w:rPr>
                <w:bCs/>
                <w:snapToGrid w:val="0"/>
                <w:szCs w:val="22"/>
                <w:lang w:eastAsia="en-US"/>
              </w:rPr>
              <w:t>ėn</w:t>
            </w:r>
            <w:proofErr w:type="spellEnd"/>
            <w:r w:rsidR="00F24B2F" w:rsidRPr="00C21B99">
              <w:rPr>
                <w:bCs/>
                <w:snapToGrid w:val="0"/>
                <w:szCs w:val="22"/>
                <w:lang w:eastAsia="en-US"/>
              </w:rPr>
              <w:t>, plg.</w:t>
            </w:r>
            <w:r w:rsidRPr="00C21B99">
              <w:rPr>
                <w:bCs/>
                <w:snapToGrid w:val="0"/>
                <w:szCs w:val="22"/>
                <w:lang w:eastAsia="en-US"/>
              </w:rPr>
              <w:t xml:space="preserve"> 5.1 </w:t>
            </w:r>
            <w:proofErr w:type="spellStart"/>
            <w:r w:rsidRPr="00C21B99">
              <w:rPr>
                <w:bCs/>
                <w:snapToGrid w:val="0"/>
                <w:szCs w:val="22"/>
                <w:lang w:eastAsia="en-US"/>
              </w:rPr>
              <w:t>m</w:t>
            </w:r>
            <w:r w:rsidR="00F24B2F" w:rsidRPr="00C21B99">
              <w:rPr>
                <w:bCs/>
                <w:snapToGrid w:val="0"/>
                <w:szCs w:val="22"/>
                <w:lang w:eastAsia="en-US"/>
              </w:rPr>
              <w:t>ėn</w:t>
            </w:r>
            <w:proofErr w:type="spellEnd"/>
          </w:p>
          <w:p w14:paraId="3CAA46E4"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F24B2F" w:rsidRPr="00C21B99">
              <w:rPr>
                <w:bCs/>
                <w:snapToGrid w:val="0"/>
                <w:szCs w:val="22"/>
                <w:lang w:eastAsia="en-US"/>
              </w:rPr>
              <w:t xml:space="preserve"> </w:t>
            </w:r>
            <w:r w:rsidRPr="00C21B99">
              <w:rPr>
                <w:bCs/>
                <w:snapToGrid w:val="0"/>
                <w:szCs w:val="22"/>
                <w:lang w:eastAsia="en-US"/>
              </w:rPr>
              <w:t>=</w:t>
            </w:r>
            <w:r w:rsidR="00F24B2F" w:rsidRPr="00C21B99">
              <w:rPr>
                <w:bCs/>
                <w:snapToGrid w:val="0"/>
                <w:szCs w:val="22"/>
                <w:lang w:eastAsia="en-US"/>
              </w:rPr>
              <w:t xml:space="preserve"> </w:t>
            </w:r>
            <w:r w:rsidRPr="00C21B99">
              <w:rPr>
                <w:bCs/>
                <w:snapToGrid w:val="0"/>
                <w:szCs w:val="22"/>
                <w:lang w:eastAsia="en-US"/>
              </w:rPr>
              <w:t>0</w:t>
            </w:r>
            <w:r w:rsidR="00F24B2F" w:rsidRPr="00C21B99">
              <w:rPr>
                <w:bCs/>
                <w:snapToGrid w:val="0"/>
                <w:szCs w:val="22"/>
                <w:lang w:eastAsia="en-US"/>
              </w:rPr>
              <w:t>,</w:t>
            </w:r>
            <w:r w:rsidRPr="00C21B99">
              <w:rPr>
                <w:bCs/>
                <w:snapToGrid w:val="0"/>
                <w:szCs w:val="22"/>
                <w:lang w:eastAsia="en-US"/>
              </w:rPr>
              <w:t>0871</w:t>
            </w:r>
          </w:p>
        </w:tc>
      </w:tr>
      <w:tr w:rsidR="0043201E" w:rsidRPr="00C21B99" w14:paraId="46E12398" w14:textId="77777777" w:rsidTr="009A493C">
        <w:tc>
          <w:tcPr>
            <w:tcW w:w="1984" w:type="dxa"/>
            <w:tcBorders>
              <w:top w:val="single" w:sz="4" w:space="0" w:color="auto"/>
              <w:left w:val="nil"/>
              <w:bottom w:val="single" w:sz="2" w:space="0" w:color="auto"/>
              <w:right w:val="nil"/>
            </w:tcBorders>
            <w:shd w:val="clear" w:color="auto" w:fill="auto"/>
          </w:tcPr>
          <w:p w14:paraId="03B6C3E3"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EAFR mutacijos atžvilgiu teigiami</w:t>
            </w:r>
          </w:p>
        </w:tc>
        <w:tc>
          <w:tcPr>
            <w:tcW w:w="851" w:type="dxa"/>
            <w:tcBorders>
              <w:top w:val="single" w:sz="4" w:space="0" w:color="auto"/>
              <w:left w:val="nil"/>
              <w:bottom w:val="single" w:sz="2" w:space="0" w:color="auto"/>
              <w:right w:val="nil"/>
            </w:tcBorders>
            <w:shd w:val="clear" w:color="auto" w:fill="auto"/>
          </w:tcPr>
          <w:p w14:paraId="15859A08"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26</w:t>
            </w:r>
          </w:p>
        </w:tc>
        <w:tc>
          <w:tcPr>
            <w:tcW w:w="1984" w:type="dxa"/>
            <w:tcBorders>
              <w:top w:val="single" w:sz="4" w:space="0" w:color="auto"/>
              <w:left w:val="nil"/>
              <w:bottom w:val="single" w:sz="2" w:space="0" w:color="auto"/>
              <w:right w:val="nil"/>
            </w:tcBorders>
            <w:shd w:val="clear" w:color="auto" w:fill="auto"/>
          </w:tcPr>
          <w:p w14:paraId="4172F215"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37</w:t>
            </w:r>
            <w:r w:rsidR="00F24B2F" w:rsidRPr="00C21B99">
              <w:rPr>
                <w:bCs/>
                <w:snapToGrid w:val="0"/>
                <w:szCs w:val="22"/>
                <w:lang w:eastAsia="en-US"/>
              </w:rPr>
              <w:t>,</w:t>
            </w:r>
            <w:r w:rsidRPr="00C21B99">
              <w:rPr>
                <w:bCs/>
                <w:snapToGrid w:val="0"/>
                <w:szCs w:val="22"/>
                <w:lang w:eastAsia="en-US"/>
              </w:rPr>
              <w:t>5%</w:t>
            </w:r>
            <w:r w:rsidR="00F24B2F" w:rsidRPr="00C21B99">
              <w:rPr>
                <w:bCs/>
                <w:snapToGrid w:val="0"/>
                <w:szCs w:val="22"/>
                <w:lang w:eastAsia="en-US"/>
              </w:rPr>
              <w:t>, plg</w:t>
            </w:r>
            <w:r w:rsidR="002509C6" w:rsidRPr="00C21B99">
              <w:rPr>
                <w:bCs/>
                <w:snapToGrid w:val="0"/>
                <w:szCs w:val="22"/>
                <w:lang w:eastAsia="en-US"/>
              </w:rPr>
              <w:t>.</w:t>
            </w:r>
            <w:r w:rsidRPr="00C21B99">
              <w:rPr>
                <w:bCs/>
                <w:snapToGrid w:val="0"/>
                <w:szCs w:val="22"/>
                <w:lang w:eastAsia="en-US"/>
              </w:rPr>
              <w:t xml:space="preserve"> 0%</w:t>
            </w:r>
          </w:p>
          <w:p w14:paraId="71BDECE9"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[-15</w:t>
            </w:r>
            <w:r w:rsidR="00F24B2F" w:rsidRPr="00C21B99">
              <w:rPr>
                <w:bCs/>
                <w:snapToGrid w:val="0"/>
                <w:szCs w:val="22"/>
                <w:lang w:eastAsia="en-US"/>
              </w:rPr>
              <w:t>,</w:t>
            </w:r>
            <w:r w:rsidRPr="00C21B99">
              <w:rPr>
                <w:bCs/>
                <w:snapToGrid w:val="0"/>
                <w:szCs w:val="22"/>
                <w:lang w:eastAsia="en-US"/>
              </w:rPr>
              <w:t>1%</w:t>
            </w:r>
            <w:r w:rsidR="00F24B2F" w:rsidRPr="00C21B99">
              <w:rPr>
                <w:bCs/>
                <w:snapToGrid w:val="0"/>
                <w:szCs w:val="22"/>
                <w:lang w:eastAsia="en-US"/>
              </w:rPr>
              <w:t>;</w:t>
            </w:r>
            <w:r w:rsidRPr="00C21B99">
              <w:rPr>
                <w:bCs/>
                <w:snapToGrid w:val="0"/>
                <w:szCs w:val="22"/>
                <w:lang w:eastAsia="en-US"/>
              </w:rPr>
              <w:t xml:space="preserve"> 61</w:t>
            </w:r>
            <w:r w:rsidR="00F24B2F" w:rsidRPr="00C21B99">
              <w:rPr>
                <w:bCs/>
                <w:snapToGrid w:val="0"/>
                <w:szCs w:val="22"/>
                <w:lang w:eastAsia="en-US"/>
              </w:rPr>
              <w:t>,</w:t>
            </w:r>
            <w:r w:rsidRPr="00C21B99">
              <w:rPr>
                <w:bCs/>
                <w:snapToGrid w:val="0"/>
                <w:szCs w:val="22"/>
                <w:lang w:eastAsia="en-US"/>
              </w:rPr>
              <w:t>4%]</w:t>
            </w:r>
          </w:p>
        </w:tc>
        <w:tc>
          <w:tcPr>
            <w:tcW w:w="1982" w:type="dxa"/>
            <w:tcBorders>
              <w:top w:val="single" w:sz="4" w:space="0" w:color="auto"/>
              <w:left w:val="nil"/>
              <w:bottom w:val="single" w:sz="2" w:space="0" w:color="auto"/>
              <w:right w:val="nil"/>
            </w:tcBorders>
            <w:shd w:val="clear" w:color="auto" w:fill="auto"/>
          </w:tcPr>
          <w:p w14:paraId="1E36AC52" w14:textId="77777777" w:rsidR="0043201E" w:rsidRPr="00C21B99" w:rsidRDefault="00F24B2F"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002509C6" w:rsidRPr="00C21B99">
              <w:rPr>
                <w:bCs/>
                <w:snapToGrid w:val="0"/>
                <w:szCs w:val="22"/>
                <w:lang w:eastAsia="en-US"/>
              </w:rPr>
              <w:t>,</w:t>
            </w:r>
            <w:r w:rsidR="0043201E" w:rsidRPr="00C21B99">
              <w:rPr>
                <w:bCs/>
                <w:snapToGrid w:val="0"/>
                <w:szCs w:val="22"/>
                <w:lang w:eastAsia="en-US"/>
              </w:rPr>
              <w:t>79</w:t>
            </w:r>
          </w:p>
          <w:p w14:paraId="327D7B10"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F24B2F" w:rsidRPr="00C21B99">
              <w:rPr>
                <w:bCs/>
                <w:snapToGrid w:val="0"/>
                <w:szCs w:val="22"/>
                <w:lang w:eastAsia="en-US"/>
              </w:rPr>
              <w:t>,</w:t>
            </w:r>
            <w:r w:rsidRPr="00C21B99">
              <w:rPr>
                <w:bCs/>
                <w:snapToGrid w:val="0"/>
                <w:szCs w:val="22"/>
                <w:lang w:eastAsia="en-US"/>
              </w:rPr>
              <w:t>20</w:t>
            </w:r>
            <w:r w:rsidR="00F24B2F" w:rsidRPr="00C21B99">
              <w:rPr>
                <w:bCs/>
                <w:snapToGrid w:val="0"/>
                <w:szCs w:val="22"/>
                <w:lang w:eastAsia="en-US"/>
              </w:rPr>
              <w:t xml:space="preserve"> –</w:t>
            </w:r>
            <w:r w:rsidRPr="00C21B99">
              <w:rPr>
                <w:bCs/>
                <w:snapToGrid w:val="0"/>
                <w:szCs w:val="22"/>
                <w:lang w:eastAsia="en-US"/>
              </w:rPr>
              <w:t xml:space="preserve"> 3</w:t>
            </w:r>
            <w:r w:rsidR="00F24B2F" w:rsidRPr="00C21B99">
              <w:rPr>
                <w:bCs/>
                <w:snapToGrid w:val="0"/>
                <w:szCs w:val="22"/>
                <w:lang w:eastAsia="en-US"/>
              </w:rPr>
              <w:t>,</w:t>
            </w:r>
            <w:r w:rsidRPr="00C21B99">
              <w:rPr>
                <w:bCs/>
                <w:snapToGrid w:val="0"/>
                <w:szCs w:val="22"/>
                <w:lang w:eastAsia="en-US"/>
              </w:rPr>
              <w:t>12]</w:t>
            </w:r>
          </w:p>
          <w:p w14:paraId="12E6F446"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10</w:t>
            </w:r>
            <w:r w:rsidR="005C49EC" w:rsidRPr="00C21B99">
              <w:rPr>
                <w:bCs/>
                <w:snapToGrid w:val="0"/>
                <w:szCs w:val="22"/>
                <w:lang w:eastAsia="en-US"/>
              </w:rPr>
              <w:t>,</w:t>
            </w:r>
            <w:r w:rsidRPr="00C21B99">
              <w:rPr>
                <w:bCs/>
                <w:snapToGrid w:val="0"/>
                <w:szCs w:val="22"/>
                <w:lang w:eastAsia="en-US"/>
              </w:rPr>
              <w:t xml:space="preserve">8 </w:t>
            </w:r>
            <w:proofErr w:type="spellStart"/>
            <w:r w:rsidR="00F24B2F" w:rsidRPr="00C21B99">
              <w:rPr>
                <w:bCs/>
                <w:snapToGrid w:val="0"/>
                <w:szCs w:val="22"/>
                <w:lang w:eastAsia="en-US"/>
              </w:rPr>
              <w:t>mėn</w:t>
            </w:r>
            <w:proofErr w:type="spellEnd"/>
            <w:r w:rsidR="00F24B2F" w:rsidRPr="00C21B99">
              <w:rPr>
                <w:bCs/>
                <w:snapToGrid w:val="0"/>
                <w:szCs w:val="22"/>
                <w:lang w:eastAsia="en-US"/>
              </w:rPr>
              <w:t>, plg</w:t>
            </w:r>
            <w:r w:rsidR="002509C6" w:rsidRPr="00C21B99">
              <w:rPr>
                <w:bCs/>
                <w:snapToGrid w:val="0"/>
                <w:szCs w:val="22"/>
                <w:lang w:eastAsia="en-US"/>
              </w:rPr>
              <w:t>.</w:t>
            </w:r>
            <w:r w:rsidR="00F24B2F" w:rsidRPr="00C21B99">
              <w:rPr>
                <w:bCs/>
                <w:snapToGrid w:val="0"/>
                <w:szCs w:val="22"/>
                <w:lang w:eastAsia="en-US"/>
              </w:rPr>
              <w:t xml:space="preserve"> </w:t>
            </w:r>
            <w:r w:rsidRPr="00C21B99">
              <w:rPr>
                <w:bCs/>
                <w:snapToGrid w:val="0"/>
                <w:szCs w:val="22"/>
                <w:lang w:eastAsia="en-US"/>
              </w:rPr>
              <w:t>3</w:t>
            </w:r>
            <w:r w:rsidR="005C49EC" w:rsidRPr="00C21B99">
              <w:rPr>
                <w:bCs/>
                <w:snapToGrid w:val="0"/>
                <w:szCs w:val="22"/>
                <w:lang w:eastAsia="en-US"/>
              </w:rPr>
              <w:t>,</w:t>
            </w:r>
            <w:r w:rsidRPr="00C21B99">
              <w:rPr>
                <w:bCs/>
                <w:snapToGrid w:val="0"/>
                <w:szCs w:val="22"/>
                <w:lang w:eastAsia="en-US"/>
              </w:rPr>
              <w:t>8</w:t>
            </w:r>
            <w:r w:rsidR="002509C6" w:rsidRPr="00C21B99">
              <w:rPr>
                <w:bCs/>
                <w:snapToGrid w:val="0"/>
                <w:szCs w:val="22"/>
                <w:lang w:eastAsia="en-US"/>
              </w:rPr>
              <w:t xml:space="preserve"> </w:t>
            </w:r>
            <w:r w:rsidRPr="00C21B99">
              <w:rPr>
                <w:bCs/>
                <w:snapToGrid w:val="0"/>
                <w:szCs w:val="22"/>
                <w:lang w:eastAsia="en-US"/>
              </w:rPr>
              <w:t>m</w:t>
            </w:r>
            <w:r w:rsidR="00F24B2F" w:rsidRPr="00C21B99">
              <w:rPr>
                <w:bCs/>
                <w:snapToGrid w:val="0"/>
                <w:szCs w:val="22"/>
                <w:lang w:eastAsia="en-US"/>
              </w:rPr>
              <w:t>ėn.</w:t>
            </w:r>
          </w:p>
          <w:p w14:paraId="4135E4A4"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F24B2F" w:rsidRPr="00C21B99">
              <w:rPr>
                <w:bCs/>
                <w:snapToGrid w:val="0"/>
                <w:szCs w:val="22"/>
                <w:lang w:eastAsia="en-US"/>
              </w:rPr>
              <w:t xml:space="preserve"> </w:t>
            </w:r>
            <w:r w:rsidRPr="00C21B99">
              <w:rPr>
                <w:bCs/>
                <w:snapToGrid w:val="0"/>
                <w:szCs w:val="22"/>
                <w:lang w:eastAsia="en-US"/>
              </w:rPr>
              <w:t>0</w:t>
            </w:r>
            <w:r w:rsidR="00F24B2F" w:rsidRPr="00C21B99">
              <w:rPr>
                <w:bCs/>
                <w:snapToGrid w:val="0"/>
                <w:szCs w:val="22"/>
                <w:lang w:eastAsia="en-US"/>
              </w:rPr>
              <w:t>,</w:t>
            </w:r>
            <w:r w:rsidRPr="00C21B99">
              <w:rPr>
                <w:bCs/>
                <w:snapToGrid w:val="0"/>
                <w:szCs w:val="22"/>
                <w:lang w:eastAsia="en-US"/>
              </w:rPr>
              <w:t>7382</w:t>
            </w:r>
          </w:p>
        </w:tc>
        <w:tc>
          <w:tcPr>
            <w:tcW w:w="1701" w:type="dxa"/>
            <w:tcBorders>
              <w:top w:val="single" w:sz="4" w:space="0" w:color="auto"/>
              <w:left w:val="nil"/>
              <w:bottom w:val="single" w:sz="2" w:space="0" w:color="auto"/>
              <w:right w:val="nil"/>
            </w:tcBorders>
            <w:shd w:val="clear" w:color="auto" w:fill="auto"/>
          </w:tcPr>
          <w:p w14:paraId="4B913ECB" w14:textId="77777777" w:rsidR="0043201E" w:rsidRPr="00C21B99" w:rsidRDefault="00F24B2F"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w:t>
            </w:r>
            <w:r w:rsidRPr="00C21B99">
              <w:rPr>
                <w:bCs/>
                <w:snapToGrid w:val="0"/>
                <w:szCs w:val="22"/>
                <w:lang w:eastAsia="en-US"/>
              </w:rPr>
              <w:t>Neapskaičiuotas</w:t>
            </w:r>
          </w:p>
          <w:p w14:paraId="1E22DC12" w14:textId="77777777" w:rsidR="0043201E" w:rsidRPr="00C21B99" w:rsidRDefault="0043201E" w:rsidP="009A493C">
            <w:pPr>
              <w:widowControl w:val="0"/>
              <w:tabs>
                <w:tab w:val="left" w:pos="567"/>
              </w:tabs>
              <w:rPr>
                <w:bCs/>
                <w:snapToGrid w:val="0"/>
                <w:szCs w:val="22"/>
                <w:lang w:eastAsia="en-US"/>
              </w:rPr>
            </w:pPr>
          </w:p>
          <w:p w14:paraId="3A616EB7" w14:textId="77777777" w:rsidR="0043201E" w:rsidRPr="00C21B99" w:rsidRDefault="00F24B2F" w:rsidP="009A493C">
            <w:pPr>
              <w:widowControl w:val="0"/>
              <w:tabs>
                <w:tab w:val="left" w:pos="567"/>
              </w:tabs>
              <w:rPr>
                <w:bCs/>
                <w:snapToGrid w:val="0"/>
                <w:szCs w:val="22"/>
                <w:lang w:eastAsia="en-US"/>
              </w:rPr>
            </w:pPr>
            <w:r w:rsidRPr="00C21B99">
              <w:rPr>
                <w:bCs/>
                <w:snapToGrid w:val="0"/>
                <w:szCs w:val="22"/>
                <w:lang w:eastAsia="en-US"/>
              </w:rPr>
              <w:t>Nepasiektas, plg</w:t>
            </w:r>
            <w:r w:rsidR="002509C6" w:rsidRPr="00C21B99">
              <w:rPr>
                <w:bCs/>
                <w:snapToGrid w:val="0"/>
                <w:szCs w:val="22"/>
                <w:lang w:eastAsia="en-US"/>
              </w:rPr>
              <w:t>.</w:t>
            </w:r>
            <w:r w:rsidR="0043201E" w:rsidRPr="00C21B99">
              <w:rPr>
                <w:bCs/>
                <w:snapToGrid w:val="0"/>
                <w:szCs w:val="22"/>
                <w:lang w:eastAsia="en-US"/>
              </w:rPr>
              <w:t xml:space="preserve"> 4</w:t>
            </w:r>
            <w:r w:rsidR="005C49EC" w:rsidRPr="00C21B99">
              <w:rPr>
                <w:bCs/>
                <w:snapToGrid w:val="0"/>
                <w:szCs w:val="22"/>
                <w:lang w:eastAsia="en-US"/>
              </w:rPr>
              <w:t>,</w:t>
            </w:r>
            <w:r w:rsidR="0043201E" w:rsidRPr="00C21B99">
              <w:rPr>
                <w:bCs/>
                <w:snapToGrid w:val="0"/>
                <w:szCs w:val="22"/>
                <w:lang w:eastAsia="en-US"/>
              </w:rPr>
              <w:t>3 m</w:t>
            </w:r>
            <w:r w:rsidRPr="00C21B99">
              <w:rPr>
                <w:bCs/>
                <w:snapToGrid w:val="0"/>
                <w:szCs w:val="22"/>
                <w:lang w:eastAsia="en-US"/>
              </w:rPr>
              <w:t>ėn.</w:t>
            </w:r>
          </w:p>
        </w:tc>
      </w:tr>
      <w:tr w:rsidR="0043201E" w:rsidRPr="00C21B99" w14:paraId="0A02DFD5" w14:textId="77777777" w:rsidTr="009A493C">
        <w:tc>
          <w:tcPr>
            <w:tcW w:w="1984" w:type="dxa"/>
            <w:tcBorders>
              <w:top w:val="single" w:sz="2" w:space="0" w:color="auto"/>
              <w:left w:val="nil"/>
              <w:bottom w:val="single" w:sz="2" w:space="0" w:color="auto"/>
              <w:right w:val="nil"/>
            </w:tcBorders>
            <w:shd w:val="clear" w:color="auto" w:fill="auto"/>
          </w:tcPr>
          <w:p w14:paraId="461F5223"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EAFR mutacijos atžvilgiu neigiami</w:t>
            </w:r>
          </w:p>
        </w:tc>
        <w:tc>
          <w:tcPr>
            <w:tcW w:w="851" w:type="dxa"/>
            <w:tcBorders>
              <w:top w:val="single" w:sz="2" w:space="0" w:color="auto"/>
              <w:left w:val="nil"/>
              <w:bottom w:val="single" w:sz="2" w:space="0" w:color="auto"/>
              <w:right w:val="nil"/>
            </w:tcBorders>
            <w:shd w:val="clear" w:color="auto" w:fill="auto"/>
          </w:tcPr>
          <w:p w14:paraId="3A9EF357"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189</w:t>
            </w:r>
          </w:p>
        </w:tc>
        <w:tc>
          <w:tcPr>
            <w:tcW w:w="1984" w:type="dxa"/>
            <w:tcBorders>
              <w:top w:val="single" w:sz="2" w:space="0" w:color="auto"/>
              <w:left w:val="nil"/>
              <w:bottom w:val="single" w:sz="2" w:space="0" w:color="auto"/>
              <w:right w:val="nil"/>
            </w:tcBorders>
            <w:shd w:val="clear" w:color="auto" w:fill="auto"/>
          </w:tcPr>
          <w:p w14:paraId="7EEA1649"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2</w:t>
            </w:r>
            <w:r w:rsidR="002509C6" w:rsidRPr="00C21B99">
              <w:rPr>
                <w:bCs/>
                <w:snapToGrid w:val="0"/>
                <w:szCs w:val="22"/>
                <w:lang w:eastAsia="en-US"/>
              </w:rPr>
              <w:t>,</w:t>
            </w:r>
            <w:r w:rsidRPr="00C21B99">
              <w:rPr>
                <w:bCs/>
                <w:snapToGrid w:val="0"/>
                <w:szCs w:val="22"/>
                <w:lang w:eastAsia="en-US"/>
              </w:rPr>
              <w:t>6%</w:t>
            </w:r>
            <w:r w:rsidR="002509C6" w:rsidRPr="00C21B99">
              <w:rPr>
                <w:bCs/>
                <w:snapToGrid w:val="0"/>
                <w:szCs w:val="22"/>
                <w:lang w:eastAsia="en-US"/>
              </w:rPr>
              <w:t>, plg.</w:t>
            </w:r>
            <w:r w:rsidRPr="00C21B99">
              <w:rPr>
                <w:bCs/>
                <w:snapToGrid w:val="0"/>
                <w:szCs w:val="22"/>
                <w:lang w:eastAsia="en-US"/>
              </w:rPr>
              <w:t xml:space="preserve"> 0%</w:t>
            </w:r>
          </w:p>
          <w:p w14:paraId="7565EBDF"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[-5.6%</w:t>
            </w:r>
            <w:r w:rsidR="002509C6" w:rsidRPr="00C21B99">
              <w:rPr>
                <w:bCs/>
                <w:snapToGrid w:val="0"/>
                <w:szCs w:val="22"/>
                <w:lang w:eastAsia="en-US"/>
              </w:rPr>
              <w:t xml:space="preserve">; </w:t>
            </w:r>
            <w:r w:rsidRPr="00C21B99">
              <w:rPr>
                <w:bCs/>
                <w:snapToGrid w:val="0"/>
                <w:szCs w:val="22"/>
                <w:lang w:eastAsia="en-US"/>
              </w:rPr>
              <w:t>7.3%]</w:t>
            </w:r>
          </w:p>
        </w:tc>
        <w:tc>
          <w:tcPr>
            <w:tcW w:w="1982" w:type="dxa"/>
            <w:tcBorders>
              <w:top w:val="single" w:sz="2" w:space="0" w:color="auto"/>
              <w:left w:val="nil"/>
              <w:bottom w:val="single" w:sz="2" w:space="0" w:color="auto"/>
              <w:right w:val="nil"/>
            </w:tcBorders>
            <w:shd w:val="clear" w:color="auto" w:fill="auto"/>
          </w:tcPr>
          <w:p w14:paraId="6216C5DE" w14:textId="77777777" w:rsidR="0043201E" w:rsidRPr="00C21B99" w:rsidRDefault="00F24B2F"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1</w:t>
            </w:r>
            <w:r w:rsidR="002509C6" w:rsidRPr="00C21B99">
              <w:rPr>
                <w:bCs/>
                <w:snapToGrid w:val="0"/>
                <w:szCs w:val="22"/>
                <w:lang w:eastAsia="en-US"/>
              </w:rPr>
              <w:t>,</w:t>
            </w:r>
            <w:r w:rsidR="0043201E" w:rsidRPr="00C21B99">
              <w:rPr>
                <w:bCs/>
                <w:snapToGrid w:val="0"/>
                <w:szCs w:val="22"/>
                <w:lang w:eastAsia="en-US"/>
              </w:rPr>
              <w:t>10</w:t>
            </w:r>
          </w:p>
          <w:p w14:paraId="1EB1B93B"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78</w:t>
            </w:r>
            <w:r w:rsidR="002509C6" w:rsidRPr="00C21B99">
              <w:rPr>
                <w:bCs/>
                <w:snapToGrid w:val="0"/>
                <w:szCs w:val="22"/>
                <w:lang w:eastAsia="en-US"/>
              </w:rPr>
              <w:t xml:space="preserve"> –</w:t>
            </w:r>
            <w:r w:rsidRPr="00C21B99">
              <w:rPr>
                <w:bCs/>
                <w:snapToGrid w:val="0"/>
                <w:szCs w:val="22"/>
                <w:lang w:eastAsia="en-US"/>
              </w:rPr>
              <w:t xml:space="preserve"> 1</w:t>
            </w:r>
            <w:r w:rsidR="002509C6" w:rsidRPr="00C21B99">
              <w:rPr>
                <w:bCs/>
                <w:snapToGrid w:val="0"/>
                <w:szCs w:val="22"/>
                <w:lang w:eastAsia="en-US"/>
              </w:rPr>
              <w:t>,</w:t>
            </w:r>
            <w:r w:rsidRPr="00C21B99">
              <w:rPr>
                <w:bCs/>
                <w:snapToGrid w:val="0"/>
                <w:szCs w:val="22"/>
                <w:lang w:eastAsia="en-US"/>
              </w:rPr>
              <w:t>56]</w:t>
            </w:r>
          </w:p>
          <w:p w14:paraId="231BCF46"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2</w:t>
            </w:r>
            <w:r w:rsidR="002509C6" w:rsidRPr="00C21B99">
              <w:rPr>
                <w:bCs/>
                <w:snapToGrid w:val="0"/>
                <w:szCs w:val="22"/>
                <w:lang w:eastAsia="en-US"/>
              </w:rPr>
              <w:t>,</w:t>
            </w:r>
            <w:r w:rsidRPr="00C21B99">
              <w:rPr>
                <w:bCs/>
                <w:snapToGrid w:val="0"/>
                <w:szCs w:val="22"/>
                <w:lang w:eastAsia="en-US"/>
              </w:rPr>
              <w:t xml:space="preserve">0 </w:t>
            </w:r>
            <w:proofErr w:type="spellStart"/>
            <w:r w:rsidR="002509C6" w:rsidRPr="00C21B99">
              <w:rPr>
                <w:bCs/>
                <w:snapToGrid w:val="0"/>
                <w:szCs w:val="22"/>
                <w:lang w:eastAsia="en-US"/>
              </w:rPr>
              <w:t>mėn</w:t>
            </w:r>
            <w:proofErr w:type="spellEnd"/>
            <w:r w:rsidR="002509C6" w:rsidRPr="00C21B99">
              <w:rPr>
                <w:bCs/>
                <w:snapToGrid w:val="0"/>
                <w:szCs w:val="22"/>
                <w:lang w:eastAsia="en-US"/>
              </w:rPr>
              <w:t xml:space="preserve">, plg. </w:t>
            </w:r>
            <w:r w:rsidRPr="00C21B99">
              <w:rPr>
                <w:bCs/>
                <w:snapToGrid w:val="0"/>
                <w:szCs w:val="22"/>
                <w:lang w:eastAsia="en-US"/>
              </w:rPr>
              <w:t>2</w:t>
            </w:r>
            <w:r w:rsidR="002509C6" w:rsidRPr="00C21B99">
              <w:rPr>
                <w:bCs/>
                <w:snapToGrid w:val="0"/>
                <w:szCs w:val="22"/>
                <w:lang w:eastAsia="en-US"/>
              </w:rPr>
              <w:t>,</w:t>
            </w:r>
            <w:r w:rsidRPr="00C21B99">
              <w:rPr>
                <w:bCs/>
                <w:snapToGrid w:val="0"/>
                <w:szCs w:val="22"/>
                <w:lang w:eastAsia="en-US"/>
              </w:rPr>
              <w:t>6 m</w:t>
            </w:r>
            <w:r w:rsidR="002509C6" w:rsidRPr="00C21B99">
              <w:rPr>
                <w:bCs/>
                <w:snapToGrid w:val="0"/>
                <w:szCs w:val="22"/>
                <w:lang w:eastAsia="en-US"/>
              </w:rPr>
              <w:t>ėn.</w:t>
            </w:r>
          </w:p>
          <w:p w14:paraId="7CEB64CD"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2509C6" w:rsidRPr="00C21B99">
              <w:rPr>
                <w:bCs/>
                <w:snapToGrid w:val="0"/>
                <w:szCs w:val="22"/>
                <w:lang w:eastAsia="en-US"/>
              </w:rPr>
              <w:t xml:space="preserve"> </w:t>
            </w:r>
            <w:r w:rsidRPr="00C21B99">
              <w:rPr>
                <w:bCs/>
                <w:snapToGrid w:val="0"/>
                <w:szCs w:val="22"/>
                <w:lang w:eastAsia="en-US"/>
              </w:rPr>
              <w:t>=</w:t>
            </w:r>
            <w:r w:rsidR="002509C6" w:rsidRPr="00C21B99">
              <w:rPr>
                <w:bCs/>
                <w:snapToGrid w:val="0"/>
                <w:szCs w:val="22"/>
                <w:lang w:eastAsia="en-US"/>
              </w:rPr>
              <w:t xml:space="preserve"> </w:t>
            </w: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5771</w:t>
            </w:r>
          </w:p>
        </w:tc>
        <w:tc>
          <w:tcPr>
            <w:tcW w:w="1701" w:type="dxa"/>
            <w:tcBorders>
              <w:top w:val="single" w:sz="2" w:space="0" w:color="auto"/>
              <w:left w:val="nil"/>
              <w:bottom w:val="single" w:sz="2" w:space="0" w:color="auto"/>
              <w:right w:val="nil"/>
            </w:tcBorders>
            <w:shd w:val="clear" w:color="auto" w:fill="auto"/>
          </w:tcPr>
          <w:p w14:paraId="6D870B66" w14:textId="77777777" w:rsidR="0043201E" w:rsidRPr="00C21B99" w:rsidRDefault="00F24B2F"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1</w:t>
            </w:r>
            <w:r w:rsidR="002509C6" w:rsidRPr="00C21B99">
              <w:rPr>
                <w:bCs/>
                <w:snapToGrid w:val="0"/>
                <w:szCs w:val="22"/>
                <w:lang w:eastAsia="en-US"/>
              </w:rPr>
              <w:t>,</w:t>
            </w:r>
            <w:r w:rsidR="0043201E" w:rsidRPr="00C21B99">
              <w:rPr>
                <w:bCs/>
                <w:snapToGrid w:val="0"/>
                <w:szCs w:val="22"/>
                <w:lang w:eastAsia="en-US"/>
              </w:rPr>
              <w:t>16</w:t>
            </w:r>
          </w:p>
          <w:p w14:paraId="70CD3CDE"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79</w:t>
            </w:r>
            <w:r w:rsidR="002509C6" w:rsidRPr="00C21B99">
              <w:rPr>
                <w:bCs/>
                <w:snapToGrid w:val="0"/>
                <w:szCs w:val="22"/>
                <w:lang w:eastAsia="en-US"/>
              </w:rPr>
              <w:t xml:space="preserve"> –</w:t>
            </w:r>
            <w:r w:rsidRPr="00C21B99">
              <w:rPr>
                <w:bCs/>
                <w:snapToGrid w:val="0"/>
                <w:szCs w:val="22"/>
                <w:lang w:eastAsia="en-US"/>
              </w:rPr>
              <w:t xml:space="preserve"> 1</w:t>
            </w:r>
            <w:r w:rsidR="002509C6" w:rsidRPr="00C21B99">
              <w:rPr>
                <w:bCs/>
                <w:snapToGrid w:val="0"/>
                <w:szCs w:val="22"/>
                <w:lang w:eastAsia="en-US"/>
              </w:rPr>
              <w:t>,</w:t>
            </w:r>
            <w:r w:rsidRPr="00C21B99">
              <w:rPr>
                <w:bCs/>
                <w:snapToGrid w:val="0"/>
                <w:szCs w:val="22"/>
                <w:lang w:eastAsia="en-US"/>
              </w:rPr>
              <w:t>72]</w:t>
            </w:r>
          </w:p>
          <w:p w14:paraId="0CA4F162"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3</w:t>
            </w:r>
            <w:r w:rsidR="002509C6" w:rsidRPr="00C21B99">
              <w:rPr>
                <w:bCs/>
                <w:snapToGrid w:val="0"/>
                <w:szCs w:val="22"/>
                <w:lang w:eastAsia="en-US"/>
              </w:rPr>
              <w:t>,</w:t>
            </w:r>
            <w:r w:rsidRPr="00C21B99">
              <w:rPr>
                <w:bCs/>
                <w:snapToGrid w:val="0"/>
                <w:szCs w:val="22"/>
                <w:lang w:eastAsia="en-US"/>
              </w:rPr>
              <w:t xml:space="preserve">7 </w:t>
            </w:r>
            <w:proofErr w:type="spellStart"/>
            <w:r w:rsidR="002509C6" w:rsidRPr="00C21B99">
              <w:rPr>
                <w:bCs/>
                <w:snapToGrid w:val="0"/>
                <w:szCs w:val="22"/>
                <w:lang w:eastAsia="en-US"/>
              </w:rPr>
              <w:t>mėn</w:t>
            </w:r>
            <w:proofErr w:type="spellEnd"/>
            <w:r w:rsidR="002509C6" w:rsidRPr="00C21B99">
              <w:rPr>
                <w:bCs/>
                <w:snapToGrid w:val="0"/>
                <w:szCs w:val="22"/>
                <w:lang w:eastAsia="en-US"/>
              </w:rPr>
              <w:t xml:space="preserve">, plg. </w:t>
            </w:r>
            <w:r w:rsidRPr="00C21B99">
              <w:rPr>
                <w:bCs/>
                <w:snapToGrid w:val="0"/>
                <w:szCs w:val="22"/>
                <w:lang w:eastAsia="en-US"/>
              </w:rPr>
              <w:t>5</w:t>
            </w:r>
            <w:r w:rsidR="002509C6" w:rsidRPr="00C21B99">
              <w:rPr>
                <w:bCs/>
                <w:snapToGrid w:val="0"/>
                <w:szCs w:val="22"/>
                <w:lang w:eastAsia="en-US"/>
              </w:rPr>
              <w:t>,</w:t>
            </w:r>
            <w:r w:rsidRPr="00C21B99">
              <w:rPr>
                <w:bCs/>
                <w:snapToGrid w:val="0"/>
                <w:szCs w:val="22"/>
                <w:lang w:eastAsia="en-US"/>
              </w:rPr>
              <w:t>9 m</w:t>
            </w:r>
            <w:r w:rsidR="002509C6" w:rsidRPr="00C21B99">
              <w:rPr>
                <w:bCs/>
                <w:snapToGrid w:val="0"/>
                <w:szCs w:val="22"/>
                <w:lang w:eastAsia="en-US"/>
              </w:rPr>
              <w:t>ėn.</w:t>
            </w:r>
          </w:p>
          <w:p w14:paraId="2ECD0343"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2509C6" w:rsidRPr="00C21B99">
              <w:rPr>
                <w:bCs/>
                <w:snapToGrid w:val="0"/>
                <w:szCs w:val="22"/>
                <w:lang w:eastAsia="en-US"/>
              </w:rPr>
              <w:t xml:space="preserve"> </w:t>
            </w:r>
            <w:r w:rsidRPr="00C21B99">
              <w:rPr>
                <w:bCs/>
                <w:snapToGrid w:val="0"/>
                <w:szCs w:val="22"/>
                <w:lang w:eastAsia="en-US"/>
              </w:rPr>
              <w:t>=</w:t>
            </w:r>
            <w:r w:rsidR="002509C6" w:rsidRPr="00C21B99">
              <w:rPr>
                <w:bCs/>
                <w:snapToGrid w:val="0"/>
                <w:szCs w:val="22"/>
                <w:lang w:eastAsia="en-US"/>
              </w:rPr>
              <w:t xml:space="preserve"> </w:t>
            </w: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4449</w:t>
            </w:r>
          </w:p>
        </w:tc>
      </w:tr>
      <w:tr w:rsidR="0043201E" w:rsidRPr="00C21B99" w14:paraId="3FE59305" w14:textId="77777777" w:rsidTr="009A493C">
        <w:tc>
          <w:tcPr>
            <w:tcW w:w="1984" w:type="dxa"/>
            <w:tcBorders>
              <w:top w:val="single" w:sz="2" w:space="0" w:color="auto"/>
              <w:left w:val="nil"/>
              <w:bottom w:val="single" w:sz="2" w:space="0" w:color="auto"/>
              <w:right w:val="nil"/>
            </w:tcBorders>
            <w:shd w:val="clear" w:color="auto" w:fill="auto"/>
          </w:tcPr>
          <w:p w14:paraId="2B51B497"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Niekada nebuvę rūkaliais</w:t>
            </w:r>
          </w:p>
        </w:tc>
        <w:tc>
          <w:tcPr>
            <w:tcW w:w="851" w:type="dxa"/>
            <w:tcBorders>
              <w:top w:val="single" w:sz="2" w:space="0" w:color="auto"/>
              <w:left w:val="nil"/>
              <w:bottom w:val="single" w:sz="2" w:space="0" w:color="auto"/>
              <w:right w:val="nil"/>
            </w:tcBorders>
            <w:shd w:val="clear" w:color="auto" w:fill="auto"/>
          </w:tcPr>
          <w:p w14:paraId="7889BFE5"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375</w:t>
            </w:r>
          </w:p>
        </w:tc>
        <w:tc>
          <w:tcPr>
            <w:tcW w:w="1984" w:type="dxa"/>
            <w:tcBorders>
              <w:top w:val="single" w:sz="2" w:space="0" w:color="auto"/>
              <w:left w:val="nil"/>
              <w:bottom w:val="single" w:sz="2" w:space="0" w:color="auto"/>
              <w:right w:val="nil"/>
            </w:tcBorders>
            <w:shd w:val="clear" w:color="auto" w:fill="auto"/>
          </w:tcPr>
          <w:p w14:paraId="5793B97D"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18</w:t>
            </w:r>
            <w:r w:rsidR="002509C6" w:rsidRPr="00C21B99">
              <w:rPr>
                <w:bCs/>
                <w:snapToGrid w:val="0"/>
                <w:szCs w:val="22"/>
                <w:lang w:eastAsia="en-US"/>
              </w:rPr>
              <w:t>,</w:t>
            </w:r>
            <w:r w:rsidRPr="00C21B99">
              <w:rPr>
                <w:bCs/>
                <w:snapToGrid w:val="0"/>
                <w:szCs w:val="22"/>
                <w:lang w:eastAsia="en-US"/>
              </w:rPr>
              <w:t>1%</w:t>
            </w:r>
            <w:r w:rsidR="002509C6" w:rsidRPr="00C21B99">
              <w:rPr>
                <w:bCs/>
                <w:snapToGrid w:val="0"/>
                <w:szCs w:val="22"/>
                <w:lang w:eastAsia="en-US"/>
              </w:rPr>
              <w:t>, plg.</w:t>
            </w:r>
            <w:r w:rsidRPr="00C21B99">
              <w:rPr>
                <w:bCs/>
                <w:snapToGrid w:val="0"/>
                <w:szCs w:val="22"/>
                <w:lang w:eastAsia="en-US"/>
              </w:rPr>
              <w:t xml:space="preserve"> 0%</w:t>
            </w:r>
          </w:p>
          <w:p w14:paraId="593FCFA5"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[12</w:t>
            </w:r>
            <w:r w:rsidR="002509C6" w:rsidRPr="00C21B99">
              <w:rPr>
                <w:bCs/>
                <w:snapToGrid w:val="0"/>
                <w:szCs w:val="22"/>
                <w:lang w:eastAsia="en-US"/>
              </w:rPr>
              <w:t>,</w:t>
            </w:r>
            <w:r w:rsidRPr="00C21B99">
              <w:rPr>
                <w:bCs/>
                <w:snapToGrid w:val="0"/>
                <w:szCs w:val="22"/>
                <w:lang w:eastAsia="en-US"/>
              </w:rPr>
              <w:t>3 %</w:t>
            </w:r>
            <w:r w:rsidR="002509C6" w:rsidRPr="00C21B99">
              <w:rPr>
                <w:bCs/>
                <w:snapToGrid w:val="0"/>
                <w:szCs w:val="22"/>
                <w:lang w:eastAsia="en-US"/>
              </w:rPr>
              <w:t>;</w:t>
            </w:r>
            <w:r w:rsidRPr="00C21B99">
              <w:rPr>
                <w:bCs/>
                <w:snapToGrid w:val="0"/>
                <w:szCs w:val="22"/>
                <w:lang w:eastAsia="en-US"/>
              </w:rPr>
              <w:t xml:space="preserve"> 24</w:t>
            </w:r>
            <w:r w:rsidR="002509C6" w:rsidRPr="00C21B99">
              <w:rPr>
                <w:bCs/>
                <w:snapToGrid w:val="0"/>
                <w:szCs w:val="22"/>
                <w:lang w:eastAsia="en-US"/>
              </w:rPr>
              <w:t>,</w:t>
            </w:r>
            <w:r w:rsidRPr="00C21B99">
              <w:rPr>
                <w:bCs/>
                <w:snapToGrid w:val="0"/>
                <w:szCs w:val="22"/>
                <w:lang w:eastAsia="en-US"/>
              </w:rPr>
              <w:t>0 %]</w:t>
            </w:r>
          </w:p>
        </w:tc>
        <w:tc>
          <w:tcPr>
            <w:tcW w:w="1982" w:type="dxa"/>
            <w:tcBorders>
              <w:top w:val="single" w:sz="2" w:space="0" w:color="auto"/>
              <w:left w:val="nil"/>
              <w:bottom w:val="single" w:sz="2" w:space="0" w:color="auto"/>
              <w:right w:val="nil"/>
            </w:tcBorders>
            <w:shd w:val="clear" w:color="auto" w:fill="auto"/>
          </w:tcPr>
          <w:p w14:paraId="000DC19D" w14:textId="77777777" w:rsidR="0043201E" w:rsidRPr="00C21B99" w:rsidRDefault="002509C6"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Pr="00C21B99">
              <w:rPr>
                <w:bCs/>
                <w:snapToGrid w:val="0"/>
                <w:szCs w:val="22"/>
                <w:lang w:eastAsia="en-US"/>
              </w:rPr>
              <w:t>,</w:t>
            </w:r>
            <w:r w:rsidR="0043201E" w:rsidRPr="00C21B99">
              <w:rPr>
                <w:bCs/>
                <w:snapToGrid w:val="0"/>
                <w:szCs w:val="22"/>
                <w:lang w:eastAsia="en-US"/>
              </w:rPr>
              <w:t>55</w:t>
            </w:r>
          </w:p>
          <w:p w14:paraId="2AC96141"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42</w:t>
            </w:r>
            <w:r w:rsidR="002509C6" w:rsidRPr="00C21B99">
              <w:rPr>
                <w:bCs/>
                <w:snapToGrid w:val="0"/>
                <w:szCs w:val="22"/>
                <w:lang w:eastAsia="en-US"/>
              </w:rPr>
              <w:t xml:space="preserve"> –</w:t>
            </w:r>
            <w:r w:rsidRPr="00C21B99">
              <w:rPr>
                <w:bCs/>
                <w:snapToGrid w:val="0"/>
                <w:szCs w:val="22"/>
                <w:lang w:eastAsia="en-US"/>
              </w:rPr>
              <w:t xml:space="preserve"> 0.72]</w:t>
            </w:r>
          </w:p>
          <w:p w14:paraId="0AA4BD74"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5</w:t>
            </w:r>
            <w:r w:rsidR="002509C6" w:rsidRPr="00C21B99">
              <w:rPr>
                <w:bCs/>
                <w:snapToGrid w:val="0"/>
                <w:szCs w:val="22"/>
                <w:lang w:eastAsia="en-US"/>
              </w:rPr>
              <w:t>,</w:t>
            </w:r>
            <w:r w:rsidRPr="00C21B99">
              <w:rPr>
                <w:bCs/>
                <w:snapToGrid w:val="0"/>
                <w:szCs w:val="22"/>
                <w:lang w:eastAsia="en-US"/>
              </w:rPr>
              <w:t xml:space="preserve">6 </w:t>
            </w:r>
            <w:proofErr w:type="spellStart"/>
            <w:r w:rsidRPr="00C21B99">
              <w:rPr>
                <w:bCs/>
                <w:snapToGrid w:val="0"/>
                <w:szCs w:val="22"/>
                <w:lang w:eastAsia="en-US"/>
              </w:rPr>
              <w:t>m</w:t>
            </w:r>
            <w:r w:rsidR="002509C6" w:rsidRPr="00C21B99">
              <w:rPr>
                <w:bCs/>
                <w:snapToGrid w:val="0"/>
                <w:szCs w:val="22"/>
                <w:lang w:eastAsia="en-US"/>
              </w:rPr>
              <w:t>ėn</w:t>
            </w:r>
            <w:proofErr w:type="spellEnd"/>
            <w:r w:rsidR="002509C6" w:rsidRPr="00C21B99">
              <w:rPr>
                <w:bCs/>
                <w:snapToGrid w:val="0"/>
                <w:szCs w:val="22"/>
                <w:lang w:eastAsia="en-US"/>
              </w:rPr>
              <w:t>, plg.</w:t>
            </w:r>
            <w:r w:rsidRPr="00C21B99">
              <w:rPr>
                <w:bCs/>
                <w:snapToGrid w:val="0"/>
                <w:szCs w:val="22"/>
                <w:lang w:eastAsia="en-US"/>
              </w:rPr>
              <w:t xml:space="preserve"> 2</w:t>
            </w:r>
            <w:r w:rsidR="002509C6" w:rsidRPr="00C21B99">
              <w:rPr>
                <w:bCs/>
                <w:snapToGrid w:val="0"/>
                <w:szCs w:val="22"/>
                <w:lang w:eastAsia="en-US"/>
              </w:rPr>
              <w:t>,</w:t>
            </w:r>
            <w:r w:rsidRPr="00C21B99">
              <w:rPr>
                <w:bCs/>
                <w:snapToGrid w:val="0"/>
                <w:szCs w:val="22"/>
                <w:lang w:eastAsia="en-US"/>
              </w:rPr>
              <w:t>8 m</w:t>
            </w:r>
            <w:r w:rsidR="002509C6" w:rsidRPr="00C21B99">
              <w:rPr>
                <w:bCs/>
                <w:snapToGrid w:val="0"/>
                <w:szCs w:val="22"/>
                <w:lang w:eastAsia="en-US"/>
              </w:rPr>
              <w:t>ėn.</w:t>
            </w:r>
          </w:p>
          <w:p w14:paraId="6D04CD26"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2509C6" w:rsidRPr="00C21B99">
              <w:rPr>
                <w:bCs/>
                <w:snapToGrid w:val="0"/>
                <w:szCs w:val="22"/>
                <w:lang w:eastAsia="en-US"/>
              </w:rPr>
              <w:t xml:space="preserve"> </w:t>
            </w:r>
            <w:r w:rsidRPr="00C21B99">
              <w:rPr>
                <w:bCs/>
                <w:snapToGrid w:val="0"/>
                <w:szCs w:val="22"/>
                <w:lang w:eastAsia="en-US"/>
              </w:rPr>
              <w:t>&lt;</w:t>
            </w:r>
            <w:r w:rsidR="002509C6" w:rsidRPr="00C21B99">
              <w:rPr>
                <w:bCs/>
                <w:snapToGrid w:val="0"/>
                <w:szCs w:val="22"/>
                <w:lang w:eastAsia="en-US"/>
              </w:rPr>
              <w:t xml:space="preserve"> </w:t>
            </w: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0001</w:t>
            </w:r>
          </w:p>
        </w:tc>
        <w:tc>
          <w:tcPr>
            <w:tcW w:w="1701" w:type="dxa"/>
            <w:tcBorders>
              <w:top w:val="single" w:sz="2" w:space="0" w:color="auto"/>
              <w:left w:val="nil"/>
              <w:bottom w:val="single" w:sz="2" w:space="0" w:color="auto"/>
              <w:right w:val="nil"/>
            </w:tcBorders>
            <w:shd w:val="clear" w:color="auto" w:fill="auto"/>
          </w:tcPr>
          <w:p w14:paraId="6C3F2BFB" w14:textId="77777777" w:rsidR="0043201E" w:rsidRPr="00C21B99" w:rsidRDefault="002509C6"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Pr="00C21B99">
              <w:rPr>
                <w:bCs/>
                <w:snapToGrid w:val="0"/>
                <w:szCs w:val="22"/>
                <w:lang w:eastAsia="en-US"/>
              </w:rPr>
              <w:t>,</w:t>
            </w:r>
            <w:r w:rsidR="0043201E" w:rsidRPr="00C21B99">
              <w:rPr>
                <w:bCs/>
                <w:snapToGrid w:val="0"/>
                <w:szCs w:val="22"/>
                <w:lang w:eastAsia="en-US"/>
              </w:rPr>
              <w:t>67</w:t>
            </w:r>
          </w:p>
          <w:p w14:paraId="4E871BB7"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49</w:t>
            </w:r>
            <w:r w:rsidR="002509C6" w:rsidRPr="00C21B99">
              <w:rPr>
                <w:bCs/>
                <w:snapToGrid w:val="0"/>
                <w:szCs w:val="22"/>
                <w:lang w:eastAsia="en-US"/>
              </w:rPr>
              <w:t xml:space="preserve"> –</w:t>
            </w:r>
            <w:r w:rsidRPr="00C21B99">
              <w:rPr>
                <w:bCs/>
                <w:snapToGrid w:val="0"/>
                <w:szCs w:val="22"/>
                <w:lang w:eastAsia="en-US"/>
              </w:rPr>
              <w:t xml:space="preserve"> 0</w:t>
            </w:r>
            <w:r w:rsidR="002509C6" w:rsidRPr="00C21B99">
              <w:rPr>
                <w:bCs/>
                <w:snapToGrid w:val="0"/>
                <w:szCs w:val="22"/>
                <w:lang w:eastAsia="en-US"/>
              </w:rPr>
              <w:t>,</w:t>
            </w:r>
            <w:r w:rsidRPr="00C21B99">
              <w:rPr>
                <w:bCs/>
                <w:snapToGrid w:val="0"/>
                <w:szCs w:val="22"/>
                <w:lang w:eastAsia="en-US"/>
              </w:rPr>
              <w:t>92]</w:t>
            </w:r>
          </w:p>
          <w:p w14:paraId="303F2C19"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 xml:space="preserve">8.9 </w:t>
            </w:r>
            <w:proofErr w:type="spellStart"/>
            <w:r w:rsidRPr="00C21B99">
              <w:rPr>
                <w:bCs/>
                <w:snapToGrid w:val="0"/>
                <w:szCs w:val="22"/>
                <w:lang w:eastAsia="en-US"/>
              </w:rPr>
              <w:t>m</w:t>
            </w:r>
            <w:r w:rsidR="002509C6" w:rsidRPr="00C21B99">
              <w:rPr>
                <w:bCs/>
                <w:snapToGrid w:val="0"/>
                <w:szCs w:val="22"/>
                <w:lang w:eastAsia="en-US"/>
              </w:rPr>
              <w:t>ėn</w:t>
            </w:r>
            <w:proofErr w:type="spellEnd"/>
            <w:r w:rsidR="002509C6" w:rsidRPr="00C21B99">
              <w:rPr>
                <w:bCs/>
                <w:snapToGrid w:val="0"/>
                <w:szCs w:val="22"/>
                <w:lang w:eastAsia="en-US"/>
              </w:rPr>
              <w:t>, plg.</w:t>
            </w:r>
            <w:r w:rsidRPr="00C21B99">
              <w:rPr>
                <w:bCs/>
                <w:snapToGrid w:val="0"/>
                <w:szCs w:val="22"/>
                <w:lang w:eastAsia="en-US"/>
              </w:rPr>
              <w:t xml:space="preserve"> 6</w:t>
            </w:r>
            <w:r w:rsidR="002509C6" w:rsidRPr="00C21B99">
              <w:rPr>
                <w:bCs/>
                <w:snapToGrid w:val="0"/>
                <w:szCs w:val="22"/>
                <w:lang w:eastAsia="en-US"/>
              </w:rPr>
              <w:t>,</w:t>
            </w:r>
            <w:r w:rsidRPr="00C21B99">
              <w:rPr>
                <w:bCs/>
                <w:snapToGrid w:val="0"/>
                <w:szCs w:val="22"/>
                <w:lang w:eastAsia="en-US"/>
              </w:rPr>
              <w:t>1 m</w:t>
            </w:r>
            <w:r w:rsidR="002509C6" w:rsidRPr="00C21B99">
              <w:rPr>
                <w:bCs/>
                <w:snapToGrid w:val="0"/>
                <w:szCs w:val="22"/>
                <w:lang w:eastAsia="en-US"/>
              </w:rPr>
              <w:t>ėn.</w:t>
            </w:r>
          </w:p>
          <w:p w14:paraId="028B9526"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2509C6" w:rsidRPr="00C21B99">
              <w:rPr>
                <w:bCs/>
                <w:snapToGrid w:val="0"/>
                <w:szCs w:val="22"/>
                <w:lang w:eastAsia="en-US"/>
              </w:rPr>
              <w:t xml:space="preserve"> </w:t>
            </w:r>
            <w:r w:rsidRPr="00C21B99">
              <w:rPr>
                <w:bCs/>
                <w:snapToGrid w:val="0"/>
                <w:szCs w:val="22"/>
                <w:lang w:eastAsia="en-US"/>
              </w:rPr>
              <w:t>=</w:t>
            </w:r>
            <w:r w:rsidR="002509C6" w:rsidRPr="00C21B99">
              <w:rPr>
                <w:bCs/>
                <w:snapToGrid w:val="0"/>
                <w:szCs w:val="22"/>
                <w:lang w:eastAsia="en-US"/>
              </w:rPr>
              <w:t xml:space="preserve"> </w:t>
            </w: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0124</w:t>
            </w:r>
          </w:p>
        </w:tc>
      </w:tr>
      <w:tr w:rsidR="0043201E" w:rsidRPr="00C21B99" w14:paraId="364D17F9" w14:textId="77777777" w:rsidTr="009A493C">
        <w:tc>
          <w:tcPr>
            <w:tcW w:w="1984" w:type="dxa"/>
            <w:tcBorders>
              <w:top w:val="single" w:sz="2" w:space="0" w:color="auto"/>
              <w:left w:val="nil"/>
              <w:bottom w:val="single" w:sz="2" w:space="0" w:color="auto"/>
              <w:right w:val="nil"/>
            </w:tcBorders>
            <w:shd w:val="clear" w:color="auto" w:fill="auto"/>
          </w:tcPr>
          <w:p w14:paraId="6545F3D8" w14:textId="2153EBFA"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Visada buvę rūkalia</w:t>
            </w:r>
            <w:r w:rsidR="009E27C4">
              <w:rPr>
                <w:bCs/>
                <w:snapToGrid w:val="0"/>
                <w:szCs w:val="22"/>
                <w:lang w:eastAsia="en-US"/>
              </w:rPr>
              <w:t>i</w:t>
            </w:r>
            <w:r w:rsidRPr="00C21B99">
              <w:rPr>
                <w:bCs/>
                <w:snapToGrid w:val="0"/>
                <w:szCs w:val="22"/>
                <w:lang w:eastAsia="en-US"/>
              </w:rPr>
              <w:t>s</w:t>
            </w:r>
          </w:p>
        </w:tc>
        <w:tc>
          <w:tcPr>
            <w:tcW w:w="851" w:type="dxa"/>
            <w:tcBorders>
              <w:top w:val="single" w:sz="2" w:space="0" w:color="auto"/>
              <w:left w:val="nil"/>
              <w:bottom w:val="single" w:sz="2" w:space="0" w:color="auto"/>
              <w:right w:val="nil"/>
            </w:tcBorders>
            <w:shd w:val="clear" w:color="auto" w:fill="auto"/>
          </w:tcPr>
          <w:p w14:paraId="47A88BD2"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1317</w:t>
            </w:r>
          </w:p>
        </w:tc>
        <w:tc>
          <w:tcPr>
            <w:tcW w:w="1984" w:type="dxa"/>
            <w:tcBorders>
              <w:top w:val="single" w:sz="2" w:space="0" w:color="auto"/>
              <w:left w:val="nil"/>
              <w:bottom w:val="single" w:sz="2" w:space="0" w:color="auto"/>
              <w:right w:val="nil"/>
            </w:tcBorders>
            <w:shd w:val="clear" w:color="auto" w:fill="auto"/>
          </w:tcPr>
          <w:p w14:paraId="2808D5C7"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5</w:t>
            </w:r>
            <w:r w:rsidR="002509C6" w:rsidRPr="00C21B99">
              <w:rPr>
                <w:bCs/>
                <w:snapToGrid w:val="0"/>
                <w:szCs w:val="22"/>
                <w:lang w:eastAsia="en-US"/>
              </w:rPr>
              <w:t>,</w:t>
            </w:r>
            <w:r w:rsidRPr="00C21B99">
              <w:rPr>
                <w:bCs/>
                <w:snapToGrid w:val="0"/>
                <w:szCs w:val="22"/>
                <w:lang w:eastAsia="en-US"/>
              </w:rPr>
              <w:t>3%</w:t>
            </w:r>
            <w:r w:rsidR="002509C6" w:rsidRPr="00C21B99">
              <w:rPr>
                <w:bCs/>
                <w:snapToGrid w:val="0"/>
                <w:szCs w:val="22"/>
                <w:lang w:eastAsia="en-US"/>
              </w:rPr>
              <w:t>, plg.</w:t>
            </w:r>
            <w:r w:rsidRPr="00C21B99">
              <w:rPr>
                <w:bCs/>
                <w:snapToGrid w:val="0"/>
                <w:szCs w:val="22"/>
                <w:lang w:eastAsia="en-US"/>
              </w:rPr>
              <w:t xml:space="preserve"> 1</w:t>
            </w:r>
            <w:r w:rsidR="002509C6" w:rsidRPr="00C21B99">
              <w:rPr>
                <w:bCs/>
                <w:snapToGrid w:val="0"/>
                <w:szCs w:val="22"/>
                <w:lang w:eastAsia="en-US"/>
              </w:rPr>
              <w:t>,</w:t>
            </w:r>
            <w:r w:rsidRPr="00C21B99">
              <w:rPr>
                <w:bCs/>
                <w:snapToGrid w:val="0"/>
                <w:szCs w:val="22"/>
                <w:lang w:eastAsia="en-US"/>
              </w:rPr>
              <w:t>6%</w:t>
            </w:r>
          </w:p>
          <w:p w14:paraId="75FDE8A4"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w:t>
            </w:r>
            <w:r w:rsidR="002509C6" w:rsidRPr="00C21B99">
              <w:rPr>
                <w:bCs/>
                <w:snapToGrid w:val="0"/>
                <w:szCs w:val="22"/>
                <w:lang w:eastAsia="en-US"/>
              </w:rPr>
              <w:t>,</w:t>
            </w:r>
            <w:r w:rsidRPr="00C21B99">
              <w:rPr>
                <w:bCs/>
                <w:snapToGrid w:val="0"/>
                <w:szCs w:val="22"/>
                <w:lang w:eastAsia="en-US"/>
              </w:rPr>
              <w:t>4%</w:t>
            </w:r>
            <w:r w:rsidR="002509C6" w:rsidRPr="00C21B99">
              <w:rPr>
                <w:bCs/>
                <w:snapToGrid w:val="0"/>
                <w:szCs w:val="22"/>
                <w:lang w:eastAsia="en-US"/>
              </w:rPr>
              <w:t>;</w:t>
            </w:r>
            <w:r w:rsidRPr="00C21B99">
              <w:rPr>
                <w:bCs/>
                <w:snapToGrid w:val="0"/>
                <w:szCs w:val="22"/>
                <w:lang w:eastAsia="en-US"/>
              </w:rPr>
              <w:t xml:space="preserve"> 5</w:t>
            </w:r>
            <w:r w:rsidR="002509C6" w:rsidRPr="00C21B99">
              <w:rPr>
                <w:bCs/>
                <w:snapToGrid w:val="0"/>
                <w:szCs w:val="22"/>
                <w:lang w:eastAsia="en-US"/>
              </w:rPr>
              <w:t>,</w:t>
            </w:r>
            <w:r w:rsidRPr="00C21B99">
              <w:rPr>
                <w:bCs/>
                <w:snapToGrid w:val="0"/>
                <w:szCs w:val="22"/>
                <w:lang w:eastAsia="en-US"/>
              </w:rPr>
              <w:t>7%]</w:t>
            </w:r>
          </w:p>
        </w:tc>
        <w:tc>
          <w:tcPr>
            <w:tcW w:w="1982" w:type="dxa"/>
            <w:tcBorders>
              <w:top w:val="single" w:sz="2" w:space="0" w:color="auto"/>
              <w:left w:val="nil"/>
              <w:bottom w:val="single" w:sz="2" w:space="0" w:color="auto"/>
              <w:right w:val="nil"/>
            </w:tcBorders>
            <w:shd w:val="clear" w:color="auto" w:fill="auto"/>
          </w:tcPr>
          <w:p w14:paraId="28D2C202" w14:textId="77777777" w:rsidR="0043201E" w:rsidRPr="00C21B99" w:rsidRDefault="002509C6"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Pr="00C21B99">
              <w:rPr>
                <w:bCs/>
                <w:snapToGrid w:val="0"/>
                <w:szCs w:val="22"/>
                <w:lang w:eastAsia="en-US"/>
              </w:rPr>
              <w:t>,</w:t>
            </w:r>
            <w:r w:rsidR="0043201E" w:rsidRPr="00C21B99">
              <w:rPr>
                <w:bCs/>
                <w:snapToGrid w:val="0"/>
                <w:szCs w:val="22"/>
                <w:lang w:eastAsia="en-US"/>
              </w:rPr>
              <w:t>89</w:t>
            </w:r>
          </w:p>
          <w:p w14:paraId="386985E4"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78</w:t>
            </w:r>
            <w:r w:rsidR="002509C6" w:rsidRPr="00C21B99">
              <w:rPr>
                <w:bCs/>
                <w:snapToGrid w:val="0"/>
                <w:szCs w:val="22"/>
                <w:lang w:eastAsia="en-US"/>
              </w:rPr>
              <w:t xml:space="preserve"> –</w:t>
            </w:r>
            <w:r w:rsidRPr="00C21B99">
              <w:rPr>
                <w:bCs/>
                <w:snapToGrid w:val="0"/>
                <w:szCs w:val="22"/>
                <w:lang w:eastAsia="en-US"/>
              </w:rPr>
              <w:t xml:space="preserve"> 1</w:t>
            </w:r>
            <w:r w:rsidR="002509C6" w:rsidRPr="00C21B99">
              <w:rPr>
                <w:bCs/>
                <w:snapToGrid w:val="0"/>
                <w:szCs w:val="22"/>
                <w:lang w:eastAsia="en-US"/>
              </w:rPr>
              <w:t>,</w:t>
            </w:r>
            <w:r w:rsidRPr="00C21B99">
              <w:rPr>
                <w:bCs/>
                <w:snapToGrid w:val="0"/>
                <w:szCs w:val="22"/>
                <w:lang w:eastAsia="en-US"/>
              </w:rPr>
              <w:t>01]</w:t>
            </w:r>
          </w:p>
          <w:p w14:paraId="43425A63"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2</w:t>
            </w:r>
            <w:r w:rsidR="00434C43" w:rsidRPr="00C21B99">
              <w:rPr>
                <w:bCs/>
                <w:snapToGrid w:val="0"/>
                <w:szCs w:val="22"/>
                <w:lang w:eastAsia="en-US"/>
              </w:rPr>
              <w:t>,</w:t>
            </w:r>
            <w:r w:rsidRPr="00C21B99">
              <w:rPr>
                <w:bCs/>
                <w:snapToGrid w:val="0"/>
                <w:szCs w:val="22"/>
                <w:lang w:eastAsia="en-US"/>
              </w:rPr>
              <w:t xml:space="preserve">7 </w:t>
            </w:r>
            <w:proofErr w:type="spellStart"/>
            <w:r w:rsidR="002509C6" w:rsidRPr="00C21B99">
              <w:rPr>
                <w:bCs/>
                <w:snapToGrid w:val="0"/>
                <w:szCs w:val="22"/>
                <w:lang w:eastAsia="en-US"/>
              </w:rPr>
              <w:t>mėn</w:t>
            </w:r>
            <w:proofErr w:type="spellEnd"/>
            <w:r w:rsidR="002509C6" w:rsidRPr="00C21B99">
              <w:rPr>
                <w:bCs/>
                <w:snapToGrid w:val="0"/>
                <w:szCs w:val="22"/>
                <w:lang w:eastAsia="en-US"/>
              </w:rPr>
              <w:t>, plg. 2,6 mėn.</w:t>
            </w:r>
          </w:p>
          <w:p w14:paraId="63926AA5"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434C43" w:rsidRPr="00C21B99">
              <w:rPr>
                <w:bCs/>
                <w:snapToGrid w:val="0"/>
                <w:szCs w:val="22"/>
                <w:lang w:eastAsia="en-US"/>
              </w:rPr>
              <w:t xml:space="preserve"> </w:t>
            </w:r>
            <w:r w:rsidRPr="00C21B99">
              <w:rPr>
                <w:bCs/>
                <w:snapToGrid w:val="0"/>
                <w:szCs w:val="22"/>
                <w:lang w:eastAsia="en-US"/>
              </w:rPr>
              <w:t>=</w:t>
            </w:r>
            <w:r w:rsidR="00434C43" w:rsidRPr="00C21B99">
              <w:rPr>
                <w:bCs/>
                <w:snapToGrid w:val="0"/>
                <w:szCs w:val="22"/>
                <w:lang w:eastAsia="en-US"/>
              </w:rPr>
              <w:t xml:space="preserve"> </w:t>
            </w:r>
            <w:r w:rsidRPr="00C21B99">
              <w:rPr>
                <w:bCs/>
                <w:snapToGrid w:val="0"/>
                <w:szCs w:val="22"/>
                <w:lang w:eastAsia="en-US"/>
              </w:rPr>
              <w:t>0</w:t>
            </w:r>
            <w:r w:rsidR="00434C43" w:rsidRPr="00C21B99">
              <w:rPr>
                <w:bCs/>
                <w:snapToGrid w:val="0"/>
                <w:szCs w:val="22"/>
                <w:lang w:eastAsia="en-US"/>
              </w:rPr>
              <w:t>,</w:t>
            </w:r>
            <w:r w:rsidRPr="00C21B99">
              <w:rPr>
                <w:bCs/>
                <w:snapToGrid w:val="0"/>
                <w:szCs w:val="22"/>
                <w:lang w:eastAsia="en-US"/>
              </w:rPr>
              <w:t>0707</w:t>
            </w:r>
          </w:p>
        </w:tc>
        <w:tc>
          <w:tcPr>
            <w:tcW w:w="1701" w:type="dxa"/>
            <w:tcBorders>
              <w:top w:val="single" w:sz="2" w:space="0" w:color="auto"/>
              <w:left w:val="nil"/>
              <w:bottom w:val="single" w:sz="2" w:space="0" w:color="auto"/>
              <w:right w:val="nil"/>
            </w:tcBorders>
            <w:shd w:val="clear" w:color="auto" w:fill="auto"/>
          </w:tcPr>
          <w:p w14:paraId="03121E40" w14:textId="77777777" w:rsidR="0043201E" w:rsidRPr="00C21B99" w:rsidRDefault="002509C6"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Pr="00C21B99">
              <w:rPr>
                <w:bCs/>
                <w:snapToGrid w:val="0"/>
                <w:szCs w:val="22"/>
                <w:lang w:eastAsia="en-US"/>
              </w:rPr>
              <w:t>,</w:t>
            </w:r>
            <w:r w:rsidR="0043201E" w:rsidRPr="00C21B99">
              <w:rPr>
                <w:bCs/>
                <w:snapToGrid w:val="0"/>
                <w:szCs w:val="22"/>
                <w:lang w:eastAsia="en-US"/>
              </w:rPr>
              <w:t>92</w:t>
            </w:r>
          </w:p>
          <w:p w14:paraId="691F3CB6"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79</w:t>
            </w:r>
            <w:r w:rsidR="002509C6" w:rsidRPr="00C21B99">
              <w:rPr>
                <w:bCs/>
                <w:snapToGrid w:val="0"/>
                <w:szCs w:val="22"/>
                <w:lang w:eastAsia="en-US"/>
              </w:rPr>
              <w:t xml:space="preserve"> –</w:t>
            </w:r>
            <w:r w:rsidRPr="00C21B99">
              <w:rPr>
                <w:bCs/>
                <w:snapToGrid w:val="0"/>
                <w:szCs w:val="22"/>
                <w:lang w:eastAsia="en-US"/>
              </w:rPr>
              <w:t xml:space="preserve"> 1</w:t>
            </w:r>
            <w:r w:rsidR="002509C6" w:rsidRPr="00C21B99">
              <w:rPr>
                <w:bCs/>
                <w:snapToGrid w:val="0"/>
                <w:szCs w:val="22"/>
                <w:lang w:eastAsia="en-US"/>
              </w:rPr>
              <w:t>,</w:t>
            </w:r>
            <w:r w:rsidRPr="00C21B99">
              <w:rPr>
                <w:bCs/>
                <w:snapToGrid w:val="0"/>
                <w:szCs w:val="22"/>
                <w:lang w:eastAsia="en-US"/>
              </w:rPr>
              <w:t>06]</w:t>
            </w:r>
          </w:p>
          <w:p w14:paraId="6E690C8D"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5</w:t>
            </w:r>
            <w:r w:rsidR="00434C43" w:rsidRPr="00C21B99">
              <w:rPr>
                <w:bCs/>
                <w:snapToGrid w:val="0"/>
                <w:szCs w:val="22"/>
                <w:lang w:eastAsia="en-US"/>
              </w:rPr>
              <w:t>,</w:t>
            </w:r>
            <w:r w:rsidRPr="00C21B99">
              <w:rPr>
                <w:bCs/>
                <w:snapToGrid w:val="0"/>
                <w:szCs w:val="22"/>
                <w:lang w:eastAsia="en-US"/>
              </w:rPr>
              <w:t xml:space="preserve">0 </w:t>
            </w:r>
            <w:proofErr w:type="spellStart"/>
            <w:r w:rsidRPr="00C21B99">
              <w:rPr>
                <w:bCs/>
                <w:snapToGrid w:val="0"/>
                <w:szCs w:val="22"/>
                <w:lang w:eastAsia="en-US"/>
              </w:rPr>
              <w:t>m</w:t>
            </w:r>
            <w:r w:rsidR="00C21B99">
              <w:rPr>
                <w:bCs/>
                <w:snapToGrid w:val="0"/>
                <w:szCs w:val="22"/>
                <w:lang w:eastAsia="en-US"/>
              </w:rPr>
              <w:t>ėn</w:t>
            </w:r>
            <w:proofErr w:type="spellEnd"/>
            <w:r w:rsidR="00C21B99">
              <w:rPr>
                <w:bCs/>
                <w:snapToGrid w:val="0"/>
                <w:szCs w:val="22"/>
                <w:lang w:eastAsia="en-US"/>
              </w:rPr>
              <w:t>, plg.</w:t>
            </w:r>
            <w:r w:rsidRPr="00C21B99">
              <w:rPr>
                <w:bCs/>
                <w:snapToGrid w:val="0"/>
                <w:szCs w:val="22"/>
                <w:lang w:eastAsia="en-US"/>
              </w:rPr>
              <w:t xml:space="preserve"> 4</w:t>
            </w:r>
            <w:r w:rsidR="00434C43" w:rsidRPr="00C21B99">
              <w:rPr>
                <w:bCs/>
                <w:snapToGrid w:val="0"/>
                <w:szCs w:val="22"/>
                <w:lang w:eastAsia="en-US"/>
              </w:rPr>
              <w:t>,</w:t>
            </w:r>
            <w:r w:rsidRPr="00C21B99">
              <w:rPr>
                <w:bCs/>
                <w:snapToGrid w:val="0"/>
                <w:szCs w:val="22"/>
                <w:lang w:eastAsia="en-US"/>
              </w:rPr>
              <w:t xml:space="preserve">9 </w:t>
            </w:r>
            <w:proofErr w:type="spellStart"/>
            <w:r w:rsidRPr="00C21B99">
              <w:rPr>
                <w:bCs/>
                <w:snapToGrid w:val="0"/>
                <w:szCs w:val="22"/>
                <w:lang w:eastAsia="en-US"/>
              </w:rPr>
              <w:t>m</w:t>
            </w:r>
            <w:r w:rsidR="00C21B99">
              <w:rPr>
                <w:bCs/>
                <w:snapToGrid w:val="0"/>
                <w:szCs w:val="22"/>
                <w:lang w:eastAsia="en-US"/>
              </w:rPr>
              <w:t>ėn</w:t>
            </w:r>
            <w:proofErr w:type="spellEnd"/>
          </w:p>
          <w:p w14:paraId="4F13666C"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434C43" w:rsidRPr="00C21B99">
              <w:rPr>
                <w:bCs/>
                <w:snapToGrid w:val="0"/>
                <w:szCs w:val="22"/>
                <w:lang w:eastAsia="en-US"/>
              </w:rPr>
              <w:t xml:space="preserve"> </w:t>
            </w:r>
            <w:r w:rsidRPr="00C21B99">
              <w:rPr>
                <w:bCs/>
                <w:snapToGrid w:val="0"/>
                <w:szCs w:val="22"/>
                <w:lang w:eastAsia="en-US"/>
              </w:rPr>
              <w:t>=</w:t>
            </w:r>
            <w:r w:rsidR="00434C43" w:rsidRPr="00C21B99">
              <w:rPr>
                <w:bCs/>
                <w:snapToGrid w:val="0"/>
                <w:szCs w:val="22"/>
                <w:lang w:eastAsia="en-US"/>
              </w:rPr>
              <w:t xml:space="preserve"> </w:t>
            </w:r>
            <w:r w:rsidRPr="00C21B99">
              <w:rPr>
                <w:bCs/>
                <w:snapToGrid w:val="0"/>
                <w:szCs w:val="22"/>
                <w:lang w:eastAsia="en-US"/>
              </w:rPr>
              <w:t>0</w:t>
            </w:r>
            <w:r w:rsidR="00434C43" w:rsidRPr="00C21B99">
              <w:rPr>
                <w:bCs/>
                <w:snapToGrid w:val="0"/>
                <w:szCs w:val="22"/>
                <w:lang w:eastAsia="en-US"/>
              </w:rPr>
              <w:t>,</w:t>
            </w:r>
            <w:r w:rsidRPr="00C21B99">
              <w:rPr>
                <w:bCs/>
                <w:snapToGrid w:val="0"/>
                <w:szCs w:val="22"/>
                <w:lang w:eastAsia="en-US"/>
              </w:rPr>
              <w:t>2420</w:t>
            </w:r>
          </w:p>
        </w:tc>
      </w:tr>
      <w:tr w:rsidR="0043201E" w:rsidRPr="00C21B99" w14:paraId="234B2C4A" w14:textId="77777777" w:rsidTr="009A493C">
        <w:tc>
          <w:tcPr>
            <w:tcW w:w="1984" w:type="dxa"/>
            <w:tcBorders>
              <w:top w:val="single" w:sz="2" w:space="0" w:color="auto"/>
              <w:left w:val="nil"/>
              <w:bottom w:val="single" w:sz="2" w:space="0" w:color="auto"/>
              <w:right w:val="nil"/>
            </w:tcBorders>
            <w:shd w:val="clear" w:color="auto" w:fill="auto"/>
          </w:tcPr>
          <w:p w14:paraId="469D8406" w14:textId="77777777" w:rsidR="0043201E" w:rsidRPr="00C21B99" w:rsidRDefault="0043201E" w:rsidP="009A493C">
            <w:pPr>
              <w:widowControl w:val="0"/>
              <w:tabs>
                <w:tab w:val="left" w:pos="567"/>
              </w:tabs>
              <w:rPr>
                <w:bCs/>
                <w:snapToGrid w:val="0"/>
                <w:szCs w:val="22"/>
                <w:lang w:eastAsia="en-US"/>
              </w:rPr>
            </w:pPr>
            <w:proofErr w:type="spellStart"/>
            <w:r w:rsidRPr="00C21B99">
              <w:rPr>
                <w:bCs/>
                <w:snapToGrid w:val="0"/>
                <w:szCs w:val="22"/>
                <w:lang w:eastAsia="en-US"/>
              </w:rPr>
              <w:t>Azijiečiai</w:t>
            </w:r>
            <w:r w:rsidRPr="00C21B99">
              <w:rPr>
                <w:bCs/>
                <w:snapToGrid w:val="0"/>
                <w:szCs w:val="22"/>
                <w:vertAlign w:val="superscript"/>
                <w:lang w:eastAsia="en-US"/>
              </w:rPr>
              <w:t>d</w:t>
            </w:r>
            <w:proofErr w:type="spellEnd"/>
          </w:p>
        </w:tc>
        <w:tc>
          <w:tcPr>
            <w:tcW w:w="851" w:type="dxa"/>
            <w:tcBorders>
              <w:top w:val="single" w:sz="2" w:space="0" w:color="auto"/>
              <w:left w:val="nil"/>
              <w:bottom w:val="single" w:sz="2" w:space="0" w:color="auto"/>
              <w:right w:val="nil"/>
            </w:tcBorders>
            <w:shd w:val="clear" w:color="auto" w:fill="auto"/>
          </w:tcPr>
          <w:p w14:paraId="23DEA87B"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342</w:t>
            </w:r>
          </w:p>
        </w:tc>
        <w:tc>
          <w:tcPr>
            <w:tcW w:w="1984" w:type="dxa"/>
            <w:tcBorders>
              <w:top w:val="single" w:sz="2" w:space="0" w:color="auto"/>
              <w:left w:val="nil"/>
              <w:bottom w:val="single" w:sz="2" w:space="0" w:color="auto"/>
              <w:right w:val="nil"/>
            </w:tcBorders>
            <w:shd w:val="clear" w:color="auto" w:fill="auto"/>
          </w:tcPr>
          <w:p w14:paraId="2FF24968"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12</w:t>
            </w:r>
            <w:r w:rsidR="00434C43" w:rsidRPr="00C21B99">
              <w:rPr>
                <w:bCs/>
                <w:snapToGrid w:val="0"/>
                <w:szCs w:val="22"/>
                <w:lang w:eastAsia="en-US"/>
              </w:rPr>
              <w:t>,</w:t>
            </w:r>
            <w:r w:rsidRPr="00C21B99">
              <w:rPr>
                <w:bCs/>
                <w:snapToGrid w:val="0"/>
                <w:szCs w:val="22"/>
                <w:lang w:eastAsia="en-US"/>
              </w:rPr>
              <w:t>4%</w:t>
            </w:r>
            <w:r w:rsidR="00434C43" w:rsidRPr="00C21B99">
              <w:rPr>
                <w:bCs/>
                <w:snapToGrid w:val="0"/>
                <w:szCs w:val="22"/>
                <w:lang w:eastAsia="en-US"/>
              </w:rPr>
              <w:t>, plg.</w:t>
            </w:r>
            <w:r w:rsidRPr="00C21B99">
              <w:rPr>
                <w:bCs/>
                <w:snapToGrid w:val="0"/>
                <w:szCs w:val="22"/>
                <w:lang w:eastAsia="en-US"/>
              </w:rPr>
              <w:t xml:space="preserve"> 2</w:t>
            </w:r>
            <w:r w:rsidR="00434C43" w:rsidRPr="00C21B99">
              <w:rPr>
                <w:bCs/>
                <w:snapToGrid w:val="0"/>
                <w:szCs w:val="22"/>
                <w:lang w:eastAsia="en-US"/>
              </w:rPr>
              <w:t>,</w:t>
            </w:r>
            <w:r w:rsidRPr="00C21B99">
              <w:rPr>
                <w:bCs/>
                <w:snapToGrid w:val="0"/>
                <w:szCs w:val="22"/>
                <w:lang w:eastAsia="en-US"/>
              </w:rPr>
              <w:t>1%</w:t>
            </w:r>
          </w:p>
          <w:p w14:paraId="7CF6E2A2"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[4</w:t>
            </w:r>
            <w:r w:rsidR="00434C43" w:rsidRPr="00C21B99">
              <w:rPr>
                <w:bCs/>
                <w:snapToGrid w:val="0"/>
                <w:szCs w:val="22"/>
                <w:lang w:eastAsia="en-US"/>
              </w:rPr>
              <w:t>,</w:t>
            </w:r>
            <w:r w:rsidRPr="00C21B99">
              <w:rPr>
                <w:bCs/>
                <w:snapToGrid w:val="0"/>
                <w:szCs w:val="22"/>
                <w:lang w:eastAsia="en-US"/>
              </w:rPr>
              <w:t>0 %</w:t>
            </w:r>
            <w:r w:rsidR="00434C43" w:rsidRPr="00C21B99">
              <w:rPr>
                <w:bCs/>
                <w:snapToGrid w:val="0"/>
                <w:szCs w:val="22"/>
                <w:lang w:eastAsia="en-US"/>
              </w:rPr>
              <w:t>;</w:t>
            </w:r>
            <w:r w:rsidRPr="00C21B99">
              <w:rPr>
                <w:bCs/>
                <w:snapToGrid w:val="0"/>
                <w:szCs w:val="22"/>
                <w:lang w:eastAsia="en-US"/>
              </w:rPr>
              <w:t xml:space="preserve"> 15</w:t>
            </w:r>
            <w:r w:rsidR="00434C43" w:rsidRPr="00C21B99">
              <w:rPr>
                <w:bCs/>
                <w:snapToGrid w:val="0"/>
                <w:szCs w:val="22"/>
                <w:lang w:eastAsia="en-US"/>
              </w:rPr>
              <w:t>,</w:t>
            </w:r>
            <w:r w:rsidRPr="00C21B99">
              <w:rPr>
                <w:bCs/>
                <w:snapToGrid w:val="0"/>
                <w:szCs w:val="22"/>
                <w:lang w:eastAsia="en-US"/>
              </w:rPr>
              <w:t>8 %]</w:t>
            </w:r>
          </w:p>
        </w:tc>
        <w:tc>
          <w:tcPr>
            <w:tcW w:w="1982" w:type="dxa"/>
            <w:tcBorders>
              <w:top w:val="single" w:sz="2" w:space="0" w:color="auto"/>
              <w:left w:val="nil"/>
              <w:bottom w:val="single" w:sz="2" w:space="0" w:color="auto"/>
              <w:right w:val="nil"/>
            </w:tcBorders>
            <w:shd w:val="clear" w:color="auto" w:fill="auto"/>
          </w:tcPr>
          <w:p w14:paraId="26616879" w14:textId="77777777" w:rsidR="0043201E" w:rsidRPr="00C21B99" w:rsidRDefault="00434C43"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Pr="00C21B99">
              <w:rPr>
                <w:bCs/>
                <w:snapToGrid w:val="0"/>
                <w:szCs w:val="22"/>
                <w:lang w:eastAsia="en-US"/>
              </w:rPr>
              <w:t>,</w:t>
            </w:r>
            <w:r w:rsidR="0043201E" w:rsidRPr="00C21B99">
              <w:rPr>
                <w:bCs/>
                <w:snapToGrid w:val="0"/>
                <w:szCs w:val="22"/>
                <w:lang w:eastAsia="en-US"/>
              </w:rPr>
              <w:t>69</w:t>
            </w:r>
          </w:p>
          <w:p w14:paraId="01F1BB1C"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52</w:t>
            </w:r>
            <w:r w:rsidR="00434C43" w:rsidRPr="00C21B99">
              <w:rPr>
                <w:bCs/>
                <w:snapToGrid w:val="0"/>
                <w:szCs w:val="22"/>
                <w:lang w:eastAsia="en-US"/>
              </w:rPr>
              <w:t xml:space="preserve"> –</w:t>
            </w:r>
            <w:r w:rsidRPr="00C21B99">
              <w:rPr>
                <w:bCs/>
                <w:snapToGrid w:val="0"/>
                <w:szCs w:val="22"/>
                <w:lang w:eastAsia="en-US"/>
              </w:rPr>
              <w:t xml:space="preserve"> 0</w:t>
            </w:r>
            <w:r w:rsidR="00434C43" w:rsidRPr="00C21B99">
              <w:rPr>
                <w:bCs/>
                <w:snapToGrid w:val="0"/>
                <w:szCs w:val="22"/>
                <w:lang w:eastAsia="en-US"/>
              </w:rPr>
              <w:t>,</w:t>
            </w:r>
            <w:r w:rsidRPr="00C21B99">
              <w:rPr>
                <w:bCs/>
                <w:snapToGrid w:val="0"/>
                <w:szCs w:val="22"/>
                <w:lang w:eastAsia="en-US"/>
              </w:rPr>
              <w:t>91]</w:t>
            </w:r>
          </w:p>
          <w:p w14:paraId="31A3C9C9"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 xml:space="preserve">4.4 </w:t>
            </w:r>
            <w:proofErr w:type="spellStart"/>
            <w:r w:rsidR="00434C43" w:rsidRPr="00C21B99">
              <w:rPr>
                <w:bCs/>
                <w:snapToGrid w:val="0"/>
                <w:szCs w:val="22"/>
                <w:lang w:eastAsia="en-US"/>
              </w:rPr>
              <w:t>mėn</w:t>
            </w:r>
            <w:proofErr w:type="spellEnd"/>
            <w:r w:rsidR="00434C43" w:rsidRPr="00C21B99">
              <w:rPr>
                <w:bCs/>
                <w:snapToGrid w:val="0"/>
                <w:szCs w:val="22"/>
                <w:lang w:eastAsia="en-US"/>
              </w:rPr>
              <w:t>, plg. 2,2 mėn.</w:t>
            </w:r>
          </w:p>
          <w:p w14:paraId="7380E8BA"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2509C6" w:rsidRPr="00C21B99">
              <w:rPr>
                <w:bCs/>
                <w:snapToGrid w:val="0"/>
                <w:szCs w:val="22"/>
                <w:lang w:eastAsia="en-US"/>
              </w:rPr>
              <w:t xml:space="preserve"> </w:t>
            </w:r>
            <w:r w:rsidRPr="00C21B99">
              <w:rPr>
                <w:bCs/>
                <w:snapToGrid w:val="0"/>
                <w:szCs w:val="22"/>
                <w:lang w:eastAsia="en-US"/>
              </w:rPr>
              <w:t>=</w:t>
            </w:r>
            <w:r w:rsidR="002509C6" w:rsidRPr="00C21B99">
              <w:rPr>
                <w:bCs/>
                <w:snapToGrid w:val="0"/>
                <w:szCs w:val="22"/>
                <w:lang w:eastAsia="en-US"/>
              </w:rPr>
              <w:t xml:space="preserve"> </w:t>
            </w: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0084</w:t>
            </w:r>
          </w:p>
        </w:tc>
        <w:tc>
          <w:tcPr>
            <w:tcW w:w="1701" w:type="dxa"/>
            <w:tcBorders>
              <w:top w:val="single" w:sz="2" w:space="0" w:color="auto"/>
              <w:left w:val="nil"/>
              <w:bottom w:val="single" w:sz="2" w:space="0" w:color="auto"/>
              <w:right w:val="nil"/>
            </w:tcBorders>
            <w:shd w:val="clear" w:color="auto" w:fill="auto"/>
          </w:tcPr>
          <w:p w14:paraId="336D2E11" w14:textId="77777777" w:rsidR="0043201E" w:rsidRPr="00C21B99" w:rsidRDefault="00434C43"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Pr="00C21B99">
              <w:rPr>
                <w:bCs/>
                <w:snapToGrid w:val="0"/>
                <w:szCs w:val="22"/>
                <w:lang w:eastAsia="en-US"/>
              </w:rPr>
              <w:t>,</w:t>
            </w:r>
            <w:r w:rsidR="0043201E" w:rsidRPr="00C21B99">
              <w:rPr>
                <w:bCs/>
                <w:snapToGrid w:val="0"/>
                <w:szCs w:val="22"/>
                <w:lang w:eastAsia="en-US"/>
              </w:rPr>
              <w:t>66</w:t>
            </w:r>
          </w:p>
          <w:p w14:paraId="7E8D1DCF"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434C43" w:rsidRPr="00C21B99">
              <w:rPr>
                <w:bCs/>
                <w:snapToGrid w:val="0"/>
                <w:szCs w:val="22"/>
                <w:lang w:eastAsia="en-US"/>
              </w:rPr>
              <w:t>,</w:t>
            </w:r>
            <w:r w:rsidRPr="00C21B99">
              <w:rPr>
                <w:bCs/>
                <w:snapToGrid w:val="0"/>
                <w:szCs w:val="22"/>
                <w:lang w:eastAsia="en-US"/>
              </w:rPr>
              <w:t>48</w:t>
            </w:r>
            <w:r w:rsidR="00434C43" w:rsidRPr="00C21B99">
              <w:rPr>
                <w:bCs/>
                <w:snapToGrid w:val="0"/>
                <w:szCs w:val="22"/>
                <w:lang w:eastAsia="en-US"/>
              </w:rPr>
              <w:t xml:space="preserve"> –</w:t>
            </w:r>
            <w:r w:rsidRPr="00C21B99">
              <w:rPr>
                <w:bCs/>
                <w:snapToGrid w:val="0"/>
                <w:szCs w:val="22"/>
                <w:lang w:eastAsia="en-US"/>
              </w:rPr>
              <w:t xml:space="preserve"> 0</w:t>
            </w:r>
            <w:r w:rsidR="00434C43" w:rsidRPr="00C21B99">
              <w:rPr>
                <w:bCs/>
                <w:snapToGrid w:val="0"/>
                <w:szCs w:val="22"/>
                <w:lang w:eastAsia="en-US"/>
              </w:rPr>
              <w:t>,</w:t>
            </w:r>
            <w:r w:rsidRPr="00C21B99">
              <w:rPr>
                <w:bCs/>
                <w:snapToGrid w:val="0"/>
                <w:szCs w:val="22"/>
                <w:lang w:eastAsia="en-US"/>
              </w:rPr>
              <w:t>91]</w:t>
            </w:r>
          </w:p>
          <w:p w14:paraId="06BD9406"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9</w:t>
            </w:r>
            <w:r w:rsidR="002509C6" w:rsidRPr="00C21B99">
              <w:rPr>
                <w:bCs/>
                <w:snapToGrid w:val="0"/>
                <w:szCs w:val="22"/>
                <w:lang w:eastAsia="en-US"/>
              </w:rPr>
              <w:t>,</w:t>
            </w:r>
            <w:r w:rsidRPr="00C21B99">
              <w:rPr>
                <w:bCs/>
                <w:snapToGrid w:val="0"/>
                <w:szCs w:val="22"/>
                <w:lang w:eastAsia="en-US"/>
              </w:rPr>
              <w:t xml:space="preserve">5 </w:t>
            </w:r>
            <w:proofErr w:type="spellStart"/>
            <w:r w:rsidR="00434C43" w:rsidRPr="00C21B99">
              <w:rPr>
                <w:bCs/>
                <w:snapToGrid w:val="0"/>
                <w:szCs w:val="22"/>
                <w:lang w:eastAsia="en-US"/>
              </w:rPr>
              <w:t>mėn</w:t>
            </w:r>
            <w:proofErr w:type="spellEnd"/>
            <w:r w:rsidR="00434C43" w:rsidRPr="00C21B99">
              <w:rPr>
                <w:bCs/>
                <w:snapToGrid w:val="0"/>
                <w:szCs w:val="22"/>
                <w:lang w:eastAsia="en-US"/>
              </w:rPr>
              <w:t>, plg. 5,5 mėn.</w:t>
            </w:r>
          </w:p>
          <w:p w14:paraId="31E46D8B"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2509C6" w:rsidRPr="00C21B99">
              <w:rPr>
                <w:bCs/>
                <w:snapToGrid w:val="0"/>
                <w:szCs w:val="22"/>
                <w:lang w:eastAsia="en-US"/>
              </w:rPr>
              <w:t xml:space="preserve"> </w:t>
            </w:r>
            <w:r w:rsidRPr="00C21B99">
              <w:rPr>
                <w:bCs/>
                <w:snapToGrid w:val="0"/>
                <w:szCs w:val="22"/>
                <w:lang w:eastAsia="en-US"/>
              </w:rPr>
              <w:t>=</w:t>
            </w:r>
            <w:r w:rsidR="002509C6" w:rsidRPr="00C21B99">
              <w:rPr>
                <w:bCs/>
                <w:snapToGrid w:val="0"/>
                <w:szCs w:val="22"/>
                <w:lang w:eastAsia="en-US"/>
              </w:rPr>
              <w:t xml:space="preserve"> </w:t>
            </w:r>
            <w:r w:rsidRPr="00C21B99">
              <w:rPr>
                <w:bCs/>
                <w:snapToGrid w:val="0"/>
                <w:szCs w:val="22"/>
                <w:lang w:eastAsia="en-US"/>
              </w:rPr>
              <w:t>0</w:t>
            </w:r>
            <w:r w:rsidR="002509C6" w:rsidRPr="00C21B99">
              <w:rPr>
                <w:bCs/>
                <w:snapToGrid w:val="0"/>
                <w:szCs w:val="22"/>
                <w:lang w:eastAsia="en-US"/>
              </w:rPr>
              <w:t>,</w:t>
            </w:r>
            <w:r w:rsidRPr="00C21B99">
              <w:rPr>
                <w:bCs/>
                <w:snapToGrid w:val="0"/>
                <w:szCs w:val="22"/>
                <w:lang w:eastAsia="en-US"/>
              </w:rPr>
              <w:t>0100</w:t>
            </w:r>
          </w:p>
        </w:tc>
      </w:tr>
      <w:tr w:rsidR="0043201E" w:rsidRPr="00C21B99" w14:paraId="291336EB" w14:textId="77777777" w:rsidTr="009A493C">
        <w:tc>
          <w:tcPr>
            <w:tcW w:w="1984" w:type="dxa"/>
            <w:tcBorders>
              <w:top w:val="single" w:sz="2" w:space="0" w:color="auto"/>
              <w:left w:val="nil"/>
              <w:bottom w:val="single" w:sz="2" w:space="0" w:color="auto"/>
              <w:right w:val="nil"/>
            </w:tcBorders>
            <w:shd w:val="clear" w:color="auto" w:fill="auto"/>
          </w:tcPr>
          <w:p w14:paraId="15EECE9B"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Ne</w:t>
            </w:r>
            <w:r w:rsidR="00434C43" w:rsidRPr="00C21B99">
              <w:rPr>
                <w:bCs/>
                <w:snapToGrid w:val="0"/>
                <w:szCs w:val="22"/>
                <w:lang w:eastAsia="en-US"/>
              </w:rPr>
              <w:t xml:space="preserve"> </w:t>
            </w:r>
            <w:proofErr w:type="spellStart"/>
            <w:r w:rsidRPr="00C21B99">
              <w:rPr>
                <w:bCs/>
                <w:snapToGrid w:val="0"/>
                <w:szCs w:val="22"/>
                <w:lang w:eastAsia="en-US"/>
              </w:rPr>
              <w:t>aziečiai</w:t>
            </w:r>
            <w:proofErr w:type="spellEnd"/>
          </w:p>
        </w:tc>
        <w:tc>
          <w:tcPr>
            <w:tcW w:w="851" w:type="dxa"/>
            <w:tcBorders>
              <w:top w:val="single" w:sz="2" w:space="0" w:color="auto"/>
              <w:left w:val="nil"/>
              <w:bottom w:val="single" w:sz="2" w:space="0" w:color="auto"/>
              <w:right w:val="nil"/>
            </w:tcBorders>
            <w:shd w:val="clear" w:color="auto" w:fill="auto"/>
          </w:tcPr>
          <w:p w14:paraId="0578BADF"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1350</w:t>
            </w:r>
          </w:p>
        </w:tc>
        <w:tc>
          <w:tcPr>
            <w:tcW w:w="1984" w:type="dxa"/>
            <w:tcBorders>
              <w:top w:val="single" w:sz="2" w:space="0" w:color="auto"/>
              <w:left w:val="nil"/>
              <w:bottom w:val="single" w:sz="2" w:space="0" w:color="auto"/>
              <w:right w:val="nil"/>
            </w:tcBorders>
            <w:shd w:val="clear" w:color="auto" w:fill="auto"/>
          </w:tcPr>
          <w:p w14:paraId="03A5B716"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6</w:t>
            </w:r>
            <w:r w:rsidR="00434C43" w:rsidRPr="00C21B99">
              <w:rPr>
                <w:bCs/>
                <w:snapToGrid w:val="0"/>
                <w:szCs w:val="22"/>
                <w:lang w:eastAsia="en-US"/>
              </w:rPr>
              <w:t>,</w:t>
            </w:r>
            <w:r w:rsidRPr="00C21B99">
              <w:rPr>
                <w:bCs/>
                <w:snapToGrid w:val="0"/>
                <w:szCs w:val="22"/>
                <w:lang w:eastAsia="en-US"/>
              </w:rPr>
              <w:t xml:space="preserve">8% </w:t>
            </w:r>
            <w:r w:rsidR="00434C43" w:rsidRPr="00C21B99">
              <w:rPr>
                <w:bCs/>
                <w:snapToGrid w:val="0"/>
                <w:szCs w:val="22"/>
                <w:lang w:eastAsia="en-US"/>
              </w:rPr>
              <w:t xml:space="preserve">, </w:t>
            </w:r>
            <w:proofErr w:type="spellStart"/>
            <w:r w:rsidR="00434C43" w:rsidRPr="00C21B99">
              <w:rPr>
                <w:bCs/>
                <w:snapToGrid w:val="0"/>
                <w:szCs w:val="22"/>
                <w:lang w:eastAsia="en-US"/>
              </w:rPr>
              <w:t>plg</w:t>
            </w:r>
            <w:proofErr w:type="spellEnd"/>
            <w:r w:rsidR="00434C43" w:rsidRPr="00C21B99">
              <w:rPr>
                <w:bCs/>
                <w:snapToGrid w:val="0"/>
                <w:szCs w:val="22"/>
                <w:lang w:eastAsia="en-US"/>
              </w:rPr>
              <w:t>,</w:t>
            </w:r>
            <w:r w:rsidRPr="00C21B99">
              <w:rPr>
                <w:bCs/>
                <w:snapToGrid w:val="0"/>
                <w:szCs w:val="22"/>
                <w:lang w:eastAsia="en-US"/>
              </w:rPr>
              <w:t xml:space="preserve"> 1</w:t>
            </w:r>
            <w:r w:rsidR="00434C43" w:rsidRPr="00C21B99">
              <w:rPr>
                <w:bCs/>
                <w:snapToGrid w:val="0"/>
                <w:szCs w:val="22"/>
                <w:lang w:eastAsia="en-US"/>
              </w:rPr>
              <w:t>,</w:t>
            </w:r>
            <w:r w:rsidRPr="00C21B99">
              <w:rPr>
                <w:bCs/>
                <w:snapToGrid w:val="0"/>
                <w:szCs w:val="22"/>
                <w:lang w:eastAsia="en-US"/>
              </w:rPr>
              <w:t>0%</w:t>
            </w:r>
          </w:p>
          <w:p w14:paraId="076D71B5"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[3</w:t>
            </w:r>
            <w:r w:rsidR="00434C43" w:rsidRPr="00C21B99">
              <w:rPr>
                <w:bCs/>
                <w:snapToGrid w:val="0"/>
                <w:szCs w:val="22"/>
                <w:lang w:eastAsia="en-US"/>
              </w:rPr>
              <w:t>,</w:t>
            </w:r>
            <w:r w:rsidRPr="00C21B99">
              <w:rPr>
                <w:bCs/>
                <w:snapToGrid w:val="0"/>
                <w:szCs w:val="22"/>
                <w:lang w:eastAsia="en-US"/>
              </w:rPr>
              <w:t>5%</w:t>
            </w:r>
            <w:r w:rsidR="00434C43" w:rsidRPr="00C21B99">
              <w:rPr>
                <w:bCs/>
                <w:snapToGrid w:val="0"/>
                <w:szCs w:val="22"/>
                <w:lang w:eastAsia="en-US"/>
              </w:rPr>
              <w:t>;</w:t>
            </w:r>
            <w:r w:rsidRPr="00C21B99">
              <w:rPr>
                <w:bCs/>
                <w:snapToGrid w:val="0"/>
                <w:szCs w:val="22"/>
                <w:lang w:eastAsia="en-US"/>
              </w:rPr>
              <w:t xml:space="preserve"> 7</w:t>
            </w:r>
            <w:r w:rsidR="00434C43" w:rsidRPr="00C21B99">
              <w:rPr>
                <w:bCs/>
                <w:snapToGrid w:val="0"/>
                <w:szCs w:val="22"/>
                <w:lang w:eastAsia="en-US"/>
              </w:rPr>
              <w:t>,</w:t>
            </w:r>
            <w:r w:rsidRPr="00C21B99">
              <w:rPr>
                <w:bCs/>
                <w:snapToGrid w:val="0"/>
                <w:szCs w:val="22"/>
                <w:lang w:eastAsia="en-US"/>
              </w:rPr>
              <w:t>9%]</w:t>
            </w:r>
          </w:p>
        </w:tc>
        <w:tc>
          <w:tcPr>
            <w:tcW w:w="1982" w:type="dxa"/>
            <w:tcBorders>
              <w:top w:val="single" w:sz="2" w:space="0" w:color="auto"/>
              <w:left w:val="nil"/>
              <w:bottom w:val="single" w:sz="2" w:space="0" w:color="auto"/>
              <w:right w:val="nil"/>
            </w:tcBorders>
            <w:shd w:val="clear" w:color="auto" w:fill="auto"/>
          </w:tcPr>
          <w:p w14:paraId="0CAFCE66" w14:textId="77777777" w:rsidR="0043201E" w:rsidRPr="00C21B99" w:rsidRDefault="00434C43"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Pr="00C21B99">
              <w:rPr>
                <w:bCs/>
                <w:snapToGrid w:val="0"/>
                <w:szCs w:val="22"/>
                <w:lang w:eastAsia="en-US"/>
              </w:rPr>
              <w:t>,</w:t>
            </w:r>
            <w:r w:rsidR="0043201E" w:rsidRPr="00C21B99">
              <w:rPr>
                <w:bCs/>
                <w:snapToGrid w:val="0"/>
                <w:szCs w:val="22"/>
                <w:lang w:eastAsia="en-US"/>
              </w:rPr>
              <w:t>86</w:t>
            </w:r>
          </w:p>
          <w:p w14:paraId="4F8DE7E2"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434C43" w:rsidRPr="00C21B99">
              <w:rPr>
                <w:bCs/>
                <w:snapToGrid w:val="0"/>
                <w:szCs w:val="22"/>
                <w:lang w:eastAsia="en-US"/>
              </w:rPr>
              <w:t>,</w:t>
            </w:r>
            <w:r w:rsidRPr="00C21B99">
              <w:rPr>
                <w:bCs/>
                <w:snapToGrid w:val="0"/>
                <w:szCs w:val="22"/>
                <w:lang w:eastAsia="en-US"/>
              </w:rPr>
              <w:t>76</w:t>
            </w:r>
            <w:r w:rsidR="00434C43" w:rsidRPr="00C21B99">
              <w:rPr>
                <w:bCs/>
                <w:snapToGrid w:val="0"/>
                <w:szCs w:val="22"/>
                <w:lang w:eastAsia="en-US"/>
              </w:rPr>
              <w:t xml:space="preserve"> –</w:t>
            </w:r>
            <w:r w:rsidRPr="00C21B99">
              <w:rPr>
                <w:bCs/>
                <w:snapToGrid w:val="0"/>
                <w:szCs w:val="22"/>
                <w:lang w:eastAsia="en-US"/>
              </w:rPr>
              <w:t xml:space="preserve"> 0</w:t>
            </w:r>
            <w:r w:rsidR="00434C43" w:rsidRPr="00C21B99">
              <w:rPr>
                <w:bCs/>
                <w:snapToGrid w:val="0"/>
                <w:szCs w:val="22"/>
                <w:lang w:eastAsia="en-US"/>
              </w:rPr>
              <w:t>,</w:t>
            </w:r>
            <w:r w:rsidRPr="00C21B99">
              <w:rPr>
                <w:bCs/>
                <w:snapToGrid w:val="0"/>
                <w:szCs w:val="22"/>
                <w:lang w:eastAsia="en-US"/>
              </w:rPr>
              <w:t>98]</w:t>
            </w:r>
          </w:p>
          <w:p w14:paraId="1205B839" w14:textId="77777777" w:rsidR="00434C43" w:rsidRPr="00C21B99" w:rsidRDefault="0043201E" w:rsidP="009A493C">
            <w:pPr>
              <w:widowControl w:val="0"/>
              <w:tabs>
                <w:tab w:val="left" w:pos="567"/>
              </w:tabs>
              <w:rPr>
                <w:bCs/>
                <w:snapToGrid w:val="0"/>
                <w:szCs w:val="22"/>
                <w:lang w:eastAsia="en-US"/>
              </w:rPr>
            </w:pPr>
            <w:r w:rsidRPr="00C21B99">
              <w:rPr>
                <w:bCs/>
                <w:snapToGrid w:val="0"/>
                <w:szCs w:val="22"/>
                <w:lang w:eastAsia="en-US"/>
              </w:rPr>
              <w:t>2</w:t>
            </w:r>
            <w:r w:rsidR="00434C43" w:rsidRPr="00C21B99">
              <w:rPr>
                <w:bCs/>
                <w:snapToGrid w:val="0"/>
                <w:szCs w:val="22"/>
                <w:lang w:eastAsia="en-US"/>
              </w:rPr>
              <w:t>,</w:t>
            </w:r>
            <w:r w:rsidRPr="00C21B99">
              <w:rPr>
                <w:bCs/>
                <w:snapToGrid w:val="0"/>
                <w:szCs w:val="22"/>
                <w:lang w:eastAsia="en-US"/>
              </w:rPr>
              <w:t xml:space="preserve">9 </w:t>
            </w:r>
            <w:proofErr w:type="spellStart"/>
            <w:r w:rsidR="00434C43" w:rsidRPr="00C21B99">
              <w:rPr>
                <w:bCs/>
                <w:snapToGrid w:val="0"/>
                <w:szCs w:val="22"/>
                <w:lang w:eastAsia="en-US"/>
              </w:rPr>
              <w:t>mėn</w:t>
            </w:r>
            <w:proofErr w:type="spellEnd"/>
            <w:r w:rsidR="00434C43" w:rsidRPr="00C21B99">
              <w:rPr>
                <w:bCs/>
                <w:snapToGrid w:val="0"/>
                <w:szCs w:val="22"/>
                <w:lang w:eastAsia="en-US"/>
              </w:rPr>
              <w:t>, plg. 2,7 mėn.</w:t>
            </w:r>
          </w:p>
          <w:p w14:paraId="00792480"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434C43" w:rsidRPr="00C21B99">
              <w:rPr>
                <w:bCs/>
                <w:snapToGrid w:val="0"/>
                <w:szCs w:val="22"/>
                <w:lang w:eastAsia="en-US"/>
              </w:rPr>
              <w:t xml:space="preserve"> </w:t>
            </w:r>
            <w:r w:rsidRPr="00C21B99">
              <w:rPr>
                <w:bCs/>
                <w:snapToGrid w:val="0"/>
                <w:szCs w:val="22"/>
                <w:lang w:eastAsia="en-US"/>
              </w:rPr>
              <w:t>=</w:t>
            </w:r>
            <w:r w:rsidR="00434C43" w:rsidRPr="00C21B99">
              <w:rPr>
                <w:bCs/>
                <w:snapToGrid w:val="0"/>
                <w:szCs w:val="22"/>
                <w:lang w:eastAsia="en-US"/>
              </w:rPr>
              <w:t xml:space="preserve"> </w:t>
            </w:r>
            <w:r w:rsidRPr="00C21B99">
              <w:rPr>
                <w:bCs/>
                <w:snapToGrid w:val="0"/>
                <w:szCs w:val="22"/>
                <w:lang w:eastAsia="en-US"/>
              </w:rPr>
              <w:t>0</w:t>
            </w:r>
            <w:r w:rsidR="00434C43" w:rsidRPr="00C21B99">
              <w:rPr>
                <w:bCs/>
                <w:snapToGrid w:val="0"/>
                <w:szCs w:val="22"/>
                <w:lang w:eastAsia="en-US"/>
              </w:rPr>
              <w:t>,</w:t>
            </w:r>
            <w:r w:rsidRPr="00C21B99">
              <w:rPr>
                <w:bCs/>
                <w:snapToGrid w:val="0"/>
                <w:szCs w:val="22"/>
                <w:lang w:eastAsia="en-US"/>
              </w:rPr>
              <w:t>0197</w:t>
            </w:r>
          </w:p>
        </w:tc>
        <w:tc>
          <w:tcPr>
            <w:tcW w:w="1701" w:type="dxa"/>
            <w:tcBorders>
              <w:top w:val="single" w:sz="2" w:space="0" w:color="auto"/>
              <w:left w:val="nil"/>
              <w:bottom w:val="single" w:sz="2" w:space="0" w:color="auto"/>
              <w:right w:val="nil"/>
            </w:tcBorders>
            <w:shd w:val="clear" w:color="auto" w:fill="auto"/>
          </w:tcPr>
          <w:p w14:paraId="4279E20C" w14:textId="77777777" w:rsidR="0043201E" w:rsidRPr="00C21B99" w:rsidRDefault="00434C43" w:rsidP="009A493C">
            <w:pPr>
              <w:widowControl w:val="0"/>
              <w:tabs>
                <w:tab w:val="left" w:pos="567"/>
              </w:tabs>
              <w:rPr>
                <w:bCs/>
                <w:snapToGrid w:val="0"/>
                <w:szCs w:val="22"/>
                <w:lang w:eastAsia="en-US"/>
              </w:rPr>
            </w:pPr>
            <w:r w:rsidRPr="00C21B99">
              <w:rPr>
                <w:bCs/>
                <w:snapToGrid w:val="0"/>
                <w:szCs w:val="22"/>
                <w:lang w:eastAsia="en-US"/>
              </w:rPr>
              <w:t>RS</w:t>
            </w:r>
            <w:r w:rsidR="0043201E" w:rsidRPr="00C21B99">
              <w:rPr>
                <w:bCs/>
                <w:snapToGrid w:val="0"/>
                <w:szCs w:val="22"/>
                <w:lang w:eastAsia="en-US"/>
              </w:rPr>
              <w:t xml:space="preserve"> 0</w:t>
            </w:r>
            <w:r w:rsidRPr="00C21B99">
              <w:rPr>
                <w:bCs/>
                <w:snapToGrid w:val="0"/>
                <w:szCs w:val="22"/>
                <w:lang w:eastAsia="en-US"/>
              </w:rPr>
              <w:t>,</w:t>
            </w:r>
            <w:r w:rsidR="0043201E" w:rsidRPr="00C21B99">
              <w:rPr>
                <w:bCs/>
                <w:snapToGrid w:val="0"/>
                <w:szCs w:val="22"/>
                <w:lang w:eastAsia="en-US"/>
              </w:rPr>
              <w:t>92</w:t>
            </w:r>
          </w:p>
          <w:p w14:paraId="58E1ABE5"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[0</w:t>
            </w:r>
            <w:r w:rsidR="00434C43" w:rsidRPr="00C21B99">
              <w:rPr>
                <w:bCs/>
                <w:snapToGrid w:val="0"/>
                <w:szCs w:val="22"/>
                <w:lang w:eastAsia="en-US"/>
              </w:rPr>
              <w:t>,</w:t>
            </w:r>
            <w:r w:rsidRPr="00C21B99">
              <w:rPr>
                <w:bCs/>
                <w:snapToGrid w:val="0"/>
                <w:szCs w:val="22"/>
                <w:lang w:eastAsia="en-US"/>
              </w:rPr>
              <w:t>80</w:t>
            </w:r>
            <w:r w:rsidR="00434C43" w:rsidRPr="00C21B99">
              <w:rPr>
                <w:bCs/>
                <w:snapToGrid w:val="0"/>
                <w:szCs w:val="22"/>
                <w:lang w:eastAsia="en-US"/>
              </w:rPr>
              <w:t xml:space="preserve"> –</w:t>
            </w:r>
            <w:r w:rsidRPr="00C21B99">
              <w:rPr>
                <w:bCs/>
                <w:snapToGrid w:val="0"/>
                <w:szCs w:val="22"/>
                <w:lang w:eastAsia="en-US"/>
              </w:rPr>
              <w:t xml:space="preserve"> 1</w:t>
            </w:r>
            <w:r w:rsidR="00434C43" w:rsidRPr="00C21B99">
              <w:rPr>
                <w:bCs/>
                <w:snapToGrid w:val="0"/>
                <w:szCs w:val="22"/>
                <w:lang w:eastAsia="en-US"/>
              </w:rPr>
              <w:t>,</w:t>
            </w:r>
            <w:r w:rsidRPr="00C21B99">
              <w:rPr>
                <w:bCs/>
                <w:snapToGrid w:val="0"/>
                <w:szCs w:val="22"/>
                <w:lang w:eastAsia="en-US"/>
              </w:rPr>
              <w:t>07]</w:t>
            </w:r>
          </w:p>
          <w:p w14:paraId="648C44B5" w14:textId="77777777" w:rsidR="00434C43" w:rsidRPr="00C21B99" w:rsidRDefault="0043201E" w:rsidP="009A493C">
            <w:pPr>
              <w:widowControl w:val="0"/>
              <w:tabs>
                <w:tab w:val="left" w:pos="567"/>
              </w:tabs>
              <w:rPr>
                <w:bCs/>
                <w:snapToGrid w:val="0"/>
                <w:szCs w:val="22"/>
                <w:lang w:eastAsia="en-US"/>
              </w:rPr>
            </w:pPr>
            <w:r w:rsidRPr="00C21B99">
              <w:rPr>
                <w:bCs/>
                <w:snapToGrid w:val="0"/>
                <w:szCs w:val="22"/>
                <w:lang w:eastAsia="en-US"/>
              </w:rPr>
              <w:t>5</w:t>
            </w:r>
            <w:r w:rsidR="00434C43" w:rsidRPr="00C21B99">
              <w:rPr>
                <w:bCs/>
                <w:snapToGrid w:val="0"/>
                <w:szCs w:val="22"/>
                <w:lang w:eastAsia="en-US"/>
              </w:rPr>
              <w:t>,</w:t>
            </w:r>
            <w:r w:rsidRPr="00C21B99">
              <w:rPr>
                <w:bCs/>
                <w:snapToGrid w:val="0"/>
                <w:szCs w:val="22"/>
                <w:lang w:eastAsia="en-US"/>
              </w:rPr>
              <w:t xml:space="preserve">2 </w:t>
            </w:r>
            <w:proofErr w:type="spellStart"/>
            <w:r w:rsidR="00434C43" w:rsidRPr="00C21B99">
              <w:rPr>
                <w:bCs/>
                <w:snapToGrid w:val="0"/>
                <w:szCs w:val="22"/>
                <w:lang w:eastAsia="en-US"/>
              </w:rPr>
              <w:t>mėn</w:t>
            </w:r>
            <w:proofErr w:type="spellEnd"/>
            <w:r w:rsidR="00434C43" w:rsidRPr="00C21B99">
              <w:rPr>
                <w:bCs/>
                <w:snapToGrid w:val="0"/>
                <w:szCs w:val="22"/>
                <w:lang w:eastAsia="en-US"/>
              </w:rPr>
              <w:t>, plg. 5,1 mėn.</w:t>
            </w:r>
          </w:p>
          <w:p w14:paraId="7434CFC2" w14:textId="77777777" w:rsidR="0043201E" w:rsidRPr="00C21B99" w:rsidRDefault="0043201E" w:rsidP="009A493C">
            <w:pPr>
              <w:widowControl w:val="0"/>
              <w:tabs>
                <w:tab w:val="left" w:pos="567"/>
              </w:tabs>
              <w:rPr>
                <w:bCs/>
                <w:snapToGrid w:val="0"/>
                <w:szCs w:val="22"/>
                <w:lang w:eastAsia="en-US"/>
              </w:rPr>
            </w:pPr>
            <w:r w:rsidRPr="00C21B99">
              <w:rPr>
                <w:bCs/>
                <w:snapToGrid w:val="0"/>
                <w:szCs w:val="22"/>
                <w:lang w:eastAsia="en-US"/>
              </w:rPr>
              <w:t>p</w:t>
            </w:r>
            <w:r w:rsidR="00434C43" w:rsidRPr="00C21B99">
              <w:rPr>
                <w:bCs/>
                <w:snapToGrid w:val="0"/>
                <w:szCs w:val="22"/>
                <w:lang w:eastAsia="en-US"/>
              </w:rPr>
              <w:t xml:space="preserve"> </w:t>
            </w:r>
            <w:r w:rsidRPr="00C21B99">
              <w:rPr>
                <w:bCs/>
                <w:snapToGrid w:val="0"/>
                <w:szCs w:val="22"/>
                <w:lang w:eastAsia="en-US"/>
              </w:rPr>
              <w:t>=</w:t>
            </w:r>
            <w:r w:rsidR="00434C43" w:rsidRPr="00C21B99">
              <w:rPr>
                <w:bCs/>
                <w:snapToGrid w:val="0"/>
                <w:szCs w:val="22"/>
                <w:lang w:eastAsia="en-US"/>
              </w:rPr>
              <w:t xml:space="preserve"> </w:t>
            </w:r>
            <w:r w:rsidRPr="00C21B99">
              <w:rPr>
                <w:bCs/>
                <w:snapToGrid w:val="0"/>
                <w:szCs w:val="22"/>
                <w:lang w:eastAsia="en-US"/>
              </w:rPr>
              <w:t>0</w:t>
            </w:r>
            <w:r w:rsidR="00434C43" w:rsidRPr="00C21B99">
              <w:rPr>
                <w:bCs/>
                <w:snapToGrid w:val="0"/>
                <w:szCs w:val="22"/>
                <w:lang w:eastAsia="en-US"/>
              </w:rPr>
              <w:t>,</w:t>
            </w:r>
            <w:r w:rsidRPr="00C21B99">
              <w:rPr>
                <w:bCs/>
                <w:snapToGrid w:val="0"/>
                <w:szCs w:val="22"/>
                <w:lang w:eastAsia="en-US"/>
              </w:rPr>
              <w:t>2942</w:t>
            </w:r>
          </w:p>
        </w:tc>
      </w:tr>
    </w:tbl>
    <w:p w14:paraId="612EAF82" w14:textId="77777777" w:rsidR="00434C43" w:rsidRPr="00C21B99" w:rsidRDefault="00434C43" w:rsidP="00434C43">
      <w:pPr>
        <w:widowControl w:val="0"/>
        <w:tabs>
          <w:tab w:val="left" w:pos="567"/>
        </w:tabs>
        <w:rPr>
          <w:bCs/>
          <w:snapToGrid w:val="0"/>
          <w:sz w:val="20"/>
          <w:lang w:eastAsia="en-US"/>
        </w:rPr>
      </w:pPr>
      <w:r w:rsidRPr="00C21B99">
        <w:rPr>
          <w:bCs/>
          <w:snapToGrid w:val="0"/>
          <w:sz w:val="20"/>
          <w:lang w:eastAsia="en-US"/>
        </w:rPr>
        <w:t>a</w:t>
      </w:r>
      <w:r w:rsidRPr="00C21B99">
        <w:rPr>
          <w:bCs/>
          <w:snapToGrid w:val="0"/>
          <w:sz w:val="20"/>
          <w:lang w:eastAsia="en-US"/>
        </w:rPr>
        <w:tab/>
        <w:t>pateikiami IRESSA duomenys palyginus su placebu</w:t>
      </w:r>
    </w:p>
    <w:p w14:paraId="570FFBC5" w14:textId="77777777" w:rsidR="00434C43" w:rsidRPr="00C21B99" w:rsidRDefault="00434C43" w:rsidP="00434C43">
      <w:pPr>
        <w:widowControl w:val="0"/>
        <w:tabs>
          <w:tab w:val="left" w:pos="567"/>
        </w:tabs>
        <w:rPr>
          <w:bCs/>
          <w:snapToGrid w:val="0"/>
          <w:sz w:val="20"/>
          <w:lang w:eastAsia="en-US"/>
        </w:rPr>
      </w:pPr>
      <w:r w:rsidRPr="00C21B99">
        <w:rPr>
          <w:bCs/>
          <w:snapToGrid w:val="0"/>
          <w:sz w:val="20"/>
          <w:lang w:eastAsia="en-US"/>
        </w:rPr>
        <w:t>b</w:t>
      </w:r>
      <w:r w:rsidRPr="00C21B99">
        <w:rPr>
          <w:bCs/>
          <w:snapToGrid w:val="0"/>
          <w:sz w:val="20"/>
          <w:lang w:eastAsia="en-US"/>
        </w:rPr>
        <w:tab/>
        <w:t xml:space="preserve">skaičiai laužtiniuose skliaustuose – HR 95% </w:t>
      </w:r>
      <w:proofErr w:type="spellStart"/>
      <w:r w:rsidRPr="00C21B99">
        <w:rPr>
          <w:bCs/>
          <w:snapToGrid w:val="0"/>
          <w:sz w:val="20"/>
          <w:lang w:eastAsia="en-US"/>
        </w:rPr>
        <w:t>pasikliautinieji</w:t>
      </w:r>
      <w:proofErr w:type="spellEnd"/>
      <w:r w:rsidRPr="00C21B99">
        <w:rPr>
          <w:bCs/>
          <w:snapToGrid w:val="0"/>
          <w:sz w:val="20"/>
          <w:lang w:eastAsia="en-US"/>
        </w:rPr>
        <w:t xml:space="preserve"> intervalai</w:t>
      </w:r>
    </w:p>
    <w:p w14:paraId="1B3AA3D6" w14:textId="77777777" w:rsidR="00434C43" w:rsidRPr="00C21B99" w:rsidRDefault="00434C43" w:rsidP="00434C43">
      <w:pPr>
        <w:widowControl w:val="0"/>
        <w:tabs>
          <w:tab w:val="left" w:pos="567"/>
        </w:tabs>
        <w:ind w:left="567" w:hanging="567"/>
        <w:rPr>
          <w:bCs/>
          <w:snapToGrid w:val="0"/>
          <w:sz w:val="20"/>
          <w:lang w:eastAsia="en-US"/>
        </w:rPr>
      </w:pPr>
      <w:r w:rsidRPr="00C21B99">
        <w:rPr>
          <w:bCs/>
          <w:snapToGrid w:val="0"/>
          <w:sz w:val="20"/>
          <w:lang w:eastAsia="en-US"/>
        </w:rPr>
        <w:t>c</w:t>
      </w:r>
      <w:r w:rsidRPr="00C21B99">
        <w:rPr>
          <w:bCs/>
          <w:snapToGrid w:val="0"/>
          <w:sz w:val="20"/>
          <w:lang w:eastAsia="en-US"/>
        </w:rPr>
        <w:tab/>
      </w:r>
      <w:proofErr w:type="spellStart"/>
      <w:r w:rsidRPr="00C21B99">
        <w:rPr>
          <w:bCs/>
          <w:snapToGrid w:val="0"/>
          <w:sz w:val="20"/>
          <w:lang w:eastAsia="en-US"/>
        </w:rPr>
        <w:t>stratifikuotas</w:t>
      </w:r>
      <w:proofErr w:type="spellEnd"/>
      <w:r w:rsidRPr="00C21B99">
        <w:rPr>
          <w:bCs/>
          <w:snapToGrid w:val="0"/>
          <w:sz w:val="20"/>
          <w:lang w:eastAsia="en-US"/>
        </w:rPr>
        <w:t xml:space="preserve"> </w:t>
      </w:r>
      <w:proofErr w:type="spellStart"/>
      <w:r w:rsidRPr="00C21B99">
        <w:rPr>
          <w:bCs/>
          <w:snapToGrid w:val="0"/>
          <w:sz w:val="20"/>
          <w:lang w:eastAsia="en-US"/>
        </w:rPr>
        <w:t>log-rank</w:t>
      </w:r>
      <w:proofErr w:type="spellEnd"/>
      <w:r w:rsidRPr="00C21B99">
        <w:rPr>
          <w:bCs/>
          <w:snapToGrid w:val="0"/>
          <w:sz w:val="20"/>
          <w:lang w:eastAsia="en-US"/>
        </w:rPr>
        <w:t xml:space="preserve"> testas bendram išgyvenimui, kitais atvejais – </w:t>
      </w:r>
      <w:proofErr w:type="spellStart"/>
      <w:r w:rsidRPr="00C21B99">
        <w:rPr>
          <w:bCs/>
          <w:snapToGrid w:val="0"/>
          <w:sz w:val="20"/>
          <w:lang w:eastAsia="en-US"/>
        </w:rPr>
        <w:t>cox</w:t>
      </w:r>
      <w:proofErr w:type="spellEnd"/>
      <w:r w:rsidRPr="00C21B99">
        <w:rPr>
          <w:bCs/>
          <w:snapToGrid w:val="0"/>
          <w:sz w:val="20"/>
          <w:lang w:eastAsia="en-US"/>
        </w:rPr>
        <w:t xml:space="preserve"> proporcinės rizikos modelis</w:t>
      </w:r>
    </w:p>
    <w:p w14:paraId="33AC1878" w14:textId="77777777" w:rsidR="00434C43" w:rsidRPr="00C21B99" w:rsidRDefault="00434C43" w:rsidP="00434C43">
      <w:pPr>
        <w:widowControl w:val="0"/>
        <w:tabs>
          <w:tab w:val="left" w:pos="567"/>
        </w:tabs>
        <w:ind w:left="567" w:hanging="567"/>
        <w:rPr>
          <w:bCs/>
          <w:snapToGrid w:val="0"/>
          <w:sz w:val="20"/>
          <w:lang w:eastAsia="en-US"/>
        </w:rPr>
      </w:pPr>
      <w:r w:rsidRPr="00C21B99">
        <w:rPr>
          <w:bCs/>
          <w:snapToGrid w:val="0"/>
          <w:sz w:val="20"/>
          <w:lang w:eastAsia="en-US"/>
        </w:rPr>
        <w:t>d</w:t>
      </w:r>
      <w:r w:rsidRPr="00C21B99">
        <w:rPr>
          <w:bCs/>
          <w:snapToGrid w:val="0"/>
          <w:sz w:val="20"/>
          <w:lang w:eastAsia="en-US"/>
        </w:rPr>
        <w:tab/>
        <w:t>į azijiečių rasės pacientų grupę neįtraukti kilę iš Indijos; buvo įtraukiama pagal pacientų rasę nepriklausomai nuo gimimo vietos</w:t>
      </w:r>
    </w:p>
    <w:p w14:paraId="6C337142" w14:textId="77777777" w:rsidR="00434C43" w:rsidRPr="00C21B99" w:rsidRDefault="00434C43" w:rsidP="00434C43">
      <w:pPr>
        <w:widowControl w:val="0"/>
        <w:tabs>
          <w:tab w:val="left" w:pos="567"/>
        </w:tabs>
        <w:rPr>
          <w:bCs/>
          <w:snapToGrid w:val="0"/>
          <w:sz w:val="20"/>
          <w:lang w:eastAsia="en-US"/>
        </w:rPr>
      </w:pPr>
      <w:r w:rsidRPr="00C21B99">
        <w:rPr>
          <w:bCs/>
          <w:snapToGrid w:val="0"/>
          <w:sz w:val="20"/>
          <w:lang w:eastAsia="en-US"/>
        </w:rPr>
        <w:t>N</w:t>
      </w:r>
      <w:r w:rsidR="009F203D" w:rsidRPr="00C21B99">
        <w:rPr>
          <w:bCs/>
          <w:snapToGrid w:val="0"/>
          <w:sz w:val="20"/>
          <w:lang w:eastAsia="en-US"/>
        </w:rPr>
        <w:tab/>
      </w:r>
      <w:r w:rsidRPr="00C21B99">
        <w:rPr>
          <w:bCs/>
          <w:snapToGrid w:val="0"/>
          <w:sz w:val="20"/>
          <w:lang w:eastAsia="en-US"/>
        </w:rPr>
        <w:t>pacientų</w:t>
      </w:r>
      <w:r w:rsidR="009F203D" w:rsidRPr="00C21B99">
        <w:rPr>
          <w:bCs/>
          <w:snapToGrid w:val="0"/>
          <w:sz w:val="20"/>
          <w:lang w:eastAsia="en-US"/>
        </w:rPr>
        <w:t>, dalyvavusių atsitiktinėje atrankoje,</w:t>
      </w:r>
      <w:r w:rsidRPr="00C21B99">
        <w:rPr>
          <w:bCs/>
          <w:snapToGrid w:val="0"/>
          <w:sz w:val="20"/>
          <w:lang w:eastAsia="en-US"/>
        </w:rPr>
        <w:t xml:space="preserve"> skaičius</w:t>
      </w:r>
    </w:p>
    <w:p w14:paraId="0C8CDDA0" w14:textId="77777777" w:rsidR="00434C43" w:rsidRPr="00C21B99" w:rsidRDefault="00434C43" w:rsidP="00434C43">
      <w:pPr>
        <w:widowControl w:val="0"/>
        <w:tabs>
          <w:tab w:val="left" w:pos="567"/>
        </w:tabs>
        <w:rPr>
          <w:bCs/>
          <w:snapToGrid w:val="0"/>
          <w:sz w:val="20"/>
          <w:lang w:eastAsia="en-US"/>
        </w:rPr>
      </w:pPr>
      <w:r w:rsidRPr="00C21B99">
        <w:rPr>
          <w:bCs/>
          <w:snapToGrid w:val="0"/>
          <w:sz w:val="20"/>
          <w:lang w:eastAsia="en-US"/>
        </w:rPr>
        <w:t>Neapskaičiuota</w:t>
      </w:r>
      <w:r w:rsidR="009F203D" w:rsidRPr="00C21B99">
        <w:rPr>
          <w:bCs/>
          <w:snapToGrid w:val="0"/>
          <w:sz w:val="20"/>
          <w:lang w:eastAsia="en-US"/>
        </w:rPr>
        <w:t>s</w:t>
      </w:r>
      <w:r w:rsidR="009F203D" w:rsidRPr="00C21B99">
        <w:rPr>
          <w:bCs/>
          <w:snapToGrid w:val="0"/>
          <w:sz w:val="20"/>
          <w:lang w:eastAsia="en-US"/>
        </w:rPr>
        <w:tab/>
      </w:r>
      <w:r w:rsidRPr="00C21B99">
        <w:rPr>
          <w:bCs/>
          <w:snapToGrid w:val="0"/>
          <w:sz w:val="20"/>
          <w:lang w:eastAsia="en-US"/>
        </w:rPr>
        <w:t xml:space="preserve">bendro išgyvenamumo </w:t>
      </w:r>
      <w:r w:rsidR="009F203D" w:rsidRPr="00C21B99">
        <w:rPr>
          <w:bCs/>
          <w:snapToGrid w:val="0"/>
          <w:sz w:val="20"/>
          <w:lang w:eastAsia="en-US"/>
        </w:rPr>
        <w:t>RS</w:t>
      </w:r>
      <w:r w:rsidRPr="00C21B99">
        <w:rPr>
          <w:bCs/>
          <w:snapToGrid w:val="0"/>
          <w:sz w:val="20"/>
          <w:lang w:eastAsia="en-US"/>
        </w:rPr>
        <w:t xml:space="preserve"> skaičiavimui reiškinių skaičius buvo per mažas</w:t>
      </w:r>
      <w:r w:rsidR="009F203D" w:rsidRPr="00C21B99">
        <w:rPr>
          <w:bCs/>
          <w:snapToGrid w:val="0"/>
          <w:sz w:val="20"/>
          <w:lang w:eastAsia="en-US"/>
        </w:rPr>
        <w:t>.</w:t>
      </w:r>
    </w:p>
    <w:p w14:paraId="131F054A" w14:textId="77777777" w:rsidR="00434C43" w:rsidRPr="00C21B99" w:rsidRDefault="00434C43" w:rsidP="00434C43">
      <w:pPr>
        <w:widowControl w:val="0"/>
        <w:tabs>
          <w:tab w:val="left" w:pos="567"/>
        </w:tabs>
        <w:rPr>
          <w:bCs/>
          <w:snapToGrid w:val="0"/>
          <w:sz w:val="20"/>
          <w:lang w:eastAsia="en-US"/>
        </w:rPr>
      </w:pPr>
      <w:r w:rsidRPr="00C21B99">
        <w:rPr>
          <w:bCs/>
          <w:snapToGrid w:val="0"/>
          <w:sz w:val="20"/>
          <w:lang w:eastAsia="en-US"/>
        </w:rPr>
        <w:t>NR</w:t>
      </w:r>
      <w:r w:rsidR="009F203D" w:rsidRPr="00C21B99">
        <w:rPr>
          <w:bCs/>
          <w:snapToGrid w:val="0"/>
          <w:sz w:val="20"/>
          <w:lang w:eastAsia="en-US"/>
        </w:rPr>
        <w:tab/>
      </w:r>
      <w:r w:rsidRPr="00C21B99">
        <w:rPr>
          <w:bCs/>
          <w:snapToGrid w:val="0"/>
          <w:sz w:val="20"/>
          <w:lang w:eastAsia="en-US"/>
        </w:rPr>
        <w:t>nepasiektas</w:t>
      </w:r>
    </w:p>
    <w:p w14:paraId="281AAA45" w14:textId="77777777" w:rsidR="009F203D" w:rsidRPr="00C21B99" w:rsidRDefault="009F203D" w:rsidP="009F203D">
      <w:pPr>
        <w:widowControl w:val="0"/>
        <w:tabs>
          <w:tab w:val="left" w:pos="567"/>
        </w:tabs>
        <w:rPr>
          <w:snapToGrid w:val="0"/>
          <w:sz w:val="20"/>
          <w:lang w:eastAsia="en-US"/>
        </w:rPr>
      </w:pPr>
      <w:r w:rsidRPr="00C21B99">
        <w:rPr>
          <w:snapToGrid w:val="0"/>
          <w:sz w:val="20"/>
          <w:lang w:eastAsia="en-US"/>
        </w:rPr>
        <w:t>RS</w:t>
      </w:r>
      <w:r w:rsidRPr="00C21B99">
        <w:rPr>
          <w:snapToGrid w:val="0"/>
          <w:sz w:val="20"/>
          <w:lang w:eastAsia="en-US"/>
        </w:rPr>
        <w:tab/>
        <w:t xml:space="preserve">rizikos santykis (RS &lt; 1 rodo palankesnį </w:t>
      </w:r>
      <w:proofErr w:type="spellStart"/>
      <w:r w:rsidRPr="00C21B99">
        <w:rPr>
          <w:snapToGrid w:val="0"/>
          <w:sz w:val="20"/>
          <w:lang w:eastAsia="en-US"/>
        </w:rPr>
        <w:t>gef</w:t>
      </w:r>
      <w:r w:rsidR="00C21B99">
        <w:rPr>
          <w:snapToGrid w:val="0"/>
          <w:sz w:val="20"/>
          <w:lang w:eastAsia="en-US"/>
        </w:rPr>
        <w:t>i</w:t>
      </w:r>
      <w:r w:rsidRPr="00C21B99">
        <w:rPr>
          <w:snapToGrid w:val="0"/>
          <w:sz w:val="20"/>
          <w:lang w:eastAsia="en-US"/>
        </w:rPr>
        <w:t>tinibo</w:t>
      </w:r>
      <w:proofErr w:type="spellEnd"/>
      <w:r w:rsidRPr="00C21B99">
        <w:rPr>
          <w:snapToGrid w:val="0"/>
          <w:sz w:val="20"/>
          <w:lang w:eastAsia="en-US"/>
        </w:rPr>
        <w:t xml:space="preserve"> poveikį)</w:t>
      </w:r>
    </w:p>
    <w:p w14:paraId="2202F05C" w14:textId="77777777" w:rsidR="00434C43" w:rsidRPr="00C21B99" w:rsidRDefault="00434C43" w:rsidP="00434C43">
      <w:pPr>
        <w:widowControl w:val="0"/>
        <w:tabs>
          <w:tab w:val="left" w:pos="567"/>
        </w:tabs>
        <w:rPr>
          <w:bCs/>
          <w:snapToGrid w:val="0"/>
          <w:szCs w:val="22"/>
          <w:lang w:eastAsia="en-US"/>
        </w:rPr>
      </w:pPr>
    </w:p>
    <w:p w14:paraId="65CBC459" w14:textId="77777777" w:rsidR="009F203D" w:rsidRPr="00C21B99" w:rsidRDefault="009F203D" w:rsidP="009F203D">
      <w:pPr>
        <w:widowControl w:val="0"/>
        <w:tabs>
          <w:tab w:val="left" w:pos="567"/>
        </w:tabs>
        <w:rPr>
          <w:bCs/>
          <w:snapToGrid w:val="0"/>
          <w:szCs w:val="22"/>
          <w:lang w:eastAsia="en-US"/>
        </w:rPr>
      </w:pPr>
      <w:r w:rsidRPr="00C21B99">
        <w:rPr>
          <w:bCs/>
          <w:snapToGrid w:val="0"/>
          <w:szCs w:val="22"/>
          <w:lang w:eastAsia="en-US"/>
        </w:rPr>
        <w:t xml:space="preserve">Daugelyje centrų atliktas vienos grupės IFUM tyrimas siekiant patvirtinti panašų </w:t>
      </w:r>
      <w:proofErr w:type="spellStart"/>
      <w:r w:rsidRPr="00C21B99">
        <w:rPr>
          <w:bCs/>
          <w:snapToGrid w:val="0"/>
          <w:szCs w:val="22"/>
          <w:lang w:eastAsia="en-US"/>
        </w:rPr>
        <w:t>gefitinibo</w:t>
      </w:r>
      <w:proofErr w:type="spellEnd"/>
      <w:r w:rsidRPr="00C21B99">
        <w:rPr>
          <w:bCs/>
          <w:snapToGrid w:val="0"/>
          <w:szCs w:val="22"/>
          <w:lang w:eastAsia="en-US"/>
        </w:rPr>
        <w:t xml:space="preserve"> poveikį europidų (baltaodžių) ir azijiečių rasės pacientams. Šiame tyrime dalyvavo 106 europidų rasės pacientai, sirgę nesmulkiųjų ląstelių plaučių vėžiu, kuris buvo teigiamas EGFR aktyvinančios įjautrinančios mutacijos atžvilgiu. Tyrėjo vertinimu, bendras atsako dažnis (ORR) buvo 70 %, o </w:t>
      </w:r>
      <w:r w:rsidRPr="00C21B99">
        <w:rPr>
          <w:bCs/>
          <w:snapToGrid w:val="0"/>
          <w:szCs w:val="22"/>
          <w:lang w:eastAsia="en-US"/>
        </w:rPr>
        <w:lastRenderedPageBreak/>
        <w:t>neprogresuojant ligai išgyvento laiko (PFS) mediana - 9,7 mėn. Šie duomenys yra panašūs į gautus IPASS tyrimo metu.</w:t>
      </w:r>
    </w:p>
    <w:p w14:paraId="55387CBF" w14:textId="77777777" w:rsidR="009F203D" w:rsidRPr="00C21B99" w:rsidRDefault="009F203D" w:rsidP="009F203D">
      <w:pPr>
        <w:widowControl w:val="0"/>
        <w:tabs>
          <w:tab w:val="left" w:pos="567"/>
        </w:tabs>
        <w:rPr>
          <w:bCs/>
          <w:i/>
          <w:iCs/>
          <w:snapToGrid w:val="0"/>
          <w:szCs w:val="22"/>
          <w:lang w:eastAsia="en-US"/>
        </w:rPr>
      </w:pPr>
    </w:p>
    <w:p w14:paraId="7316933C" w14:textId="77777777" w:rsidR="009F203D" w:rsidRPr="00C21B99" w:rsidRDefault="009F203D" w:rsidP="009F203D">
      <w:pPr>
        <w:widowControl w:val="0"/>
        <w:tabs>
          <w:tab w:val="left" w:pos="567"/>
        </w:tabs>
        <w:rPr>
          <w:bCs/>
          <w:i/>
          <w:iCs/>
          <w:snapToGrid w:val="0"/>
          <w:szCs w:val="22"/>
          <w:lang w:eastAsia="en-US"/>
        </w:rPr>
      </w:pPr>
      <w:r w:rsidRPr="00C21B99">
        <w:rPr>
          <w:bCs/>
          <w:i/>
          <w:iCs/>
          <w:snapToGrid w:val="0"/>
          <w:szCs w:val="22"/>
          <w:lang w:eastAsia="en-US"/>
        </w:rPr>
        <w:t>EAFR mutacijos būsena ir klinikinė char</w:t>
      </w:r>
      <w:r w:rsidR="00C21B99">
        <w:rPr>
          <w:bCs/>
          <w:i/>
          <w:iCs/>
          <w:snapToGrid w:val="0"/>
          <w:szCs w:val="22"/>
          <w:lang w:eastAsia="en-US"/>
        </w:rPr>
        <w:t>a</w:t>
      </w:r>
      <w:r w:rsidRPr="00C21B99">
        <w:rPr>
          <w:bCs/>
          <w:i/>
          <w:iCs/>
          <w:snapToGrid w:val="0"/>
          <w:szCs w:val="22"/>
          <w:lang w:eastAsia="en-US"/>
        </w:rPr>
        <w:t>kteristika</w:t>
      </w:r>
    </w:p>
    <w:p w14:paraId="441B5B8F" w14:textId="77777777" w:rsidR="009F203D" w:rsidRPr="00C21B99" w:rsidRDefault="009F203D" w:rsidP="009F203D">
      <w:pPr>
        <w:widowControl w:val="0"/>
        <w:tabs>
          <w:tab w:val="left" w:pos="567"/>
        </w:tabs>
        <w:rPr>
          <w:bCs/>
          <w:snapToGrid w:val="0"/>
          <w:szCs w:val="22"/>
          <w:lang w:eastAsia="en-US"/>
        </w:rPr>
      </w:pPr>
      <w:proofErr w:type="spellStart"/>
      <w:r w:rsidRPr="00C21B99">
        <w:rPr>
          <w:bCs/>
          <w:snapToGrid w:val="0"/>
          <w:szCs w:val="22"/>
          <w:lang w:eastAsia="en-US"/>
        </w:rPr>
        <w:t>Gefitinibo</w:t>
      </w:r>
      <w:proofErr w:type="spellEnd"/>
      <w:r w:rsidRPr="00C21B99">
        <w:rPr>
          <w:bCs/>
          <w:snapToGrid w:val="0"/>
          <w:szCs w:val="22"/>
          <w:lang w:eastAsia="en-US"/>
        </w:rPr>
        <w:t xml:space="preserve"> tyrimuose dalyvavusių 786 europidų rasės pacientų duomenų </w:t>
      </w:r>
      <w:proofErr w:type="spellStart"/>
      <w:r w:rsidRPr="00C21B99">
        <w:rPr>
          <w:bCs/>
          <w:snapToGrid w:val="0"/>
          <w:szCs w:val="22"/>
          <w:lang w:eastAsia="en-US"/>
        </w:rPr>
        <w:t>multivariacinė</w:t>
      </w:r>
      <w:proofErr w:type="spellEnd"/>
      <w:r w:rsidRPr="00C21B99">
        <w:rPr>
          <w:bCs/>
          <w:snapToGrid w:val="0"/>
          <w:szCs w:val="22"/>
          <w:lang w:eastAsia="en-US"/>
        </w:rPr>
        <w:t xml:space="preserve"> analizė parodė, kad tam tikros klinikinės ypatybės (nerūkymas, </w:t>
      </w:r>
      <w:proofErr w:type="spellStart"/>
      <w:r w:rsidRPr="00C21B99">
        <w:rPr>
          <w:bCs/>
          <w:snapToGrid w:val="0"/>
          <w:szCs w:val="22"/>
          <w:lang w:eastAsia="en-US"/>
        </w:rPr>
        <w:t>adenokarcinomos</w:t>
      </w:r>
      <w:proofErr w:type="spellEnd"/>
      <w:r w:rsidRPr="00C21B99">
        <w:rPr>
          <w:bCs/>
          <w:snapToGrid w:val="0"/>
          <w:szCs w:val="22"/>
          <w:lang w:eastAsia="en-US"/>
        </w:rPr>
        <w:t xml:space="preserve"> histologinė struktūra ir moteriška lytis) yra nepriklausomi veiksniai, leidžiantys prognozuoti teigiamą EAFR mutacijos atžvi</w:t>
      </w:r>
      <w:r w:rsidR="00C21B99">
        <w:rPr>
          <w:bCs/>
          <w:snapToGrid w:val="0"/>
          <w:szCs w:val="22"/>
          <w:lang w:eastAsia="en-US"/>
        </w:rPr>
        <w:t>l</w:t>
      </w:r>
      <w:r w:rsidRPr="00C21B99">
        <w:rPr>
          <w:bCs/>
          <w:snapToGrid w:val="0"/>
          <w:szCs w:val="22"/>
          <w:lang w:eastAsia="en-US"/>
        </w:rPr>
        <w:t>giu būseną (žr. 7 lentelę). Azijos rasės pacientams  taip pat</w:t>
      </w:r>
      <w:r w:rsidR="0018629D" w:rsidRPr="00C21B99">
        <w:rPr>
          <w:bCs/>
          <w:snapToGrid w:val="0"/>
          <w:szCs w:val="22"/>
          <w:lang w:eastAsia="en-US"/>
        </w:rPr>
        <w:t xml:space="preserve"> buvo dažnesni navikai, kurie</w:t>
      </w:r>
      <w:r w:rsidR="00C21B99">
        <w:rPr>
          <w:bCs/>
          <w:snapToGrid w:val="0"/>
          <w:szCs w:val="22"/>
          <w:lang w:eastAsia="en-US"/>
        </w:rPr>
        <w:t xml:space="preserve"> </w:t>
      </w:r>
      <w:r w:rsidR="0018629D" w:rsidRPr="00C21B99">
        <w:rPr>
          <w:bCs/>
          <w:snapToGrid w:val="0"/>
          <w:szCs w:val="22"/>
          <w:lang w:eastAsia="en-US"/>
        </w:rPr>
        <w:t>teigiami EAFR mutacijos atžvilgiu</w:t>
      </w:r>
      <w:r w:rsidRPr="00C21B99">
        <w:rPr>
          <w:bCs/>
          <w:snapToGrid w:val="0"/>
          <w:szCs w:val="22"/>
          <w:lang w:eastAsia="en-US"/>
        </w:rPr>
        <w:t>.</w:t>
      </w:r>
    </w:p>
    <w:p w14:paraId="6894530A" w14:textId="77777777" w:rsidR="009F203D" w:rsidRPr="00C21B99" w:rsidRDefault="009F203D" w:rsidP="009F203D">
      <w:pPr>
        <w:widowControl w:val="0"/>
        <w:tabs>
          <w:tab w:val="left" w:pos="567"/>
        </w:tabs>
        <w:rPr>
          <w:b/>
          <w:bCs/>
          <w:snapToGrid w:val="0"/>
          <w:szCs w:val="22"/>
          <w:lang w:eastAsia="en-US"/>
        </w:rPr>
      </w:pPr>
    </w:p>
    <w:p w14:paraId="1D429B86" w14:textId="77777777" w:rsidR="004E36DF" w:rsidRPr="00C21B99" w:rsidRDefault="009F203D" w:rsidP="009F203D">
      <w:pPr>
        <w:widowControl w:val="0"/>
        <w:tabs>
          <w:tab w:val="left" w:pos="567"/>
        </w:tabs>
        <w:rPr>
          <w:bCs/>
          <w:snapToGrid w:val="0"/>
          <w:szCs w:val="22"/>
          <w:lang w:eastAsia="en-US"/>
        </w:rPr>
      </w:pPr>
      <w:r w:rsidRPr="00C21B99">
        <w:rPr>
          <w:b/>
          <w:bCs/>
          <w:snapToGrid w:val="0"/>
          <w:szCs w:val="22"/>
          <w:lang w:eastAsia="en-US"/>
        </w:rPr>
        <w:t xml:space="preserve">7 lentelė. </w:t>
      </w:r>
      <w:proofErr w:type="spellStart"/>
      <w:r w:rsidRPr="00C21B99">
        <w:rPr>
          <w:b/>
          <w:bCs/>
          <w:snapToGrid w:val="0"/>
          <w:szCs w:val="22"/>
          <w:lang w:eastAsia="en-US"/>
        </w:rPr>
        <w:t>Multivariacinė</w:t>
      </w:r>
      <w:proofErr w:type="spellEnd"/>
      <w:r w:rsidRPr="00C21B99">
        <w:rPr>
          <w:b/>
          <w:bCs/>
          <w:snapToGrid w:val="0"/>
          <w:szCs w:val="22"/>
          <w:lang w:eastAsia="en-US"/>
        </w:rPr>
        <w:t xml:space="preserve"> logistinės regresijos analizės santrauka veiksniams, kurie nepriklausomai prognozuo</w:t>
      </w:r>
      <w:r w:rsidR="0018629D" w:rsidRPr="00C21B99">
        <w:rPr>
          <w:b/>
          <w:bCs/>
          <w:snapToGrid w:val="0"/>
          <w:szCs w:val="22"/>
          <w:lang w:eastAsia="en-US"/>
        </w:rPr>
        <w:t>ja</w:t>
      </w:r>
      <w:r w:rsidRPr="00C21B99">
        <w:rPr>
          <w:b/>
          <w:bCs/>
          <w:snapToGrid w:val="0"/>
          <w:szCs w:val="22"/>
          <w:lang w:eastAsia="en-US"/>
        </w:rPr>
        <w:t xml:space="preserve"> EAFR mutacijų buvimą 786 europidų rasės pacientams</w:t>
      </w:r>
      <w:r w:rsidR="0018629D" w:rsidRPr="00C21B99">
        <w:rPr>
          <w:b/>
          <w:bCs/>
          <w:snapToGrid w:val="0"/>
          <w:szCs w:val="22"/>
          <w:lang w:eastAsia="en-US"/>
        </w:rPr>
        <w:t>*</w:t>
      </w:r>
      <w:r w:rsidR="00010EE3" w:rsidRPr="00C21B99">
        <w:rPr>
          <w:b/>
          <w:bCs/>
          <w:snapToGrid w:val="0"/>
          <w:szCs w:val="22"/>
          <w:lang w:eastAsia="en-US"/>
        </w:rPr>
        <w:t>, nustatyti</w:t>
      </w:r>
    </w:p>
    <w:p w14:paraId="1F5524F2" w14:textId="77777777" w:rsidR="0018629D" w:rsidRPr="00C21B99" w:rsidRDefault="0018629D" w:rsidP="00F15194">
      <w:pPr>
        <w:widowControl w:val="0"/>
        <w:tabs>
          <w:tab w:val="left" w:pos="567"/>
        </w:tabs>
        <w:rPr>
          <w:snapToGrid w:val="0"/>
          <w:szCs w:val="22"/>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988"/>
        <w:gridCol w:w="2706"/>
        <w:gridCol w:w="3297"/>
      </w:tblGrid>
      <w:tr w:rsidR="00010EE3" w:rsidRPr="00C21B99" w14:paraId="3CA4E7B9" w14:textId="77777777" w:rsidTr="009A493C">
        <w:trPr>
          <w:trHeight w:val="675"/>
        </w:trPr>
        <w:tc>
          <w:tcPr>
            <w:tcW w:w="1837" w:type="dxa"/>
            <w:tcBorders>
              <w:top w:val="single" w:sz="18" w:space="0" w:color="auto"/>
              <w:left w:val="nil"/>
              <w:bottom w:val="single" w:sz="12" w:space="0" w:color="auto"/>
              <w:right w:val="nil"/>
            </w:tcBorders>
            <w:shd w:val="clear" w:color="auto" w:fill="auto"/>
          </w:tcPr>
          <w:p w14:paraId="20771369" w14:textId="77777777" w:rsidR="0018629D" w:rsidRPr="00C21B99" w:rsidRDefault="00010EE3" w:rsidP="00C21B99">
            <w:pPr>
              <w:widowControl w:val="0"/>
              <w:tabs>
                <w:tab w:val="left" w:pos="567"/>
              </w:tabs>
              <w:rPr>
                <w:b/>
                <w:bCs/>
                <w:snapToGrid w:val="0"/>
                <w:szCs w:val="22"/>
                <w:lang w:eastAsia="en-US"/>
              </w:rPr>
            </w:pPr>
            <w:r w:rsidRPr="00C21B99">
              <w:rPr>
                <w:b/>
                <w:bCs/>
                <w:snapToGrid w:val="0"/>
                <w:szCs w:val="22"/>
                <w:lang w:eastAsia="en-US"/>
              </w:rPr>
              <w:t>EAFR mutacijos buvimą</w:t>
            </w:r>
            <w:r w:rsidR="00C21B99">
              <w:rPr>
                <w:b/>
                <w:bCs/>
                <w:snapToGrid w:val="0"/>
                <w:szCs w:val="22"/>
                <w:lang w:eastAsia="en-US"/>
              </w:rPr>
              <w:t xml:space="preserve"> </w:t>
            </w:r>
            <w:r w:rsidRPr="00C21B99">
              <w:rPr>
                <w:b/>
                <w:bCs/>
                <w:snapToGrid w:val="0"/>
                <w:szCs w:val="22"/>
                <w:lang w:eastAsia="en-US"/>
              </w:rPr>
              <w:t>prog</w:t>
            </w:r>
            <w:r w:rsidR="00C21B99">
              <w:rPr>
                <w:b/>
                <w:bCs/>
                <w:snapToGrid w:val="0"/>
                <w:szCs w:val="22"/>
                <w:lang w:eastAsia="en-US"/>
              </w:rPr>
              <w:t>n</w:t>
            </w:r>
            <w:r w:rsidRPr="00C21B99">
              <w:rPr>
                <w:b/>
                <w:bCs/>
                <w:snapToGrid w:val="0"/>
                <w:szCs w:val="22"/>
                <w:lang w:eastAsia="en-US"/>
              </w:rPr>
              <w:t>ozuojantis</w:t>
            </w:r>
            <w:r w:rsidR="00C21B99">
              <w:rPr>
                <w:b/>
                <w:bCs/>
                <w:snapToGrid w:val="0"/>
                <w:szCs w:val="22"/>
                <w:lang w:eastAsia="en-US"/>
              </w:rPr>
              <w:t xml:space="preserve"> </w:t>
            </w:r>
            <w:r w:rsidRPr="00C21B99">
              <w:rPr>
                <w:b/>
                <w:bCs/>
                <w:snapToGrid w:val="0"/>
                <w:szCs w:val="22"/>
                <w:lang w:eastAsia="en-US"/>
              </w:rPr>
              <w:t>veiksnys</w:t>
            </w:r>
          </w:p>
        </w:tc>
        <w:tc>
          <w:tcPr>
            <w:tcW w:w="990" w:type="dxa"/>
            <w:tcBorders>
              <w:top w:val="single" w:sz="18" w:space="0" w:color="auto"/>
              <w:left w:val="nil"/>
              <w:bottom w:val="single" w:sz="12" w:space="0" w:color="auto"/>
              <w:right w:val="nil"/>
            </w:tcBorders>
            <w:shd w:val="clear" w:color="auto" w:fill="auto"/>
          </w:tcPr>
          <w:p w14:paraId="13305F2A" w14:textId="77777777" w:rsidR="0018629D" w:rsidRPr="00C21B99" w:rsidRDefault="00010EE3" w:rsidP="009A493C">
            <w:pPr>
              <w:widowControl w:val="0"/>
              <w:tabs>
                <w:tab w:val="left" w:pos="567"/>
              </w:tabs>
              <w:rPr>
                <w:b/>
                <w:bCs/>
                <w:snapToGrid w:val="0"/>
                <w:szCs w:val="22"/>
                <w:lang w:eastAsia="en-US"/>
              </w:rPr>
            </w:pPr>
            <w:r w:rsidRPr="00C21B99">
              <w:rPr>
                <w:b/>
                <w:bCs/>
                <w:snapToGrid w:val="0"/>
                <w:szCs w:val="22"/>
                <w:lang w:eastAsia="en-US"/>
              </w:rPr>
              <w:t>P reikšmė</w:t>
            </w:r>
          </w:p>
        </w:tc>
        <w:tc>
          <w:tcPr>
            <w:tcW w:w="2775" w:type="dxa"/>
            <w:tcBorders>
              <w:top w:val="single" w:sz="18" w:space="0" w:color="auto"/>
              <w:left w:val="nil"/>
              <w:bottom w:val="single" w:sz="12" w:space="0" w:color="auto"/>
              <w:right w:val="nil"/>
            </w:tcBorders>
            <w:shd w:val="clear" w:color="auto" w:fill="auto"/>
          </w:tcPr>
          <w:p w14:paraId="41BF94B1" w14:textId="77777777" w:rsidR="0018629D" w:rsidRPr="00C21B99" w:rsidRDefault="00010EE3" w:rsidP="009A493C">
            <w:pPr>
              <w:widowControl w:val="0"/>
              <w:tabs>
                <w:tab w:val="left" w:pos="567"/>
              </w:tabs>
              <w:rPr>
                <w:b/>
                <w:bCs/>
                <w:snapToGrid w:val="0"/>
                <w:szCs w:val="22"/>
                <w:lang w:eastAsia="en-US"/>
              </w:rPr>
            </w:pPr>
            <w:r w:rsidRPr="00C21B99">
              <w:rPr>
                <w:b/>
                <w:bCs/>
                <w:snapToGrid w:val="0"/>
                <w:szCs w:val="22"/>
                <w:lang w:eastAsia="en-US"/>
              </w:rPr>
              <w:t>EAFR mutacijos šansų reikšmės</w:t>
            </w:r>
          </w:p>
        </w:tc>
        <w:tc>
          <w:tcPr>
            <w:tcW w:w="3435" w:type="dxa"/>
            <w:tcBorders>
              <w:top w:val="single" w:sz="18" w:space="0" w:color="auto"/>
              <w:left w:val="nil"/>
              <w:bottom w:val="single" w:sz="12" w:space="0" w:color="auto"/>
              <w:right w:val="nil"/>
            </w:tcBorders>
            <w:shd w:val="clear" w:color="auto" w:fill="auto"/>
          </w:tcPr>
          <w:p w14:paraId="6DB81A3F" w14:textId="77777777" w:rsidR="00010EE3" w:rsidRPr="00C21B99" w:rsidRDefault="00010EE3" w:rsidP="009A493C">
            <w:pPr>
              <w:widowControl w:val="0"/>
              <w:tabs>
                <w:tab w:val="left" w:pos="567"/>
              </w:tabs>
              <w:rPr>
                <w:b/>
                <w:bCs/>
                <w:snapToGrid w:val="0"/>
                <w:szCs w:val="22"/>
                <w:lang w:eastAsia="en-US"/>
              </w:rPr>
            </w:pPr>
            <w:r w:rsidRPr="00C21B99">
              <w:rPr>
                <w:b/>
                <w:bCs/>
                <w:snapToGrid w:val="0"/>
                <w:szCs w:val="22"/>
                <w:lang w:eastAsia="en-US"/>
              </w:rPr>
              <w:t>Teigiama prognostinė reikšmė</w:t>
            </w:r>
          </w:p>
          <w:p w14:paraId="4AD3DBD2" w14:textId="77777777" w:rsidR="0018629D" w:rsidRPr="00C21B99" w:rsidRDefault="00010EE3" w:rsidP="009A493C">
            <w:pPr>
              <w:widowControl w:val="0"/>
              <w:tabs>
                <w:tab w:val="left" w:pos="567"/>
              </w:tabs>
              <w:rPr>
                <w:b/>
                <w:bCs/>
                <w:snapToGrid w:val="0"/>
                <w:szCs w:val="22"/>
                <w:lang w:eastAsia="en-US"/>
              </w:rPr>
            </w:pPr>
            <w:r w:rsidRPr="00C21B99">
              <w:rPr>
                <w:b/>
                <w:bCs/>
                <w:snapToGrid w:val="0"/>
                <w:szCs w:val="22"/>
                <w:lang w:eastAsia="en-US"/>
              </w:rPr>
              <w:t>(9,5 % bendros populiacijos yra EAFR</w:t>
            </w:r>
            <w:r w:rsidR="00C21B99">
              <w:rPr>
                <w:b/>
                <w:bCs/>
                <w:snapToGrid w:val="0"/>
                <w:szCs w:val="22"/>
                <w:lang w:eastAsia="en-US"/>
              </w:rPr>
              <w:t xml:space="preserve"> </w:t>
            </w:r>
            <w:r w:rsidRPr="00C21B99">
              <w:rPr>
                <w:b/>
                <w:bCs/>
                <w:snapToGrid w:val="0"/>
                <w:szCs w:val="22"/>
                <w:lang w:eastAsia="en-US"/>
              </w:rPr>
              <w:t xml:space="preserve">mutacijoms teigiami, M+) </w:t>
            </w:r>
          </w:p>
        </w:tc>
      </w:tr>
      <w:tr w:rsidR="00010EE3" w:rsidRPr="00C21B99" w14:paraId="201EE210" w14:textId="77777777" w:rsidTr="009A493C">
        <w:tc>
          <w:tcPr>
            <w:tcW w:w="1837" w:type="dxa"/>
            <w:tcBorders>
              <w:top w:val="single" w:sz="12" w:space="0" w:color="auto"/>
              <w:left w:val="nil"/>
              <w:bottom w:val="nil"/>
              <w:right w:val="nil"/>
            </w:tcBorders>
            <w:shd w:val="clear" w:color="auto" w:fill="auto"/>
          </w:tcPr>
          <w:p w14:paraId="1D5A7548" w14:textId="77777777" w:rsidR="0018629D" w:rsidRPr="00C21B99" w:rsidRDefault="00010EE3" w:rsidP="009A493C">
            <w:pPr>
              <w:widowControl w:val="0"/>
              <w:tabs>
                <w:tab w:val="left" w:pos="567"/>
              </w:tabs>
              <w:rPr>
                <w:bCs/>
                <w:snapToGrid w:val="0"/>
                <w:szCs w:val="22"/>
                <w:lang w:eastAsia="en-US"/>
              </w:rPr>
            </w:pPr>
            <w:r w:rsidRPr="00C21B99">
              <w:rPr>
                <w:bCs/>
                <w:snapToGrid w:val="0"/>
                <w:szCs w:val="22"/>
                <w:lang w:eastAsia="en-US"/>
              </w:rPr>
              <w:t>Būsena rūkymo atžvilgiu</w:t>
            </w:r>
          </w:p>
        </w:tc>
        <w:tc>
          <w:tcPr>
            <w:tcW w:w="990" w:type="dxa"/>
            <w:tcBorders>
              <w:top w:val="single" w:sz="12" w:space="0" w:color="auto"/>
              <w:left w:val="nil"/>
              <w:bottom w:val="nil"/>
              <w:right w:val="nil"/>
            </w:tcBorders>
            <w:shd w:val="clear" w:color="auto" w:fill="auto"/>
          </w:tcPr>
          <w:p w14:paraId="3252132A" w14:textId="77777777" w:rsidR="0018629D" w:rsidRPr="00C21B99" w:rsidRDefault="0018629D" w:rsidP="009A493C">
            <w:pPr>
              <w:widowControl w:val="0"/>
              <w:tabs>
                <w:tab w:val="left" w:pos="567"/>
              </w:tabs>
              <w:rPr>
                <w:bCs/>
                <w:snapToGrid w:val="0"/>
                <w:szCs w:val="22"/>
                <w:lang w:eastAsia="en-US"/>
              </w:rPr>
            </w:pPr>
            <w:r w:rsidRPr="00C21B99">
              <w:rPr>
                <w:bCs/>
                <w:snapToGrid w:val="0"/>
                <w:szCs w:val="22"/>
                <w:lang w:eastAsia="en-US"/>
              </w:rPr>
              <w:t>&lt;0.0001</w:t>
            </w:r>
          </w:p>
        </w:tc>
        <w:tc>
          <w:tcPr>
            <w:tcW w:w="2775" w:type="dxa"/>
            <w:tcBorders>
              <w:top w:val="single" w:sz="12" w:space="0" w:color="auto"/>
              <w:left w:val="nil"/>
              <w:bottom w:val="nil"/>
              <w:right w:val="nil"/>
            </w:tcBorders>
            <w:shd w:val="clear" w:color="auto" w:fill="auto"/>
          </w:tcPr>
          <w:p w14:paraId="11B5FB17" w14:textId="77777777" w:rsidR="0018629D" w:rsidRPr="00C21B99" w:rsidRDefault="00010EE3" w:rsidP="009A493C">
            <w:pPr>
              <w:widowControl w:val="0"/>
              <w:tabs>
                <w:tab w:val="left" w:pos="567"/>
              </w:tabs>
              <w:rPr>
                <w:bCs/>
                <w:snapToGrid w:val="0"/>
                <w:szCs w:val="22"/>
                <w:lang w:eastAsia="en-US"/>
              </w:rPr>
            </w:pPr>
            <w:r w:rsidRPr="00C21B99">
              <w:rPr>
                <w:bCs/>
                <w:snapToGrid w:val="0"/>
                <w:szCs w:val="22"/>
                <w:lang w:eastAsia="en-US"/>
              </w:rPr>
              <w:t xml:space="preserve">6,5 karto dažniau </w:t>
            </w:r>
            <w:proofErr w:type="spellStart"/>
            <w:r w:rsidRPr="00C21B99">
              <w:rPr>
                <w:bCs/>
                <w:snapToGrid w:val="0"/>
                <w:szCs w:val="22"/>
                <w:lang w:eastAsia="en-US"/>
              </w:rPr>
              <w:t>nerūkaliams</w:t>
            </w:r>
            <w:proofErr w:type="spellEnd"/>
            <w:r w:rsidRPr="00C21B99">
              <w:rPr>
                <w:bCs/>
                <w:snapToGrid w:val="0"/>
                <w:szCs w:val="22"/>
                <w:lang w:eastAsia="en-US"/>
              </w:rPr>
              <w:t xml:space="preserve"> negu nuolatiniams rūkaliams </w:t>
            </w:r>
          </w:p>
        </w:tc>
        <w:tc>
          <w:tcPr>
            <w:tcW w:w="3435" w:type="dxa"/>
            <w:tcBorders>
              <w:top w:val="single" w:sz="12" w:space="0" w:color="auto"/>
              <w:left w:val="nil"/>
              <w:bottom w:val="nil"/>
              <w:right w:val="nil"/>
            </w:tcBorders>
            <w:shd w:val="clear" w:color="auto" w:fill="auto"/>
          </w:tcPr>
          <w:p w14:paraId="0D6E6A1D" w14:textId="45F9C250" w:rsidR="00010EE3" w:rsidRPr="00C21B99" w:rsidRDefault="00010EE3" w:rsidP="009A493C">
            <w:pPr>
              <w:widowControl w:val="0"/>
              <w:tabs>
                <w:tab w:val="left" w:pos="567"/>
              </w:tabs>
              <w:rPr>
                <w:bCs/>
                <w:snapToGrid w:val="0"/>
                <w:szCs w:val="22"/>
                <w:lang w:eastAsia="en-US"/>
              </w:rPr>
            </w:pPr>
            <w:r w:rsidRPr="00C21B99">
              <w:rPr>
                <w:bCs/>
                <w:snapToGrid w:val="0"/>
                <w:szCs w:val="22"/>
                <w:lang w:eastAsia="en-US"/>
              </w:rPr>
              <w:t>28/70 (40 %) ne</w:t>
            </w:r>
            <w:r w:rsidR="009E27C4">
              <w:rPr>
                <w:bCs/>
                <w:snapToGrid w:val="0"/>
                <w:szCs w:val="22"/>
                <w:lang w:eastAsia="en-US"/>
              </w:rPr>
              <w:t xml:space="preserve"> </w:t>
            </w:r>
            <w:r w:rsidRPr="00C21B99">
              <w:rPr>
                <w:bCs/>
                <w:snapToGrid w:val="0"/>
                <w:szCs w:val="22"/>
                <w:lang w:eastAsia="en-US"/>
              </w:rPr>
              <w:t>rūkalių yra M+</w:t>
            </w:r>
          </w:p>
          <w:p w14:paraId="5FE99C52" w14:textId="77777777" w:rsidR="0018629D" w:rsidRPr="00C21B99" w:rsidRDefault="00010EE3" w:rsidP="009A493C">
            <w:pPr>
              <w:widowControl w:val="0"/>
              <w:tabs>
                <w:tab w:val="left" w:pos="567"/>
              </w:tabs>
              <w:rPr>
                <w:bCs/>
                <w:snapToGrid w:val="0"/>
                <w:szCs w:val="22"/>
                <w:lang w:eastAsia="en-US"/>
              </w:rPr>
            </w:pPr>
            <w:r w:rsidRPr="00C21B99">
              <w:rPr>
                <w:bCs/>
                <w:snapToGrid w:val="0"/>
                <w:szCs w:val="22"/>
                <w:lang w:eastAsia="en-US"/>
              </w:rPr>
              <w:t>47/716 (7 %)  nuolatinių rūkalių yra M+</w:t>
            </w:r>
          </w:p>
        </w:tc>
      </w:tr>
      <w:tr w:rsidR="00010EE3" w:rsidRPr="00C21B99" w14:paraId="481DC4F7" w14:textId="77777777" w:rsidTr="009A493C">
        <w:tc>
          <w:tcPr>
            <w:tcW w:w="1837" w:type="dxa"/>
            <w:tcBorders>
              <w:top w:val="nil"/>
              <w:left w:val="nil"/>
              <w:bottom w:val="nil"/>
              <w:right w:val="nil"/>
            </w:tcBorders>
            <w:shd w:val="clear" w:color="auto" w:fill="auto"/>
          </w:tcPr>
          <w:p w14:paraId="5BD34558" w14:textId="77777777" w:rsidR="0018629D" w:rsidRPr="00C21B99" w:rsidRDefault="0018629D" w:rsidP="009A493C">
            <w:pPr>
              <w:widowControl w:val="0"/>
              <w:tabs>
                <w:tab w:val="left" w:pos="567"/>
              </w:tabs>
              <w:rPr>
                <w:bCs/>
                <w:snapToGrid w:val="0"/>
                <w:szCs w:val="22"/>
                <w:lang w:eastAsia="en-US"/>
              </w:rPr>
            </w:pPr>
            <w:r w:rsidRPr="00C21B99">
              <w:rPr>
                <w:bCs/>
                <w:snapToGrid w:val="0"/>
                <w:szCs w:val="22"/>
                <w:lang w:eastAsia="en-US"/>
              </w:rPr>
              <w:t>Histolog</w:t>
            </w:r>
            <w:r w:rsidR="00010EE3" w:rsidRPr="00C21B99">
              <w:rPr>
                <w:bCs/>
                <w:snapToGrid w:val="0"/>
                <w:szCs w:val="22"/>
                <w:lang w:eastAsia="en-US"/>
              </w:rPr>
              <w:t>inė struktūra</w:t>
            </w:r>
          </w:p>
        </w:tc>
        <w:tc>
          <w:tcPr>
            <w:tcW w:w="990" w:type="dxa"/>
            <w:tcBorders>
              <w:top w:val="nil"/>
              <w:left w:val="nil"/>
              <w:bottom w:val="nil"/>
              <w:right w:val="nil"/>
            </w:tcBorders>
            <w:shd w:val="clear" w:color="auto" w:fill="auto"/>
          </w:tcPr>
          <w:p w14:paraId="53183063" w14:textId="77777777" w:rsidR="0018629D" w:rsidRPr="00C21B99" w:rsidRDefault="0018629D" w:rsidP="009A493C">
            <w:pPr>
              <w:widowControl w:val="0"/>
              <w:tabs>
                <w:tab w:val="left" w:pos="567"/>
              </w:tabs>
              <w:rPr>
                <w:bCs/>
                <w:snapToGrid w:val="0"/>
                <w:szCs w:val="22"/>
                <w:lang w:eastAsia="en-US"/>
              </w:rPr>
            </w:pPr>
            <w:r w:rsidRPr="00C21B99">
              <w:rPr>
                <w:bCs/>
                <w:snapToGrid w:val="0"/>
                <w:szCs w:val="22"/>
                <w:lang w:eastAsia="en-US"/>
              </w:rPr>
              <w:t>&lt;0.0001</w:t>
            </w:r>
          </w:p>
        </w:tc>
        <w:tc>
          <w:tcPr>
            <w:tcW w:w="2775" w:type="dxa"/>
            <w:tcBorders>
              <w:top w:val="nil"/>
              <w:left w:val="nil"/>
              <w:bottom w:val="nil"/>
              <w:right w:val="nil"/>
            </w:tcBorders>
            <w:shd w:val="clear" w:color="auto" w:fill="auto"/>
          </w:tcPr>
          <w:p w14:paraId="620523A0" w14:textId="77777777" w:rsidR="0018629D" w:rsidRPr="00C21B99" w:rsidRDefault="00010EE3" w:rsidP="009A493C">
            <w:pPr>
              <w:widowControl w:val="0"/>
              <w:tabs>
                <w:tab w:val="left" w:pos="567"/>
              </w:tabs>
              <w:rPr>
                <w:bCs/>
                <w:snapToGrid w:val="0"/>
                <w:szCs w:val="22"/>
                <w:lang w:eastAsia="en-US"/>
              </w:rPr>
            </w:pPr>
            <w:r w:rsidRPr="00C21B99">
              <w:rPr>
                <w:bCs/>
                <w:snapToGrid w:val="0"/>
                <w:szCs w:val="22"/>
                <w:lang w:eastAsia="en-US"/>
              </w:rPr>
              <w:t xml:space="preserve">4,4 karto dažniau esant </w:t>
            </w:r>
            <w:proofErr w:type="spellStart"/>
            <w:r w:rsidRPr="00C21B99">
              <w:rPr>
                <w:bCs/>
                <w:snapToGrid w:val="0"/>
                <w:szCs w:val="22"/>
                <w:lang w:eastAsia="en-US"/>
              </w:rPr>
              <w:t>adenokarcinomai</w:t>
            </w:r>
            <w:proofErr w:type="spellEnd"/>
            <w:r w:rsidRPr="00C21B99">
              <w:rPr>
                <w:bCs/>
                <w:snapToGrid w:val="0"/>
                <w:szCs w:val="22"/>
                <w:lang w:eastAsia="en-US"/>
              </w:rPr>
              <w:t xml:space="preserve"> negu </w:t>
            </w:r>
            <w:proofErr w:type="spellStart"/>
            <w:r w:rsidRPr="00C21B99">
              <w:rPr>
                <w:bCs/>
                <w:snapToGrid w:val="0"/>
                <w:szCs w:val="22"/>
                <w:lang w:eastAsia="en-US"/>
              </w:rPr>
              <w:t>neadenokarcinomai</w:t>
            </w:r>
            <w:proofErr w:type="spellEnd"/>
          </w:p>
        </w:tc>
        <w:tc>
          <w:tcPr>
            <w:tcW w:w="3435" w:type="dxa"/>
            <w:tcBorders>
              <w:top w:val="nil"/>
              <w:left w:val="nil"/>
              <w:bottom w:val="nil"/>
              <w:right w:val="nil"/>
            </w:tcBorders>
            <w:shd w:val="clear" w:color="auto" w:fill="auto"/>
          </w:tcPr>
          <w:p w14:paraId="7A348CE9" w14:textId="77777777" w:rsidR="00010EE3" w:rsidRPr="00C21B99" w:rsidRDefault="00010EE3" w:rsidP="009A493C">
            <w:pPr>
              <w:widowControl w:val="0"/>
              <w:tabs>
                <w:tab w:val="left" w:pos="567"/>
              </w:tabs>
              <w:rPr>
                <w:bCs/>
                <w:snapToGrid w:val="0"/>
                <w:szCs w:val="22"/>
                <w:lang w:eastAsia="en-US"/>
              </w:rPr>
            </w:pPr>
            <w:r w:rsidRPr="00C21B99">
              <w:rPr>
                <w:bCs/>
                <w:snapToGrid w:val="0"/>
                <w:szCs w:val="22"/>
                <w:lang w:eastAsia="en-US"/>
              </w:rPr>
              <w:t xml:space="preserve">63/396 (16 %) pacientų, kuriems nustatyta </w:t>
            </w:r>
            <w:proofErr w:type="spellStart"/>
            <w:r w:rsidRPr="00C21B99">
              <w:rPr>
                <w:bCs/>
                <w:snapToGrid w:val="0"/>
                <w:szCs w:val="22"/>
                <w:lang w:eastAsia="en-US"/>
              </w:rPr>
              <w:t>adenokarcinomos</w:t>
            </w:r>
            <w:proofErr w:type="spellEnd"/>
            <w:r w:rsidRPr="00C21B99">
              <w:rPr>
                <w:bCs/>
                <w:snapToGrid w:val="0"/>
                <w:szCs w:val="22"/>
                <w:lang w:eastAsia="en-US"/>
              </w:rPr>
              <w:t xml:space="preserve"> histologinė struktūra, yra M+</w:t>
            </w:r>
          </w:p>
          <w:p w14:paraId="4D0EB40A" w14:textId="77777777" w:rsidR="0018629D" w:rsidRPr="00C21B99" w:rsidRDefault="00010EE3" w:rsidP="009A493C">
            <w:pPr>
              <w:widowControl w:val="0"/>
              <w:tabs>
                <w:tab w:val="left" w:pos="567"/>
              </w:tabs>
              <w:rPr>
                <w:bCs/>
                <w:snapToGrid w:val="0"/>
                <w:szCs w:val="22"/>
                <w:lang w:eastAsia="en-US"/>
              </w:rPr>
            </w:pPr>
            <w:r w:rsidRPr="00C21B99">
              <w:rPr>
                <w:bCs/>
                <w:snapToGrid w:val="0"/>
                <w:szCs w:val="22"/>
                <w:lang w:eastAsia="en-US"/>
              </w:rPr>
              <w:t xml:space="preserve">12/390 (3 %) pacientų, kuriems nustatyta ne </w:t>
            </w:r>
            <w:proofErr w:type="spellStart"/>
            <w:r w:rsidRPr="00C21B99">
              <w:rPr>
                <w:bCs/>
                <w:snapToGrid w:val="0"/>
                <w:szCs w:val="22"/>
                <w:lang w:eastAsia="en-US"/>
              </w:rPr>
              <w:t>adenokarcinomos</w:t>
            </w:r>
            <w:proofErr w:type="spellEnd"/>
            <w:r w:rsidRPr="00C21B99">
              <w:rPr>
                <w:bCs/>
                <w:snapToGrid w:val="0"/>
                <w:szCs w:val="22"/>
                <w:lang w:eastAsia="en-US"/>
              </w:rPr>
              <w:t xml:space="preserve"> histologinė struktūra, yra M+</w:t>
            </w:r>
          </w:p>
        </w:tc>
      </w:tr>
      <w:tr w:rsidR="00010EE3" w:rsidRPr="00C21B99" w14:paraId="50A4E882" w14:textId="77777777" w:rsidTr="009A493C">
        <w:tc>
          <w:tcPr>
            <w:tcW w:w="1837" w:type="dxa"/>
            <w:tcBorders>
              <w:top w:val="nil"/>
              <w:left w:val="nil"/>
              <w:bottom w:val="single" w:sz="2" w:space="0" w:color="auto"/>
              <w:right w:val="nil"/>
            </w:tcBorders>
            <w:shd w:val="clear" w:color="auto" w:fill="auto"/>
          </w:tcPr>
          <w:p w14:paraId="391A0FB2" w14:textId="77777777" w:rsidR="0018629D" w:rsidRPr="00C21B99" w:rsidRDefault="00010EE3" w:rsidP="009A493C">
            <w:pPr>
              <w:widowControl w:val="0"/>
              <w:tabs>
                <w:tab w:val="left" w:pos="567"/>
              </w:tabs>
              <w:rPr>
                <w:bCs/>
                <w:snapToGrid w:val="0"/>
                <w:szCs w:val="22"/>
                <w:lang w:eastAsia="en-US"/>
              </w:rPr>
            </w:pPr>
            <w:r w:rsidRPr="00C21B99">
              <w:rPr>
                <w:bCs/>
                <w:snapToGrid w:val="0"/>
                <w:szCs w:val="22"/>
                <w:lang w:eastAsia="en-US"/>
              </w:rPr>
              <w:t>Lytis</w:t>
            </w:r>
          </w:p>
        </w:tc>
        <w:tc>
          <w:tcPr>
            <w:tcW w:w="990" w:type="dxa"/>
            <w:tcBorders>
              <w:top w:val="nil"/>
              <w:left w:val="nil"/>
              <w:bottom w:val="single" w:sz="2" w:space="0" w:color="auto"/>
              <w:right w:val="nil"/>
            </w:tcBorders>
            <w:shd w:val="clear" w:color="auto" w:fill="auto"/>
          </w:tcPr>
          <w:p w14:paraId="37D902F2" w14:textId="77777777" w:rsidR="0018629D" w:rsidRPr="00C21B99" w:rsidRDefault="0018629D" w:rsidP="009A493C">
            <w:pPr>
              <w:widowControl w:val="0"/>
              <w:tabs>
                <w:tab w:val="left" w:pos="567"/>
              </w:tabs>
              <w:rPr>
                <w:bCs/>
                <w:snapToGrid w:val="0"/>
                <w:szCs w:val="22"/>
                <w:lang w:eastAsia="en-US"/>
              </w:rPr>
            </w:pPr>
            <w:r w:rsidRPr="00C21B99">
              <w:rPr>
                <w:bCs/>
                <w:snapToGrid w:val="0"/>
                <w:szCs w:val="22"/>
                <w:lang w:eastAsia="en-US"/>
              </w:rPr>
              <w:t>0.0397</w:t>
            </w:r>
          </w:p>
        </w:tc>
        <w:tc>
          <w:tcPr>
            <w:tcW w:w="2775" w:type="dxa"/>
            <w:tcBorders>
              <w:top w:val="nil"/>
              <w:left w:val="nil"/>
              <w:bottom w:val="single" w:sz="2" w:space="0" w:color="auto"/>
              <w:right w:val="nil"/>
            </w:tcBorders>
            <w:shd w:val="clear" w:color="auto" w:fill="auto"/>
          </w:tcPr>
          <w:p w14:paraId="1B52CB3E" w14:textId="77777777" w:rsidR="0018629D" w:rsidRPr="00C21B99" w:rsidRDefault="00010EE3" w:rsidP="009A493C">
            <w:pPr>
              <w:widowControl w:val="0"/>
              <w:tabs>
                <w:tab w:val="left" w:pos="567"/>
              </w:tabs>
              <w:rPr>
                <w:bCs/>
                <w:snapToGrid w:val="0"/>
                <w:szCs w:val="22"/>
                <w:lang w:eastAsia="en-US"/>
              </w:rPr>
            </w:pPr>
            <w:r w:rsidRPr="00C21B99">
              <w:rPr>
                <w:bCs/>
                <w:snapToGrid w:val="0"/>
                <w:szCs w:val="22"/>
                <w:lang w:eastAsia="en-US"/>
              </w:rPr>
              <w:t>1,7 karto dažniau moterims negu vyrams</w:t>
            </w:r>
          </w:p>
        </w:tc>
        <w:tc>
          <w:tcPr>
            <w:tcW w:w="3435" w:type="dxa"/>
            <w:tcBorders>
              <w:top w:val="nil"/>
              <w:left w:val="nil"/>
              <w:bottom w:val="single" w:sz="2" w:space="0" w:color="auto"/>
              <w:right w:val="nil"/>
            </w:tcBorders>
            <w:shd w:val="clear" w:color="auto" w:fill="auto"/>
          </w:tcPr>
          <w:p w14:paraId="524BCE62" w14:textId="77777777" w:rsidR="00010EE3" w:rsidRPr="00C21B99" w:rsidRDefault="00010EE3" w:rsidP="009A493C">
            <w:pPr>
              <w:widowControl w:val="0"/>
              <w:tabs>
                <w:tab w:val="left" w:pos="567"/>
              </w:tabs>
              <w:rPr>
                <w:bCs/>
                <w:snapToGrid w:val="0"/>
                <w:szCs w:val="22"/>
                <w:lang w:eastAsia="en-US"/>
              </w:rPr>
            </w:pPr>
            <w:r w:rsidRPr="00C21B99">
              <w:rPr>
                <w:bCs/>
                <w:snapToGrid w:val="0"/>
                <w:szCs w:val="22"/>
                <w:lang w:eastAsia="en-US"/>
              </w:rPr>
              <w:t>40/235 (17 %) moterų yra M+</w:t>
            </w:r>
          </w:p>
          <w:p w14:paraId="41395CAB" w14:textId="77777777" w:rsidR="0018629D" w:rsidRPr="00C21B99" w:rsidRDefault="00010EE3" w:rsidP="009A493C">
            <w:pPr>
              <w:widowControl w:val="0"/>
              <w:tabs>
                <w:tab w:val="left" w:pos="567"/>
              </w:tabs>
              <w:rPr>
                <w:bCs/>
                <w:snapToGrid w:val="0"/>
                <w:szCs w:val="22"/>
                <w:lang w:eastAsia="en-US"/>
              </w:rPr>
            </w:pPr>
            <w:r w:rsidRPr="00C21B99">
              <w:rPr>
                <w:bCs/>
                <w:snapToGrid w:val="0"/>
                <w:szCs w:val="22"/>
                <w:lang w:eastAsia="en-US"/>
              </w:rPr>
              <w:t>35/551 (6%) vyrų yra M+</w:t>
            </w:r>
          </w:p>
        </w:tc>
      </w:tr>
    </w:tbl>
    <w:p w14:paraId="61789BA4" w14:textId="77777777" w:rsidR="0018629D" w:rsidRPr="00C21B99" w:rsidRDefault="00010EE3" w:rsidP="00F15194">
      <w:pPr>
        <w:widowControl w:val="0"/>
        <w:tabs>
          <w:tab w:val="left" w:pos="567"/>
        </w:tabs>
        <w:rPr>
          <w:snapToGrid w:val="0"/>
          <w:sz w:val="20"/>
          <w:lang w:eastAsia="en-US"/>
        </w:rPr>
      </w:pPr>
      <w:r w:rsidRPr="00C21B99">
        <w:rPr>
          <w:snapToGrid w:val="0"/>
          <w:sz w:val="20"/>
          <w:lang w:eastAsia="en-US"/>
        </w:rPr>
        <w:t>* INTEREST, ISEL, INTACT 1 ir 2, IDEAL 1 ir 2 bei INVITE tyrimų duomenimis</w:t>
      </w:r>
    </w:p>
    <w:p w14:paraId="6AF7C94D" w14:textId="77777777" w:rsidR="00715307" w:rsidRPr="00C21B99" w:rsidRDefault="00715307" w:rsidP="0015664A">
      <w:pPr>
        <w:pStyle w:val="Default"/>
        <w:rPr>
          <w:b/>
          <w:bCs/>
          <w:sz w:val="22"/>
          <w:szCs w:val="22"/>
          <w:lang w:val="lt-LT"/>
        </w:rPr>
      </w:pPr>
    </w:p>
    <w:p w14:paraId="3EF2904D" w14:textId="77777777" w:rsidR="0015664A" w:rsidRPr="00C21B99" w:rsidRDefault="0015664A" w:rsidP="0015664A">
      <w:pPr>
        <w:pStyle w:val="Default"/>
        <w:rPr>
          <w:sz w:val="22"/>
          <w:szCs w:val="22"/>
          <w:lang w:val="lt-LT"/>
        </w:rPr>
      </w:pPr>
      <w:r w:rsidRPr="00C21B99">
        <w:rPr>
          <w:b/>
          <w:bCs/>
          <w:sz w:val="22"/>
          <w:szCs w:val="22"/>
          <w:lang w:val="lt-LT"/>
        </w:rPr>
        <w:t>5.2</w:t>
      </w:r>
      <w:r w:rsidR="00715307" w:rsidRPr="00C21B99">
        <w:rPr>
          <w:b/>
          <w:bCs/>
          <w:sz w:val="22"/>
          <w:szCs w:val="22"/>
          <w:lang w:val="lt-LT"/>
        </w:rPr>
        <w:tab/>
      </w:r>
      <w:proofErr w:type="spellStart"/>
      <w:r w:rsidRPr="00C21B99">
        <w:rPr>
          <w:b/>
          <w:bCs/>
          <w:sz w:val="22"/>
          <w:szCs w:val="22"/>
          <w:lang w:val="lt-LT"/>
        </w:rPr>
        <w:t>Farmakokinetinės</w:t>
      </w:r>
      <w:proofErr w:type="spellEnd"/>
      <w:r w:rsidRPr="00C21B99">
        <w:rPr>
          <w:b/>
          <w:bCs/>
          <w:sz w:val="22"/>
          <w:szCs w:val="22"/>
          <w:lang w:val="lt-LT"/>
        </w:rPr>
        <w:t xml:space="preserve"> savybės </w:t>
      </w:r>
    </w:p>
    <w:p w14:paraId="7A96A13A" w14:textId="77777777" w:rsidR="00715307" w:rsidRPr="00C21B99" w:rsidRDefault="00715307" w:rsidP="0015664A">
      <w:pPr>
        <w:pStyle w:val="Default"/>
        <w:rPr>
          <w:sz w:val="22"/>
          <w:szCs w:val="22"/>
          <w:lang w:val="lt-LT"/>
        </w:rPr>
      </w:pPr>
    </w:p>
    <w:p w14:paraId="7FB4244E" w14:textId="77777777" w:rsidR="00EB6D1D" w:rsidRPr="00C21B99" w:rsidRDefault="0015664A" w:rsidP="0015664A">
      <w:pPr>
        <w:pStyle w:val="Default"/>
        <w:rPr>
          <w:sz w:val="22"/>
          <w:szCs w:val="22"/>
          <w:u w:val="single"/>
          <w:lang w:val="lt-LT"/>
        </w:rPr>
      </w:pPr>
      <w:r w:rsidRPr="00C21B99">
        <w:rPr>
          <w:sz w:val="22"/>
          <w:szCs w:val="22"/>
          <w:u w:val="single"/>
          <w:lang w:val="lt-LT"/>
        </w:rPr>
        <w:t>Absorbcija</w:t>
      </w:r>
    </w:p>
    <w:p w14:paraId="3CE1B674" w14:textId="77777777" w:rsidR="00EB6D1D" w:rsidRPr="00C21B99" w:rsidRDefault="00EB6D1D" w:rsidP="00EB6D1D">
      <w:pPr>
        <w:pStyle w:val="Default"/>
        <w:rPr>
          <w:sz w:val="22"/>
          <w:szCs w:val="22"/>
          <w:lang w:val="lt-LT"/>
        </w:rPr>
      </w:pPr>
      <w:r w:rsidRPr="00C21B99">
        <w:rPr>
          <w:sz w:val="22"/>
          <w:szCs w:val="22"/>
          <w:lang w:val="lt-LT"/>
        </w:rPr>
        <w:t xml:space="preserve">Išgertas </w:t>
      </w:r>
      <w:proofErr w:type="spellStart"/>
      <w:r w:rsidRPr="00C21B99">
        <w:rPr>
          <w:sz w:val="22"/>
          <w:szCs w:val="22"/>
          <w:lang w:val="lt-LT"/>
        </w:rPr>
        <w:t>gefitinibas</w:t>
      </w:r>
      <w:proofErr w:type="spellEnd"/>
      <w:r w:rsidRPr="00C21B99">
        <w:rPr>
          <w:sz w:val="22"/>
          <w:szCs w:val="22"/>
          <w:lang w:val="lt-LT"/>
        </w:rPr>
        <w:t xml:space="preserve"> absorbuojamas vidutiniškai lėtai, didžiausia jo koncentracija plazmoje paprastai atsiranda po 3-7 val. Vidutinis absoliutus biologinis prieinamumas vėžiu sergantiems pacientams yra 59%. Maistas nedaro reikšmingos įtakos </w:t>
      </w:r>
      <w:proofErr w:type="spellStart"/>
      <w:r w:rsidRPr="00C21B99">
        <w:rPr>
          <w:sz w:val="22"/>
          <w:szCs w:val="22"/>
          <w:lang w:val="lt-LT"/>
        </w:rPr>
        <w:t>gefitinibo</w:t>
      </w:r>
      <w:proofErr w:type="spellEnd"/>
      <w:r w:rsidRPr="00C21B99">
        <w:rPr>
          <w:sz w:val="22"/>
          <w:szCs w:val="22"/>
          <w:lang w:val="lt-LT"/>
        </w:rPr>
        <w:t xml:space="preserve"> ekspozicijai. Tyrimo su sveikais savanoriais metu palaikant skrandžio pH didesnę kaip 5, </w:t>
      </w:r>
      <w:proofErr w:type="spellStart"/>
      <w:r w:rsidRPr="00C21B99">
        <w:rPr>
          <w:sz w:val="22"/>
          <w:szCs w:val="22"/>
          <w:lang w:val="lt-LT"/>
        </w:rPr>
        <w:t>gefitinibo</w:t>
      </w:r>
      <w:proofErr w:type="spellEnd"/>
      <w:r w:rsidRPr="00C21B99">
        <w:rPr>
          <w:sz w:val="22"/>
          <w:szCs w:val="22"/>
          <w:lang w:val="lt-LT"/>
        </w:rPr>
        <w:t xml:space="preserve"> ekspozicija sumažėjo 47%, tikriausiai dėl pablogėjusio </w:t>
      </w:r>
      <w:proofErr w:type="spellStart"/>
      <w:r w:rsidRPr="00C21B99">
        <w:rPr>
          <w:sz w:val="22"/>
          <w:szCs w:val="22"/>
          <w:lang w:val="lt-LT"/>
        </w:rPr>
        <w:t>gefitinibo</w:t>
      </w:r>
      <w:proofErr w:type="spellEnd"/>
      <w:r w:rsidRPr="00C21B99">
        <w:rPr>
          <w:sz w:val="22"/>
          <w:szCs w:val="22"/>
          <w:lang w:val="lt-LT"/>
        </w:rPr>
        <w:t xml:space="preserve"> tirpumo skrandyje (žr. 4.4 ir 4.5 skyrius).</w:t>
      </w:r>
    </w:p>
    <w:p w14:paraId="3A214C32" w14:textId="77777777" w:rsidR="00EB6D1D" w:rsidRPr="00C21B99" w:rsidRDefault="00EB6D1D" w:rsidP="00EB6D1D">
      <w:pPr>
        <w:pStyle w:val="Default"/>
        <w:rPr>
          <w:i/>
          <w:iCs/>
          <w:sz w:val="22"/>
          <w:szCs w:val="22"/>
          <w:lang w:val="lt-LT"/>
        </w:rPr>
      </w:pPr>
    </w:p>
    <w:p w14:paraId="2A74DBA7" w14:textId="77777777" w:rsidR="00EB6D1D" w:rsidRPr="00C21B99" w:rsidRDefault="00EB6D1D" w:rsidP="00EB6D1D">
      <w:pPr>
        <w:pStyle w:val="Default"/>
        <w:rPr>
          <w:iCs/>
          <w:sz w:val="22"/>
          <w:szCs w:val="22"/>
          <w:u w:val="single"/>
          <w:lang w:val="lt-LT"/>
        </w:rPr>
      </w:pPr>
      <w:r w:rsidRPr="00C21B99">
        <w:rPr>
          <w:iCs/>
          <w:sz w:val="22"/>
          <w:szCs w:val="22"/>
          <w:u w:val="single"/>
          <w:lang w:val="lt-LT"/>
        </w:rPr>
        <w:t>Pasiskirstymas</w:t>
      </w:r>
    </w:p>
    <w:p w14:paraId="601B6610" w14:textId="77777777" w:rsidR="00EB6D1D" w:rsidRPr="00C21B99" w:rsidRDefault="00EB6D1D" w:rsidP="00EB6D1D">
      <w:pPr>
        <w:pStyle w:val="Default"/>
        <w:rPr>
          <w:sz w:val="22"/>
          <w:szCs w:val="22"/>
          <w:lang w:val="lt-LT"/>
        </w:rPr>
      </w:pPr>
      <w:r w:rsidRPr="00C21B99">
        <w:rPr>
          <w:sz w:val="22"/>
          <w:szCs w:val="22"/>
          <w:lang w:val="lt-LT"/>
        </w:rPr>
        <w:t>Nusi</w:t>
      </w:r>
      <w:r w:rsidR="00C21B99">
        <w:rPr>
          <w:sz w:val="22"/>
          <w:szCs w:val="22"/>
          <w:lang w:val="lt-LT"/>
        </w:rPr>
        <w:t>s</w:t>
      </w:r>
      <w:r w:rsidRPr="00C21B99">
        <w:rPr>
          <w:sz w:val="22"/>
          <w:szCs w:val="22"/>
          <w:lang w:val="lt-LT"/>
        </w:rPr>
        <w:t xml:space="preserve">tovėjus </w:t>
      </w:r>
      <w:proofErr w:type="spellStart"/>
      <w:r w:rsidRPr="00C21B99">
        <w:rPr>
          <w:sz w:val="22"/>
          <w:szCs w:val="22"/>
          <w:lang w:val="lt-LT"/>
        </w:rPr>
        <w:t>pusiausvyrinei</w:t>
      </w:r>
      <w:proofErr w:type="spellEnd"/>
      <w:r w:rsidRPr="00C21B99">
        <w:rPr>
          <w:sz w:val="22"/>
          <w:szCs w:val="22"/>
          <w:lang w:val="lt-LT"/>
        </w:rPr>
        <w:t xml:space="preserve"> apykaitai vidutinis </w:t>
      </w:r>
      <w:proofErr w:type="spellStart"/>
      <w:r w:rsidRPr="00C21B99">
        <w:rPr>
          <w:sz w:val="22"/>
          <w:szCs w:val="22"/>
          <w:lang w:val="lt-LT"/>
        </w:rPr>
        <w:t>gefitinibo</w:t>
      </w:r>
      <w:proofErr w:type="spellEnd"/>
      <w:r w:rsidRPr="00C21B99">
        <w:rPr>
          <w:sz w:val="22"/>
          <w:szCs w:val="22"/>
          <w:lang w:val="lt-LT"/>
        </w:rPr>
        <w:t xml:space="preserve"> pasiskirstymo tūris yra 1400 litrų (tai rodo didelio vaistinio</w:t>
      </w:r>
      <w:r w:rsidR="00C21B99">
        <w:rPr>
          <w:sz w:val="22"/>
          <w:szCs w:val="22"/>
          <w:lang w:val="lt-LT"/>
        </w:rPr>
        <w:t xml:space="preserve"> </w:t>
      </w:r>
      <w:r w:rsidRPr="00C21B99">
        <w:rPr>
          <w:sz w:val="22"/>
          <w:szCs w:val="22"/>
          <w:lang w:val="lt-LT"/>
        </w:rPr>
        <w:t xml:space="preserve">preparato kiekio pasiskirstymą audiniuose). Maždaug 90% </w:t>
      </w:r>
      <w:proofErr w:type="spellStart"/>
      <w:r w:rsidRPr="00C21B99">
        <w:rPr>
          <w:sz w:val="22"/>
          <w:szCs w:val="22"/>
          <w:lang w:val="lt-LT"/>
        </w:rPr>
        <w:t>gefitinibo</w:t>
      </w:r>
      <w:proofErr w:type="spellEnd"/>
      <w:r w:rsidRPr="00C21B99">
        <w:rPr>
          <w:sz w:val="22"/>
          <w:szCs w:val="22"/>
          <w:lang w:val="lt-LT"/>
        </w:rPr>
        <w:t xml:space="preserve"> būna prisijungusio prie plazmos baltymų. </w:t>
      </w:r>
      <w:proofErr w:type="spellStart"/>
      <w:r w:rsidRPr="00C21B99">
        <w:rPr>
          <w:sz w:val="22"/>
          <w:szCs w:val="22"/>
          <w:lang w:val="lt-LT"/>
        </w:rPr>
        <w:t>Gefitinibas</w:t>
      </w:r>
      <w:proofErr w:type="spellEnd"/>
      <w:r w:rsidRPr="00C21B99">
        <w:rPr>
          <w:sz w:val="22"/>
          <w:szCs w:val="22"/>
          <w:lang w:val="lt-LT"/>
        </w:rPr>
        <w:t xml:space="preserve"> jungiasi prie serumo </w:t>
      </w:r>
      <w:proofErr w:type="spellStart"/>
      <w:r w:rsidRPr="00C21B99">
        <w:rPr>
          <w:sz w:val="22"/>
          <w:szCs w:val="22"/>
          <w:lang w:val="lt-LT"/>
        </w:rPr>
        <w:t>albumino</w:t>
      </w:r>
      <w:proofErr w:type="spellEnd"/>
      <w:r w:rsidRPr="00C21B99">
        <w:rPr>
          <w:sz w:val="22"/>
          <w:szCs w:val="22"/>
          <w:lang w:val="lt-LT"/>
        </w:rPr>
        <w:t xml:space="preserve"> ir alfa 1-rūgščiojo </w:t>
      </w:r>
      <w:proofErr w:type="spellStart"/>
      <w:r w:rsidRPr="00C21B99">
        <w:rPr>
          <w:sz w:val="22"/>
          <w:szCs w:val="22"/>
          <w:lang w:val="lt-LT"/>
        </w:rPr>
        <w:t>glikoproteino</w:t>
      </w:r>
      <w:proofErr w:type="spellEnd"/>
      <w:r w:rsidRPr="00C21B99">
        <w:rPr>
          <w:sz w:val="22"/>
          <w:szCs w:val="22"/>
          <w:lang w:val="lt-LT"/>
        </w:rPr>
        <w:t>.</w:t>
      </w:r>
    </w:p>
    <w:p w14:paraId="16277032" w14:textId="77777777" w:rsidR="00EB6D1D" w:rsidRPr="00C21B99" w:rsidRDefault="00EB6D1D" w:rsidP="00EB6D1D">
      <w:pPr>
        <w:pStyle w:val="Default"/>
        <w:rPr>
          <w:sz w:val="22"/>
          <w:szCs w:val="22"/>
          <w:lang w:val="lt-LT"/>
        </w:rPr>
      </w:pPr>
    </w:p>
    <w:p w14:paraId="0207F5BA" w14:textId="77777777" w:rsidR="00EB6D1D" w:rsidRPr="00C21B99" w:rsidRDefault="00EB6D1D" w:rsidP="00EB6D1D">
      <w:pPr>
        <w:pStyle w:val="Default"/>
        <w:rPr>
          <w:sz w:val="22"/>
          <w:szCs w:val="22"/>
          <w:lang w:val="lt-LT"/>
        </w:rPr>
      </w:pPr>
      <w:r w:rsidRPr="00C21B99">
        <w:rPr>
          <w:sz w:val="22"/>
          <w:szCs w:val="22"/>
          <w:lang w:val="lt-LT"/>
        </w:rPr>
        <w:t xml:space="preserve">Tyrimų </w:t>
      </w:r>
      <w:proofErr w:type="spellStart"/>
      <w:r w:rsidRPr="00C21B99">
        <w:rPr>
          <w:i/>
          <w:iCs/>
          <w:sz w:val="22"/>
          <w:szCs w:val="22"/>
          <w:lang w:val="lt-LT"/>
        </w:rPr>
        <w:t>in</w:t>
      </w:r>
      <w:proofErr w:type="spellEnd"/>
      <w:r w:rsidRPr="00C21B99">
        <w:rPr>
          <w:i/>
          <w:iCs/>
          <w:sz w:val="22"/>
          <w:szCs w:val="22"/>
          <w:lang w:val="lt-LT"/>
        </w:rPr>
        <w:t xml:space="preserve"> </w:t>
      </w:r>
      <w:proofErr w:type="spellStart"/>
      <w:r w:rsidRPr="00C21B99">
        <w:rPr>
          <w:i/>
          <w:iCs/>
          <w:sz w:val="22"/>
          <w:szCs w:val="22"/>
          <w:lang w:val="lt-LT"/>
        </w:rPr>
        <w:t>vitro</w:t>
      </w:r>
      <w:proofErr w:type="spellEnd"/>
      <w:r w:rsidRPr="00C21B99">
        <w:rPr>
          <w:i/>
          <w:iCs/>
          <w:sz w:val="22"/>
          <w:szCs w:val="22"/>
          <w:lang w:val="lt-LT"/>
        </w:rPr>
        <w:t xml:space="preserve"> </w:t>
      </w:r>
      <w:r w:rsidRPr="00C21B99">
        <w:rPr>
          <w:sz w:val="22"/>
          <w:szCs w:val="22"/>
          <w:lang w:val="lt-LT"/>
        </w:rPr>
        <w:t xml:space="preserve">duomenimis, </w:t>
      </w:r>
      <w:proofErr w:type="spellStart"/>
      <w:r w:rsidRPr="00C21B99">
        <w:rPr>
          <w:sz w:val="22"/>
          <w:szCs w:val="22"/>
          <w:lang w:val="lt-LT"/>
        </w:rPr>
        <w:t>gefitinibas</w:t>
      </w:r>
      <w:proofErr w:type="spellEnd"/>
      <w:r w:rsidRPr="00C21B99">
        <w:rPr>
          <w:sz w:val="22"/>
          <w:szCs w:val="22"/>
          <w:lang w:val="lt-LT"/>
        </w:rPr>
        <w:t xml:space="preserve"> yra membraninės pernašos baltymo </w:t>
      </w:r>
      <w:proofErr w:type="spellStart"/>
      <w:r w:rsidRPr="00C21B99">
        <w:rPr>
          <w:sz w:val="22"/>
          <w:szCs w:val="22"/>
          <w:lang w:val="lt-LT"/>
        </w:rPr>
        <w:t>Pg</w:t>
      </w:r>
      <w:proofErr w:type="spellEnd"/>
      <w:r w:rsidRPr="00C21B99">
        <w:rPr>
          <w:sz w:val="22"/>
          <w:szCs w:val="22"/>
          <w:lang w:val="lt-LT"/>
        </w:rPr>
        <w:t>-p substratas.</w:t>
      </w:r>
    </w:p>
    <w:p w14:paraId="066A7F98" w14:textId="77777777" w:rsidR="00EB6D1D" w:rsidRPr="00C21B99" w:rsidRDefault="00EB6D1D" w:rsidP="00EB6D1D">
      <w:pPr>
        <w:pStyle w:val="Default"/>
        <w:rPr>
          <w:i/>
          <w:iCs/>
          <w:sz w:val="22"/>
          <w:szCs w:val="22"/>
          <w:lang w:val="lt-LT"/>
        </w:rPr>
      </w:pPr>
    </w:p>
    <w:p w14:paraId="3EADA557" w14:textId="77777777" w:rsidR="00EB6D1D" w:rsidRPr="00C21B99" w:rsidRDefault="00EB6D1D" w:rsidP="00EB6D1D">
      <w:pPr>
        <w:pStyle w:val="Default"/>
        <w:rPr>
          <w:iCs/>
          <w:sz w:val="22"/>
          <w:szCs w:val="22"/>
          <w:u w:val="single"/>
          <w:lang w:val="lt-LT"/>
        </w:rPr>
      </w:pPr>
      <w:proofErr w:type="spellStart"/>
      <w:r w:rsidRPr="00C21B99">
        <w:rPr>
          <w:iCs/>
          <w:sz w:val="22"/>
          <w:szCs w:val="22"/>
          <w:u w:val="single"/>
          <w:lang w:val="lt-LT"/>
        </w:rPr>
        <w:t>Biotransformacija</w:t>
      </w:r>
      <w:proofErr w:type="spellEnd"/>
    </w:p>
    <w:p w14:paraId="26ACD124" w14:textId="77777777" w:rsidR="00EB6D1D" w:rsidRPr="00C21B99" w:rsidRDefault="00EB6D1D" w:rsidP="00EB6D1D">
      <w:pPr>
        <w:pStyle w:val="Default"/>
        <w:rPr>
          <w:sz w:val="22"/>
          <w:szCs w:val="22"/>
          <w:lang w:val="lt-LT"/>
        </w:rPr>
      </w:pPr>
      <w:r w:rsidRPr="00C21B99">
        <w:rPr>
          <w:sz w:val="22"/>
          <w:szCs w:val="22"/>
          <w:lang w:val="lt-LT"/>
        </w:rPr>
        <w:t xml:space="preserve">Tyrimų </w:t>
      </w:r>
      <w:proofErr w:type="spellStart"/>
      <w:r w:rsidRPr="00C21B99">
        <w:rPr>
          <w:i/>
          <w:iCs/>
          <w:sz w:val="22"/>
          <w:szCs w:val="22"/>
          <w:lang w:val="lt-LT"/>
        </w:rPr>
        <w:t>in</w:t>
      </w:r>
      <w:proofErr w:type="spellEnd"/>
      <w:r w:rsidRPr="00C21B99">
        <w:rPr>
          <w:i/>
          <w:iCs/>
          <w:sz w:val="22"/>
          <w:szCs w:val="22"/>
          <w:lang w:val="lt-LT"/>
        </w:rPr>
        <w:t xml:space="preserve"> </w:t>
      </w:r>
      <w:proofErr w:type="spellStart"/>
      <w:r w:rsidRPr="00C21B99">
        <w:rPr>
          <w:i/>
          <w:iCs/>
          <w:sz w:val="22"/>
          <w:szCs w:val="22"/>
          <w:lang w:val="lt-LT"/>
        </w:rPr>
        <w:t>vitro</w:t>
      </w:r>
      <w:proofErr w:type="spellEnd"/>
      <w:r w:rsidRPr="00C21B99">
        <w:rPr>
          <w:i/>
          <w:iCs/>
          <w:sz w:val="22"/>
          <w:szCs w:val="22"/>
          <w:lang w:val="lt-LT"/>
        </w:rPr>
        <w:t xml:space="preserve"> </w:t>
      </w:r>
      <w:r w:rsidRPr="00C21B99">
        <w:rPr>
          <w:sz w:val="22"/>
          <w:szCs w:val="22"/>
          <w:lang w:val="lt-LT"/>
        </w:rPr>
        <w:t xml:space="preserve">duomenimis, pagrindiniai </w:t>
      </w:r>
      <w:proofErr w:type="spellStart"/>
      <w:r w:rsidRPr="00C21B99">
        <w:rPr>
          <w:sz w:val="22"/>
          <w:szCs w:val="22"/>
          <w:lang w:val="lt-LT"/>
        </w:rPr>
        <w:t>gefitinibo</w:t>
      </w:r>
      <w:proofErr w:type="spellEnd"/>
      <w:r w:rsidRPr="00C21B99">
        <w:rPr>
          <w:sz w:val="22"/>
          <w:szCs w:val="22"/>
          <w:lang w:val="lt-LT"/>
        </w:rPr>
        <w:t xml:space="preserve"> oksidacinio metabolizmo P450 </w:t>
      </w:r>
      <w:proofErr w:type="spellStart"/>
      <w:r w:rsidRPr="00C21B99">
        <w:rPr>
          <w:sz w:val="22"/>
          <w:szCs w:val="22"/>
          <w:lang w:val="lt-LT"/>
        </w:rPr>
        <w:t>izofermentai</w:t>
      </w:r>
      <w:proofErr w:type="spellEnd"/>
      <w:r w:rsidRPr="00C21B99">
        <w:rPr>
          <w:sz w:val="22"/>
          <w:szCs w:val="22"/>
          <w:lang w:val="lt-LT"/>
        </w:rPr>
        <w:t xml:space="preserve"> yra CYP3A4 ir CYP2D6.</w:t>
      </w:r>
    </w:p>
    <w:p w14:paraId="4EE014C4" w14:textId="77777777" w:rsidR="00EB6D1D" w:rsidRPr="00C21B99" w:rsidRDefault="00EB6D1D" w:rsidP="00EB6D1D">
      <w:pPr>
        <w:pStyle w:val="Default"/>
        <w:rPr>
          <w:sz w:val="22"/>
          <w:szCs w:val="22"/>
          <w:lang w:val="lt-LT"/>
        </w:rPr>
      </w:pPr>
    </w:p>
    <w:p w14:paraId="05897002" w14:textId="77777777" w:rsidR="00EB6D1D" w:rsidRPr="00C21B99" w:rsidRDefault="00EB6D1D" w:rsidP="00EB6D1D">
      <w:pPr>
        <w:pStyle w:val="Default"/>
        <w:rPr>
          <w:sz w:val="22"/>
          <w:szCs w:val="22"/>
          <w:lang w:val="lt-LT"/>
        </w:rPr>
      </w:pPr>
      <w:r w:rsidRPr="00C21B99">
        <w:rPr>
          <w:sz w:val="22"/>
          <w:szCs w:val="22"/>
          <w:lang w:val="lt-LT"/>
        </w:rPr>
        <w:t xml:space="preserve">Tyrimais </w:t>
      </w:r>
      <w:proofErr w:type="spellStart"/>
      <w:r w:rsidRPr="00C21B99">
        <w:rPr>
          <w:i/>
          <w:iCs/>
          <w:sz w:val="22"/>
          <w:szCs w:val="22"/>
          <w:lang w:val="lt-LT"/>
        </w:rPr>
        <w:t>in</w:t>
      </w:r>
      <w:proofErr w:type="spellEnd"/>
      <w:r w:rsidRPr="00C21B99">
        <w:rPr>
          <w:i/>
          <w:iCs/>
          <w:sz w:val="22"/>
          <w:szCs w:val="22"/>
          <w:lang w:val="lt-LT"/>
        </w:rPr>
        <w:t xml:space="preserve"> </w:t>
      </w:r>
      <w:proofErr w:type="spellStart"/>
      <w:r w:rsidRPr="00C21B99">
        <w:rPr>
          <w:i/>
          <w:iCs/>
          <w:sz w:val="22"/>
          <w:szCs w:val="22"/>
          <w:lang w:val="lt-LT"/>
        </w:rPr>
        <w:t>vitro</w:t>
      </w:r>
      <w:proofErr w:type="spellEnd"/>
      <w:r w:rsidRPr="00C21B99">
        <w:rPr>
          <w:i/>
          <w:iCs/>
          <w:sz w:val="22"/>
          <w:szCs w:val="22"/>
          <w:lang w:val="lt-LT"/>
        </w:rPr>
        <w:t xml:space="preserve"> </w:t>
      </w:r>
      <w:r w:rsidRPr="00C21B99">
        <w:rPr>
          <w:sz w:val="22"/>
          <w:szCs w:val="22"/>
          <w:lang w:val="lt-LT"/>
        </w:rPr>
        <w:t xml:space="preserve">nustatyta, kad </w:t>
      </w:r>
      <w:proofErr w:type="spellStart"/>
      <w:r w:rsidRPr="00C21B99">
        <w:rPr>
          <w:sz w:val="22"/>
          <w:szCs w:val="22"/>
          <w:lang w:val="lt-LT"/>
        </w:rPr>
        <w:t>gefitinibas</w:t>
      </w:r>
      <w:proofErr w:type="spellEnd"/>
      <w:r w:rsidRPr="00C21B99">
        <w:rPr>
          <w:sz w:val="22"/>
          <w:szCs w:val="22"/>
          <w:lang w:val="lt-LT"/>
        </w:rPr>
        <w:t xml:space="preserve"> šiek tiek slopina CYP2D6. Tyrimai su gyvūnais </w:t>
      </w:r>
      <w:proofErr w:type="spellStart"/>
      <w:r w:rsidRPr="00C21B99">
        <w:rPr>
          <w:sz w:val="22"/>
          <w:szCs w:val="22"/>
          <w:lang w:val="lt-LT"/>
        </w:rPr>
        <w:t>gefitinibo</w:t>
      </w:r>
      <w:proofErr w:type="spellEnd"/>
      <w:r w:rsidRPr="00C21B99">
        <w:rPr>
          <w:sz w:val="22"/>
          <w:szCs w:val="22"/>
          <w:lang w:val="lt-LT"/>
        </w:rPr>
        <w:t xml:space="preserve"> sukeliamo fermentų aktyvumo padidėjimo neparodė. Reikšmingo šio vaistinio preparato sukeliamo kitų </w:t>
      </w:r>
      <w:proofErr w:type="spellStart"/>
      <w:r w:rsidRPr="00C21B99">
        <w:rPr>
          <w:sz w:val="22"/>
          <w:szCs w:val="22"/>
          <w:lang w:val="lt-LT"/>
        </w:rPr>
        <w:t>citochromo</w:t>
      </w:r>
      <w:proofErr w:type="spellEnd"/>
      <w:r w:rsidRPr="00C21B99">
        <w:rPr>
          <w:sz w:val="22"/>
          <w:szCs w:val="22"/>
          <w:lang w:val="lt-LT"/>
        </w:rPr>
        <w:t xml:space="preserve"> P450 fermentų slopinimo </w:t>
      </w:r>
      <w:proofErr w:type="spellStart"/>
      <w:r w:rsidRPr="00C21B99">
        <w:rPr>
          <w:i/>
          <w:iCs/>
          <w:sz w:val="22"/>
          <w:szCs w:val="22"/>
          <w:lang w:val="lt-LT"/>
        </w:rPr>
        <w:t>in</w:t>
      </w:r>
      <w:proofErr w:type="spellEnd"/>
      <w:r w:rsidRPr="00C21B99">
        <w:rPr>
          <w:i/>
          <w:iCs/>
          <w:sz w:val="22"/>
          <w:szCs w:val="22"/>
          <w:lang w:val="lt-LT"/>
        </w:rPr>
        <w:t xml:space="preserve"> </w:t>
      </w:r>
      <w:proofErr w:type="spellStart"/>
      <w:r w:rsidRPr="00C21B99">
        <w:rPr>
          <w:i/>
          <w:iCs/>
          <w:sz w:val="22"/>
          <w:szCs w:val="22"/>
          <w:lang w:val="lt-LT"/>
        </w:rPr>
        <w:t>vitro</w:t>
      </w:r>
      <w:proofErr w:type="spellEnd"/>
      <w:r w:rsidRPr="00C21B99">
        <w:rPr>
          <w:i/>
          <w:iCs/>
          <w:sz w:val="22"/>
          <w:szCs w:val="22"/>
          <w:lang w:val="lt-LT"/>
        </w:rPr>
        <w:t xml:space="preserve"> </w:t>
      </w:r>
      <w:r w:rsidRPr="00C21B99">
        <w:rPr>
          <w:sz w:val="22"/>
          <w:szCs w:val="22"/>
          <w:lang w:val="lt-LT"/>
        </w:rPr>
        <w:t>nenustatyta.</w:t>
      </w:r>
    </w:p>
    <w:p w14:paraId="049AB72D" w14:textId="77777777" w:rsidR="00EB6D1D" w:rsidRPr="00C21B99" w:rsidRDefault="00EB6D1D" w:rsidP="00EB6D1D">
      <w:pPr>
        <w:pStyle w:val="Default"/>
        <w:rPr>
          <w:sz w:val="22"/>
          <w:szCs w:val="22"/>
          <w:lang w:val="lt-LT"/>
        </w:rPr>
      </w:pPr>
    </w:p>
    <w:p w14:paraId="3E71E089" w14:textId="77777777" w:rsidR="00EB6D1D" w:rsidRPr="00C21B99" w:rsidRDefault="00EB6D1D" w:rsidP="00EB6D1D">
      <w:pPr>
        <w:pStyle w:val="Default"/>
        <w:rPr>
          <w:sz w:val="22"/>
          <w:szCs w:val="22"/>
          <w:lang w:val="lt-LT"/>
        </w:rPr>
      </w:pPr>
      <w:proofErr w:type="spellStart"/>
      <w:r w:rsidRPr="00C21B99">
        <w:rPr>
          <w:sz w:val="22"/>
          <w:szCs w:val="22"/>
          <w:lang w:val="lt-LT"/>
        </w:rPr>
        <w:lastRenderedPageBreak/>
        <w:t>Gefitinibas</w:t>
      </w:r>
      <w:proofErr w:type="spellEnd"/>
      <w:r w:rsidRPr="00C21B99">
        <w:rPr>
          <w:sz w:val="22"/>
          <w:szCs w:val="22"/>
          <w:lang w:val="lt-LT"/>
        </w:rPr>
        <w:t xml:space="preserve"> ekstensyviai </w:t>
      </w:r>
      <w:proofErr w:type="spellStart"/>
      <w:r w:rsidRPr="00C21B99">
        <w:rPr>
          <w:sz w:val="22"/>
          <w:szCs w:val="22"/>
          <w:lang w:val="lt-LT"/>
        </w:rPr>
        <w:t>metabolizuojamas</w:t>
      </w:r>
      <w:proofErr w:type="spellEnd"/>
      <w:r w:rsidRPr="00C21B99">
        <w:rPr>
          <w:sz w:val="22"/>
          <w:szCs w:val="22"/>
          <w:lang w:val="lt-LT"/>
        </w:rPr>
        <w:t xml:space="preserve"> žmogaus organizme. Išskyrose visiškai nustatyti 5 metabolitai, plazmoje – 8. Pagrindinis </w:t>
      </w:r>
      <w:r w:rsidR="00835ABF" w:rsidRPr="00C21B99">
        <w:rPr>
          <w:sz w:val="22"/>
          <w:szCs w:val="22"/>
          <w:lang w:val="lt-LT"/>
        </w:rPr>
        <w:t>nustatytas</w:t>
      </w:r>
      <w:r w:rsidRPr="00C21B99">
        <w:rPr>
          <w:sz w:val="22"/>
          <w:szCs w:val="22"/>
          <w:lang w:val="lt-LT"/>
        </w:rPr>
        <w:t xml:space="preserve"> metabolitas yra O-</w:t>
      </w:r>
      <w:proofErr w:type="spellStart"/>
      <w:r w:rsidRPr="00C21B99">
        <w:rPr>
          <w:sz w:val="22"/>
          <w:szCs w:val="22"/>
          <w:lang w:val="lt-LT"/>
        </w:rPr>
        <w:t>demetilgefitinibas</w:t>
      </w:r>
      <w:proofErr w:type="spellEnd"/>
      <w:r w:rsidRPr="00C21B99">
        <w:rPr>
          <w:sz w:val="22"/>
          <w:szCs w:val="22"/>
          <w:lang w:val="lt-LT"/>
        </w:rPr>
        <w:t>, kuris</w:t>
      </w:r>
      <w:r w:rsidR="00835ABF" w:rsidRPr="00C21B99">
        <w:rPr>
          <w:sz w:val="22"/>
          <w:szCs w:val="22"/>
          <w:lang w:val="lt-LT"/>
        </w:rPr>
        <w:t xml:space="preserve"> </w:t>
      </w:r>
      <w:r w:rsidRPr="00C21B99">
        <w:rPr>
          <w:sz w:val="22"/>
          <w:szCs w:val="22"/>
          <w:lang w:val="lt-LT"/>
        </w:rPr>
        <w:t xml:space="preserve">14 kartų silpniau už </w:t>
      </w:r>
      <w:proofErr w:type="spellStart"/>
      <w:r w:rsidRPr="00C21B99">
        <w:rPr>
          <w:sz w:val="22"/>
          <w:szCs w:val="22"/>
          <w:lang w:val="lt-LT"/>
        </w:rPr>
        <w:t>gefitinibą</w:t>
      </w:r>
      <w:proofErr w:type="spellEnd"/>
      <w:r w:rsidRPr="00C21B99">
        <w:rPr>
          <w:sz w:val="22"/>
          <w:szCs w:val="22"/>
          <w:lang w:val="lt-LT"/>
        </w:rPr>
        <w:t xml:space="preserve"> slopina EAFR stimuliuojamą ląstelių augimą, o navikinių ląstelių</w:t>
      </w:r>
      <w:r w:rsidR="00835ABF" w:rsidRPr="00C21B99">
        <w:rPr>
          <w:sz w:val="22"/>
          <w:szCs w:val="22"/>
          <w:lang w:val="lt-LT"/>
        </w:rPr>
        <w:t xml:space="preserve"> </w:t>
      </w:r>
      <w:r w:rsidRPr="00C21B99">
        <w:rPr>
          <w:sz w:val="22"/>
          <w:szCs w:val="22"/>
          <w:lang w:val="lt-LT"/>
        </w:rPr>
        <w:t xml:space="preserve">augimo pelių organizme neslopina. Dėl to manoma, kad </w:t>
      </w:r>
      <w:r w:rsidR="00835ABF" w:rsidRPr="00C21B99">
        <w:rPr>
          <w:sz w:val="22"/>
          <w:szCs w:val="22"/>
          <w:lang w:val="lt-LT"/>
        </w:rPr>
        <w:t>yra neįtikėtina, jog šis metabolitas prisideda prie</w:t>
      </w:r>
      <w:r w:rsidRPr="00C21B99">
        <w:rPr>
          <w:sz w:val="22"/>
          <w:szCs w:val="22"/>
          <w:lang w:val="lt-LT"/>
        </w:rPr>
        <w:t xml:space="preserve"> </w:t>
      </w:r>
      <w:proofErr w:type="spellStart"/>
      <w:r w:rsidRPr="00C21B99">
        <w:rPr>
          <w:sz w:val="22"/>
          <w:szCs w:val="22"/>
          <w:lang w:val="lt-LT"/>
        </w:rPr>
        <w:t>gefitinibo</w:t>
      </w:r>
      <w:proofErr w:type="spellEnd"/>
      <w:r w:rsidRPr="00C21B99">
        <w:rPr>
          <w:sz w:val="22"/>
          <w:szCs w:val="22"/>
          <w:lang w:val="lt-LT"/>
        </w:rPr>
        <w:t xml:space="preserve"> klinikini</w:t>
      </w:r>
      <w:r w:rsidR="00835ABF" w:rsidRPr="00C21B99">
        <w:rPr>
          <w:sz w:val="22"/>
          <w:szCs w:val="22"/>
          <w:lang w:val="lt-LT"/>
        </w:rPr>
        <w:t xml:space="preserve">o </w:t>
      </w:r>
      <w:r w:rsidRPr="00C21B99">
        <w:rPr>
          <w:sz w:val="22"/>
          <w:szCs w:val="22"/>
          <w:lang w:val="lt-LT"/>
        </w:rPr>
        <w:t>aktyvum</w:t>
      </w:r>
      <w:r w:rsidR="00835ABF" w:rsidRPr="00C21B99">
        <w:rPr>
          <w:sz w:val="22"/>
          <w:szCs w:val="22"/>
          <w:lang w:val="lt-LT"/>
        </w:rPr>
        <w:t>o</w:t>
      </w:r>
      <w:r w:rsidRPr="00C21B99">
        <w:rPr>
          <w:sz w:val="22"/>
          <w:szCs w:val="22"/>
          <w:lang w:val="lt-LT"/>
        </w:rPr>
        <w:t>.</w:t>
      </w:r>
    </w:p>
    <w:p w14:paraId="31BFC189" w14:textId="77777777" w:rsidR="00835ABF" w:rsidRPr="00C21B99" w:rsidRDefault="00835ABF" w:rsidP="00EB6D1D">
      <w:pPr>
        <w:pStyle w:val="Default"/>
        <w:rPr>
          <w:sz w:val="22"/>
          <w:szCs w:val="22"/>
          <w:lang w:val="lt-LT"/>
        </w:rPr>
      </w:pPr>
    </w:p>
    <w:p w14:paraId="24706F7A" w14:textId="77777777" w:rsidR="00EB6D1D" w:rsidRPr="00C21B99" w:rsidRDefault="00EB6D1D" w:rsidP="00EB6D1D">
      <w:pPr>
        <w:pStyle w:val="Default"/>
        <w:rPr>
          <w:sz w:val="22"/>
          <w:szCs w:val="22"/>
          <w:lang w:val="lt-LT"/>
        </w:rPr>
      </w:pPr>
      <w:r w:rsidRPr="00C21B99">
        <w:rPr>
          <w:sz w:val="22"/>
          <w:szCs w:val="22"/>
          <w:lang w:val="lt-LT"/>
        </w:rPr>
        <w:t xml:space="preserve">Nustatyta, kad </w:t>
      </w:r>
      <w:proofErr w:type="spellStart"/>
      <w:r w:rsidRPr="00C21B99">
        <w:rPr>
          <w:i/>
          <w:iCs/>
          <w:sz w:val="22"/>
          <w:szCs w:val="22"/>
          <w:lang w:val="lt-LT"/>
        </w:rPr>
        <w:t>in</w:t>
      </w:r>
      <w:proofErr w:type="spellEnd"/>
      <w:r w:rsidRPr="00C21B99">
        <w:rPr>
          <w:i/>
          <w:iCs/>
          <w:sz w:val="22"/>
          <w:szCs w:val="22"/>
          <w:lang w:val="lt-LT"/>
        </w:rPr>
        <w:t xml:space="preserve"> </w:t>
      </w:r>
      <w:proofErr w:type="spellStart"/>
      <w:r w:rsidRPr="00C21B99">
        <w:rPr>
          <w:i/>
          <w:iCs/>
          <w:sz w:val="22"/>
          <w:szCs w:val="22"/>
          <w:lang w:val="lt-LT"/>
        </w:rPr>
        <w:t>vitro</w:t>
      </w:r>
      <w:proofErr w:type="spellEnd"/>
      <w:r w:rsidRPr="00C21B99">
        <w:rPr>
          <w:i/>
          <w:iCs/>
          <w:sz w:val="22"/>
          <w:szCs w:val="22"/>
          <w:lang w:val="lt-LT"/>
        </w:rPr>
        <w:t xml:space="preserve"> </w:t>
      </w:r>
      <w:r w:rsidRPr="00C21B99">
        <w:rPr>
          <w:sz w:val="22"/>
          <w:szCs w:val="22"/>
          <w:lang w:val="lt-LT"/>
        </w:rPr>
        <w:t>O-</w:t>
      </w:r>
      <w:proofErr w:type="spellStart"/>
      <w:r w:rsidRPr="00C21B99">
        <w:rPr>
          <w:sz w:val="22"/>
          <w:szCs w:val="22"/>
          <w:lang w:val="lt-LT"/>
        </w:rPr>
        <w:t>demetilgefitinibo</w:t>
      </w:r>
      <w:proofErr w:type="spellEnd"/>
      <w:r w:rsidRPr="00C21B99">
        <w:rPr>
          <w:sz w:val="22"/>
          <w:szCs w:val="22"/>
          <w:lang w:val="lt-LT"/>
        </w:rPr>
        <w:t xml:space="preserve"> </w:t>
      </w:r>
      <w:r w:rsidR="00835ABF" w:rsidRPr="00C21B99">
        <w:rPr>
          <w:sz w:val="22"/>
          <w:szCs w:val="22"/>
          <w:lang w:val="lt-LT"/>
        </w:rPr>
        <w:t>formavimą</w:t>
      </w:r>
      <w:r w:rsidRPr="00C21B99">
        <w:rPr>
          <w:sz w:val="22"/>
          <w:szCs w:val="22"/>
          <w:lang w:val="lt-LT"/>
        </w:rPr>
        <w:t xml:space="preserve"> katalizuoja CYP2D6. CYP2D6 įtaka</w:t>
      </w:r>
      <w:r w:rsidR="00835ABF" w:rsidRPr="00C21B99">
        <w:rPr>
          <w:sz w:val="22"/>
          <w:szCs w:val="22"/>
          <w:lang w:val="lt-LT"/>
        </w:rPr>
        <w:t xml:space="preserve"> </w:t>
      </w:r>
      <w:proofErr w:type="spellStart"/>
      <w:r w:rsidRPr="00C21B99">
        <w:rPr>
          <w:sz w:val="22"/>
          <w:szCs w:val="22"/>
          <w:lang w:val="lt-LT"/>
        </w:rPr>
        <w:t>gefitinibo</w:t>
      </w:r>
      <w:proofErr w:type="spellEnd"/>
      <w:r w:rsidRPr="00C21B99">
        <w:rPr>
          <w:sz w:val="22"/>
          <w:szCs w:val="22"/>
          <w:lang w:val="lt-LT"/>
        </w:rPr>
        <w:t xml:space="preserve"> </w:t>
      </w:r>
      <w:proofErr w:type="spellStart"/>
      <w:r w:rsidRPr="00C21B99">
        <w:rPr>
          <w:sz w:val="22"/>
          <w:szCs w:val="22"/>
          <w:lang w:val="lt-LT"/>
        </w:rPr>
        <w:t>metaboliniam</w:t>
      </w:r>
      <w:proofErr w:type="spellEnd"/>
      <w:r w:rsidRPr="00C21B99">
        <w:rPr>
          <w:sz w:val="22"/>
          <w:szCs w:val="22"/>
          <w:lang w:val="lt-LT"/>
        </w:rPr>
        <w:t xml:space="preserve"> klirensui buvo tirta atliekant klinikinį tyrimą su sveikais savanoriais, prieš tai</w:t>
      </w:r>
      <w:r w:rsidR="00835ABF" w:rsidRPr="00C21B99">
        <w:rPr>
          <w:sz w:val="22"/>
          <w:szCs w:val="22"/>
          <w:lang w:val="lt-LT"/>
        </w:rPr>
        <w:t xml:space="preserve"> </w:t>
      </w:r>
      <w:r w:rsidRPr="00C21B99">
        <w:rPr>
          <w:sz w:val="22"/>
          <w:szCs w:val="22"/>
          <w:lang w:val="lt-LT"/>
        </w:rPr>
        <w:t xml:space="preserve">ištyrus jų CYP2D6 genotipo būklę. „Lėtų“ </w:t>
      </w:r>
      <w:proofErr w:type="spellStart"/>
      <w:r w:rsidRPr="00C21B99">
        <w:rPr>
          <w:sz w:val="22"/>
          <w:szCs w:val="22"/>
          <w:lang w:val="lt-LT"/>
        </w:rPr>
        <w:t>metabolizuotojų</w:t>
      </w:r>
      <w:proofErr w:type="spellEnd"/>
      <w:r w:rsidRPr="00C21B99">
        <w:rPr>
          <w:sz w:val="22"/>
          <w:szCs w:val="22"/>
          <w:lang w:val="lt-LT"/>
        </w:rPr>
        <w:t xml:space="preserve"> organizme išmatuojam</w:t>
      </w:r>
      <w:r w:rsidR="00835ABF" w:rsidRPr="00C21B99">
        <w:rPr>
          <w:sz w:val="22"/>
          <w:szCs w:val="22"/>
          <w:lang w:val="lt-LT"/>
        </w:rPr>
        <w:t>as</w:t>
      </w:r>
      <w:r w:rsidRPr="00C21B99">
        <w:rPr>
          <w:sz w:val="22"/>
          <w:szCs w:val="22"/>
          <w:lang w:val="lt-LT"/>
        </w:rPr>
        <w:t xml:space="preserve"> O</w:t>
      </w:r>
      <w:r w:rsidR="00835ABF" w:rsidRPr="00C21B99">
        <w:rPr>
          <w:sz w:val="22"/>
          <w:szCs w:val="22"/>
          <w:lang w:val="lt-LT"/>
        </w:rPr>
        <w:t>-</w:t>
      </w:r>
      <w:proofErr w:type="spellStart"/>
      <w:r w:rsidRPr="00C21B99">
        <w:rPr>
          <w:sz w:val="22"/>
          <w:szCs w:val="22"/>
          <w:lang w:val="lt-LT"/>
        </w:rPr>
        <w:t>demetilgefitinibo</w:t>
      </w:r>
      <w:proofErr w:type="spellEnd"/>
      <w:r w:rsidR="00835ABF" w:rsidRPr="00C21B99">
        <w:rPr>
          <w:sz w:val="22"/>
          <w:szCs w:val="22"/>
          <w:lang w:val="lt-LT"/>
        </w:rPr>
        <w:t xml:space="preserve"> kiekis nesusiformavo</w:t>
      </w:r>
      <w:r w:rsidRPr="00C21B99">
        <w:rPr>
          <w:sz w:val="22"/>
          <w:szCs w:val="22"/>
          <w:lang w:val="lt-LT"/>
        </w:rPr>
        <w:t xml:space="preserve">. </w:t>
      </w:r>
      <w:proofErr w:type="spellStart"/>
      <w:r w:rsidRPr="00C21B99">
        <w:rPr>
          <w:sz w:val="22"/>
          <w:szCs w:val="22"/>
          <w:lang w:val="lt-LT"/>
        </w:rPr>
        <w:t>Gefitinibo</w:t>
      </w:r>
      <w:proofErr w:type="spellEnd"/>
      <w:r w:rsidRPr="00C21B99">
        <w:rPr>
          <w:sz w:val="22"/>
          <w:szCs w:val="22"/>
          <w:lang w:val="lt-LT"/>
        </w:rPr>
        <w:t xml:space="preserve"> ekspozicija „lėtų“ ir „ekstensyvių“</w:t>
      </w:r>
      <w:r w:rsidR="00835ABF" w:rsidRPr="00C21B99">
        <w:rPr>
          <w:sz w:val="22"/>
          <w:szCs w:val="22"/>
          <w:lang w:val="lt-LT"/>
        </w:rPr>
        <w:t xml:space="preserve"> </w:t>
      </w:r>
      <w:proofErr w:type="spellStart"/>
      <w:r w:rsidRPr="00C21B99">
        <w:rPr>
          <w:sz w:val="22"/>
          <w:szCs w:val="22"/>
          <w:lang w:val="lt-LT"/>
        </w:rPr>
        <w:t>metabolizuotojų</w:t>
      </w:r>
      <w:proofErr w:type="spellEnd"/>
      <w:r w:rsidRPr="00C21B99">
        <w:rPr>
          <w:sz w:val="22"/>
          <w:szCs w:val="22"/>
          <w:lang w:val="lt-LT"/>
        </w:rPr>
        <w:t xml:space="preserve"> grupėse įvairavo plačiose ribose, kurios viena persidengė su kita, tačiau „lėtų“</w:t>
      </w:r>
      <w:r w:rsidR="00835ABF" w:rsidRPr="00C21B99">
        <w:rPr>
          <w:sz w:val="22"/>
          <w:szCs w:val="22"/>
          <w:lang w:val="lt-LT"/>
        </w:rPr>
        <w:t xml:space="preserve"> </w:t>
      </w:r>
      <w:proofErr w:type="spellStart"/>
      <w:r w:rsidRPr="00C21B99">
        <w:rPr>
          <w:sz w:val="22"/>
          <w:szCs w:val="22"/>
          <w:lang w:val="lt-LT"/>
        </w:rPr>
        <w:t>metabolizuotojų</w:t>
      </w:r>
      <w:proofErr w:type="spellEnd"/>
      <w:r w:rsidRPr="00C21B99">
        <w:rPr>
          <w:sz w:val="22"/>
          <w:szCs w:val="22"/>
          <w:lang w:val="lt-LT"/>
        </w:rPr>
        <w:t xml:space="preserve"> grupės asmenims vidutinė </w:t>
      </w:r>
      <w:proofErr w:type="spellStart"/>
      <w:r w:rsidRPr="00C21B99">
        <w:rPr>
          <w:sz w:val="22"/>
          <w:szCs w:val="22"/>
          <w:lang w:val="lt-LT"/>
        </w:rPr>
        <w:t>gefitinibo</w:t>
      </w:r>
      <w:proofErr w:type="spellEnd"/>
      <w:r w:rsidRPr="00C21B99">
        <w:rPr>
          <w:sz w:val="22"/>
          <w:szCs w:val="22"/>
          <w:lang w:val="lt-LT"/>
        </w:rPr>
        <w:t xml:space="preserve"> ekspozicija buvo 2 kartus didesnė. Didesnė</w:t>
      </w:r>
      <w:r w:rsidR="00835ABF" w:rsidRPr="00C21B99">
        <w:rPr>
          <w:sz w:val="22"/>
          <w:szCs w:val="22"/>
          <w:lang w:val="lt-LT"/>
        </w:rPr>
        <w:t xml:space="preserve"> </w:t>
      </w:r>
      <w:r w:rsidRPr="00C21B99">
        <w:rPr>
          <w:sz w:val="22"/>
          <w:szCs w:val="22"/>
          <w:lang w:val="lt-LT"/>
        </w:rPr>
        <w:t xml:space="preserve">vidutinė ekspozicija, </w:t>
      </w:r>
      <w:r w:rsidR="00835ABF" w:rsidRPr="00C21B99">
        <w:rPr>
          <w:sz w:val="22"/>
          <w:szCs w:val="22"/>
          <w:lang w:val="lt-LT"/>
        </w:rPr>
        <w:t>galinti atsirasti</w:t>
      </w:r>
      <w:r w:rsidRPr="00C21B99">
        <w:rPr>
          <w:sz w:val="22"/>
          <w:szCs w:val="22"/>
          <w:lang w:val="lt-LT"/>
        </w:rPr>
        <w:t xml:space="preserve"> </w:t>
      </w:r>
      <w:r w:rsidR="00835ABF" w:rsidRPr="00C21B99">
        <w:rPr>
          <w:sz w:val="22"/>
          <w:szCs w:val="22"/>
          <w:lang w:val="lt-LT"/>
        </w:rPr>
        <w:t>asmenims, kurių</w:t>
      </w:r>
      <w:r w:rsidRPr="00C21B99">
        <w:rPr>
          <w:sz w:val="22"/>
          <w:szCs w:val="22"/>
          <w:lang w:val="lt-LT"/>
        </w:rPr>
        <w:t xml:space="preserve"> CYP2D6 </w:t>
      </w:r>
      <w:r w:rsidR="00835ABF" w:rsidRPr="00C21B99">
        <w:rPr>
          <w:sz w:val="22"/>
          <w:szCs w:val="22"/>
          <w:lang w:val="lt-LT"/>
        </w:rPr>
        <w:t>neaktyvus</w:t>
      </w:r>
      <w:r w:rsidRPr="00C21B99">
        <w:rPr>
          <w:sz w:val="22"/>
          <w:szCs w:val="22"/>
          <w:lang w:val="lt-LT"/>
        </w:rPr>
        <w:t>, gali būti kliniškai</w:t>
      </w:r>
      <w:r w:rsidR="00835ABF" w:rsidRPr="00C21B99">
        <w:rPr>
          <w:sz w:val="22"/>
          <w:szCs w:val="22"/>
          <w:lang w:val="lt-LT"/>
        </w:rPr>
        <w:t xml:space="preserve"> </w:t>
      </w:r>
      <w:r w:rsidRPr="00C21B99">
        <w:rPr>
          <w:sz w:val="22"/>
          <w:szCs w:val="22"/>
          <w:lang w:val="lt-LT"/>
        </w:rPr>
        <w:t>reikšminga, kadangi šio vaistinio preparato nepageidaujami poveikiai yra susiję su jo doze ir</w:t>
      </w:r>
      <w:r w:rsidR="00835ABF" w:rsidRPr="00C21B99">
        <w:rPr>
          <w:sz w:val="22"/>
          <w:szCs w:val="22"/>
          <w:lang w:val="lt-LT"/>
        </w:rPr>
        <w:t xml:space="preserve"> </w:t>
      </w:r>
      <w:r w:rsidRPr="00C21B99">
        <w:rPr>
          <w:sz w:val="22"/>
          <w:szCs w:val="22"/>
          <w:lang w:val="lt-LT"/>
        </w:rPr>
        <w:t>ekspozicija.</w:t>
      </w:r>
    </w:p>
    <w:p w14:paraId="08715279" w14:textId="77777777" w:rsidR="00835ABF" w:rsidRPr="00C21B99" w:rsidRDefault="00835ABF" w:rsidP="00EB6D1D">
      <w:pPr>
        <w:pStyle w:val="Default"/>
        <w:rPr>
          <w:i/>
          <w:iCs/>
          <w:sz w:val="22"/>
          <w:szCs w:val="22"/>
          <w:lang w:val="lt-LT"/>
        </w:rPr>
      </w:pPr>
    </w:p>
    <w:p w14:paraId="7E759371" w14:textId="77777777" w:rsidR="00EB6D1D" w:rsidRPr="00C21B99" w:rsidRDefault="00EB6D1D" w:rsidP="00EB6D1D">
      <w:pPr>
        <w:pStyle w:val="Default"/>
        <w:rPr>
          <w:iCs/>
          <w:sz w:val="22"/>
          <w:szCs w:val="22"/>
          <w:u w:val="single"/>
          <w:lang w:val="lt-LT"/>
        </w:rPr>
      </w:pPr>
      <w:r w:rsidRPr="00C21B99">
        <w:rPr>
          <w:iCs/>
          <w:sz w:val="22"/>
          <w:szCs w:val="22"/>
          <w:u w:val="single"/>
          <w:lang w:val="lt-LT"/>
        </w:rPr>
        <w:t>Eliminacija</w:t>
      </w:r>
    </w:p>
    <w:p w14:paraId="7FA64BAF" w14:textId="77777777" w:rsidR="00EB6D1D" w:rsidRPr="00C21B99" w:rsidRDefault="00EB6D1D" w:rsidP="00EB6D1D">
      <w:pPr>
        <w:pStyle w:val="Default"/>
        <w:rPr>
          <w:sz w:val="22"/>
          <w:szCs w:val="22"/>
          <w:lang w:val="lt-LT"/>
        </w:rPr>
      </w:pPr>
      <w:r w:rsidRPr="00C21B99">
        <w:rPr>
          <w:sz w:val="22"/>
          <w:szCs w:val="22"/>
          <w:lang w:val="lt-LT"/>
        </w:rPr>
        <w:t xml:space="preserve">Daugiausia </w:t>
      </w:r>
      <w:proofErr w:type="spellStart"/>
      <w:r w:rsidRPr="00C21B99">
        <w:rPr>
          <w:sz w:val="22"/>
          <w:szCs w:val="22"/>
          <w:lang w:val="lt-LT"/>
        </w:rPr>
        <w:t>gefitinibo</w:t>
      </w:r>
      <w:proofErr w:type="spellEnd"/>
      <w:r w:rsidRPr="00C21B99">
        <w:rPr>
          <w:sz w:val="22"/>
          <w:szCs w:val="22"/>
          <w:lang w:val="lt-LT"/>
        </w:rPr>
        <w:t xml:space="preserve"> pašalinama su išmatomis metabolitų pavidal</w:t>
      </w:r>
      <w:r w:rsidR="00835ABF" w:rsidRPr="00C21B99">
        <w:rPr>
          <w:sz w:val="22"/>
          <w:szCs w:val="22"/>
          <w:lang w:val="lt-LT"/>
        </w:rPr>
        <w:t>u</w:t>
      </w:r>
      <w:r w:rsidRPr="00C21B99">
        <w:rPr>
          <w:sz w:val="22"/>
          <w:szCs w:val="22"/>
          <w:lang w:val="lt-LT"/>
        </w:rPr>
        <w:t>. Per inkstus pašalinamas vaistinis</w:t>
      </w:r>
      <w:r w:rsidR="00835ABF" w:rsidRPr="00C21B99">
        <w:rPr>
          <w:sz w:val="22"/>
          <w:szCs w:val="22"/>
          <w:lang w:val="lt-LT"/>
        </w:rPr>
        <w:t xml:space="preserve"> </w:t>
      </w:r>
      <w:r w:rsidRPr="00C21B99">
        <w:rPr>
          <w:sz w:val="22"/>
          <w:szCs w:val="22"/>
          <w:lang w:val="lt-LT"/>
        </w:rPr>
        <w:t>preparatas ir jo metabolitų kiekis atitinka mažiau kaip 4% pavartotos dozės.</w:t>
      </w:r>
    </w:p>
    <w:p w14:paraId="29B27FAC" w14:textId="77777777" w:rsidR="00835ABF" w:rsidRPr="00C21B99" w:rsidRDefault="00835ABF" w:rsidP="00EB6D1D">
      <w:pPr>
        <w:pStyle w:val="Default"/>
        <w:rPr>
          <w:sz w:val="22"/>
          <w:szCs w:val="22"/>
          <w:lang w:val="lt-LT"/>
        </w:rPr>
      </w:pPr>
    </w:p>
    <w:p w14:paraId="3FD8B024" w14:textId="77777777" w:rsidR="00EB6D1D" w:rsidRPr="00C21B99" w:rsidRDefault="00EB6D1D" w:rsidP="00EB6D1D">
      <w:pPr>
        <w:pStyle w:val="Default"/>
        <w:rPr>
          <w:sz w:val="22"/>
          <w:szCs w:val="22"/>
          <w:lang w:val="lt-LT"/>
        </w:rPr>
      </w:pPr>
      <w:proofErr w:type="spellStart"/>
      <w:r w:rsidRPr="00C21B99">
        <w:rPr>
          <w:sz w:val="22"/>
          <w:szCs w:val="22"/>
          <w:lang w:val="lt-LT"/>
        </w:rPr>
        <w:t>Gefitinibo</w:t>
      </w:r>
      <w:proofErr w:type="spellEnd"/>
      <w:r w:rsidRPr="00C21B99">
        <w:rPr>
          <w:sz w:val="22"/>
          <w:szCs w:val="22"/>
          <w:lang w:val="lt-LT"/>
        </w:rPr>
        <w:t xml:space="preserve"> suminis plazm</w:t>
      </w:r>
      <w:r w:rsidR="00835ABF" w:rsidRPr="00C21B99">
        <w:rPr>
          <w:sz w:val="22"/>
          <w:szCs w:val="22"/>
          <w:lang w:val="lt-LT"/>
        </w:rPr>
        <w:t>os</w:t>
      </w:r>
      <w:r w:rsidRPr="00C21B99">
        <w:rPr>
          <w:sz w:val="22"/>
          <w:szCs w:val="22"/>
          <w:lang w:val="lt-LT"/>
        </w:rPr>
        <w:t xml:space="preserve"> klirensas yra apie 500 ml/min., jo vidutinis </w:t>
      </w:r>
      <w:r w:rsidR="00835ABF" w:rsidRPr="00C21B99">
        <w:rPr>
          <w:sz w:val="22"/>
          <w:szCs w:val="22"/>
          <w:lang w:val="lt-LT"/>
        </w:rPr>
        <w:t>galutin</w:t>
      </w:r>
      <w:r w:rsidR="00192448" w:rsidRPr="00C21B99">
        <w:rPr>
          <w:sz w:val="22"/>
          <w:szCs w:val="22"/>
          <w:lang w:val="lt-LT"/>
        </w:rPr>
        <w:t>is pusinio gyvavimo laikas</w:t>
      </w:r>
      <w:r w:rsidR="00835ABF" w:rsidRPr="00C21B99">
        <w:rPr>
          <w:sz w:val="22"/>
          <w:szCs w:val="22"/>
          <w:lang w:val="lt-LT"/>
        </w:rPr>
        <w:t xml:space="preserve"> </w:t>
      </w:r>
      <w:r w:rsidRPr="00C21B99">
        <w:rPr>
          <w:sz w:val="22"/>
          <w:szCs w:val="22"/>
          <w:lang w:val="lt-LT"/>
        </w:rPr>
        <w:t>vėžiu sergan</w:t>
      </w:r>
      <w:r w:rsidR="00192448" w:rsidRPr="00C21B99">
        <w:rPr>
          <w:sz w:val="22"/>
          <w:szCs w:val="22"/>
          <w:lang w:val="lt-LT"/>
        </w:rPr>
        <w:t>tiems pacientams yra</w:t>
      </w:r>
      <w:r w:rsidRPr="00C21B99">
        <w:rPr>
          <w:sz w:val="22"/>
          <w:szCs w:val="22"/>
          <w:lang w:val="lt-LT"/>
        </w:rPr>
        <w:t xml:space="preserve"> 41 val. Vartojant </w:t>
      </w:r>
      <w:proofErr w:type="spellStart"/>
      <w:r w:rsidRPr="00C21B99">
        <w:rPr>
          <w:sz w:val="22"/>
          <w:szCs w:val="22"/>
          <w:lang w:val="lt-LT"/>
        </w:rPr>
        <w:t>gefitinib</w:t>
      </w:r>
      <w:r w:rsidR="00192448" w:rsidRPr="00C21B99">
        <w:rPr>
          <w:sz w:val="22"/>
          <w:szCs w:val="22"/>
          <w:lang w:val="lt-LT"/>
        </w:rPr>
        <w:t>o</w:t>
      </w:r>
      <w:proofErr w:type="spellEnd"/>
      <w:r w:rsidRPr="00C21B99">
        <w:rPr>
          <w:sz w:val="22"/>
          <w:szCs w:val="22"/>
          <w:lang w:val="lt-LT"/>
        </w:rPr>
        <w:t xml:space="preserve"> 1 kartą per parą, jo kumuliacija</w:t>
      </w:r>
      <w:r w:rsidR="00192448" w:rsidRPr="00C21B99">
        <w:rPr>
          <w:sz w:val="22"/>
          <w:szCs w:val="22"/>
          <w:lang w:val="lt-LT"/>
        </w:rPr>
        <w:t xml:space="preserve"> </w:t>
      </w:r>
      <w:r w:rsidRPr="00C21B99">
        <w:rPr>
          <w:sz w:val="22"/>
          <w:szCs w:val="22"/>
          <w:lang w:val="lt-LT"/>
        </w:rPr>
        <w:t xml:space="preserve">būna 2-8 kartų, o </w:t>
      </w:r>
      <w:proofErr w:type="spellStart"/>
      <w:r w:rsidRPr="00C21B99">
        <w:rPr>
          <w:sz w:val="22"/>
          <w:szCs w:val="22"/>
          <w:lang w:val="lt-LT"/>
        </w:rPr>
        <w:t>pusiausvyrinė</w:t>
      </w:r>
      <w:proofErr w:type="spellEnd"/>
      <w:r w:rsidRPr="00C21B99">
        <w:rPr>
          <w:sz w:val="22"/>
          <w:szCs w:val="22"/>
          <w:lang w:val="lt-LT"/>
        </w:rPr>
        <w:t xml:space="preserve"> ekspozicija </w:t>
      </w:r>
      <w:r w:rsidR="00192448" w:rsidRPr="00C21B99">
        <w:rPr>
          <w:sz w:val="22"/>
          <w:szCs w:val="22"/>
          <w:lang w:val="lt-LT"/>
        </w:rPr>
        <w:t>nusistovi</w:t>
      </w:r>
      <w:r w:rsidRPr="00C21B99">
        <w:rPr>
          <w:sz w:val="22"/>
          <w:szCs w:val="22"/>
          <w:lang w:val="lt-LT"/>
        </w:rPr>
        <w:t xml:space="preserve"> po 7-10 dozių. Esant </w:t>
      </w:r>
      <w:proofErr w:type="spellStart"/>
      <w:r w:rsidRPr="00C21B99">
        <w:rPr>
          <w:sz w:val="22"/>
          <w:szCs w:val="22"/>
          <w:lang w:val="lt-LT"/>
        </w:rPr>
        <w:t>pusiausvyrinei</w:t>
      </w:r>
      <w:proofErr w:type="spellEnd"/>
      <w:r w:rsidRPr="00C21B99">
        <w:rPr>
          <w:sz w:val="22"/>
          <w:szCs w:val="22"/>
          <w:lang w:val="lt-LT"/>
        </w:rPr>
        <w:t xml:space="preserve"> </w:t>
      </w:r>
      <w:r w:rsidR="00192448" w:rsidRPr="00C21B99">
        <w:rPr>
          <w:sz w:val="22"/>
          <w:szCs w:val="22"/>
          <w:lang w:val="lt-LT"/>
        </w:rPr>
        <w:t xml:space="preserve">apykaitai </w:t>
      </w:r>
      <w:r w:rsidRPr="00C21B99">
        <w:rPr>
          <w:sz w:val="22"/>
          <w:szCs w:val="22"/>
          <w:lang w:val="lt-LT"/>
        </w:rPr>
        <w:t>vaistinio preparato koncentracij</w:t>
      </w:r>
      <w:r w:rsidR="00192448" w:rsidRPr="00C21B99">
        <w:rPr>
          <w:sz w:val="22"/>
          <w:szCs w:val="22"/>
          <w:lang w:val="lt-LT"/>
        </w:rPr>
        <w:t>os</w:t>
      </w:r>
      <w:r w:rsidRPr="00C21B99">
        <w:rPr>
          <w:sz w:val="22"/>
          <w:szCs w:val="22"/>
          <w:lang w:val="lt-LT"/>
        </w:rPr>
        <w:t xml:space="preserve"> plazmoje per 24 val. vartojimo intervalą paprastai svyruoja 2-3 kartų</w:t>
      </w:r>
      <w:r w:rsidR="00192448" w:rsidRPr="00C21B99">
        <w:rPr>
          <w:sz w:val="22"/>
          <w:szCs w:val="22"/>
          <w:lang w:val="lt-LT"/>
        </w:rPr>
        <w:t xml:space="preserve"> </w:t>
      </w:r>
      <w:r w:rsidRPr="00C21B99">
        <w:rPr>
          <w:sz w:val="22"/>
          <w:szCs w:val="22"/>
          <w:lang w:val="lt-LT"/>
        </w:rPr>
        <w:t>ribose.</w:t>
      </w:r>
    </w:p>
    <w:p w14:paraId="76EA39EE" w14:textId="77777777" w:rsidR="00192448" w:rsidRPr="00C21B99" w:rsidRDefault="00192448" w:rsidP="00EB6D1D">
      <w:pPr>
        <w:pStyle w:val="Default"/>
        <w:rPr>
          <w:i/>
          <w:iCs/>
          <w:sz w:val="22"/>
          <w:szCs w:val="22"/>
          <w:lang w:val="lt-LT"/>
        </w:rPr>
      </w:pPr>
    </w:p>
    <w:p w14:paraId="12BD4C09" w14:textId="77777777" w:rsidR="00EB6D1D" w:rsidRPr="00C21B99" w:rsidRDefault="00EB6D1D" w:rsidP="00EB6D1D">
      <w:pPr>
        <w:pStyle w:val="Default"/>
        <w:rPr>
          <w:i/>
          <w:iCs/>
          <w:sz w:val="22"/>
          <w:szCs w:val="22"/>
          <w:lang w:val="lt-LT"/>
        </w:rPr>
      </w:pPr>
      <w:r w:rsidRPr="00C21B99">
        <w:rPr>
          <w:i/>
          <w:iCs/>
          <w:sz w:val="22"/>
          <w:szCs w:val="22"/>
          <w:lang w:val="lt-LT"/>
        </w:rPr>
        <w:t>Ypatingos populiacijos</w:t>
      </w:r>
    </w:p>
    <w:p w14:paraId="031AB064" w14:textId="77777777" w:rsidR="00EB6D1D" w:rsidRPr="00C21B99" w:rsidRDefault="00EB6D1D" w:rsidP="00EB6D1D">
      <w:pPr>
        <w:pStyle w:val="Default"/>
        <w:rPr>
          <w:sz w:val="22"/>
          <w:szCs w:val="22"/>
          <w:lang w:val="lt-LT"/>
        </w:rPr>
      </w:pPr>
      <w:r w:rsidRPr="00C21B99">
        <w:rPr>
          <w:sz w:val="22"/>
          <w:szCs w:val="22"/>
          <w:lang w:val="lt-LT"/>
        </w:rPr>
        <w:t xml:space="preserve">Vėžiu sergančių pacientų </w:t>
      </w:r>
      <w:proofErr w:type="spellStart"/>
      <w:r w:rsidRPr="00C21B99">
        <w:rPr>
          <w:sz w:val="22"/>
          <w:szCs w:val="22"/>
          <w:lang w:val="lt-LT"/>
        </w:rPr>
        <w:t>populiacinės</w:t>
      </w:r>
      <w:proofErr w:type="spellEnd"/>
      <w:r w:rsidRPr="00C21B99">
        <w:rPr>
          <w:sz w:val="22"/>
          <w:szCs w:val="22"/>
          <w:lang w:val="lt-LT"/>
        </w:rPr>
        <w:t xml:space="preserve"> </w:t>
      </w:r>
      <w:proofErr w:type="spellStart"/>
      <w:r w:rsidRPr="00C21B99">
        <w:rPr>
          <w:sz w:val="22"/>
          <w:szCs w:val="22"/>
          <w:lang w:val="lt-LT"/>
        </w:rPr>
        <w:t>farmakokinetinės</w:t>
      </w:r>
      <w:proofErr w:type="spellEnd"/>
      <w:r w:rsidRPr="00C21B99">
        <w:rPr>
          <w:sz w:val="22"/>
          <w:szCs w:val="22"/>
          <w:lang w:val="lt-LT"/>
        </w:rPr>
        <w:t xml:space="preserve"> analizės duomenimis, prognozuojamos</w:t>
      </w:r>
      <w:r w:rsidR="00192448" w:rsidRPr="00C21B99">
        <w:rPr>
          <w:sz w:val="22"/>
          <w:szCs w:val="22"/>
          <w:lang w:val="lt-LT"/>
        </w:rPr>
        <w:t xml:space="preserve"> </w:t>
      </w:r>
      <w:r w:rsidRPr="00C21B99">
        <w:rPr>
          <w:sz w:val="22"/>
          <w:szCs w:val="22"/>
          <w:lang w:val="lt-LT"/>
        </w:rPr>
        <w:t xml:space="preserve">minimalios </w:t>
      </w:r>
      <w:proofErr w:type="spellStart"/>
      <w:r w:rsidRPr="00C21B99">
        <w:rPr>
          <w:sz w:val="22"/>
          <w:szCs w:val="22"/>
          <w:lang w:val="lt-LT"/>
        </w:rPr>
        <w:t>pusiausvyrinės</w:t>
      </w:r>
      <w:proofErr w:type="spellEnd"/>
      <w:r w:rsidRPr="00C21B99">
        <w:rPr>
          <w:sz w:val="22"/>
          <w:szCs w:val="22"/>
          <w:lang w:val="lt-LT"/>
        </w:rPr>
        <w:t xml:space="preserve"> koncentracijos ryšio su paciento amžiumi, kūno svoriu, lytimi, rase ar</w:t>
      </w:r>
      <w:r w:rsidR="00192448" w:rsidRPr="00C21B99">
        <w:rPr>
          <w:sz w:val="22"/>
          <w:szCs w:val="22"/>
          <w:lang w:val="lt-LT"/>
        </w:rPr>
        <w:t xml:space="preserve"> </w:t>
      </w:r>
      <w:r w:rsidRPr="00C21B99">
        <w:rPr>
          <w:sz w:val="22"/>
          <w:szCs w:val="22"/>
          <w:lang w:val="lt-LT"/>
        </w:rPr>
        <w:t>kreatinino klirensu (kai jis didesnis kaip 20 ml/min) nenustatyta.</w:t>
      </w:r>
    </w:p>
    <w:p w14:paraId="31EDABDE" w14:textId="77777777" w:rsidR="00192448" w:rsidRPr="00C21B99" w:rsidRDefault="00192448" w:rsidP="00EB6D1D">
      <w:pPr>
        <w:pStyle w:val="Default"/>
        <w:rPr>
          <w:i/>
          <w:iCs/>
          <w:sz w:val="22"/>
          <w:szCs w:val="22"/>
          <w:lang w:val="lt-LT"/>
        </w:rPr>
      </w:pPr>
    </w:p>
    <w:p w14:paraId="05E73EB1" w14:textId="77777777" w:rsidR="00EB6D1D" w:rsidRPr="00C21B99" w:rsidRDefault="00192448" w:rsidP="00EB6D1D">
      <w:pPr>
        <w:pStyle w:val="Default"/>
        <w:rPr>
          <w:i/>
          <w:iCs/>
          <w:sz w:val="22"/>
          <w:szCs w:val="22"/>
          <w:lang w:val="lt-LT"/>
        </w:rPr>
      </w:pPr>
      <w:r w:rsidRPr="00C21B99">
        <w:rPr>
          <w:i/>
          <w:iCs/>
          <w:sz w:val="22"/>
          <w:szCs w:val="22"/>
          <w:lang w:val="lt-LT"/>
        </w:rPr>
        <w:t>Sutrikusi k</w:t>
      </w:r>
      <w:r w:rsidR="00EB6D1D" w:rsidRPr="00C21B99">
        <w:rPr>
          <w:i/>
          <w:iCs/>
          <w:sz w:val="22"/>
          <w:szCs w:val="22"/>
          <w:lang w:val="lt-LT"/>
        </w:rPr>
        <w:t xml:space="preserve">epenų </w:t>
      </w:r>
      <w:r w:rsidRPr="00C21B99">
        <w:rPr>
          <w:i/>
          <w:iCs/>
          <w:sz w:val="22"/>
          <w:szCs w:val="22"/>
          <w:lang w:val="lt-LT"/>
        </w:rPr>
        <w:t>funkcija</w:t>
      </w:r>
    </w:p>
    <w:p w14:paraId="135CCB05" w14:textId="77777777" w:rsidR="00EB6D1D" w:rsidRPr="00C21B99" w:rsidRDefault="00EB6D1D" w:rsidP="00EB6D1D">
      <w:pPr>
        <w:pStyle w:val="Default"/>
        <w:rPr>
          <w:sz w:val="22"/>
          <w:szCs w:val="22"/>
          <w:lang w:val="lt-LT"/>
        </w:rPr>
      </w:pPr>
      <w:r w:rsidRPr="00C21B99">
        <w:rPr>
          <w:sz w:val="22"/>
          <w:szCs w:val="22"/>
          <w:lang w:val="lt-LT"/>
        </w:rPr>
        <w:t xml:space="preserve">I fazės atviro tyrimo metu pacientai, </w:t>
      </w:r>
      <w:r w:rsidR="00192448" w:rsidRPr="00C21B99">
        <w:rPr>
          <w:sz w:val="22"/>
          <w:szCs w:val="22"/>
          <w:lang w:val="lt-LT"/>
        </w:rPr>
        <w:t xml:space="preserve">kuriems yra </w:t>
      </w:r>
      <w:r w:rsidRPr="00C21B99">
        <w:rPr>
          <w:sz w:val="22"/>
          <w:szCs w:val="22"/>
          <w:lang w:val="lt-LT"/>
        </w:rPr>
        <w:t>lengv</w:t>
      </w:r>
      <w:r w:rsidR="00192448" w:rsidRPr="00C21B99">
        <w:rPr>
          <w:sz w:val="22"/>
          <w:szCs w:val="22"/>
          <w:lang w:val="lt-LT"/>
        </w:rPr>
        <w:t>as</w:t>
      </w:r>
      <w:r w:rsidRPr="00C21B99">
        <w:rPr>
          <w:sz w:val="22"/>
          <w:szCs w:val="22"/>
          <w:lang w:val="lt-LT"/>
        </w:rPr>
        <w:t>, vidutinio</w:t>
      </w:r>
      <w:r w:rsidR="00C21B99">
        <w:rPr>
          <w:sz w:val="22"/>
          <w:szCs w:val="22"/>
          <w:lang w:val="lt-LT"/>
        </w:rPr>
        <w:t xml:space="preserve"> </w:t>
      </w:r>
      <w:r w:rsidR="00192448" w:rsidRPr="00C21B99">
        <w:rPr>
          <w:sz w:val="22"/>
          <w:szCs w:val="22"/>
          <w:lang w:val="lt-LT"/>
        </w:rPr>
        <w:t>sunkumo ar sunkus</w:t>
      </w:r>
      <w:r w:rsidRPr="00C21B99">
        <w:rPr>
          <w:sz w:val="22"/>
          <w:szCs w:val="22"/>
          <w:lang w:val="lt-LT"/>
        </w:rPr>
        <w:t xml:space="preserve"> kepenų</w:t>
      </w:r>
      <w:r w:rsidR="00192448" w:rsidRPr="00C21B99">
        <w:rPr>
          <w:sz w:val="22"/>
          <w:szCs w:val="22"/>
          <w:lang w:val="lt-LT"/>
        </w:rPr>
        <w:t xml:space="preserve"> funkcijos sutrikimas </w:t>
      </w:r>
      <w:r w:rsidRPr="00C21B99">
        <w:rPr>
          <w:sz w:val="22"/>
          <w:szCs w:val="22"/>
          <w:lang w:val="lt-LT"/>
        </w:rPr>
        <w:t xml:space="preserve">dėl cirozės (pagal </w:t>
      </w:r>
      <w:proofErr w:type="spellStart"/>
      <w:r w:rsidRPr="00C21B99">
        <w:rPr>
          <w:sz w:val="22"/>
          <w:szCs w:val="22"/>
          <w:lang w:val="lt-LT"/>
        </w:rPr>
        <w:t>Child-Pugh</w:t>
      </w:r>
      <w:proofErr w:type="spellEnd"/>
      <w:r w:rsidRPr="00C21B99">
        <w:rPr>
          <w:sz w:val="22"/>
          <w:szCs w:val="22"/>
          <w:lang w:val="lt-LT"/>
        </w:rPr>
        <w:t xml:space="preserve"> klasifikaciją), vartojo po vieną 250 mg </w:t>
      </w:r>
      <w:proofErr w:type="spellStart"/>
      <w:r w:rsidRPr="00C21B99">
        <w:rPr>
          <w:sz w:val="22"/>
          <w:szCs w:val="22"/>
          <w:lang w:val="lt-LT"/>
        </w:rPr>
        <w:t>gefitinibo</w:t>
      </w:r>
      <w:proofErr w:type="spellEnd"/>
      <w:r w:rsidR="00192448" w:rsidRPr="00C21B99">
        <w:rPr>
          <w:sz w:val="22"/>
          <w:szCs w:val="22"/>
          <w:lang w:val="lt-LT"/>
        </w:rPr>
        <w:t xml:space="preserve"> </w:t>
      </w:r>
      <w:r w:rsidRPr="00C21B99">
        <w:rPr>
          <w:sz w:val="22"/>
          <w:szCs w:val="22"/>
          <w:lang w:val="lt-LT"/>
        </w:rPr>
        <w:t>dozę. Visų grupių pacientams vaistinio preparato ekspozicija buvo didesnė negu sveikiems kontrolinės</w:t>
      </w:r>
      <w:r w:rsidR="00192448" w:rsidRPr="00C21B99">
        <w:rPr>
          <w:sz w:val="22"/>
          <w:szCs w:val="22"/>
          <w:lang w:val="lt-LT"/>
        </w:rPr>
        <w:t xml:space="preserve"> </w:t>
      </w:r>
      <w:r w:rsidRPr="00C21B99">
        <w:rPr>
          <w:sz w:val="22"/>
          <w:szCs w:val="22"/>
          <w:lang w:val="lt-LT"/>
        </w:rPr>
        <w:t>grupės asmenims (</w:t>
      </w:r>
      <w:r w:rsidR="00192448" w:rsidRPr="00C21B99">
        <w:rPr>
          <w:sz w:val="22"/>
          <w:szCs w:val="22"/>
          <w:lang w:val="lt-LT"/>
        </w:rPr>
        <w:t>pacientams, kuriems yra vidutinio</w:t>
      </w:r>
      <w:r w:rsidR="00C21B99">
        <w:rPr>
          <w:sz w:val="22"/>
          <w:szCs w:val="22"/>
          <w:lang w:val="lt-LT"/>
        </w:rPr>
        <w:t xml:space="preserve"> </w:t>
      </w:r>
      <w:r w:rsidR="00192448" w:rsidRPr="00C21B99">
        <w:rPr>
          <w:sz w:val="22"/>
          <w:szCs w:val="22"/>
          <w:lang w:val="lt-LT"/>
        </w:rPr>
        <w:t xml:space="preserve">sunkumo ar sunkus kepenų funkcijos sutrikimas, pastebėta  vidutiniškai </w:t>
      </w:r>
      <w:r w:rsidRPr="00C21B99">
        <w:rPr>
          <w:sz w:val="22"/>
          <w:szCs w:val="22"/>
          <w:lang w:val="lt-LT"/>
        </w:rPr>
        <w:t>3,1 karto</w:t>
      </w:r>
      <w:r w:rsidR="00192448" w:rsidRPr="00C21B99">
        <w:rPr>
          <w:sz w:val="22"/>
          <w:szCs w:val="22"/>
          <w:lang w:val="lt-LT"/>
        </w:rPr>
        <w:t xml:space="preserve"> didesnė ekspozicija</w:t>
      </w:r>
      <w:r w:rsidRPr="00C21B99">
        <w:rPr>
          <w:sz w:val="22"/>
          <w:szCs w:val="22"/>
          <w:lang w:val="lt-LT"/>
        </w:rPr>
        <w:t xml:space="preserve">). Nė vienas iš šių pacientų nesirgo vėžiu, tačiau </w:t>
      </w:r>
      <w:r w:rsidR="00192448" w:rsidRPr="00C21B99">
        <w:rPr>
          <w:sz w:val="22"/>
          <w:szCs w:val="22"/>
          <w:lang w:val="lt-LT"/>
        </w:rPr>
        <w:t>visiems buvo</w:t>
      </w:r>
      <w:r w:rsidRPr="00C21B99">
        <w:rPr>
          <w:sz w:val="22"/>
          <w:szCs w:val="22"/>
          <w:lang w:val="lt-LT"/>
        </w:rPr>
        <w:t xml:space="preserve"> ciroz</w:t>
      </w:r>
      <w:r w:rsidR="00192448" w:rsidRPr="00C21B99">
        <w:rPr>
          <w:sz w:val="22"/>
          <w:szCs w:val="22"/>
          <w:lang w:val="lt-LT"/>
        </w:rPr>
        <w:t>ė</w:t>
      </w:r>
      <w:r w:rsidRPr="00C21B99">
        <w:rPr>
          <w:sz w:val="22"/>
          <w:szCs w:val="22"/>
          <w:lang w:val="lt-LT"/>
        </w:rPr>
        <w:t xml:space="preserve"> ir kai kurie</w:t>
      </w:r>
      <w:r w:rsidR="00192448" w:rsidRPr="00C21B99">
        <w:rPr>
          <w:sz w:val="22"/>
          <w:szCs w:val="22"/>
          <w:lang w:val="lt-LT"/>
        </w:rPr>
        <w:t>ms</w:t>
      </w:r>
      <w:r w:rsidRPr="00C21B99">
        <w:rPr>
          <w:sz w:val="22"/>
          <w:szCs w:val="22"/>
          <w:lang w:val="lt-LT"/>
        </w:rPr>
        <w:t xml:space="preserve"> – hepatit</w:t>
      </w:r>
      <w:r w:rsidR="00192448" w:rsidRPr="00C21B99">
        <w:rPr>
          <w:sz w:val="22"/>
          <w:szCs w:val="22"/>
          <w:lang w:val="lt-LT"/>
        </w:rPr>
        <w:t>as</w:t>
      </w:r>
      <w:r w:rsidRPr="00C21B99">
        <w:rPr>
          <w:sz w:val="22"/>
          <w:szCs w:val="22"/>
          <w:lang w:val="lt-LT"/>
        </w:rPr>
        <w:t>.</w:t>
      </w:r>
      <w:r w:rsidR="00192448" w:rsidRPr="00C21B99">
        <w:rPr>
          <w:sz w:val="22"/>
          <w:szCs w:val="22"/>
          <w:lang w:val="lt-LT"/>
        </w:rPr>
        <w:t xml:space="preserve"> </w:t>
      </w:r>
      <w:r w:rsidRPr="00C21B99">
        <w:rPr>
          <w:sz w:val="22"/>
          <w:szCs w:val="22"/>
          <w:lang w:val="lt-LT"/>
        </w:rPr>
        <w:t xml:space="preserve">Toks ekspozicijos padidėjimas gali būti kliniškai reikšmingas, kadangi </w:t>
      </w:r>
      <w:proofErr w:type="spellStart"/>
      <w:r w:rsidRPr="00C21B99">
        <w:rPr>
          <w:sz w:val="22"/>
          <w:szCs w:val="22"/>
          <w:lang w:val="lt-LT"/>
        </w:rPr>
        <w:t>gefitinibo</w:t>
      </w:r>
      <w:proofErr w:type="spellEnd"/>
      <w:r w:rsidRPr="00C21B99">
        <w:rPr>
          <w:sz w:val="22"/>
          <w:szCs w:val="22"/>
          <w:lang w:val="lt-LT"/>
        </w:rPr>
        <w:t xml:space="preserve"> nepageidaujami</w:t>
      </w:r>
      <w:r w:rsidR="00192448" w:rsidRPr="00C21B99">
        <w:rPr>
          <w:sz w:val="22"/>
          <w:szCs w:val="22"/>
          <w:lang w:val="lt-LT"/>
        </w:rPr>
        <w:t xml:space="preserve"> </w:t>
      </w:r>
      <w:r w:rsidRPr="00C21B99">
        <w:rPr>
          <w:sz w:val="22"/>
          <w:szCs w:val="22"/>
          <w:lang w:val="lt-LT"/>
        </w:rPr>
        <w:t>reiškiniai yra susiję su jo doze ir ekspozicija.</w:t>
      </w:r>
    </w:p>
    <w:p w14:paraId="69E53390" w14:textId="77777777" w:rsidR="00192448" w:rsidRPr="00C21B99" w:rsidRDefault="00192448" w:rsidP="00EB6D1D">
      <w:pPr>
        <w:pStyle w:val="Default"/>
        <w:rPr>
          <w:sz w:val="22"/>
          <w:szCs w:val="22"/>
          <w:lang w:val="lt-LT"/>
        </w:rPr>
      </w:pPr>
    </w:p>
    <w:p w14:paraId="18F816B9" w14:textId="77777777" w:rsidR="00EB6D1D" w:rsidRPr="00C21B99" w:rsidRDefault="00EB6D1D" w:rsidP="00EB6D1D">
      <w:pPr>
        <w:pStyle w:val="Default"/>
        <w:rPr>
          <w:sz w:val="22"/>
          <w:szCs w:val="22"/>
          <w:lang w:val="lt-LT"/>
        </w:rPr>
      </w:pPr>
      <w:r w:rsidRPr="00C21B99">
        <w:rPr>
          <w:sz w:val="22"/>
          <w:szCs w:val="22"/>
          <w:lang w:val="lt-LT"/>
        </w:rPr>
        <w:t xml:space="preserve">Kitame </w:t>
      </w:r>
      <w:proofErr w:type="spellStart"/>
      <w:r w:rsidRPr="00C21B99">
        <w:rPr>
          <w:sz w:val="22"/>
          <w:szCs w:val="22"/>
          <w:lang w:val="lt-LT"/>
        </w:rPr>
        <w:t>gefitinibo</w:t>
      </w:r>
      <w:proofErr w:type="spellEnd"/>
      <w:r w:rsidRPr="00C21B99">
        <w:rPr>
          <w:sz w:val="22"/>
          <w:szCs w:val="22"/>
          <w:lang w:val="lt-LT"/>
        </w:rPr>
        <w:t xml:space="preserve"> klinikiniame tyrime dalyvavo 41 </w:t>
      </w:r>
      <w:proofErr w:type="spellStart"/>
      <w:r w:rsidRPr="00C21B99">
        <w:rPr>
          <w:sz w:val="22"/>
          <w:szCs w:val="22"/>
          <w:lang w:val="lt-LT"/>
        </w:rPr>
        <w:t>solidiniais</w:t>
      </w:r>
      <w:proofErr w:type="spellEnd"/>
      <w:r w:rsidRPr="00C21B99">
        <w:rPr>
          <w:sz w:val="22"/>
          <w:szCs w:val="22"/>
          <w:lang w:val="lt-LT"/>
        </w:rPr>
        <w:t xml:space="preserve"> navikais sirgęs pacientas, kurio kepenų</w:t>
      </w:r>
      <w:r w:rsidR="00192448" w:rsidRPr="00C21B99">
        <w:rPr>
          <w:sz w:val="22"/>
          <w:szCs w:val="22"/>
          <w:lang w:val="lt-LT"/>
        </w:rPr>
        <w:t xml:space="preserve"> </w:t>
      </w:r>
      <w:r w:rsidRPr="00C21B99">
        <w:rPr>
          <w:sz w:val="22"/>
          <w:szCs w:val="22"/>
          <w:lang w:val="lt-LT"/>
        </w:rPr>
        <w:t xml:space="preserve">funkcija buvo normali, vidutiniškai sutrikusi arba </w:t>
      </w:r>
      <w:r w:rsidR="00192448" w:rsidRPr="00C21B99">
        <w:rPr>
          <w:sz w:val="22"/>
          <w:szCs w:val="22"/>
          <w:lang w:val="lt-LT"/>
        </w:rPr>
        <w:t>labai</w:t>
      </w:r>
      <w:r w:rsidRPr="00C21B99">
        <w:rPr>
          <w:sz w:val="22"/>
          <w:szCs w:val="22"/>
          <w:lang w:val="lt-LT"/>
        </w:rPr>
        <w:t xml:space="preserve"> sutrikusi (klasifikuota pagal iki gydymo</w:t>
      </w:r>
      <w:r w:rsidR="00192448" w:rsidRPr="00C21B99">
        <w:rPr>
          <w:sz w:val="22"/>
          <w:szCs w:val="22"/>
          <w:lang w:val="lt-LT"/>
        </w:rPr>
        <w:t xml:space="preserve"> </w:t>
      </w:r>
      <w:r w:rsidRPr="00C21B99">
        <w:rPr>
          <w:sz w:val="22"/>
          <w:szCs w:val="22"/>
          <w:lang w:val="lt-LT"/>
        </w:rPr>
        <w:t xml:space="preserve">nustatytus Bendrųjų toksiškumo kriterijų laipsnius atsižvelgiant į AST, šarminės </w:t>
      </w:r>
      <w:proofErr w:type="spellStart"/>
      <w:r w:rsidRPr="00C21B99">
        <w:rPr>
          <w:sz w:val="22"/>
          <w:szCs w:val="22"/>
          <w:lang w:val="lt-LT"/>
        </w:rPr>
        <w:t>fosfatazės</w:t>
      </w:r>
      <w:proofErr w:type="spellEnd"/>
      <w:r w:rsidR="00192448" w:rsidRPr="00C21B99">
        <w:rPr>
          <w:sz w:val="22"/>
          <w:szCs w:val="22"/>
          <w:lang w:val="lt-LT"/>
        </w:rPr>
        <w:t xml:space="preserve"> aktyvumą</w:t>
      </w:r>
      <w:r w:rsidRPr="00C21B99">
        <w:rPr>
          <w:sz w:val="22"/>
          <w:szCs w:val="22"/>
          <w:lang w:val="lt-LT"/>
        </w:rPr>
        <w:t xml:space="preserve"> ir</w:t>
      </w:r>
      <w:r w:rsidR="00192448" w:rsidRPr="00C21B99">
        <w:rPr>
          <w:sz w:val="22"/>
          <w:szCs w:val="22"/>
          <w:lang w:val="lt-LT"/>
        </w:rPr>
        <w:t xml:space="preserve"> </w:t>
      </w:r>
      <w:proofErr w:type="spellStart"/>
      <w:r w:rsidRPr="00C21B99">
        <w:rPr>
          <w:sz w:val="22"/>
          <w:szCs w:val="22"/>
          <w:lang w:val="lt-LT"/>
        </w:rPr>
        <w:t>bilirubino</w:t>
      </w:r>
      <w:proofErr w:type="spellEnd"/>
      <w:r w:rsidRPr="00C21B99">
        <w:rPr>
          <w:sz w:val="22"/>
          <w:szCs w:val="22"/>
          <w:lang w:val="lt-LT"/>
        </w:rPr>
        <w:t xml:space="preserve"> k</w:t>
      </w:r>
      <w:r w:rsidR="00192448" w:rsidRPr="00C21B99">
        <w:rPr>
          <w:sz w:val="22"/>
          <w:szCs w:val="22"/>
          <w:lang w:val="lt-LT"/>
        </w:rPr>
        <w:t>iekį</w:t>
      </w:r>
      <w:r w:rsidRPr="00C21B99">
        <w:rPr>
          <w:sz w:val="22"/>
          <w:szCs w:val="22"/>
          <w:lang w:val="lt-LT"/>
        </w:rPr>
        <w:t xml:space="preserve">) dėl vėžio metastazių kepenyse. Nustatyta, kad geriant 250 mg </w:t>
      </w:r>
      <w:proofErr w:type="spellStart"/>
      <w:r w:rsidRPr="00C21B99">
        <w:rPr>
          <w:sz w:val="22"/>
          <w:szCs w:val="22"/>
          <w:lang w:val="lt-LT"/>
        </w:rPr>
        <w:t>gefitinibo</w:t>
      </w:r>
      <w:proofErr w:type="spellEnd"/>
      <w:r w:rsidRPr="00C21B99">
        <w:rPr>
          <w:sz w:val="22"/>
          <w:szCs w:val="22"/>
          <w:lang w:val="lt-LT"/>
        </w:rPr>
        <w:t xml:space="preserve"> per</w:t>
      </w:r>
      <w:r w:rsidR="00F15F1E" w:rsidRPr="00C21B99">
        <w:rPr>
          <w:sz w:val="22"/>
          <w:szCs w:val="22"/>
          <w:lang w:val="lt-LT"/>
        </w:rPr>
        <w:t xml:space="preserve"> </w:t>
      </w:r>
      <w:r w:rsidRPr="00C21B99">
        <w:rPr>
          <w:sz w:val="22"/>
          <w:szCs w:val="22"/>
          <w:lang w:val="lt-LT"/>
        </w:rPr>
        <w:t xml:space="preserve">parą, </w:t>
      </w:r>
      <w:proofErr w:type="spellStart"/>
      <w:r w:rsidRPr="00C21B99">
        <w:rPr>
          <w:sz w:val="22"/>
          <w:szCs w:val="22"/>
          <w:lang w:val="lt-LT"/>
        </w:rPr>
        <w:t>pusiausvyrinės</w:t>
      </w:r>
      <w:proofErr w:type="spellEnd"/>
      <w:r w:rsidRPr="00C21B99">
        <w:rPr>
          <w:sz w:val="22"/>
          <w:szCs w:val="22"/>
          <w:lang w:val="lt-LT"/>
        </w:rPr>
        <w:t xml:space="preserve"> </w:t>
      </w:r>
      <w:r w:rsidR="00F15F1E" w:rsidRPr="00C21B99">
        <w:rPr>
          <w:sz w:val="22"/>
          <w:szCs w:val="22"/>
          <w:lang w:val="lt-LT"/>
        </w:rPr>
        <w:t>apykaitos nusistovėjimo</w:t>
      </w:r>
      <w:r w:rsidRPr="00C21B99">
        <w:rPr>
          <w:sz w:val="22"/>
          <w:szCs w:val="22"/>
          <w:lang w:val="lt-LT"/>
        </w:rPr>
        <w:t xml:space="preserve"> laikas, suminis plazminis klirensas ir </w:t>
      </w:r>
      <w:proofErr w:type="spellStart"/>
      <w:r w:rsidRPr="00C21B99">
        <w:rPr>
          <w:sz w:val="22"/>
          <w:szCs w:val="22"/>
          <w:lang w:val="lt-LT"/>
        </w:rPr>
        <w:t>pusiausvyrinė</w:t>
      </w:r>
      <w:proofErr w:type="spellEnd"/>
      <w:r w:rsidR="00F15F1E" w:rsidRPr="00C21B99">
        <w:rPr>
          <w:sz w:val="22"/>
          <w:szCs w:val="22"/>
          <w:lang w:val="lt-LT"/>
        </w:rPr>
        <w:t xml:space="preserve"> </w:t>
      </w:r>
      <w:r w:rsidRPr="00C21B99">
        <w:rPr>
          <w:sz w:val="22"/>
          <w:szCs w:val="22"/>
          <w:lang w:val="lt-LT"/>
        </w:rPr>
        <w:t xml:space="preserve">ekspozicija (paros AUC esant </w:t>
      </w:r>
      <w:proofErr w:type="spellStart"/>
      <w:r w:rsidRPr="00C21B99">
        <w:rPr>
          <w:sz w:val="22"/>
          <w:szCs w:val="22"/>
          <w:lang w:val="lt-LT"/>
        </w:rPr>
        <w:t>pusiausvyrinei</w:t>
      </w:r>
      <w:proofErr w:type="spellEnd"/>
      <w:r w:rsidRPr="00C21B99">
        <w:rPr>
          <w:sz w:val="22"/>
          <w:szCs w:val="22"/>
          <w:lang w:val="lt-LT"/>
        </w:rPr>
        <w:t xml:space="preserve"> </w:t>
      </w:r>
      <w:r w:rsidR="00F15F1E" w:rsidRPr="00C21B99">
        <w:rPr>
          <w:sz w:val="22"/>
          <w:szCs w:val="22"/>
          <w:lang w:val="lt-LT"/>
        </w:rPr>
        <w:t>apykaitai</w:t>
      </w:r>
      <w:r w:rsidRPr="00C21B99">
        <w:rPr>
          <w:sz w:val="22"/>
          <w:szCs w:val="22"/>
          <w:lang w:val="lt-LT"/>
        </w:rPr>
        <w:t>) buvo panašūs grupėse pacientų, kurių</w:t>
      </w:r>
      <w:r w:rsidR="00F15F1E" w:rsidRPr="00C21B99">
        <w:rPr>
          <w:sz w:val="22"/>
          <w:szCs w:val="22"/>
          <w:lang w:val="lt-LT"/>
        </w:rPr>
        <w:t xml:space="preserve"> </w:t>
      </w:r>
      <w:r w:rsidRPr="00C21B99">
        <w:rPr>
          <w:sz w:val="22"/>
          <w:szCs w:val="22"/>
          <w:lang w:val="lt-LT"/>
        </w:rPr>
        <w:t xml:space="preserve">kepenų funkcija normali ir vidutiniškai sutrikusi. Keturių pacientų, </w:t>
      </w:r>
      <w:r w:rsidR="00F15F1E" w:rsidRPr="00C21B99">
        <w:rPr>
          <w:sz w:val="22"/>
          <w:szCs w:val="22"/>
          <w:lang w:val="lt-LT"/>
        </w:rPr>
        <w:t>kuriems buvo</w:t>
      </w:r>
      <w:r w:rsidRPr="00C21B99">
        <w:rPr>
          <w:sz w:val="22"/>
          <w:szCs w:val="22"/>
          <w:lang w:val="lt-LT"/>
        </w:rPr>
        <w:t xml:space="preserve"> vėžio metastazių kepenyse</w:t>
      </w:r>
      <w:r w:rsidR="00F15F1E" w:rsidRPr="00C21B99">
        <w:rPr>
          <w:sz w:val="22"/>
          <w:szCs w:val="22"/>
          <w:lang w:val="lt-LT"/>
        </w:rPr>
        <w:t xml:space="preserve"> </w:t>
      </w:r>
      <w:r w:rsidRPr="00C21B99">
        <w:rPr>
          <w:sz w:val="22"/>
          <w:szCs w:val="22"/>
          <w:lang w:val="lt-LT"/>
        </w:rPr>
        <w:t>sukelt</w:t>
      </w:r>
      <w:r w:rsidR="00F15F1E" w:rsidRPr="00C21B99">
        <w:rPr>
          <w:sz w:val="22"/>
          <w:szCs w:val="22"/>
          <w:lang w:val="lt-LT"/>
        </w:rPr>
        <w:t>as</w:t>
      </w:r>
      <w:r w:rsidRPr="00C21B99">
        <w:rPr>
          <w:sz w:val="22"/>
          <w:szCs w:val="22"/>
          <w:lang w:val="lt-LT"/>
        </w:rPr>
        <w:t xml:space="preserve"> sunki</w:t>
      </w:r>
      <w:r w:rsidR="00F15F1E" w:rsidRPr="00C21B99">
        <w:rPr>
          <w:sz w:val="22"/>
          <w:szCs w:val="22"/>
          <w:lang w:val="lt-LT"/>
        </w:rPr>
        <w:t>us kepenų funkcijos sutrikimas</w:t>
      </w:r>
      <w:r w:rsidRPr="00C21B99">
        <w:rPr>
          <w:sz w:val="22"/>
          <w:szCs w:val="22"/>
          <w:lang w:val="lt-LT"/>
        </w:rPr>
        <w:t xml:space="preserve">, tyrimų duomenys leidžia manyti, kad </w:t>
      </w:r>
      <w:proofErr w:type="spellStart"/>
      <w:r w:rsidRPr="00C21B99">
        <w:rPr>
          <w:sz w:val="22"/>
          <w:szCs w:val="22"/>
          <w:lang w:val="lt-LT"/>
        </w:rPr>
        <w:t>pusiausvyrinė</w:t>
      </w:r>
      <w:proofErr w:type="spellEnd"/>
      <w:r w:rsidR="00F15F1E" w:rsidRPr="00C21B99">
        <w:rPr>
          <w:sz w:val="22"/>
          <w:szCs w:val="22"/>
          <w:lang w:val="lt-LT"/>
        </w:rPr>
        <w:t xml:space="preserve"> </w:t>
      </w:r>
      <w:r w:rsidRPr="00C21B99">
        <w:rPr>
          <w:sz w:val="22"/>
          <w:szCs w:val="22"/>
          <w:lang w:val="lt-LT"/>
        </w:rPr>
        <w:t xml:space="preserve">ekspozicija jiems </w:t>
      </w:r>
      <w:r w:rsidR="00F15F1E" w:rsidRPr="00C21B99">
        <w:rPr>
          <w:sz w:val="22"/>
          <w:szCs w:val="22"/>
          <w:lang w:val="lt-LT"/>
        </w:rPr>
        <w:t xml:space="preserve"> ir pacientams, kurių kepenų funkcija normali, </w:t>
      </w:r>
      <w:r w:rsidRPr="00C21B99">
        <w:rPr>
          <w:sz w:val="22"/>
          <w:szCs w:val="22"/>
          <w:lang w:val="lt-LT"/>
        </w:rPr>
        <w:t>yra panaši.</w:t>
      </w:r>
    </w:p>
    <w:p w14:paraId="008C70E8" w14:textId="77777777" w:rsidR="00F15F1E" w:rsidRPr="00C21B99" w:rsidRDefault="00F15F1E" w:rsidP="00EB6D1D">
      <w:pPr>
        <w:pStyle w:val="Default"/>
        <w:rPr>
          <w:b/>
          <w:bCs/>
          <w:sz w:val="22"/>
          <w:szCs w:val="22"/>
          <w:lang w:val="lt-LT"/>
        </w:rPr>
      </w:pPr>
    </w:p>
    <w:p w14:paraId="26D42284" w14:textId="77777777" w:rsidR="00EB6D1D" w:rsidRPr="00C21B99" w:rsidRDefault="00EB6D1D" w:rsidP="00EB6D1D">
      <w:pPr>
        <w:pStyle w:val="Default"/>
        <w:rPr>
          <w:b/>
          <w:bCs/>
          <w:sz w:val="22"/>
          <w:szCs w:val="22"/>
          <w:lang w:val="lt-LT"/>
        </w:rPr>
      </w:pPr>
      <w:r w:rsidRPr="00C21B99">
        <w:rPr>
          <w:b/>
          <w:bCs/>
          <w:sz w:val="22"/>
          <w:szCs w:val="22"/>
          <w:lang w:val="lt-LT"/>
        </w:rPr>
        <w:t>5.3</w:t>
      </w:r>
      <w:r w:rsidR="00F15F1E" w:rsidRPr="00C21B99">
        <w:rPr>
          <w:b/>
          <w:bCs/>
          <w:sz w:val="22"/>
          <w:szCs w:val="22"/>
          <w:lang w:val="lt-LT"/>
        </w:rPr>
        <w:tab/>
      </w:r>
      <w:proofErr w:type="spellStart"/>
      <w:r w:rsidRPr="00C21B99">
        <w:rPr>
          <w:b/>
          <w:bCs/>
          <w:sz w:val="22"/>
          <w:szCs w:val="22"/>
          <w:lang w:val="lt-LT"/>
        </w:rPr>
        <w:t>Ikiklinikinių</w:t>
      </w:r>
      <w:proofErr w:type="spellEnd"/>
      <w:r w:rsidRPr="00C21B99">
        <w:rPr>
          <w:b/>
          <w:bCs/>
          <w:sz w:val="22"/>
          <w:szCs w:val="22"/>
          <w:lang w:val="lt-LT"/>
        </w:rPr>
        <w:t xml:space="preserve"> saugumo tyrimų duomenys</w:t>
      </w:r>
    </w:p>
    <w:p w14:paraId="333CD834" w14:textId="77777777" w:rsidR="00F15F1E" w:rsidRPr="00C21B99" w:rsidRDefault="00F15F1E" w:rsidP="00EB6D1D">
      <w:pPr>
        <w:pStyle w:val="Default"/>
        <w:rPr>
          <w:sz w:val="22"/>
          <w:szCs w:val="22"/>
          <w:lang w:val="lt-LT"/>
        </w:rPr>
      </w:pPr>
    </w:p>
    <w:p w14:paraId="403F1559" w14:textId="77777777" w:rsidR="00EB6D1D" w:rsidRPr="00C21B99" w:rsidRDefault="00EB6D1D" w:rsidP="00EB6D1D">
      <w:pPr>
        <w:pStyle w:val="Default"/>
        <w:rPr>
          <w:sz w:val="22"/>
          <w:szCs w:val="22"/>
          <w:lang w:val="lt-LT"/>
        </w:rPr>
      </w:pPr>
      <w:r w:rsidRPr="00C21B99">
        <w:rPr>
          <w:sz w:val="22"/>
          <w:szCs w:val="22"/>
          <w:lang w:val="lt-LT"/>
        </w:rPr>
        <w:t>Klinikinių tyrimų metu nepastebėtos</w:t>
      </w:r>
      <w:r w:rsidR="00F15F1E" w:rsidRPr="00C21B99">
        <w:rPr>
          <w:sz w:val="22"/>
          <w:szCs w:val="22"/>
          <w:lang w:val="lt-LT"/>
        </w:rPr>
        <w:t>, tačiau nustatytos gyvūnams</w:t>
      </w:r>
      <w:r w:rsidRPr="00C21B99">
        <w:rPr>
          <w:sz w:val="22"/>
          <w:szCs w:val="22"/>
          <w:lang w:val="lt-LT"/>
        </w:rPr>
        <w:t xml:space="preserve"> nepageidaujamos reakcijos, kurios pasireiškė esant</w:t>
      </w:r>
      <w:r w:rsidR="00F15F1E" w:rsidRPr="00C21B99">
        <w:rPr>
          <w:sz w:val="22"/>
          <w:szCs w:val="22"/>
          <w:lang w:val="lt-LT"/>
        </w:rPr>
        <w:t xml:space="preserve"> ekspozici</w:t>
      </w:r>
      <w:r w:rsidR="00C21B99">
        <w:rPr>
          <w:sz w:val="22"/>
          <w:szCs w:val="22"/>
          <w:lang w:val="lt-LT"/>
        </w:rPr>
        <w:t>j</w:t>
      </w:r>
      <w:r w:rsidR="00F15F1E" w:rsidRPr="00C21B99">
        <w:rPr>
          <w:sz w:val="22"/>
          <w:szCs w:val="22"/>
          <w:lang w:val="lt-LT"/>
        </w:rPr>
        <w:t xml:space="preserve">os lygiams, panašiems į </w:t>
      </w:r>
      <w:r w:rsidRPr="00C21B99">
        <w:rPr>
          <w:sz w:val="22"/>
          <w:szCs w:val="22"/>
          <w:lang w:val="lt-LT"/>
        </w:rPr>
        <w:t>klinikinę ekspozicijai</w:t>
      </w:r>
      <w:r w:rsidR="00F15F1E" w:rsidRPr="00C21B99">
        <w:rPr>
          <w:sz w:val="22"/>
          <w:szCs w:val="22"/>
          <w:lang w:val="lt-LT"/>
        </w:rPr>
        <w:t>,</w:t>
      </w:r>
      <w:r w:rsidRPr="00C21B99">
        <w:rPr>
          <w:sz w:val="22"/>
          <w:szCs w:val="22"/>
          <w:lang w:val="lt-LT"/>
        </w:rPr>
        <w:t xml:space="preserve"> ir </w:t>
      </w:r>
      <w:r w:rsidR="00F15F1E" w:rsidRPr="00C21B99">
        <w:rPr>
          <w:sz w:val="22"/>
          <w:szCs w:val="22"/>
          <w:lang w:val="lt-LT"/>
        </w:rPr>
        <w:t>kurios</w:t>
      </w:r>
      <w:r w:rsidR="00C21B99">
        <w:rPr>
          <w:sz w:val="22"/>
          <w:szCs w:val="22"/>
          <w:lang w:val="lt-LT"/>
        </w:rPr>
        <w:t xml:space="preserve"> </w:t>
      </w:r>
      <w:r w:rsidRPr="00C21B99">
        <w:rPr>
          <w:sz w:val="22"/>
          <w:szCs w:val="22"/>
          <w:lang w:val="lt-LT"/>
        </w:rPr>
        <w:t xml:space="preserve">gali </w:t>
      </w:r>
      <w:r w:rsidR="00F15F1E" w:rsidRPr="00C21B99">
        <w:rPr>
          <w:sz w:val="22"/>
          <w:szCs w:val="22"/>
          <w:lang w:val="lt-LT"/>
        </w:rPr>
        <w:t>būti kliniškai reikšmingos</w:t>
      </w:r>
      <w:r w:rsidRPr="00C21B99">
        <w:rPr>
          <w:sz w:val="22"/>
          <w:szCs w:val="22"/>
          <w:lang w:val="lt-LT"/>
        </w:rPr>
        <w:t>, yra</w:t>
      </w:r>
      <w:r w:rsidR="00F15F1E" w:rsidRPr="00C21B99">
        <w:rPr>
          <w:sz w:val="22"/>
          <w:szCs w:val="22"/>
          <w:lang w:val="lt-LT"/>
        </w:rPr>
        <w:t xml:space="preserve"> šios</w:t>
      </w:r>
      <w:r w:rsidRPr="00C21B99">
        <w:rPr>
          <w:sz w:val="22"/>
          <w:szCs w:val="22"/>
          <w:lang w:val="lt-LT"/>
        </w:rPr>
        <w:t>:</w:t>
      </w:r>
    </w:p>
    <w:p w14:paraId="4F22E058" w14:textId="77777777" w:rsidR="00EB6D1D" w:rsidRPr="00C21B99" w:rsidRDefault="00EB6D1D" w:rsidP="00F15F1E">
      <w:pPr>
        <w:pStyle w:val="Default"/>
        <w:numPr>
          <w:ilvl w:val="0"/>
          <w:numId w:val="31"/>
        </w:numPr>
        <w:ind w:hanging="578"/>
        <w:rPr>
          <w:sz w:val="22"/>
          <w:szCs w:val="22"/>
          <w:lang w:val="lt-LT"/>
        </w:rPr>
      </w:pPr>
      <w:r w:rsidRPr="00C21B99">
        <w:rPr>
          <w:sz w:val="22"/>
          <w:szCs w:val="22"/>
          <w:lang w:val="lt-LT"/>
        </w:rPr>
        <w:t>ragenos epitelio atrofija ir ragenos pusiau skaidrumas;</w:t>
      </w:r>
    </w:p>
    <w:p w14:paraId="08056C6F" w14:textId="77777777" w:rsidR="00EB6D1D" w:rsidRPr="00C21B99" w:rsidRDefault="00EB6D1D" w:rsidP="00F15F1E">
      <w:pPr>
        <w:pStyle w:val="Default"/>
        <w:numPr>
          <w:ilvl w:val="0"/>
          <w:numId w:val="31"/>
        </w:numPr>
        <w:ind w:hanging="578"/>
        <w:rPr>
          <w:sz w:val="22"/>
          <w:szCs w:val="22"/>
          <w:lang w:val="lt-LT"/>
        </w:rPr>
      </w:pPr>
      <w:r w:rsidRPr="00C21B99">
        <w:rPr>
          <w:sz w:val="22"/>
          <w:szCs w:val="22"/>
          <w:lang w:val="lt-LT"/>
        </w:rPr>
        <w:t>inkstų spenelių nekrozė;</w:t>
      </w:r>
    </w:p>
    <w:p w14:paraId="531D9758" w14:textId="77777777" w:rsidR="00EB6D1D" w:rsidRPr="00C21B99" w:rsidRDefault="00EB6D1D" w:rsidP="00F15F1E">
      <w:pPr>
        <w:pStyle w:val="Default"/>
        <w:numPr>
          <w:ilvl w:val="0"/>
          <w:numId w:val="31"/>
        </w:numPr>
        <w:ind w:hanging="578"/>
        <w:rPr>
          <w:sz w:val="22"/>
          <w:szCs w:val="22"/>
          <w:lang w:val="lt-LT"/>
        </w:rPr>
      </w:pPr>
      <w:r w:rsidRPr="00C21B99">
        <w:rPr>
          <w:sz w:val="22"/>
          <w:szCs w:val="22"/>
          <w:lang w:val="lt-LT"/>
        </w:rPr>
        <w:lastRenderedPageBreak/>
        <w:t xml:space="preserve">kepenų ląstelių nekrozė ir </w:t>
      </w:r>
      <w:proofErr w:type="spellStart"/>
      <w:r w:rsidRPr="00C21B99">
        <w:rPr>
          <w:sz w:val="22"/>
          <w:szCs w:val="22"/>
          <w:lang w:val="lt-LT"/>
        </w:rPr>
        <w:t>sinusoidų</w:t>
      </w:r>
      <w:proofErr w:type="spellEnd"/>
      <w:r w:rsidRPr="00C21B99">
        <w:rPr>
          <w:sz w:val="22"/>
          <w:szCs w:val="22"/>
          <w:lang w:val="lt-LT"/>
        </w:rPr>
        <w:t xml:space="preserve"> </w:t>
      </w:r>
      <w:proofErr w:type="spellStart"/>
      <w:r w:rsidRPr="00C21B99">
        <w:rPr>
          <w:sz w:val="22"/>
          <w:szCs w:val="22"/>
          <w:lang w:val="lt-LT"/>
        </w:rPr>
        <w:t>infiltracija</w:t>
      </w:r>
      <w:proofErr w:type="spellEnd"/>
      <w:r w:rsidRPr="00C21B99">
        <w:rPr>
          <w:sz w:val="22"/>
          <w:szCs w:val="22"/>
          <w:lang w:val="lt-LT"/>
        </w:rPr>
        <w:t xml:space="preserve"> </w:t>
      </w:r>
      <w:proofErr w:type="spellStart"/>
      <w:r w:rsidRPr="00C21B99">
        <w:rPr>
          <w:sz w:val="22"/>
          <w:szCs w:val="22"/>
          <w:lang w:val="lt-LT"/>
        </w:rPr>
        <w:t>eozinofilais</w:t>
      </w:r>
      <w:proofErr w:type="spellEnd"/>
      <w:r w:rsidRPr="00C21B99">
        <w:rPr>
          <w:sz w:val="22"/>
          <w:szCs w:val="22"/>
          <w:lang w:val="lt-LT"/>
        </w:rPr>
        <w:t xml:space="preserve"> bei </w:t>
      </w:r>
      <w:proofErr w:type="spellStart"/>
      <w:r w:rsidRPr="00C21B99">
        <w:rPr>
          <w:sz w:val="22"/>
          <w:szCs w:val="22"/>
          <w:lang w:val="lt-LT"/>
        </w:rPr>
        <w:t>makrofagais</w:t>
      </w:r>
      <w:proofErr w:type="spellEnd"/>
      <w:r w:rsidRPr="00C21B99">
        <w:rPr>
          <w:sz w:val="22"/>
          <w:szCs w:val="22"/>
          <w:lang w:val="lt-LT"/>
        </w:rPr>
        <w:t>.</w:t>
      </w:r>
    </w:p>
    <w:p w14:paraId="3143ED93" w14:textId="77777777" w:rsidR="00F15F1E" w:rsidRPr="00C21B99" w:rsidRDefault="00F15F1E" w:rsidP="00EB6D1D">
      <w:pPr>
        <w:pStyle w:val="Default"/>
        <w:rPr>
          <w:sz w:val="22"/>
          <w:szCs w:val="22"/>
          <w:lang w:val="lt-LT"/>
        </w:rPr>
      </w:pPr>
    </w:p>
    <w:p w14:paraId="15FDFBBE" w14:textId="77777777" w:rsidR="00EB6D1D" w:rsidRPr="00C21B99" w:rsidRDefault="00EB6D1D" w:rsidP="00EB6D1D">
      <w:pPr>
        <w:pStyle w:val="Default"/>
        <w:rPr>
          <w:sz w:val="22"/>
          <w:szCs w:val="22"/>
          <w:lang w:val="lt-LT"/>
        </w:rPr>
      </w:pPr>
      <w:proofErr w:type="spellStart"/>
      <w:r w:rsidRPr="00C21B99">
        <w:rPr>
          <w:sz w:val="22"/>
          <w:szCs w:val="22"/>
          <w:lang w:val="lt-LT"/>
        </w:rPr>
        <w:t>Ikiklinikinių</w:t>
      </w:r>
      <w:proofErr w:type="spellEnd"/>
      <w:r w:rsidRPr="00C21B99">
        <w:rPr>
          <w:sz w:val="22"/>
          <w:szCs w:val="22"/>
          <w:lang w:val="lt-LT"/>
        </w:rPr>
        <w:t xml:space="preserve"> (</w:t>
      </w:r>
      <w:proofErr w:type="spellStart"/>
      <w:r w:rsidRPr="00C21B99">
        <w:rPr>
          <w:i/>
          <w:iCs/>
          <w:sz w:val="22"/>
          <w:szCs w:val="22"/>
          <w:lang w:val="lt-LT"/>
        </w:rPr>
        <w:t>in</w:t>
      </w:r>
      <w:proofErr w:type="spellEnd"/>
      <w:r w:rsidRPr="00C21B99">
        <w:rPr>
          <w:i/>
          <w:iCs/>
          <w:sz w:val="22"/>
          <w:szCs w:val="22"/>
          <w:lang w:val="lt-LT"/>
        </w:rPr>
        <w:t xml:space="preserve"> </w:t>
      </w:r>
      <w:proofErr w:type="spellStart"/>
      <w:r w:rsidRPr="00C21B99">
        <w:rPr>
          <w:i/>
          <w:iCs/>
          <w:sz w:val="22"/>
          <w:szCs w:val="22"/>
          <w:lang w:val="lt-LT"/>
        </w:rPr>
        <w:t>vitro</w:t>
      </w:r>
      <w:proofErr w:type="spellEnd"/>
      <w:r w:rsidRPr="00C21B99">
        <w:rPr>
          <w:i/>
          <w:iCs/>
          <w:sz w:val="22"/>
          <w:szCs w:val="22"/>
          <w:lang w:val="lt-LT"/>
        </w:rPr>
        <w:t xml:space="preserve">) </w:t>
      </w:r>
      <w:r w:rsidRPr="00C21B99">
        <w:rPr>
          <w:sz w:val="22"/>
          <w:szCs w:val="22"/>
          <w:lang w:val="lt-LT"/>
        </w:rPr>
        <w:t xml:space="preserve">tyrimų duomenimis, </w:t>
      </w:r>
      <w:proofErr w:type="spellStart"/>
      <w:r w:rsidRPr="00C21B99">
        <w:rPr>
          <w:sz w:val="22"/>
          <w:szCs w:val="22"/>
          <w:lang w:val="lt-LT"/>
        </w:rPr>
        <w:t>gefitinibas</w:t>
      </w:r>
      <w:proofErr w:type="spellEnd"/>
      <w:r w:rsidRPr="00C21B99">
        <w:rPr>
          <w:sz w:val="22"/>
          <w:szCs w:val="22"/>
          <w:lang w:val="lt-LT"/>
        </w:rPr>
        <w:t xml:space="preserve"> gali slopinti širdies veikimo potencialo</w:t>
      </w:r>
      <w:r w:rsidR="00F15F1E" w:rsidRPr="00C21B99">
        <w:rPr>
          <w:sz w:val="22"/>
          <w:szCs w:val="22"/>
          <w:lang w:val="lt-LT"/>
        </w:rPr>
        <w:t xml:space="preserve"> </w:t>
      </w:r>
      <w:proofErr w:type="spellStart"/>
      <w:r w:rsidRPr="00C21B99">
        <w:rPr>
          <w:sz w:val="22"/>
          <w:szCs w:val="22"/>
          <w:lang w:val="lt-LT"/>
        </w:rPr>
        <w:t>repoliarizacijos</w:t>
      </w:r>
      <w:proofErr w:type="spellEnd"/>
      <w:r w:rsidRPr="00C21B99">
        <w:rPr>
          <w:sz w:val="22"/>
          <w:szCs w:val="22"/>
          <w:lang w:val="lt-LT"/>
        </w:rPr>
        <w:t xml:space="preserve"> fazę (pvz., paveikti QT intervalą). Vis dėlto klinikinė patirtis nerodo priežastinio ryšio</w:t>
      </w:r>
      <w:r w:rsidR="00F15F1E" w:rsidRPr="00C21B99">
        <w:rPr>
          <w:sz w:val="22"/>
          <w:szCs w:val="22"/>
          <w:lang w:val="lt-LT"/>
        </w:rPr>
        <w:t xml:space="preserve"> </w:t>
      </w:r>
      <w:r w:rsidRPr="00C21B99">
        <w:rPr>
          <w:sz w:val="22"/>
          <w:szCs w:val="22"/>
          <w:lang w:val="lt-LT"/>
        </w:rPr>
        <w:t xml:space="preserve">tarp </w:t>
      </w:r>
      <w:proofErr w:type="spellStart"/>
      <w:r w:rsidRPr="00C21B99">
        <w:rPr>
          <w:sz w:val="22"/>
          <w:szCs w:val="22"/>
          <w:lang w:val="lt-LT"/>
        </w:rPr>
        <w:t>gefitinibo</w:t>
      </w:r>
      <w:proofErr w:type="spellEnd"/>
      <w:r w:rsidRPr="00C21B99">
        <w:rPr>
          <w:sz w:val="22"/>
          <w:szCs w:val="22"/>
          <w:lang w:val="lt-LT"/>
        </w:rPr>
        <w:t xml:space="preserve"> vartojimo ir QT pailgėjimo.</w:t>
      </w:r>
    </w:p>
    <w:p w14:paraId="4BAF6B9C" w14:textId="77777777" w:rsidR="00F15F1E" w:rsidRPr="00C21B99" w:rsidRDefault="00F15F1E" w:rsidP="00EB6D1D">
      <w:pPr>
        <w:pStyle w:val="Default"/>
        <w:rPr>
          <w:i/>
          <w:iCs/>
          <w:sz w:val="22"/>
          <w:szCs w:val="22"/>
          <w:lang w:val="lt-LT"/>
        </w:rPr>
      </w:pPr>
    </w:p>
    <w:p w14:paraId="23C0135E" w14:textId="77777777" w:rsidR="00F15F1E" w:rsidRPr="00C21B99" w:rsidRDefault="00CD64DA" w:rsidP="00F15F1E">
      <w:pPr>
        <w:pStyle w:val="Default"/>
        <w:rPr>
          <w:sz w:val="22"/>
          <w:szCs w:val="22"/>
          <w:lang w:val="lt-LT"/>
        </w:rPr>
      </w:pPr>
      <w:r w:rsidRPr="00C21B99">
        <w:rPr>
          <w:sz w:val="22"/>
          <w:szCs w:val="22"/>
          <w:lang w:val="lt-LT"/>
        </w:rPr>
        <w:t xml:space="preserve">Pastebėta, kad žiurkėms duodamos </w:t>
      </w:r>
      <w:r w:rsidR="00F15F1E" w:rsidRPr="00C21B99">
        <w:rPr>
          <w:sz w:val="22"/>
          <w:szCs w:val="22"/>
          <w:lang w:val="lt-LT"/>
        </w:rPr>
        <w:t>20 mg/kg paros doz</w:t>
      </w:r>
      <w:r w:rsidRPr="00C21B99">
        <w:rPr>
          <w:sz w:val="22"/>
          <w:szCs w:val="22"/>
          <w:lang w:val="lt-LT"/>
        </w:rPr>
        <w:t xml:space="preserve">ės sumažino </w:t>
      </w:r>
      <w:r w:rsidR="00F15F1E" w:rsidRPr="00C21B99">
        <w:rPr>
          <w:sz w:val="22"/>
          <w:szCs w:val="22"/>
          <w:lang w:val="lt-LT"/>
        </w:rPr>
        <w:t>patelių vaisingum</w:t>
      </w:r>
      <w:r w:rsidRPr="00C21B99">
        <w:rPr>
          <w:sz w:val="22"/>
          <w:szCs w:val="22"/>
          <w:lang w:val="lt-LT"/>
        </w:rPr>
        <w:t>ą</w:t>
      </w:r>
      <w:r w:rsidR="00F15F1E" w:rsidRPr="00C21B99">
        <w:rPr>
          <w:sz w:val="22"/>
          <w:szCs w:val="22"/>
          <w:lang w:val="lt-LT"/>
        </w:rPr>
        <w:t>.</w:t>
      </w:r>
    </w:p>
    <w:p w14:paraId="1AB3D2DE" w14:textId="77777777" w:rsidR="00F15F1E" w:rsidRPr="00C21B99" w:rsidRDefault="00F15F1E" w:rsidP="00F15F1E">
      <w:pPr>
        <w:pStyle w:val="Default"/>
        <w:rPr>
          <w:sz w:val="22"/>
          <w:szCs w:val="22"/>
          <w:lang w:val="lt-LT"/>
        </w:rPr>
      </w:pPr>
    </w:p>
    <w:p w14:paraId="7FAD60B1" w14:textId="77777777" w:rsidR="00EB6D1D" w:rsidRPr="00C21B99" w:rsidRDefault="00F15F1E" w:rsidP="00F15F1E">
      <w:pPr>
        <w:pStyle w:val="Default"/>
        <w:rPr>
          <w:sz w:val="22"/>
          <w:szCs w:val="22"/>
          <w:lang w:val="lt-LT"/>
        </w:rPr>
      </w:pPr>
      <w:r w:rsidRPr="00C21B99">
        <w:rPr>
          <w:sz w:val="22"/>
          <w:szCs w:val="22"/>
          <w:lang w:val="lt-LT"/>
        </w:rPr>
        <w:t xml:space="preserve">Publikuotų tyrimų duomenimis, genetiškai modifikuotoms pelėms, </w:t>
      </w:r>
      <w:r w:rsidR="00CD64DA" w:rsidRPr="00C21B99">
        <w:rPr>
          <w:sz w:val="22"/>
          <w:szCs w:val="22"/>
          <w:lang w:val="lt-LT"/>
        </w:rPr>
        <w:t>kurioms nėra</w:t>
      </w:r>
      <w:r w:rsidRPr="00C21B99">
        <w:rPr>
          <w:sz w:val="22"/>
          <w:szCs w:val="22"/>
          <w:lang w:val="lt-LT"/>
        </w:rPr>
        <w:t xml:space="preserve"> EAFR</w:t>
      </w:r>
      <w:r w:rsidR="00CD64DA" w:rsidRPr="00C21B99">
        <w:rPr>
          <w:sz w:val="22"/>
          <w:szCs w:val="22"/>
          <w:lang w:val="lt-LT"/>
        </w:rPr>
        <w:t xml:space="preserve"> raiškos</w:t>
      </w:r>
      <w:r w:rsidRPr="00C21B99">
        <w:rPr>
          <w:sz w:val="22"/>
          <w:szCs w:val="22"/>
          <w:lang w:val="lt-LT"/>
        </w:rPr>
        <w:t>,</w:t>
      </w:r>
      <w:r w:rsidR="00CD64DA" w:rsidRPr="00C21B99">
        <w:rPr>
          <w:sz w:val="22"/>
          <w:szCs w:val="22"/>
          <w:lang w:val="lt-LT"/>
        </w:rPr>
        <w:t xml:space="preserve"> </w:t>
      </w:r>
      <w:r w:rsidRPr="00C21B99">
        <w:rPr>
          <w:sz w:val="22"/>
          <w:szCs w:val="22"/>
          <w:lang w:val="lt-LT"/>
        </w:rPr>
        <w:t>pasireiškia vystymosi defektų, susijusių su įvairių organų (odos, virškinimo trakto ir plaučių) epitelio</w:t>
      </w:r>
      <w:r w:rsidR="00CD64DA" w:rsidRPr="00C21B99">
        <w:rPr>
          <w:sz w:val="22"/>
          <w:szCs w:val="22"/>
          <w:lang w:val="lt-LT"/>
        </w:rPr>
        <w:t xml:space="preserve"> </w:t>
      </w:r>
      <w:r w:rsidRPr="00C21B99">
        <w:rPr>
          <w:sz w:val="22"/>
          <w:szCs w:val="22"/>
          <w:lang w:val="lt-LT"/>
        </w:rPr>
        <w:t xml:space="preserve">nesubrendimu. Duodant </w:t>
      </w:r>
      <w:proofErr w:type="spellStart"/>
      <w:r w:rsidRPr="00C21B99">
        <w:rPr>
          <w:sz w:val="22"/>
          <w:szCs w:val="22"/>
          <w:lang w:val="lt-LT"/>
        </w:rPr>
        <w:t>gefitinibo</w:t>
      </w:r>
      <w:proofErr w:type="spellEnd"/>
      <w:r w:rsidRPr="00C21B99">
        <w:rPr>
          <w:sz w:val="22"/>
          <w:szCs w:val="22"/>
          <w:lang w:val="lt-LT"/>
        </w:rPr>
        <w:t xml:space="preserve"> </w:t>
      </w:r>
      <w:proofErr w:type="spellStart"/>
      <w:r w:rsidRPr="00C21B99">
        <w:rPr>
          <w:sz w:val="22"/>
          <w:szCs w:val="22"/>
          <w:lang w:val="lt-LT"/>
        </w:rPr>
        <w:t>organogenezės</w:t>
      </w:r>
      <w:proofErr w:type="spellEnd"/>
      <w:r w:rsidRPr="00C21B99">
        <w:rPr>
          <w:sz w:val="22"/>
          <w:szCs w:val="22"/>
          <w:lang w:val="lt-LT"/>
        </w:rPr>
        <w:t xml:space="preserve"> laikotarpiu, didžiausios (30 mg/kg per parą) dozės</w:t>
      </w:r>
      <w:r w:rsidR="00CD64DA" w:rsidRPr="00C21B99">
        <w:rPr>
          <w:sz w:val="22"/>
          <w:szCs w:val="22"/>
          <w:lang w:val="lt-LT"/>
        </w:rPr>
        <w:t xml:space="preserve"> </w:t>
      </w:r>
      <w:r w:rsidRPr="00C21B99">
        <w:rPr>
          <w:sz w:val="22"/>
          <w:szCs w:val="22"/>
          <w:lang w:val="lt-LT"/>
        </w:rPr>
        <w:t>poveikio žiurkių embriono ar vaisiaus vystymuisi nenustatyta. Vis dėlto 20 mg/kg per parą ir didesnės</w:t>
      </w:r>
      <w:r w:rsidR="00CD64DA" w:rsidRPr="00C21B99">
        <w:rPr>
          <w:sz w:val="22"/>
          <w:szCs w:val="22"/>
          <w:lang w:val="lt-LT"/>
        </w:rPr>
        <w:t xml:space="preserve"> </w:t>
      </w:r>
      <w:r w:rsidRPr="00C21B99">
        <w:rPr>
          <w:sz w:val="22"/>
          <w:szCs w:val="22"/>
          <w:lang w:val="lt-LT"/>
        </w:rPr>
        <w:t xml:space="preserve">dozės grupių triušių vaisių svoris buvo mažesnis. </w:t>
      </w:r>
      <w:proofErr w:type="spellStart"/>
      <w:r w:rsidRPr="00C21B99">
        <w:rPr>
          <w:sz w:val="22"/>
          <w:szCs w:val="22"/>
          <w:lang w:val="lt-LT"/>
        </w:rPr>
        <w:t>Gefitinibo</w:t>
      </w:r>
      <w:proofErr w:type="spellEnd"/>
      <w:r w:rsidRPr="00C21B99">
        <w:rPr>
          <w:sz w:val="22"/>
          <w:szCs w:val="22"/>
          <w:lang w:val="lt-LT"/>
        </w:rPr>
        <w:t xml:space="preserve"> sukeltų sklaidos defektų šių abiejų rūšių</w:t>
      </w:r>
      <w:r w:rsidR="00CD64DA" w:rsidRPr="00C21B99">
        <w:rPr>
          <w:sz w:val="22"/>
          <w:szCs w:val="22"/>
          <w:lang w:val="lt-LT"/>
        </w:rPr>
        <w:t xml:space="preserve"> </w:t>
      </w:r>
      <w:r w:rsidRPr="00C21B99">
        <w:rPr>
          <w:sz w:val="22"/>
          <w:szCs w:val="22"/>
          <w:lang w:val="lt-LT"/>
        </w:rPr>
        <w:t xml:space="preserve">gyvūnams nenustatyta. Duodant </w:t>
      </w:r>
      <w:proofErr w:type="spellStart"/>
      <w:r w:rsidRPr="00C21B99">
        <w:rPr>
          <w:sz w:val="22"/>
          <w:szCs w:val="22"/>
          <w:lang w:val="lt-LT"/>
        </w:rPr>
        <w:t>gefitinibo</w:t>
      </w:r>
      <w:proofErr w:type="spellEnd"/>
      <w:r w:rsidRPr="00C21B99">
        <w:rPr>
          <w:sz w:val="22"/>
          <w:szCs w:val="22"/>
          <w:lang w:val="lt-LT"/>
        </w:rPr>
        <w:t xml:space="preserve"> žiurkėms vaikingumo laikotarpiu ir atsivedimo metu,</w:t>
      </w:r>
      <w:r w:rsidR="00CD64DA" w:rsidRPr="00C21B99">
        <w:rPr>
          <w:sz w:val="22"/>
          <w:szCs w:val="22"/>
          <w:lang w:val="lt-LT"/>
        </w:rPr>
        <w:t xml:space="preserve"> </w:t>
      </w:r>
      <w:r w:rsidRPr="00C21B99">
        <w:rPr>
          <w:sz w:val="22"/>
          <w:szCs w:val="22"/>
          <w:lang w:val="lt-LT"/>
        </w:rPr>
        <w:t xml:space="preserve">20 mg/kg paros dozės grupės gyvūnų </w:t>
      </w:r>
      <w:r w:rsidR="00CD64DA" w:rsidRPr="00C21B99">
        <w:rPr>
          <w:sz w:val="22"/>
          <w:szCs w:val="22"/>
          <w:lang w:val="lt-LT"/>
        </w:rPr>
        <w:t>atsivestų jauniklių išgyvenamumas buvo sumažėjęs</w:t>
      </w:r>
      <w:r w:rsidRPr="00C21B99">
        <w:rPr>
          <w:sz w:val="22"/>
          <w:szCs w:val="22"/>
          <w:lang w:val="lt-LT"/>
        </w:rPr>
        <w:t>.</w:t>
      </w:r>
    </w:p>
    <w:p w14:paraId="39636288" w14:textId="77777777" w:rsidR="00CD64DA" w:rsidRPr="00C21B99" w:rsidRDefault="00CD64DA" w:rsidP="00CD64DA">
      <w:pPr>
        <w:pStyle w:val="Default"/>
        <w:rPr>
          <w:sz w:val="22"/>
          <w:szCs w:val="22"/>
          <w:lang w:val="lt-LT"/>
        </w:rPr>
      </w:pPr>
    </w:p>
    <w:p w14:paraId="34C7DB8A" w14:textId="77777777" w:rsidR="00CD64DA" w:rsidRPr="00C21B99" w:rsidRDefault="00CD64DA" w:rsidP="00CD64DA">
      <w:pPr>
        <w:pStyle w:val="Default"/>
        <w:rPr>
          <w:sz w:val="22"/>
          <w:szCs w:val="22"/>
          <w:lang w:val="lt-LT"/>
        </w:rPr>
      </w:pPr>
      <w:r w:rsidRPr="00C21B99">
        <w:rPr>
          <w:sz w:val="22"/>
          <w:szCs w:val="22"/>
          <w:lang w:val="lt-LT"/>
        </w:rPr>
        <w:t xml:space="preserve">Duodant </w:t>
      </w:r>
      <w:r w:rsidRPr="00C21B99">
        <w:rPr>
          <w:sz w:val="22"/>
          <w:szCs w:val="22"/>
          <w:vertAlign w:val="superscript"/>
          <w:lang w:val="lt-LT"/>
        </w:rPr>
        <w:t>C</w:t>
      </w:r>
      <w:r w:rsidRPr="00C21B99">
        <w:rPr>
          <w:sz w:val="22"/>
          <w:szCs w:val="22"/>
          <w:lang w:val="lt-LT"/>
        </w:rPr>
        <w:t xml:space="preserve">14 žymėto </w:t>
      </w:r>
      <w:proofErr w:type="spellStart"/>
      <w:r w:rsidRPr="00C21B99">
        <w:rPr>
          <w:sz w:val="22"/>
          <w:szCs w:val="22"/>
          <w:lang w:val="lt-LT"/>
        </w:rPr>
        <w:t>gefitinibo</w:t>
      </w:r>
      <w:proofErr w:type="spellEnd"/>
      <w:r w:rsidRPr="00C21B99">
        <w:rPr>
          <w:sz w:val="22"/>
          <w:szCs w:val="22"/>
          <w:lang w:val="lt-LT"/>
        </w:rPr>
        <w:t xml:space="preserve"> žiurkėms laktacijos laikotarpiu per burną 14 parų po jauniklių atsivedimo, radioaktyvumas jų piene buvo 11-19 kartų didesnis, negu kraujyje.</w:t>
      </w:r>
    </w:p>
    <w:p w14:paraId="723E18B1" w14:textId="77777777" w:rsidR="00CD64DA" w:rsidRPr="00C21B99" w:rsidRDefault="00CD64DA" w:rsidP="00CD64DA">
      <w:pPr>
        <w:pStyle w:val="Default"/>
        <w:rPr>
          <w:sz w:val="22"/>
          <w:szCs w:val="22"/>
          <w:lang w:val="lt-LT"/>
        </w:rPr>
      </w:pPr>
    </w:p>
    <w:p w14:paraId="53463D27" w14:textId="77777777" w:rsidR="00CD64DA" w:rsidRPr="00C21B99" w:rsidRDefault="00CD64DA" w:rsidP="00CD64DA">
      <w:pPr>
        <w:pStyle w:val="Default"/>
        <w:rPr>
          <w:sz w:val="22"/>
          <w:szCs w:val="22"/>
          <w:lang w:val="lt-LT"/>
        </w:rPr>
      </w:pPr>
      <w:proofErr w:type="spellStart"/>
      <w:r w:rsidRPr="00C21B99">
        <w:rPr>
          <w:sz w:val="22"/>
          <w:szCs w:val="22"/>
          <w:lang w:val="lt-LT"/>
        </w:rPr>
        <w:t>Gefitinibo</w:t>
      </w:r>
      <w:proofErr w:type="spellEnd"/>
      <w:r w:rsidRPr="00C21B99">
        <w:rPr>
          <w:sz w:val="22"/>
          <w:szCs w:val="22"/>
          <w:lang w:val="lt-LT"/>
        </w:rPr>
        <w:t xml:space="preserve"> galimo </w:t>
      </w:r>
      <w:proofErr w:type="spellStart"/>
      <w:r w:rsidRPr="00C21B99">
        <w:rPr>
          <w:sz w:val="22"/>
          <w:szCs w:val="22"/>
          <w:lang w:val="lt-LT"/>
        </w:rPr>
        <w:t>genotoksinio</w:t>
      </w:r>
      <w:proofErr w:type="spellEnd"/>
      <w:r w:rsidRPr="00C21B99">
        <w:rPr>
          <w:sz w:val="22"/>
          <w:szCs w:val="22"/>
          <w:lang w:val="lt-LT"/>
        </w:rPr>
        <w:t xml:space="preserve"> poveikio nenustatyta.</w:t>
      </w:r>
    </w:p>
    <w:p w14:paraId="48A4EEF0" w14:textId="77777777" w:rsidR="00CD64DA" w:rsidRPr="00C21B99" w:rsidRDefault="00CD64DA" w:rsidP="00CD64DA">
      <w:pPr>
        <w:pStyle w:val="Default"/>
        <w:rPr>
          <w:sz w:val="22"/>
          <w:szCs w:val="22"/>
          <w:lang w:val="lt-LT"/>
        </w:rPr>
      </w:pPr>
    </w:p>
    <w:p w14:paraId="7A6F4AFF" w14:textId="77777777" w:rsidR="00CD64DA" w:rsidRPr="00C21B99" w:rsidRDefault="00CD64DA" w:rsidP="00CD64DA">
      <w:pPr>
        <w:pStyle w:val="Default"/>
        <w:rPr>
          <w:sz w:val="22"/>
          <w:szCs w:val="22"/>
          <w:lang w:val="lt-LT"/>
        </w:rPr>
      </w:pPr>
      <w:r w:rsidRPr="00C21B99">
        <w:rPr>
          <w:sz w:val="22"/>
          <w:szCs w:val="22"/>
          <w:lang w:val="lt-LT"/>
        </w:rPr>
        <w:t xml:space="preserve">2 metų trukmės kancerogeninio poveikio tyrimas parodė nedidelį, bet statistikai reikšmingą kepenų  ląstelių adenomų padažnėjimą žiurkių patinams ir patelėms. Be to, didžiausios (10 mg/kg per parą) dozės grupės žiurkių patelėms dažniau nustatyta </w:t>
      </w:r>
      <w:proofErr w:type="spellStart"/>
      <w:r w:rsidRPr="00C21B99">
        <w:rPr>
          <w:sz w:val="22"/>
          <w:szCs w:val="22"/>
          <w:lang w:val="lt-LT"/>
        </w:rPr>
        <w:t>mezenterinių</w:t>
      </w:r>
      <w:proofErr w:type="spellEnd"/>
      <w:r w:rsidRPr="00C21B99">
        <w:rPr>
          <w:sz w:val="22"/>
          <w:szCs w:val="22"/>
          <w:lang w:val="lt-LT"/>
        </w:rPr>
        <w:t xml:space="preserve"> limfmazgių </w:t>
      </w:r>
      <w:proofErr w:type="spellStart"/>
      <w:r w:rsidRPr="00C21B99">
        <w:rPr>
          <w:sz w:val="22"/>
          <w:szCs w:val="22"/>
          <w:lang w:val="lt-LT"/>
        </w:rPr>
        <w:t>hemangiosarkomų</w:t>
      </w:r>
      <w:proofErr w:type="spellEnd"/>
      <w:r w:rsidRPr="00C21B99">
        <w:rPr>
          <w:sz w:val="22"/>
          <w:szCs w:val="22"/>
          <w:lang w:val="lt-LT"/>
        </w:rPr>
        <w:t>. Kepenų ląstelių adenomų taip pat nustatyta  atliekant 2 metų trukmės kancerogeninio poveikio pelėms tyrimą, kurio metu šis navikas šiek tiek dažniau nustatytas vidutinės dozės grupės pelių patinams bei didelės dozės grupės patelėms ir patinams. Šis poveikis buvo statistikai reikšmingas tik pelių patelėms (patinams ne). Esant poveikio nesukelian</w:t>
      </w:r>
      <w:r w:rsidR="00995210" w:rsidRPr="00C21B99">
        <w:rPr>
          <w:sz w:val="22"/>
          <w:szCs w:val="22"/>
          <w:lang w:val="lt-LT"/>
        </w:rPr>
        <w:t>tiems lygiams</w:t>
      </w:r>
      <w:r w:rsidRPr="00C21B99">
        <w:rPr>
          <w:sz w:val="22"/>
          <w:szCs w:val="22"/>
          <w:lang w:val="lt-LT"/>
        </w:rPr>
        <w:t xml:space="preserve"> pelėms ir žiurkėms, ribos klinikinei ekspozicijai nebuvo.</w:t>
      </w:r>
      <w:r w:rsidR="00995210" w:rsidRPr="00C21B99">
        <w:rPr>
          <w:sz w:val="22"/>
          <w:szCs w:val="22"/>
          <w:lang w:val="lt-LT"/>
        </w:rPr>
        <w:t xml:space="preserve"> </w:t>
      </w:r>
      <w:r w:rsidRPr="00C21B99">
        <w:rPr>
          <w:sz w:val="22"/>
          <w:szCs w:val="22"/>
          <w:lang w:val="lt-LT"/>
        </w:rPr>
        <w:t>Šių duomenų klinikinė reikšmė nežinoma.</w:t>
      </w:r>
    </w:p>
    <w:p w14:paraId="1A9D025D" w14:textId="77777777" w:rsidR="00995210" w:rsidRPr="00C21B99" w:rsidRDefault="00995210" w:rsidP="00CD64DA">
      <w:pPr>
        <w:pStyle w:val="Default"/>
        <w:rPr>
          <w:sz w:val="22"/>
          <w:szCs w:val="22"/>
          <w:lang w:val="lt-LT"/>
        </w:rPr>
      </w:pPr>
    </w:p>
    <w:p w14:paraId="147068A7" w14:textId="77777777" w:rsidR="00CD64DA" w:rsidRPr="00C21B99" w:rsidRDefault="00CD64DA" w:rsidP="00CD64DA">
      <w:pPr>
        <w:pStyle w:val="Default"/>
        <w:rPr>
          <w:sz w:val="22"/>
          <w:szCs w:val="22"/>
          <w:lang w:val="lt-LT"/>
        </w:rPr>
      </w:pPr>
      <w:proofErr w:type="spellStart"/>
      <w:r w:rsidRPr="00C21B99">
        <w:rPr>
          <w:sz w:val="22"/>
          <w:szCs w:val="22"/>
          <w:lang w:val="lt-LT"/>
        </w:rPr>
        <w:t>Fototoksinio</w:t>
      </w:r>
      <w:proofErr w:type="spellEnd"/>
      <w:r w:rsidRPr="00C21B99">
        <w:rPr>
          <w:sz w:val="22"/>
          <w:szCs w:val="22"/>
          <w:lang w:val="lt-LT"/>
        </w:rPr>
        <w:t xml:space="preserve"> poveikio tyrimo </w:t>
      </w:r>
      <w:proofErr w:type="spellStart"/>
      <w:r w:rsidRPr="00C21B99">
        <w:rPr>
          <w:i/>
          <w:sz w:val="22"/>
          <w:szCs w:val="22"/>
          <w:lang w:val="lt-LT"/>
        </w:rPr>
        <w:t>in</w:t>
      </w:r>
      <w:proofErr w:type="spellEnd"/>
      <w:r w:rsidRPr="00C21B99">
        <w:rPr>
          <w:i/>
          <w:sz w:val="22"/>
          <w:szCs w:val="22"/>
          <w:lang w:val="lt-LT"/>
        </w:rPr>
        <w:t xml:space="preserve"> </w:t>
      </w:r>
      <w:proofErr w:type="spellStart"/>
      <w:r w:rsidRPr="00C21B99">
        <w:rPr>
          <w:i/>
          <w:sz w:val="22"/>
          <w:szCs w:val="22"/>
          <w:lang w:val="lt-LT"/>
        </w:rPr>
        <w:t>vitro</w:t>
      </w:r>
      <w:proofErr w:type="spellEnd"/>
      <w:r w:rsidRPr="00C21B99">
        <w:rPr>
          <w:sz w:val="22"/>
          <w:szCs w:val="22"/>
          <w:lang w:val="lt-LT"/>
        </w:rPr>
        <w:t xml:space="preserve"> duomenimis, yra galimas </w:t>
      </w:r>
      <w:proofErr w:type="spellStart"/>
      <w:r w:rsidRPr="00C21B99">
        <w:rPr>
          <w:sz w:val="22"/>
          <w:szCs w:val="22"/>
          <w:lang w:val="lt-LT"/>
        </w:rPr>
        <w:t>gefitinibo</w:t>
      </w:r>
      <w:proofErr w:type="spellEnd"/>
      <w:r w:rsidRPr="00C21B99">
        <w:rPr>
          <w:sz w:val="22"/>
          <w:szCs w:val="22"/>
          <w:lang w:val="lt-LT"/>
        </w:rPr>
        <w:t xml:space="preserve"> </w:t>
      </w:r>
      <w:proofErr w:type="spellStart"/>
      <w:r w:rsidRPr="00C21B99">
        <w:rPr>
          <w:sz w:val="22"/>
          <w:szCs w:val="22"/>
          <w:lang w:val="lt-LT"/>
        </w:rPr>
        <w:t>fototoksinis</w:t>
      </w:r>
      <w:proofErr w:type="spellEnd"/>
      <w:r w:rsidRPr="00C21B99">
        <w:rPr>
          <w:sz w:val="22"/>
          <w:szCs w:val="22"/>
          <w:lang w:val="lt-LT"/>
        </w:rPr>
        <w:t xml:space="preserve"> poveikis.</w:t>
      </w:r>
    </w:p>
    <w:p w14:paraId="376B915B" w14:textId="77777777" w:rsidR="00995210" w:rsidRPr="00C21B99" w:rsidRDefault="00995210" w:rsidP="00CD64DA">
      <w:pPr>
        <w:pStyle w:val="Default"/>
        <w:rPr>
          <w:sz w:val="22"/>
          <w:szCs w:val="22"/>
          <w:lang w:val="lt-LT"/>
        </w:rPr>
      </w:pPr>
    </w:p>
    <w:p w14:paraId="34B41CDC" w14:textId="77777777" w:rsidR="00995210" w:rsidRPr="00C21B99" w:rsidRDefault="00995210" w:rsidP="00CD64DA">
      <w:pPr>
        <w:pStyle w:val="Default"/>
        <w:rPr>
          <w:sz w:val="22"/>
          <w:szCs w:val="22"/>
          <w:lang w:val="lt-LT"/>
        </w:rPr>
      </w:pPr>
    </w:p>
    <w:p w14:paraId="7CC404BA" w14:textId="77777777" w:rsidR="00CD64DA" w:rsidRPr="00C21B99" w:rsidRDefault="00CD64DA" w:rsidP="00CD64DA">
      <w:pPr>
        <w:pStyle w:val="Default"/>
        <w:rPr>
          <w:b/>
          <w:sz w:val="22"/>
          <w:szCs w:val="22"/>
          <w:lang w:val="lt-LT"/>
        </w:rPr>
      </w:pPr>
      <w:r w:rsidRPr="00C21B99">
        <w:rPr>
          <w:b/>
          <w:sz w:val="22"/>
          <w:szCs w:val="22"/>
          <w:lang w:val="lt-LT"/>
        </w:rPr>
        <w:t>6.</w:t>
      </w:r>
      <w:r w:rsidR="00995210" w:rsidRPr="00C21B99">
        <w:rPr>
          <w:b/>
          <w:sz w:val="22"/>
          <w:szCs w:val="22"/>
          <w:lang w:val="lt-LT"/>
        </w:rPr>
        <w:tab/>
      </w:r>
      <w:r w:rsidRPr="00C21B99">
        <w:rPr>
          <w:b/>
          <w:sz w:val="22"/>
          <w:szCs w:val="22"/>
          <w:lang w:val="lt-LT"/>
        </w:rPr>
        <w:t>FARMACINĖ INFORMACIJA</w:t>
      </w:r>
    </w:p>
    <w:p w14:paraId="06F6477D" w14:textId="77777777" w:rsidR="00995210" w:rsidRPr="00C21B99" w:rsidRDefault="00995210" w:rsidP="00CD64DA">
      <w:pPr>
        <w:pStyle w:val="Default"/>
        <w:rPr>
          <w:b/>
          <w:sz w:val="22"/>
          <w:szCs w:val="22"/>
          <w:lang w:val="lt-LT"/>
        </w:rPr>
      </w:pPr>
    </w:p>
    <w:p w14:paraId="312139E3" w14:textId="77777777" w:rsidR="00CD64DA" w:rsidRPr="00C21B99" w:rsidRDefault="00CD64DA" w:rsidP="00CD64DA">
      <w:pPr>
        <w:pStyle w:val="Default"/>
        <w:rPr>
          <w:b/>
          <w:sz w:val="22"/>
          <w:szCs w:val="22"/>
          <w:lang w:val="lt-LT"/>
        </w:rPr>
      </w:pPr>
      <w:r w:rsidRPr="00C21B99">
        <w:rPr>
          <w:b/>
          <w:sz w:val="22"/>
          <w:szCs w:val="22"/>
          <w:lang w:val="lt-LT"/>
        </w:rPr>
        <w:t>6.1</w:t>
      </w:r>
      <w:r w:rsidR="00995210" w:rsidRPr="00C21B99">
        <w:rPr>
          <w:b/>
          <w:sz w:val="22"/>
          <w:szCs w:val="22"/>
          <w:lang w:val="lt-LT"/>
        </w:rPr>
        <w:tab/>
      </w:r>
      <w:r w:rsidRPr="00C21B99">
        <w:rPr>
          <w:b/>
          <w:sz w:val="22"/>
          <w:szCs w:val="22"/>
          <w:lang w:val="lt-LT"/>
        </w:rPr>
        <w:t>Pagalbinių medžiagų sąrašas</w:t>
      </w:r>
    </w:p>
    <w:p w14:paraId="62B68B23" w14:textId="77777777" w:rsidR="00995210" w:rsidRPr="00C21B99" w:rsidRDefault="00995210" w:rsidP="00CD64DA">
      <w:pPr>
        <w:pStyle w:val="Default"/>
        <w:rPr>
          <w:sz w:val="22"/>
          <w:szCs w:val="22"/>
          <w:lang w:val="lt-LT"/>
        </w:rPr>
      </w:pPr>
    </w:p>
    <w:p w14:paraId="1B25B509" w14:textId="77777777" w:rsidR="00CD64DA" w:rsidRPr="00C21B99" w:rsidRDefault="00CD64DA" w:rsidP="00CD64DA">
      <w:pPr>
        <w:pStyle w:val="Default"/>
        <w:rPr>
          <w:sz w:val="22"/>
          <w:szCs w:val="22"/>
          <w:lang w:val="lt-LT"/>
        </w:rPr>
      </w:pPr>
      <w:r w:rsidRPr="00C21B99">
        <w:rPr>
          <w:sz w:val="22"/>
          <w:szCs w:val="22"/>
          <w:lang w:val="lt-LT"/>
        </w:rPr>
        <w:t xml:space="preserve">Laktozė </w:t>
      </w:r>
      <w:proofErr w:type="spellStart"/>
      <w:r w:rsidRPr="00C21B99">
        <w:rPr>
          <w:sz w:val="22"/>
          <w:szCs w:val="22"/>
          <w:lang w:val="lt-LT"/>
        </w:rPr>
        <w:t>monohidratas</w:t>
      </w:r>
      <w:proofErr w:type="spellEnd"/>
    </w:p>
    <w:p w14:paraId="109EE606" w14:textId="77777777" w:rsidR="00CD64DA" w:rsidRPr="00C21B99" w:rsidRDefault="00CD64DA" w:rsidP="00CD64DA">
      <w:pPr>
        <w:pStyle w:val="Default"/>
        <w:rPr>
          <w:sz w:val="22"/>
          <w:szCs w:val="22"/>
          <w:lang w:val="lt-LT"/>
        </w:rPr>
      </w:pPr>
      <w:proofErr w:type="spellStart"/>
      <w:r w:rsidRPr="00C21B99">
        <w:rPr>
          <w:sz w:val="22"/>
          <w:szCs w:val="22"/>
          <w:lang w:val="lt-LT"/>
        </w:rPr>
        <w:t>Mikrokristalinė</w:t>
      </w:r>
      <w:proofErr w:type="spellEnd"/>
      <w:r w:rsidRPr="00C21B99">
        <w:rPr>
          <w:sz w:val="22"/>
          <w:szCs w:val="22"/>
          <w:lang w:val="lt-LT"/>
        </w:rPr>
        <w:t xml:space="preserve"> celiuliozė </w:t>
      </w:r>
      <w:r w:rsidR="00995210" w:rsidRPr="00C21B99">
        <w:rPr>
          <w:sz w:val="22"/>
          <w:szCs w:val="22"/>
          <w:lang w:val="lt-LT"/>
        </w:rPr>
        <w:t>(</w:t>
      </w:r>
      <w:r w:rsidRPr="00C21B99">
        <w:rPr>
          <w:sz w:val="22"/>
          <w:szCs w:val="22"/>
          <w:lang w:val="lt-LT"/>
        </w:rPr>
        <w:t>E460</w:t>
      </w:r>
      <w:r w:rsidR="00995210" w:rsidRPr="00C21B99">
        <w:rPr>
          <w:sz w:val="22"/>
          <w:szCs w:val="22"/>
          <w:lang w:val="lt-LT"/>
        </w:rPr>
        <w:t>)</w:t>
      </w:r>
    </w:p>
    <w:p w14:paraId="3AEB4028" w14:textId="77777777" w:rsidR="00CD64DA" w:rsidRPr="00C21B99" w:rsidRDefault="00CD64DA" w:rsidP="00CD64DA">
      <w:pPr>
        <w:pStyle w:val="Default"/>
        <w:rPr>
          <w:sz w:val="22"/>
          <w:szCs w:val="22"/>
          <w:lang w:val="lt-LT"/>
        </w:rPr>
      </w:pPr>
      <w:proofErr w:type="spellStart"/>
      <w:r w:rsidRPr="00C21B99">
        <w:rPr>
          <w:sz w:val="22"/>
          <w:szCs w:val="22"/>
          <w:lang w:val="lt-LT"/>
        </w:rPr>
        <w:t>Kroskarmeliozės</w:t>
      </w:r>
      <w:proofErr w:type="spellEnd"/>
      <w:r w:rsidRPr="00C21B99">
        <w:rPr>
          <w:sz w:val="22"/>
          <w:szCs w:val="22"/>
          <w:lang w:val="lt-LT"/>
        </w:rPr>
        <w:t xml:space="preserve"> natri</w:t>
      </w:r>
      <w:r w:rsidR="00995210" w:rsidRPr="00C21B99">
        <w:rPr>
          <w:sz w:val="22"/>
          <w:szCs w:val="22"/>
          <w:lang w:val="lt-LT"/>
        </w:rPr>
        <w:t>o druska (E468)</w:t>
      </w:r>
    </w:p>
    <w:p w14:paraId="6E091F69" w14:textId="77777777" w:rsidR="00CD64DA" w:rsidRPr="00C21B99" w:rsidRDefault="00CD64DA" w:rsidP="00CD64DA">
      <w:pPr>
        <w:pStyle w:val="Default"/>
        <w:rPr>
          <w:sz w:val="22"/>
          <w:szCs w:val="22"/>
          <w:lang w:val="lt-LT"/>
        </w:rPr>
      </w:pPr>
      <w:proofErr w:type="spellStart"/>
      <w:r w:rsidRPr="00C21B99">
        <w:rPr>
          <w:sz w:val="22"/>
          <w:szCs w:val="22"/>
          <w:lang w:val="lt-LT"/>
        </w:rPr>
        <w:t>Povidonas</w:t>
      </w:r>
      <w:proofErr w:type="spellEnd"/>
      <w:r w:rsidRPr="00C21B99">
        <w:rPr>
          <w:sz w:val="22"/>
          <w:szCs w:val="22"/>
          <w:lang w:val="lt-LT"/>
        </w:rPr>
        <w:t xml:space="preserve"> K</w:t>
      </w:r>
      <w:r w:rsidR="00995210" w:rsidRPr="00C21B99">
        <w:rPr>
          <w:sz w:val="22"/>
          <w:szCs w:val="22"/>
          <w:lang w:val="lt-LT"/>
        </w:rPr>
        <w:t>30 (</w:t>
      </w:r>
      <w:r w:rsidRPr="00C21B99">
        <w:rPr>
          <w:sz w:val="22"/>
          <w:szCs w:val="22"/>
          <w:lang w:val="lt-LT"/>
        </w:rPr>
        <w:t>E1201</w:t>
      </w:r>
      <w:r w:rsidR="00995210" w:rsidRPr="00C21B99">
        <w:rPr>
          <w:sz w:val="22"/>
          <w:szCs w:val="22"/>
          <w:lang w:val="lt-LT"/>
        </w:rPr>
        <w:t>)</w:t>
      </w:r>
    </w:p>
    <w:p w14:paraId="6F06FA06" w14:textId="77777777" w:rsidR="00995210" w:rsidRPr="00C21B99" w:rsidRDefault="00995210" w:rsidP="00995210">
      <w:pPr>
        <w:pStyle w:val="Default"/>
        <w:rPr>
          <w:sz w:val="22"/>
          <w:szCs w:val="22"/>
          <w:lang w:val="lt-LT"/>
        </w:rPr>
      </w:pPr>
      <w:r w:rsidRPr="00C21B99">
        <w:rPr>
          <w:sz w:val="22"/>
          <w:szCs w:val="22"/>
          <w:lang w:val="lt-LT"/>
        </w:rPr>
        <w:t xml:space="preserve">Magnio </w:t>
      </w:r>
      <w:proofErr w:type="spellStart"/>
      <w:r w:rsidRPr="00C21B99">
        <w:rPr>
          <w:sz w:val="22"/>
          <w:szCs w:val="22"/>
          <w:lang w:val="lt-LT"/>
        </w:rPr>
        <w:t>stearatas</w:t>
      </w:r>
      <w:proofErr w:type="spellEnd"/>
      <w:r w:rsidRPr="00C21B99">
        <w:rPr>
          <w:sz w:val="22"/>
          <w:szCs w:val="22"/>
          <w:lang w:val="lt-LT"/>
        </w:rPr>
        <w:t xml:space="preserve"> (E470b)</w:t>
      </w:r>
    </w:p>
    <w:p w14:paraId="57B76097" w14:textId="2438E5A7" w:rsidR="00995210" w:rsidRPr="00C21B99" w:rsidRDefault="00CD64DA" w:rsidP="00CD64DA">
      <w:pPr>
        <w:pStyle w:val="Default"/>
        <w:rPr>
          <w:sz w:val="22"/>
          <w:szCs w:val="22"/>
          <w:lang w:val="lt-LT"/>
        </w:rPr>
      </w:pPr>
      <w:r w:rsidRPr="00C21B99">
        <w:rPr>
          <w:sz w:val="22"/>
          <w:szCs w:val="22"/>
          <w:lang w:val="lt-LT"/>
        </w:rPr>
        <w:t xml:space="preserve">Natrio </w:t>
      </w:r>
      <w:proofErr w:type="spellStart"/>
      <w:r w:rsidRPr="00C21B99">
        <w:rPr>
          <w:sz w:val="22"/>
          <w:szCs w:val="22"/>
          <w:lang w:val="lt-LT"/>
        </w:rPr>
        <w:t>laurilsulfatas</w:t>
      </w:r>
      <w:proofErr w:type="spellEnd"/>
    </w:p>
    <w:p w14:paraId="1D1523EC" w14:textId="77777777" w:rsidR="00995210" w:rsidRPr="00C21B99" w:rsidRDefault="00995210" w:rsidP="00CD64DA">
      <w:pPr>
        <w:pStyle w:val="Default"/>
        <w:rPr>
          <w:sz w:val="22"/>
          <w:szCs w:val="22"/>
          <w:lang w:val="lt-LT"/>
        </w:rPr>
      </w:pPr>
      <w:r w:rsidRPr="00C21B99">
        <w:rPr>
          <w:sz w:val="22"/>
          <w:szCs w:val="22"/>
          <w:lang w:val="lt-LT"/>
        </w:rPr>
        <w:t>Polivinilo alkoholis (E1203)</w:t>
      </w:r>
    </w:p>
    <w:p w14:paraId="4F0FE222" w14:textId="77777777" w:rsidR="00995210" w:rsidRPr="00C21B99" w:rsidRDefault="00995210" w:rsidP="00995210">
      <w:pPr>
        <w:pStyle w:val="Default"/>
        <w:rPr>
          <w:sz w:val="22"/>
          <w:szCs w:val="22"/>
          <w:lang w:val="lt-LT"/>
        </w:rPr>
      </w:pPr>
      <w:proofErr w:type="spellStart"/>
      <w:r w:rsidRPr="00C21B99">
        <w:rPr>
          <w:sz w:val="22"/>
          <w:szCs w:val="22"/>
          <w:lang w:val="lt-LT"/>
        </w:rPr>
        <w:t>Makrogolis</w:t>
      </w:r>
      <w:proofErr w:type="spellEnd"/>
      <w:r w:rsidRPr="00C21B99">
        <w:rPr>
          <w:sz w:val="22"/>
          <w:szCs w:val="22"/>
          <w:lang w:val="lt-LT"/>
        </w:rPr>
        <w:t xml:space="preserve"> 3350 (E1521)</w:t>
      </w:r>
    </w:p>
    <w:p w14:paraId="2F63248B" w14:textId="77777777" w:rsidR="00995210" w:rsidRPr="00C21B99" w:rsidRDefault="00995210" w:rsidP="00995210">
      <w:pPr>
        <w:pStyle w:val="Default"/>
        <w:rPr>
          <w:sz w:val="22"/>
          <w:szCs w:val="22"/>
          <w:lang w:val="lt-LT"/>
        </w:rPr>
      </w:pPr>
      <w:r w:rsidRPr="00C21B99">
        <w:rPr>
          <w:sz w:val="22"/>
          <w:szCs w:val="22"/>
          <w:lang w:val="lt-LT"/>
        </w:rPr>
        <w:t>Talkas (E553b)</w:t>
      </w:r>
    </w:p>
    <w:p w14:paraId="097DBB72" w14:textId="77777777" w:rsidR="00995210" w:rsidRPr="00C21B99" w:rsidRDefault="00995210" w:rsidP="00995210">
      <w:pPr>
        <w:pStyle w:val="Default"/>
        <w:rPr>
          <w:sz w:val="22"/>
          <w:szCs w:val="22"/>
          <w:lang w:val="lt-LT"/>
        </w:rPr>
      </w:pPr>
      <w:r w:rsidRPr="00C21B99">
        <w:rPr>
          <w:sz w:val="22"/>
          <w:szCs w:val="22"/>
          <w:lang w:val="lt-LT"/>
        </w:rPr>
        <w:t>Titano dioksidas (E17</w:t>
      </w:r>
      <w:r w:rsidR="009D1D6E">
        <w:rPr>
          <w:sz w:val="22"/>
          <w:szCs w:val="22"/>
          <w:lang w:val="lt-LT"/>
        </w:rPr>
        <w:t>1</w:t>
      </w:r>
      <w:r w:rsidRPr="00C21B99">
        <w:rPr>
          <w:sz w:val="22"/>
          <w:szCs w:val="22"/>
          <w:lang w:val="lt-LT"/>
        </w:rPr>
        <w:t>)</w:t>
      </w:r>
    </w:p>
    <w:p w14:paraId="378CBAD0" w14:textId="77777777" w:rsidR="00CD64DA" w:rsidRPr="00C21B99" w:rsidRDefault="00CD64DA" w:rsidP="00CD64DA">
      <w:pPr>
        <w:pStyle w:val="Default"/>
        <w:rPr>
          <w:sz w:val="22"/>
          <w:szCs w:val="22"/>
          <w:lang w:val="lt-LT"/>
        </w:rPr>
      </w:pPr>
      <w:r w:rsidRPr="00C21B99">
        <w:rPr>
          <w:sz w:val="22"/>
          <w:szCs w:val="22"/>
          <w:lang w:val="lt-LT"/>
        </w:rPr>
        <w:t xml:space="preserve">Raudonas geležies oksidas </w:t>
      </w:r>
      <w:r w:rsidR="00995210" w:rsidRPr="00C21B99">
        <w:rPr>
          <w:sz w:val="22"/>
          <w:szCs w:val="22"/>
          <w:lang w:val="lt-LT"/>
        </w:rPr>
        <w:t>(</w:t>
      </w:r>
      <w:r w:rsidRPr="00C21B99">
        <w:rPr>
          <w:sz w:val="22"/>
          <w:szCs w:val="22"/>
          <w:lang w:val="lt-LT"/>
        </w:rPr>
        <w:t>E172</w:t>
      </w:r>
      <w:r w:rsidR="00995210" w:rsidRPr="00C21B99">
        <w:rPr>
          <w:sz w:val="22"/>
          <w:szCs w:val="22"/>
          <w:lang w:val="lt-LT"/>
        </w:rPr>
        <w:t>)</w:t>
      </w:r>
    </w:p>
    <w:p w14:paraId="2CE79275" w14:textId="77777777" w:rsidR="009D1D6E" w:rsidRPr="009D1D6E" w:rsidRDefault="009D1D6E" w:rsidP="009D1D6E">
      <w:pPr>
        <w:pStyle w:val="Default"/>
        <w:rPr>
          <w:sz w:val="22"/>
          <w:szCs w:val="22"/>
        </w:rPr>
      </w:pPr>
      <w:r w:rsidRPr="009D1D6E">
        <w:rPr>
          <w:sz w:val="22"/>
          <w:szCs w:val="22"/>
        </w:rPr>
        <w:t>Geltonasis geležies oksidas (E172)</w:t>
      </w:r>
    </w:p>
    <w:p w14:paraId="4AEA64A0" w14:textId="77777777" w:rsidR="00995210" w:rsidRPr="00C21B99" w:rsidRDefault="00995210" w:rsidP="00CD64DA">
      <w:pPr>
        <w:pStyle w:val="Default"/>
        <w:rPr>
          <w:sz w:val="22"/>
          <w:szCs w:val="22"/>
          <w:lang w:val="lt-LT"/>
        </w:rPr>
      </w:pPr>
    </w:p>
    <w:p w14:paraId="1D232AF7" w14:textId="77777777" w:rsidR="00CD64DA" w:rsidRPr="00C21B99" w:rsidRDefault="00CD64DA" w:rsidP="00CD64DA">
      <w:pPr>
        <w:pStyle w:val="Default"/>
        <w:rPr>
          <w:b/>
          <w:sz w:val="22"/>
          <w:szCs w:val="22"/>
          <w:lang w:val="lt-LT"/>
        </w:rPr>
      </w:pPr>
      <w:r w:rsidRPr="00C21B99">
        <w:rPr>
          <w:b/>
          <w:sz w:val="22"/>
          <w:szCs w:val="22"/>
          <w:lang w:val="lt-LT"/>
        </w:rPr>
        <w:t>6.2</w:t>
      </w:r>
      <w:r w:rsidR="00995210" w:rsidRPr="00C21B99">
        <w:rPr>
          <w:b/>
          <w:sz w:val="22"/>
          <w:szCs w:val="22"/>
          <w:lang w:val="lt-LT"/>
        </w:rPr>
        <w:tab/>
      </w:r>
      <w:r w:rsidRPr="00C21B99">
        <w:rPr>
          <w:b/>
          <w:sz w:val="22"/>
          <w:szCs w:val="22"/>
          <w:lang w:val="lt-LT"/>
        </w:rPr>
        <w:t>Nesuderinamumas</w:t>
      </w:r>
    </w:p>
    <w:p w14:paraId="6933FB3A" w14:textId="77777777" w:rsidR="00995210" w:rsidRPr="00C21B99" w:rsidRDefault="00995210" w:rsidP="00CD64DA">
      <w:pPr>
        <w:pStyle w:val="Default"/>
        <w:rPr>
          <w:sz w:val="22"/>
          <w:szCs w:val="22"/>
          <w:lang w:val="lt-LT"/>
        </w:rPr>
      </w:pPr>
    </w:p>
    <w:p w14:paraId="0A39D470" w14:textId="77777777" w:rsidR="00CD64DA" w:rsidRPr="00C21B99" w:rsidRDefault="00CD64DA" w:rsidP="00CD64DA">
      <w:pPr>
        <w:pStyle w:val="Default"/>
        <w:rPr>
          <w:sz w:val="22"/>
          <w:szCs w:val="22"/>
          <w:lang w:val="lt-LT"/>
        </w:rPr>
      </w:pPr>
      <w:r w:rsidRPr="00C21B99">
        <w:rPr>
          <w:sz w:val="22"/>
          <w:szCs w:val="22"/>
          <w:lang w:val="lt-LT"/>
        </w:rPr>
        <w:t>Duomenys nebūtini.</w:t>
      </w:r>
    </w:p>
    <w:p w14:paraId="67978388" w14:textId="77777777" w:rsidR="00995210" w:rsidRPr="00C21B99" w:rsidRDefault="00995210" w:rsidP="00CD64DA">
      <w:pPr>
        <w:pStyle w:val="Default"/>
        <w:rPr>
          <w:sz w:val="22"/>
          <w:szCs w:val="22"/>
          <w:lang w:val="lt-LT"/>
        </w:rPr>
      </w:pPr>
    </w:p>
    <w:p w14:paraId="3A9DF71C" w14:textId="77777777" w:rsidR="00995210" w:rsidRPr="00C21B99" w:rsidRDefault="00CD64DA" w:rsidP="00CD64DA">
      <w:pPr>
        <w:pStyle w:val="Default"/>
        <w:rPr>
          <w:b/>
          <w:sz w:val="22"/>
          <w:szCs w:val="22"/>
          <w:lang w:val="lt-LT"/>
        </w:rPr>
      </w:pPr>
      <w:r w:rsidRPr="00C21B99">
        <w:rPr>
          <w:b/>
          <w:sz w:val="22"/>
          <w:szCs w:val="22"/>
          <w:lang w:val="lt-LT"/>
        </w:rPr>
        <w:t>6.3</w:t>
      </w:r>
      <w:r w:rsidR="00995210" w:rsidRPr="00C21B99">
        <w:rPr>
          <w:b/>
          <w:sz w:val="22"/>
          <w:szCs w:val="22"/>
          <w:lang w:val="lt-LT"/>
        </w:rPr>
        <w:tab/>
      </w:r>
      <w:r w:rsidRPr="00C21B99">
        <w:rPr>
          <w:b/>
          <w:sz w:val="22"/>
          <w:szCs w:val="22"/>
          <w:lang w:val="lt-LT"/>
        </w:rPr>
        <w:t>Tinkamumo</w:t>
      </w:r>
      <w:r w:rsidR="00995210" w:rsidRPr="00C21B99">
        <w:rPr>
          <w:b/>
          <w:sz w:val="22"/>
          <w:szCs w:val="22"/>
          <w:lang w:val="lt-LT"/>
        </w:rPr>
        <w:t xml:space="preserve"> laikas</w:t>
      </w:r>
    </w:p>
    <w:p w14:paraId="591DCCEE" w14:textId="77777777" w:rsidR="00995210" w:rsidRPr="00C21B99" w:rsidRDefault="00995210" w:rsidP="00CD64DA">
      <w:pPr>
        <w:pStyle w:val="Default"/>
        <w:rPr>
          <w:sz w:val="22"/>
          <w:szCs w:val="22"/>
          <w:lang w:val="lt-LT"/>
        </w:rPr>
      </w:pPr>
    </w:p>
    <w:p w14:paraId="674BA58B" w14:textId="177FE531" w:rsidR="00995210" w:rsidRPr="00C21B99" w:rsidRDefault="00B62DCF" w:rsidP="00CD64DA">
      <w:pPr>
        <w:pStyle w:val="Default"/>
        <w:rPr>
          <w:sz w:val="22"/>
          <w:szCs w:val="22"/>
          <w:lang w:val="lt-LT"/>
        </w:rPr>
      </w:pPr>
      <w:r>
        <w:rPr>
          <w:sz w:val="22"/>
          <w:szCs w:val="22"/>
          <w:lang w:val="lt-LT"/>
        </w:rPr>
        <w:t>3</w:t>
      </w:r>
      <w:r w:rsidR="00995210" w:rsidRPr="00C21B99">
        <w:rPr>
          <w:sz w:val="22"/>
          <w:szCs w:val="22"/>
          <w:lang w:val="lt-LT"/>
        </w:rPr>
        <w:t xml:space="preserve"> metai</w:t>
      </w:r>
    </w:p>
    <w:p w14:paraId="5C1AB297" w14:textId="77777777" w:rsidR="00D87EAB" w:rsidRPr="00C21B99" w:rsidRDefault="00D87EAB" w:rsidP="00D87EAB">
      <w:pPr>
        <w:widowControl w:val="0"/>
        <w:rPr>
          <w:snapToGrid w:val="0"/>
          <w:szCs w:val="22"/>
          <w:lang w:eastAsia="en-US"/>
        </w:rPr>
      </w:pPr>
    </w:p>
    <w:p w14:paraId="074236AE" w14:textId="77777777" w:rsidR="00D87EAB" w:rsidRPr="00C21B99" w:rsidRDefault="00D87EAB" w:rsidP="00D87EAB">
      <w:pPr>
        <w:widowControl w:val="0"/>
        <w:tabs>
          <w:tab w:val="left" w:pos="567"/>
        </w:tabs>
        <w:jc w:val="both"/>
        <w:outlineLvl w:val="3"/>
        <w:rPr>
          <w:b/>
          <w:bCs/>
          <w:snapToGrid w:val="0"/>
          <w:szCs w:val="22"/>
        </w:rPr>
      </w:pPr>
      <w:r w:rsidRPr="00C21B99">
        <w:rPr>
          <w:b/>
          <w:bCs/>
          <w:snapToGrid w:val="0"/>
          <w:szCs w:val="22"/>
        </w:rPr>
        <w:t>6.4</w:t>
      </w:r>
      <w:r w:rsidRPr="00C21B99">
        <w:rPr>
          <w:b/>
          <w:bCs/>
          <w:snapToGrid w:val="0"/>
          <w:szCs w:val="22"/>
        </w:rPr>
        <w:tab/>
        <w:t>Specialios laikymo sąlygos</w:t>
      </w:r>
    </w:p>
    <w:p w14:paraId="1238734D" w14:textId="77777777" w:rsidR="00D87EAB" w:rsidRPr="00C21B99" w:rsidRDefault="00D87EAB" w:rsidP="00D87EAB">
      <w:pPr>
        <w:widowControl w:val="0"/>
        <w:rPr>
          <w:snapToGrid w:val="0"/>
          <w:szCs w:val="22"/>
          <w:lang w:eastAsia="en-US"/>
        </w:rPr>
      </w:pPr>
    </w:p>
    <w:p w14:paraId="1AAC0C65" w14:textId="77777777" w:rsidR="00D87EAB" w:rsidRPr="00C21B99" w:rsidRDefault="00995210" w:rsidP="00D87EAB">
      <w:pPr>
        <w:widowControl w:val="0"/>
        <w:rPr>
          <w:szCs w:val="22"/>
          <w:lang w:eastAsia="en-US"/>
        </w:rPr>
      </w:pPr>
      <w:r w:rsidRPr="00C21B99">
        <w:rPr>
          <w:szCs w:val="22"/>
          <w:lang w:eastAsia="en-US"/>
        </w:rPr>
        <w:t>Šio vaistinio preparato laikymui specialių temperatūros sąlygų nereikalaujama</w:t>
      </w:r>
      <w:r w:rsidR="00D87EAB" w:rsidRPr="00C21B99">
        <w:rPr>
          <w:szCs w:val="22"/>
          <w:lang w:eastAsia="en-US"/>
        </w:rPr>
        <w:t>.</w:t>
      </w:r>
    </w:p>
    <w:p w14:paraId="556433BD" w14:textId="77777777" w:rsidR="00D87EAB" w:rsidRPr="00C21B99" w:rsidRDefault="006F659B" w:rsidP="00D87EAB">
      <w:pPr>
        <w:widowControl w:val="0"/>
        <w:rPr>
          <w:snapToGrid w:val="0"/>
          <w:szCs w:val="22"/>
          <w:lang w:eastAsia="en-US"/>
        </w:rPr>
      </w:pPr>
      <w:r w:rsidRPr="00C21B99">
        <w:rPr>
          <w:snapToGrid w:val="0"/>
          <w:szCs w:val="22"/>
          <w:lang w:eastAsia="en-US"/>
        </w:rPr>
        <w:t>Laikyti gamintojo pakuotėje,</w:t>
      </w:r>
      <w:r w:rsidRPr="00C21B99">
        <w:t xml:space="preserve"> </w:t>
      </w:r>
      <w:r w:rsidRPr="00C21B99">
        <w:rPr>
          <w:snapToGrid w:val="0"/>
          <w:szCs w:val="22"/>
          <w:lang w:eastAsia="en-US"/>
        </w:rPr>
        <w:t>kad vaistinis preparatas būtų apsaugotas nuo drėgmės.</w:t>
      </w:r>
    </w:p>
    <w:p w14:paraId="0021CA95" w14:textId="77777777" w:rsidR="00593752" w:rsidRPr="00C21B99" w:rsidRDefault="00593752" w:rsidP="00D87EAB">
      <w:pPr>
        <w:widowControl w:val="0"/>
        <w:tabs>
          <w:tab w:val="left" w:pos="567"/>
        </w:tabs>
        <w:jc w:val="both"/>
        <w:outlineLvl w:val="3"/>
        <w:rPr>
          <w:snapToGrid w:val="0"/>
          <w:szCs w:val="22"/>
          <w:lang w:eastAsia="en-US"/>
        </w:rPr>
      </w:pPr>
    </w:p>
    <w:p w14:paraId="2B655F57" w14:textId="77777777" w:rsidR="00D87EAB" w:rsidRPr="00C21B99" w:rsidRDefault="00D87EAB" w:rsidP="00D87EAB">
      <w:pPr>
        <w:widowControl w:val="0"/>
        <w:tabs>
          <w:tab w:val="left" w:pos="567"/>
        </w:tabs>
        <w:jc w:val="both"/>
        <w:outlineLvl w:val="3"/>
        <w:rPr>
          <w:b/>
          <w:bCs/>
          <w:snapToGrid w:val="0"/>
          <w:szCs w:val="22"/>
        </w:rPr>
      </w:pPr>
      <w:r w:rsidRPr="00C21B99">
        <w:rPr>
          <w:b/>
          <w:bCs/>
          <w:snapToGrid w:val="0"/>
          <w:szCs w:val="22"/>
        </w:rPr>
        <w:t>6.5</w:t>
      </w:r>
      <w:r w:rsidRPr="00C21B99">
        <w:rPr>
          <w:b/>
          <w:bCs/>
          <w:snapToGrid w:val="0"/>
          <w:szCs w:val="22"/>
        </w:rPr>
        <w:tab/>
      </w:r>
      <w:proofErr w:type="spellStart"/>
      <w:r w:rsidRPr="00C21B99">
        <w:rPr>
          <w:b/>
          <w:bCs/>
          <w:snapToGrid w:val="0"/>
          <w:szCs w:val="22"/>
        </w:rPr>
        <w:t>Talpyklės</w:t>
      </w:r>
      <w:proofErr w:type="spellEnd"/>
      <w:r w:rsidRPr="00C21B99">
        <w:rPr>
          <w:b/>
          <w:bCs/>
          <w:snapToGrid w:val="0"/>
          <w:szCs w:val="22"/>
        </w:rPr>
        <w:t xml:space="preserve"> pobūdis ir jos turinys</w:t>
      </w:r>
    </w:p>
    <w:p w14:paraId="6B0762B2" w14:textId="77777777" w:rsidR="00D87EAB" w:rsidRPr="00C21B99" w:rsidRDefault="00D87EAB" w:rsidP="00D87EAB">
      <w:pPr>
        <w:widowControl w:val="0"/>
        <w:rPr>
          <w:snapToGrid w:val="0"/>
          <w:szCs w:val="22"/>
          <w:lang w:eastAsia="en-US"/>
        </w:rPr>
      </w:pPr>
    </w:p>
    <w:p w14:paraId="156249F1" w14:textId="77777777" w:rsidR="006F659B" w:rsidRPr="00C21B99" w:rsidRDefault="0072150F" w:rsidP="006F659B">
      <w:pPr>
        <w:widowControl w:val="0"/>
        <w:rPr>
          <w:snapToGrid w:val="0"/>
          <w:szCs w:val="22"/>
          <w:lang w:eastAsia="en-US"/>
        </w:rPr>
      </w:pPr>
      <w:proofErr w:type="spellStart"/>
      <w:r w:rsidRPr="00C21B99">
        <w:rPr>
          <w:szCs w:val="22"/>
          <w:lang w:eastAsia="en-US"/>
        </w:rPr>
        <w:t>Gefitinib</w:t>
      </w:r>
      <w:proofErr w:type="spellEnd"/>
      <w:r w:rsidRPr="00C21B99">
        <w:rPr>
          <w:szCs w:val="22"/>
          <w:lang w:eastAsia="en-US"/>
        </w:rPr>
        <w:t xml:space="preserve"> </w:t>
      </w:r>
      <w:proofErr w:type="spellStart"/>
      <w:r w:rsidRPr="00C21B99">
        <w:rPr>
          <w:szCs w:val="22"/>
          <w:lang w:eastAsia="en-US"/>
        </w:rPr>
        <w:t>Sandoz</w:t>
      </w:r>
      <w:proofErr w:type="spellEnd"/>
      <w:r w:rsidRPr="00C21B99">
        <w:rPr>
          <w:szCs w:val="22"/>
          <w:lang w:eastAsia="en-US"/>
        </w:rPr>
        <w:t xml:space="preserve"> 250 mg plėvele dengtos tabletės</w:t>
      </w:r>
      <w:r w:rsidRPr="00C21B99">
        <w:rPr>
          <w:snapToGrid w:val="0"/>
          <w:szCs w:val="22"/>
          <w:lang w:eastAsia="en-US"/>
        </w:rPr>
        <w:t xml:space="preserve"> </w:t>
      </w:r>
      <w:r>
        <w:rPr>
          <w:snapToGrid w:val="0"/>
          <w:szCs w:val="22"/>
          <w:lang w:eastAsia="en-US"/>
        </w:rPr>
        <w:t>yra supakuotos į a</w:t>
      </w:r>
      <w:r w:rsidR="006F659B" w:rsidRPr="00C21B99">
        <w:rPr>
          <w:snapToGrid w:val="0"/>
          <w:szCs w:val="22"/>
          <w:lang w:eastAsia="en-US"/>
        </w:rPr>
        <w:t>liuminio-OPA/Al/PVC perforuot</w:t>
      </w:r>
      <w:r w:rsidR="00E32056">
        <w:rPr>
          <w:snapToGrid w:val="0"/>
          <w:szCs w:val="22"/>
          <w:lang w:eastAsia="en-US"/>
        </w:rPr>
        <w:t>as</w:t>
      </w:r>
      <w:r w:rsidR="006F659B" w:rsidRPr="00C21B99">
        <w:rPr>
          <w:snapToGrid w:val="0"/>
          <w:szCs w:val="22"/>
          <w:lang w:eastAsia="en-US"/>
        </w:rPr>
        <w:t xml:space="preserve"> </w:t>
      </w:r>
      <w:proofErr w:type="spellStart"/>
      <w:r w:rsidR="009D1D6E">
        <w:rPr>
          <w:snapToGrid w:val="0"/>
          <w:szCs w:val="22"/>
          <w:lang w:eastAsia="en-US"/>
        </w:rPr>
        <w:t>dalomą</w:t>
      </w:r>
      <w:r w:rsidR="00E32056">
        <w:rPr>
          <w:snapToGrid w:val="0"/>
          <w:szCs w:val="22"/>
          <w:lang w:eastAsia="en-US"/>
        </w:rPr>
        <w:t>sias</w:t>
      </w:r>
      <w:proofErr w:type="spellEnd"/>
      <w:r w:rsidR="00143AE9">
        <w:rPr>
          <w:snapToGrid w:val="0"/>
          <w:szCs w:val="22"/>
          <w:lang w:eastAsia="en-US"/>
        </w:rPr>
        <w:t xml:space="preserve"> lizdin</w:t>
      </w:r>
      <w:r w:rsidR="00E32056">
        <w:rPr>
          <w:snapToGrid w:val="0"/>
          <w:szCs w:val="22"/>
          <w:lang w:eastAsia="en-US"/>
        </w:rPr>
        <w:t>es</w:t>
      </w:r>
      <w:r w:rsidR="00143AE9">
        <w:rPr>
          <w:snapToGrid w:val="0"/>
          <w:szCs w:val="22"/>
          <w:lang w:eastAsia="en-US"/>
        </w:rPr>
        <w:t xml:space="preserve"> plokštel</w:t>
      </w:r>
      <w:r w:rsidR="00E32056">
        <w:rPr>
          <w:snapToGrid w:val="0"/>
          <w:szCs w:val="22"/>
          <w:lang w:eastAsia="en-US"/>
        </w:rPr>
        <w:t>es</w:t>
      </w:r>
      <w:r w:rsidR="00143AE9">
        <w:rPr>
          <w:snapToGrid w:val="0"/>
          <w:szCs w:val="22"/>
          <w:lang w:eastAsia="en-US"/>
        </w:rPr>
        <w:t xml:space="preserve"> ar</w:t>
      </w:r>
      <w:r w:rsidR="00E32056">
        <w:rPr>
          <w:snapToGrid w:val="0"/>
          <w:szCs w:val="22"/>
          <w:lang w:eastAsia="en-US"/>
        </w:rPr>
        <w:t>ba</w:t>
      </w:r>
      <w:r w:rsidR="00143AE9">
        <w:rPr>
          <w:snapToGrid w:val="0"/>
          <w:szCs w:val="22"/>
          <w:lang w:eastAsia="en-US"/>
        </w:rPr>
        <w:t xml:space="preserve"> į </w:t>
      </w:r>
      <w:r w:rsidR="00E32056">
        <w:rPr>
          <w:snapToGrid w:val="0"/>
          <w:szCs w:val="22"/>
          <w:lang w:eastAsia="en-US"/>
        </w:rPr>
        <w:t>aliuminio-</w:t>
      </w:r>
      <w:r w:rsidR="006F659B" w:rsidRPr="00C21B99">
        <w:rPr>
          <w:snapToGrid w:val="0"/>
          <w:szCs w:val="22"/>
          <w:lang w:eastAsia="en-US"/>
        </w:rPr>
        <w:t>OPA/Al/PVC neperforuot</w:t>
      </w:r>
      <w:r w:rsidR="00E32056">
        <w:rPr>
          <w:snapToGrid w:val="0"/>
          <w:szCs w:val="22"/>
          <w:lang w:eastAsia="en-US"/>
        </w:rPr>
        <w:t>as</w:t>
      </w:r>
      <w:r w:rsidR="006F659B" w:rsidRPr="00C21B99">
        <w:rPr>
          <w:snapToGrid w:val="0"/>
          <w:szCs w:val="22"/>
          <w:lang w:eastAsia="en-US"/>
        </w:rPr>
        <w:t xml:space="preserve"> lizdin</w:t>
      </w:r>
      <w:r w:rsidR="00E32056">
        <w:rPr>
          <w:snapToGrid w:val="0"/>
          <w:szCs w:val="22"/>
          <w:lang w:eastAsia="en-US"/>
        </w:rPr>
        <w:t>es</w:t>
      </w:r>
      <w:r w:rsidR="006F659B" w:rsidRPr="00C21B99">
        <w:rPr>
          <w:snapToGrid w:val="0"/>
          <w:szCs w:val="22"/>
          <w:lang w:eastAsia="en-US"/>
        </w:rPr>
        <w:t xml:space="preserve"> plokštel</w:t>
      </w:r>
      <w:r w:rsidR="00E32056">
        <w:rPr>
          <w:snapToGrid w:val="0"/>
          <w:szCs w:val="22"/>
          <w:lang w:eastAsia="en-US"/>
        </w:rPr>
        <w:t>es</w:t>
      </w:r>
      <w:r w:rsidR="00143AE9">
        <w:rPr>
          <w:snapToGrid w:val="0"/>
          <w:szCs w:val="22"/>
          <w:lang w:eastAsia="en-US"/>
        </w:rPr>
        <w:t>.</w:t>
      </w:r>
    </w:p>
    <w:p w14:paraId="76BB5F04" w14:textId="77777777" w:rsidR="006F659B" w:rsidRPr="00C21B99" w:rsidRDefault="00143AE9" w:rsidP="006F659B">
      <w:pPr>
        <w:widowControl w:val="0"/>
        <w:rPr>
          <w:snapToGrid w:val="0"/>
          <w:szCs w:val="22"/>
          <w:lang w:eastAsia="en-US"/>
        </w:rPr>
      </w:pPr>
      <w:r>
        <w:rPr>
          <w:snapToGrid w:val="0"/>
          <w:szCs w:val="22"/>
          <w:lang w:eastAsia="en-US"/>
        </w:rPr>
        <w:t>Pakuotės dydžiai</w:t>
      </w:r>
      <w:r w:rsidR="006F659B" w:rsidRPr="00C21B99">
        <w:rPr>
          <w:snapToGrid w:val="0"/>
          <w:szCs w:val="22"/>
          <w:lang w:eastAsia="en-US"/>
        </w:rPr>
        <w:t>: 30</w:t>
      </w:r>
      <w:r>
        <w:rPr>
          <w:snapToGrid w:val="0"/>
          <w:szCs w:val="22"/>
          <w:lang w:eastAsia="en-US"/>
        </w:rPr>
        <w:t>, 30x1, 60x1, 90x1, 100x1</w:t>
      </w:r>
      <w:r w:rsidR="009D1D6E">
        <w:rPr>
          <w:snapToGrid w:val="0"/>
          <w:szCs w:val="22"/>
          <w:lang w:eastAsia="en-US"/>
        </w:rPr>
        <w:t xml:space="preserve"> arba</w:t>
      </w:r>
      <w:r>
        <w:rPr>
          <w:snapToGrid w:val="0"/>
          <w:szCs w:val="22"/>
          <w:lang w:eastAsia="en-US"/>
        </w:rPr>
        <w:t xml:space="preserve"> 120x1</w:t>
      </w:r>
      <w:r w:rsidR="009D1D6E">
        <w:rPr>
          <w:snapToGrid w:val="0"/>
          <w:szCs w:val="22"/>
          <w:lang w:eastAsia="en-US"/>
        </w:rPr>
        <w:t xml:space="preserve"> </w:t>
      </w:r>
      <w:r w:rsidR="006F659B" w:rsidRPr="00C21B99">
        <w:rPr>
          <w:snapToGrid w:val="0"/>
          <w:szCs w:val="22"/>
          <w:lang w:eastAsia="en-US"/>
        </w:rPr>
        <w:t xml:space="preserve">plėvele dengtų tablečių. </w:t>
      </w:r>
    </w:p>
    <w:p w14:paraId="0D390CB3" w14:textId="77777777" w:rsidR="00691A22" w:rsidRDefault="00691A22" w:rsidP="006F659B">
      <w:pPr>
        <w:widowControl w:val="0"/>
        <w:rPr>
          <w:snapToGrid w:val="0"/>
          <w:szCs w:val="22"/>
          <w:lang w:eastAsia="en-US"/>
        </w:rPr>
      </w:pPr>
    </w:p>
    <w:p w14:paraId="60A8E666" w14:textId="77777777" w:rsidR="00691A22" w:rsidRPr="00691A22" w:rsidRDefault="00691A22" w:rsidP="00691A22">
      <w:pPr>
        <w:widowControl w:val="0"/>
        <w:rPr>
          <w:snapToGrid w:val="0"/>
          <w:szCs w:val="22"/>
          <w:lang w:eastAsia="en-US"/>
        </w:rPr>
      </w:pPr>
      <w:r w:rsidRPr="00691A22">
        <w:rPr>
          <w:snapToGrid w:val="0"/>
          <w:szCs w:val="22"/>
          <w:lang w:eastAsia="en-US"/>
        </w:rPr>
        <w:t>Sudėtinėje pakuotėje yra 60 x 1 (2 pakuotės po 30 x 1) plėvele dengtų tablečių</w:t>
      </w:r>
    </w:p>
    <w:p w14:paraId="4A9BB9CF" w14:textId="77777777" w:rsidR="00691A22" w:rsidRPr="00691A22" w:rsidRDefault="00691A22" w:rsidP="00691A22">
      <w:pPr>
        <w:widowControl w:val="0"/>
        <w:rPr>
          <w:snapToGrid w:val="0"/>
          <w:szCs w:val="22"/>
          <w:lang w:eastAsia="en-US"/>
        </w:rPr>
      </w:pPr>
      <w:r w:rsidRPr="00691A22">
        <w:rPr>
          <w:snapToGrid w:val="0"/>
          <w:szCs w:val="22"/>
          <w:lang w:eastAsia="en-US"/>
        </w:rPr>
        <w:t>Sudėtinėje pakuotėje yra 90 x 1 (3 pakuotės po 30 x 1) plėvele dengtų tablečių</w:t>
      </w:r>
    </w:p>
    <w:p w14:paraId="53342379" w14:textId="77777777" w:rsidR="00691A22" w:rsidRDefault="00691A22" w:rsidP="00691A22">
      <w:pPr>
        <w:widowControl w:val="0"/>
        <w:rPr>
          <w:snapToGrid w:val="0"/>
          <w:szCs w:val="22"/>
          <w:lang w:eastAsia="en-US"/>
        </w:rPr>
      </w:pPr>
      <w:r w:rsidRPr="00691A22">
        <w:rPr>
          <w:snapToGrid w:val="0"/>
          <w:szCs w:val="22"/>
          <w:lang w:eastAsia="en-US"/>
        </w:rPr>
        <w:t>Sudėtinės pakuotės yra sujungt</w:t>
      </w:r>
      <w:r w:rsidRPr="003A4A27">
        <w:rPr>
          <w:snapToGrid w:val="0"/>
          <w:szCs w:val="22"/>
          <w:lang w:eastAsia="en-US"/>
        </w:rPr>
        <w:t>os su folija ir etikete.</w:t>
      </w:r>
    </w:p>
    <w:p w14:paraId="1241BAAB" w14:textId="77777777" w:rsidR="00691A22" w:rsidRDefault="00691A22" w:rsidP="00691A22">
      <w:pPr>
        <w:widowControl w:val="0"/>
        <w:rPr>
          <w:snapToGrid w:val="0"/>
          <w:szCs w:val="22"/>
          <w:lang w:eastAsia="en-US"/>
        </w:rPr>
      </w:pPr>
    </w:p>
    <w:p w14:paraId="7EA2E033" w14:textId="77777777" w:rsidR="00D87EAB" w:rsidRPr="00C21B99" w:rsidRDefault="006F659B" w:rsidP="006F659B">
      <w:pPr>
        <w:widowControl w:val="0"/>
        <w:rPr>
          <w:snapToGrid w:val="0"/>
          <w:szCs w:val="22"/>
          <w:lang w:eastAsia="en-US"/>
        </w:rPr>
      </w:pPr>
      <w:r w:rsidRPr="00C21B99">
        <w:rPr>
          <w:snapToGrid w:val="0"/>
          <w:szCs w:val="22"/>
          <w:lang w:eastAsia="en-US"/>
        </w:rPr>
        <w:t>Gali būti tiekiamos ne visų dydžių pakuotės</w:t>
      </w:r>
      <w:r w:rsidR="00D87EAB" w:rsidRPr="00C21B99">
        <w:rPr>
          <w:snapToGrid w:val="0"/>
          <w:szCs w:val="22"/>
          <w:lang w:eastAsia="en-US"/>
        </w:rPr>
        <w:t>.</w:t>
      </w:r>
    </w:p>
    <w:p w14:paraId="497FF991" w14:textId="77777777" w:rsidR="0088092B" w:rsidRPr="00C21B99" w:rsidRDefault="0088092B" w:rsidP="00D87EAB">
      <w:pPr>
        <w:widowControl w:val="0"/>
        <w:rPr>
          <w:snapToGrid w:val="0"/>
          <w:szCs w:val="22"/>
          <w:lang w:eastAsia="en-US"/>
        </w:rPr>
      </w:pPr>
    </w:p>
    <w:p w14:paraId="4D95FF06" w14:textId="77777777" w:rsidR="00D87EAB" w:rsidRPr="00C21B99" w:rsidRDefault="00D87EAB" w:rsidP="00D87EAB">
      <w:pPr>
        <w:widowControl w:val="0"/>
        <w:tabs>
          <w:tab w:val="left" w:pos="567"/>
        </w:tabs>
        <w:jc w:val="both"/>
        <w:outlineLvl w:val="3"/>
        <w:rPr>
          <w:b/>
          <w:bCs/>
          <w:snapToGrid w:val="0"/>
          <w:szCs w:val="22"/>
        </w:rPr>
      </w:pPr>
      <w:bookmarkStart w:id="0" w:name="OLE_LINK1"/>
      <w:r w:rsidRPr="00C21B99">
        <w:rPr>
          <w:b/>
          <w:bCs/>
          <w:snapToGrid w:val="0"/>
          <w:szCs w:val="22"/>
        </w:rPr>
        <w:t>6.6</w:t>
      </w:r>
      <w:r w:rsidRPr="00C21B99">
        <w:rPr>
          <w:b/>
          <w:bCs/>
          <w:snapToGrid w:val="0"/>
          <w:szCs w:val="22"/>
        </w:rPr>
        <w:tab/>
        <w:t>Specialūs reikalavimai atliekoms tvarkyti</w:t>
      </w:r>
    </w:p>
    <w:bookmarkEnd w:id="0"/>
    <w:p w14:paraId="0E6570BC" w14:textId="77777777" w:rsidR="00D87EAB" w:rsidRPr="00C21B99" w:rsidRDefault="00D87EAB" w:rsidP="00D87EAB">
      <w:pPr>
        <w:widowControl w:val="0"/>
        <w:rPr>
          <w:snapToGrid w:val="0"/>
          <w:szCs w:val="22"/>
          <w:lang w:eastAsia="en-US"/>
        </w:rPr>
      </w:pPr>
    </w:p>
    <w:p w14:paraId="64A290D2" w14:textId="77777777" w:rsidR="00D87EAB" w:rsidRPr="00C21B99" w:rsidRDefault="006F659B" w:rsidP="00D87EAB">
      <w:pPr>
        <w:widowControl w:val="0"/>
        <w:rPr>
          <w:snapToGrid w:val="0"/>
          <w:szCs w:val="22"/>
          <w:lang w:eastAsia="en-US"/>
        </w:rPr>
      </w:pPr>
      <w:r w:rsidRPr="00C21B99">
        <w:rPr>
          <w:snapToGrid w:val="0"/>
          <w:szCs w:val="22"/>
          <w:lang w:eastAsia="en-US"/>
        </w:rPr>
        <w:t>Nesuvartotą vaistinį preparatą ar atliekas reikia tvarkyti laikantis vietinių reikalavimų.</w:t>
      </w:r>
    </w:p>
    <w:p w14:paraId="4B9AAECA" w14:textId="77777777" w:rsidR="00D87EAB" w:rsidRPr="00C21B99" w:rsidRDefault="00D87EAB" w:rsidP="00D87EAB">
      <w:pPr>
        <w:widowControl w:val="0"/>
        <w:rPr>
          <w:snapToGrid w:val="0"/>
          <w:szCs w:val="22"/>
          <w:lang w:eastAsia="en-US"/>
        </w:rPr>
      </w:pPr>
    </w:p>
    <w:p w14:paraId="083067CF" w14:textId="77777777" w:rsidR="00D87EAB" w:rsidRPr="00C21B99" w:rsidRDefault="00D87EAB" w:rsidP="00D87EAB">
      <w:pPr>
        <w:widowControl w:val="0"/>
        <w:rPr>
          <w:snapToGrid w:val="0"/>
          <w:szCs w:val="22"/>
          <w:lang w:eastAsia="en-US"/>
        </w:rPr>
      </w:pPr>
    </w:p>
    <w:p w14:paraId="440B1D4E" w14:textId="77777777" w:rsidR="00D87EAB" w:rsidRPr="00C21B99" w:rsidRDefault="00D87EAB" w:rsidP="00D87EAB">
      <w:pPr>
        <w:widowControl w:val="0"/>
        <w:tabs>
          <w:tab w:val="left" w:pos="567"/>
        </w:tabs>
        <w:outlineLvl w:val="2"/>
        <w:rPr>
          <w:b/>
          <w:bCs/>
          <w:snapToGrid w:val="0"/>
          <w:szCs w:val="22"/>
        </w:rPr>
      </w:pPr>
      <w:r w:rsidRPr="00C21B99">
        <w:rPr>
          <w:b/>
          <w:bCs/>
          <w:snapToGrid w:val="0"/>
          <w:szCs w:val="22"/>
        </w:rPr>
        <w:t>7.</w:t>
      </w:r>
      <w:r w:rsidRPr="00C21B99">
        <w:rPr>
          <w:b/>
          <w:bCs/>
          <w:snapToGrid w:val="0"/>
          <w:szCs w:val="22"/>
        </w:rPr>
        <w:tab/>
        <w:t>REGISTRUOTOJAS</w:t>
      </w:r>
    </w:p>
    <w:p w14:paraId="79702082" w14:textId="77777777" w:rsidR="00D87EAB" w:rsidRPr="00C21B99" w:rsidRDefault="00D87EAB" w:rsidP="00D87EAB">
      <w:pPr>
        <w:widowControl w:val="0"/>
        <w:rPr>
          <w:snapToGrid w:val="0"/>
          <w:szCs w:val="22"/>
          <w:lang w:eastAsia="en-US"/>
        </w:rPr>
      </w:pPr>
    </w:p>
    <w:p w14:paraId="5D9C1FFF" w14:textId="77777777" w:rsidR="00D87EAB" w:rsidRPr="00C21B99" w:rsidRDefault="00D87EAB" w:rsidP="00D87EAB">
      <w:pPr>
        <w:widowControl w:val="0"/>
        <w:rPr>
          <w:snapToGrid w:val="0"/>
          <w:szCs w:val="22"/>
          <w:lang w:eastAsia="en-US"/>
        </w:rPr>
      </w:pPr>
      <w:proofErr w:type="spellStart"/>
      <w:r w:rsidRPr="00C21B99">
        <w:rPr>
          <w:snapToGrid w:val="0"/>
          <w:szCs w:val="22"/>
          <w:lang w:eastAsia="en-US"/>
        </w:rPr>
        <w:t>Sandoz</w:t>
      </w:r>
      <w:proofErr w:type="spellEnd"/>
      <w:r w:rsidRPr="00C21B99">
        <w:rPr>
          <w:snapToGrid w:val="0"/>
          <w:szCs w:val="22"/>
          <w:lang w:eastAsia="en-US"/>
        </w:rPr>
        <w:t xml:space="preserve"> </w:t>
      </w:r>
      <w:proofErr w:type="spellStart"/>
      <w:r w:rsidRPr="00C21B99">
        <w:rPr>
          <w:snapToGrid w:val="0"/>
          <w:szCs w:val="22"/>
          <w:lang w:eastAsia="en-US"/>
        </w:rPr>
        <w:t>d.d</w:t>
      </w:r>
      <w:proofErr w:type="spellEnd"/>
      <w:r w:rsidRPr="00C21B99">
        <w:rPr>
          <w:snapToGrid w:val="0"/>
          <w:szCs w:val="22"/>
          <w:lang w:eastAsia="en-US"/>
        </w:rPr>
        <w:t>.</w:t>
      </w:r>
    </w:p>
    <w:p w14:paraId="498474BE" w14:textId="77777777" w:rsidR="00D87EAB" w:rsidRPr="00C21B99" w:rsidRDefault="00D87EAB" w:rsidP="00D87EAB">
      <w:pPr>
        <w:widowControl w:val="0"/>
        <w:rPr>
          <w:snapToGrid w:val="0"/>
          <w:szCs w:val="22"/>
          <w:lang w:eastAsia="en-US"/>
        </w:rPr>
      </w:pPr>
      <w:proofErr w:type="spellStart"/>
      <w:r w:rsidRPr="00C21B99">
        <w:rPr>
          <w:snapToGrid w:val="0"/>
          <w:szCs w:val="22"/>
          <w:lang w:eastAsia="en-US"/>
        </w:rPr>
        <w:t>Verovškova</w:t>
      </w:r>
      <w:proofErr w:type="spellEnd"/>
      <w:r w:rsidRPr="00C21B99">
        <w:rPr>
          <w:snapToGrid w:val="0"/>
          <w:szCs w:val="22"/>
          <w:lang w:eastAsia="en-US"/>
        </w:rPr>
        <w:t xml:space="preserve"> 57</w:t>
      </w:r>
    </w:p>
    <w:p w14:paraId="797F8791" w14:textId="77777777" w:rsidR="00D87EAB" w:rsidRPr="00C21B99" w:rsidRDefault="00D87EAB" w:rsidP="00D87EAB">
      <w:pPr>
        <w:widowControl w:val="0"/>
        <w:rPr>
          <w:snapToGrid w:val="0"/>
          <w:szCs w:val="22"/>
          <w:lang w:eastAsia="en-US"/>
        </w:rPr>
      </w:pPr>
      <w:r w:rsidRPr="00C21B99">
        <w:rPr>
          <w:snapToGrid w:val="0"/>
          <w:szCs w:val="22"/>
          <w:lang w:eastAsia="en-US"/>
        </w:rPr>
        <w:t xml:space="preserve">SI-1000 </w:t>
      </w:r>
      <w:proofErr w:type="spellStart"/>
      <w:r w:rsidRPr="00C21B99">
        <w:rPr>
          <w:snapToGrid w:val="0"/>
          <w:szCs w:val="22"/>
          <w:lang w:eastAsia="en-US"/>
        </w:rPr>
        <w:t>Ljubljana</w:t>
      </w:r>
      <w:proofErr w:type="spellEnd"/>
    </w:p>
    <w:p w14:paraId="2C80D11E" w14:textId="77777777" w:rsidR="00D87EAB" w:rsidRPr="00C21B99" w:rsidRDefault="00D87EAB" w:rsidP="00D87EAB">
      <w:pPr>
        <w:widowControl w:val="0"/>
        <w:rPr>
          <w:snapToGrid w:val="0"/>
          <w:szCs w:val="22"/>
          <w:lang w:eastAsia="en-US"/>
        </w:rPr>
      </w:pPr>
      <w:r w:rsidRPr="00C21B99">
        <w:rPr>
          <w:snapToGrid w:val="0"/>
          <w:szCs w:val="22"/>
          <w:lang w:eastAsia="en-US"/>
        </w:rPr>
        <w:t>Slovėnija</w:t>
      </w:r>
    </w:p>
    <w:p w14:paraId="64E34716" w14:textId="77777777" w:rsidR="00D87EAB" w:rsidRPr="00C21B99" w:rsidRDefault="00D87EAB" w:rsidP="00D87EAB">
      <w:pPr>
        <w:widowControl w:val="0"/>
        <w:rPr>
          <w:snapToGrid w:val="0"/>
          <w:szCs w:val="22"/>
          <w:lang w:eastAsia="en-US"/>
        </w:rPr>
      </w:pPr>
    </w:p>
    <w:p w14:paraId="7E2AF300" w14:textId="77777777" w:rsidR="00D87EAB" w:rsidRPr="00C21B99" w:rsidRDefault="00D87EAB" w:rsidP="00D87EAB">
      <w:pPr>
        <w:widowControl w:val="0"/>
        <w:rPr>
          <w:snapToGrid w:val="0"/>
          <w:szCs w:val="22"/>
          <w:lang w:eastAsia="en-US"/>
        </w:rPr>
      </w:pPr>
    </w:p>
    <w:p w14:paraId="50B9494D" w14:textId="77777777" w:rsidR="00D87EAB" w:rsidRPr="00C21B99" w:rsidRDefault="00D87EAB" w:rsidP="00D87EAB">
      <w:pPr>
        <w:widowControl w:val="0"/>
        <w:tabs>
          <w:tab w:val="left" w:pos="567"/>
        </w:tabs>
        <w:outlineLvl w:val="2"/>
        <w:rPr>
          <w:b/>
          <w:bCs/>
          <w:snapToGrid w:val="0"/>
          <w:szCs w:val="22"/>
        </w:rPr>
      </w:pPr>
      <w:r w:rsidRPr="00C21B99">
        <w:rPr>
          <w:b/>
          <w:bCs/>
          <w:snapToGrid w:val="0"/>
          <w:szCs w:val="22"/>
        </w:rPr>
        <w:t>8.</w:t>
      </w:r>
      <w:r w:rsidRPr="00C21B99">
        <w:rPr>
          <w:b/>
          <w:bCs/>
          <w:snapToGrid w:val="0"/>
          <w:szCs w:val="22"/>
        </w:rPr>
        <w:tab/>
        <w:t>REGISTRACIJOS PAŽYMĖJIMO NUMERIS (-IAI)</w:t>
      </w:r>
    </w:p>
    <w:p w14:paraId="6F3DE404" w14:textId="77777777" w:rsidR="003F4ADD" w:rsidRDefault="003F4ADD" w:rsidP="00D87EAB">
      <w:pPr>
        <w:widowControl w:val="0"/>
        <w:tabs>
          <w:tab w:val="left" w:pos="567"/>
        </w:tabs>
        <w:outlineLvl w:val="2"/>
        <w:rPr>
          <w:bCs/>
          <w:szCs w:val="22"/>
        </w:rPr>
      </w:pPr>
    </w:p>
    <w:p w14:paraId="34614D83" w14:textId="77777777" w:rsidR="0088092B" w:rsidRPr="003F4ADD" w:rsidRDefault="003F4ADD" w:rsidP="00D87EAB">
      <w:pPr>
        <w:widowControl w:val="0"/>
        <w:tabs>
          <w:tab w:val="left" w:pos="567"/>
        </w:tabs>
        <w:outlineLvl w:val="2"/>
        <w:rPr>
          <w:b/>
          <w:bCs/>
          <w:snapToGrid w:val="0"/>
          <w:szCs w:val="22"/>
          <w:u w:val="single"/>
        </w:rPr>
      </w:pPr>
      <w:r w:rsidRPr="003F4ADD">
        <w:rPr>
          <w:bCs/>
          <w:szCs w:val="22"/>
          <w:u w:val="single"/>
        </w:rPr>
        <w:t>Lizdinė plokštelė</w:t>
      </w:r>
    </w:p>
    <w:p w14:paraId="13E76F56" w14:textId="77777777" w:rsidR="009958CC" w:rsidRPr="00556F71" w:rsidRDefault="009958CC" w:rsidP="009958CC">
      <w:pPr>
        <w:rPr>
          <w:bCs/>
          <w:szCs w:val="22"/>
        </w:rPr>
      </w:pPr>
      <w:r>
        <w:rPr>
          <w:szCs w:val="22"/>
        </w:rPr>
        <w:t>LT/1/18/4287/001</w:t>
      </w:r>
      <w:r w:rsidRPr="003C1C77">
        <w:rPr>
          <w:bCs/>
          <w:szCs w:val="22"/>
        </w:rPr>
        <w:t xml:space="preserve"> – N</w:t>
      </w:r>
      <w:r>
        <w:rPr>
          <w:bCs/>
          <w:szCs w:val="22"/>
        </w:rPr>
        <w:t>30</w:t>
      </w:r>
    </w:p>
    <w:p w14:paraId="30A6FA6E" w14:textId="77777777" w:rsidR="003F4ADD" w:rsidRPr="003F4ADD" w:rsidRDefault="003F4ADD" w:rsidP="009958CC">
      <w:pPr>
        <w:rPr>
          <w:szCs w:val="22"/>
          <w:u w:val="single"/>
        </w:rPr>
      </w:pPr>
      <w:proofErr w:type="spellStart"/>
      <w:r w:rsidRPr="003F4ADD">
        <w:rPr>
          <w:bCs/>
          <w:szCs w:val="22"/>
          <w:u w:val="single"/>
        </w:rPr>
        <w:t>Dalomoji</w:t>
      </w:r>
      <w:proofErr w:type="spellEnd"/>
      <w:r w:rsidRPr="003F4ADD">
        <w:rPr>
          <w:bCs/>
          <w:szCs w:val="22"/>
          <w:u w:val="single"/>
        </w:rPr>
        <w:t xml:space="preserve"> lizdinė plokštelė</w:t>
      </w:r>
    </w:p>
    <w:p w14:paraId="10E20CAE" w14:textId="77777777" w:rsidR="009958CC" w:rsidRPr="003C1C77" w:rsidRDefault="009958CC" w:rsidP="009958CC">
      <w:pPr>
        <w:rPr>
          <w:bCs/>
          <w:szCs w:val="22"/>
        </w:rPr>
      </w:pPr>
      <w:r>
        <w:rPr>
          <w:szCs w:val="22"/>
        </w:rPr>
        <w:t>LT/1/18/4287/002</w:t>
      </w:r>
      <w:r w:rsidRPr="003C1C77">
        <w:rPr>
          <w:bCs/>
          <w:szCs w:val="22"/>
        </w:rPr>
        <w:t xml:space="preserve"> – N</w:t>
      </w:r>
      <w:r>
        <w:rPr>
          <w:bCs/>
          <w:szCs w:val="22"/>
        </w:rPr>
        <w:t>30x1</w:t>
      </w:r>
    </w:p>
    <w:p w14:paraId="4B0D23F6" w14:textId="77777777" w:rsidR="009958CC" w:rsidRPr="00556F71" w:rsidRDefault="009958CC" w:rsidP="009958CC">
      <w:pPr>
        <w:rPr>
          <w:bCs/>
          <w:szCs w:val="22"/>
        </w:rPr>
      </w:pPr>
      <w:r>
        <w:rPr>
          <w:szCs w:val="22"/>
        </w:rPr>
        <w:t>LT/1/18/4287/003</w:t>
      </w:r>
      <w:r w:rsidRPr="003C1C77">
        <w:rPr>
          <w:bCs/>
          <w:szCs w:val="22"/>
        </w:rPr>
        <w:t xml:space="preserve"> – N</w:t>
      </w:r>
      <w:r>
        <w:rPr>
          <w:bCs/>
          <w:szCs w:val="22"/>
        </w:rPr>
        <w:t>60x1</w:t>
      </w:r>
    </w:p>
    <w:p w14:paraId="52296969" w14:textId="77777777" w:rsidR="009958CC" w:rsidRPr="00556F71" w:rsidRDefault="009958CC" w:rsidP="009958CC">
      <w:pPr>
        <w:rPr>
          <w:bCs/>
          <w:szCs w:val="22"/>
        </w:rPr>
      </w:pPr>
      <w:r>
        <w:rPr>
          <w:szCs w:val="22"/>
        </w:rPr>
        <w:t>LT/1/18/4287/004</w:t>
      </w:r>
      <w:r w:rsidRPr="003C1C77">
        <w:rPr>
          <w:bCs/>
          <w:szCs w:val="22"/>
        </w:rPr>
        <w:t xml:space="preserve"> – N</w:t>
      </w:r>
      <w:r>
        <w:rPr>
          <w:bCs/>
          <w:szCs w:val="22"/>
        </w:rPr>
        <w:t>90x1</w:t>
      </w:r>
    </w:p>
    <w:p w14:paraId="19BDC135" w14:textId="77777777" w:rsidR="009958CC" w:rsidRPr="00556F71" w:rsidRDefault="009958CC" w:rsidP="009958CC">
      <w:pPr>
        <w:rPr>
          <w:bCs/>
          <w:szCs w:val="22"/>
        </w:rPr>
      </w:pPr>
      <w:r>
        <w:rPr>
          <w:szCs w:val="22"/>
        </w:rPr>
        <w:t>LT/1/18/4287/005</w:t>
      </w:r>
      <w:r w:rsidRPr="003C1C77">
        <w:rPr>
          <w:bCs/>
          <w:szCs w:val="22"/>
        </w:rPr>
        <w:t xml:space="preserve"> – N</w:t>
      </w:r>
      <w:r>
        <w:rPr>
          <w:bCs/>
          <w:szCs w:val="22"/>
        </w:rPr>
        <w:t>100x1</w:t>
      </w:r>
    </w:p>
    <w:p w14:paraId="1FA9BC7D" w14:textId="77777777" w:rsidR="0088092B" w:rsidRDefault="009958CC" w:rsidP="009958CC">
      <w:pPr>
        <w:widowControl w:val="0"/>
        <w:rPr>
          <w:bCs/>
          <w:szCs w:val="22"/>
        </w:rPr>
      </w:pPr>
      <w:r>
        <w:rPr>
          <w:szCs w:val="22"/>
        </w:rPr>
        <w:t>LT/1/18/4287/006</w:t>
      </w:r>
      <w:r w:rsidRPr="003C1C77">
        <w:rPr>
          <w:bCs/>
          <w:szCs w:val="22"/>
        </w:rPr>
        <w:t xml:space="preserve"> – N</w:t>
      </w:r>
      <w:r>
        <w:rPr>
          <w:bCs/>
          <w:szCs w:val="22"/>
        </w:rPr>
        <w:t>120x1</w:t>
      </w:r>
    </w:p>
    <w:p w14:paraId="1068C35B" w14:textId="77777777" w:rsidR="007E43D4" w:rsidRPr="007E43D4" w:rsidRDefault="007E43D4" w:rsidP="007E43D4">
      <w:pPr>
        <w:widowControl w:val="0"/>
        <w:rPr>
          <w:bCs/>
          <w:szCs w:val="22"/>
        </w:rPr>
      </w:pPr>
      <w:r w:rsidRPr="007E43D4">
        <w:rPr>
          <w:bCs/>
          <w:szCs w:val="22"/>
        </w:rPr>
        <w:t>LT/1/18/4287/007 – lizdinė plokštelė, N60 (N2x30) (sudėtinė pakuotė)</w:t>
      </w:r>
    </w:p>
    <w:p w14:paraId="1E1B2E10" w14:textId="77777777" w:rsidR="009958CC" w:rsidRDefault="007E43D4" w:rsidP="007E43D4">
      <w:pPr>
        <w:widowControl w:val="0"/>
        <w:rPr>
          <w:bCs/>
          <w:szCs w:val="22"/>
        </w:rPr>
      </w:pPr>
      <w:r w:rsidRPr="007E43D4">
        <w:rPr>
          <w:bCs/>
          <w:szCs w:val="22"/>
        </w:rPr>
        <w:t>LT/1/18/4287/008 – lizdinė plokštelė, N90 (N3x30) (sudėtinė pakuotė)</w:t>
      </w:r>
    </w:p>
    <w:p w14:paraId="13C2D18A" w14:textId="77777777" w:rsidR="007E43D4" w:rsidRDefault="007E43D4" w:rsidP="007E43D4">
      <w:pPr>
        <w:widowControl w:val="0"/>
        <w:rPr>
          <w:bCs/>
          <w:szCs w:val="22"/>
        </w:rPr>
      </w:pPr>
    </w:p>
    <w:p w14:paraId="33ED57AD" w14:textId="77777777" w:rsidR="009958CC" w:rsidRPr="00C21B99" w:rsidRDefault="009958CC" w:rsidP="009958CC">
      <w:pPr>
        <w:widowControl w:val="0"/>
        <w:rPr>
          <w:szCs w:val="22"/>
          <w:lang w:eastAsia="en-US"/>
        </w:rPr>
      </w:pPr>
    </w:p>
    <w:p w14:paraId="334958B2" w14:textId="77777777" w:rsidR="0088092B" w:rsidRPr="00C21B99" w:rsidRDefault="0088092B" w:rsidP="0088092B">
      <w:pPr>
        <w:widowControl w:val="0"/>
        <w:tabs>
          <w:tab w:val="left" w:pos="567"/>
        </w:tabs>
        <w:outlineLvl w:val="2"/>
        <w:rPr>
          <w:b/>
          <w:bCs/>
          <w:snapToGrid w:val="0"/>
          <w:szCs w:val="22"/>
        </w:rPr>
      </w:pPr>
      <w:r w:rsidRPr="00C21B99">
        <w:rPr>
          <w:b/>
          <w:bCs/>
          <w:snapToGrid w:val="0"/>
          <w:szCs w:val="22"/>
        </w:rPr>
        <w:t>9.</w:t>
      </w:r>
      <w:r w:rsidRPr="00C21B99">
        <w:rPr>
          <w:b/>
          <w:bCs/>
          <w:snapToGrid w:val="0"/>
          <w:szCs w:val="22"/>
        </w:rPr>
        <w:tab/>
        <w:t>REGISTRAVIMO / PERREGISTRAVIMO DATA</w:t>
      </w:r>
    </w:p>
    <w:p w14:paraId="1FDC7E21" w14:textId="77777777" w:rsidR="0088092B" w:rsidRPr="00C21B99" w:rsidRDefault="0088092B" w:rsidP="0088092B">
      <w:pPr>
        <w:widowControl w:val="0"/>
        <w:rPr>
          <w:snapToGrid w:val="0"/>
          <w:szCs w:val="22"/>
          <w:lang w:eastAsia="en-US"/>
        </w:rPr>
      </w:pPr>
    </w:p>
    <w:p w14:paraId="68DF8D2E" w14:textId="77777777" w:rsidR="0088092B" w:rsidRPr="00C21B99" w:rsidRDefault="0088092B" w:rsidP="0088092B">
      <w:pPr>
        <w:rPr>
          <w:snapToGrid w:val="0"/>
          <w:szCs w:val="24"/>
          <w:lang w:eastAsia="en-US"/>
        </w:rPr>
      </w:pPr>
      <w:r w:rsidRPr="00C21B99">
        <w:rPr>
          <w:noProof/>
          <w:snapToGrid w:val="0"/>
          <w:szCs w:val="24"/>
          <w:lang w:eastAsia="en-US"/>
        </w:rPr>
        <w:t>Registravimo data</w:t>
      </w:r>
      <w:r w:rsidR="009958CC">
        <w:rPr>
          <w:noProof/>
          <w:snapToGrid w:val="0"/>
          <w:szCs w:val="24"/>
          <w:lang w:eastAsia="en-US"/>
        </w:rPr>
        <w:t xml:space="preserve"> 2018 m. spalio 26 d.</w:t>
      </w:r>
    </w:p>
    <w:p w14:paraId="63380BB4" w14:textId="7B440F45" w:rsidR="0088092B" w:rsidRPr="00C21B99" w:rsidRDefault="00F0003B" w:rsidP="0088092B">
      <w:pPr>
        <w:widowControl w:val="0"/>
        <w:rPr>
          <w:snapToGrid w:val="0"/>
          <w:szCs w:val="22"/>
          <w:lang w:eastAsia="en-US"/>
        </w:rPr>
      </w:pPr>
      <w:r>
        <w:rPr>
          <w:snapToGrid w:val="0"/>
          <w:szCs w:val="22"/>
          <w:lang w:eastAsia="en-US"/>
        </w:rPr>
        <w:t>P</w:t>
      </w:r>
      <w:r w:rsidR="00E83F04">
        <w:rPr>
          <w:snapToGrid w:val="0"/>
          <w:szCs w:val="22"/>
          <w:lang w:eastAsia="en-US"/>
        </w:rPr>
        <w:t>askutinio p</w:t>
      </w:r>
      <w:r>
        <w:rPr>
          <w:snapToGrid w:val="0"/>
          <w:szCs w:val="22"/>
          <w:lang w:eastAsia="en-US"/>
        </w:rPr>
        <w:t>erregistravimo data</w:t>
      </w:r>
      <w:r w:rsidR="005408F6">
        <w:rPr>
          <w:snapToGrid w:val="0"/>
          <w:szCs w:val="22"/>
          <w:lang w:eastAsia="en-US"/>
        </w:rPr>
        <w:t xml:space="preserve"> 2022 m. gruodžio 8 d.</w:t>
      </w:r>
    </w:p>
    <w:p w14:paraId="7825EB1A" w14:textId="20B0D84B" w:rsidR="0088092B" w:rsidRDefault="0088092B" w:rsidP="0088092B">
      <w:pPr>
        <w:widowControl w:val="0"/>
        <w:rPr>
          <w:snapToGrid w:val="0"/>
          <w:szCs w:val="22"/>
          <w:lang w:eastAsia="en-US"/>
        </w:rPr>
      </w:pPr>
    </w:p>
    <w:p w14:paraId="3B6686D8" w14:textId="77777777" w:rsidR="00E83F04" w:rsidRPr="00C21B99" w:rsidRDefault="00E83F04" w:rsidP="0088092B">
      <w:pPr>
        <w:widowControl w:val="0"/>
        <w:rPr>
          <w:snapToGrid w:val="0"/>
          <w:szCs w:val="22"/>
          <w:lang w:eastAsia="en-US"/>
        </w:rPr>
      </w:pPr>
    </w:p>
    <w:p w14:paraId="61B9482B" w14:textId="77777777" w:rsidR="0088092B" w:rsidRPr="00C21B99" w:rsidRDefault="0088092B" w:rsidP="0088092B">
      <w:pPr>
        <w:widowControl w:val="0"/>
        <w:tabs>
          <w:tab w:val="left" w:pos="567"/>
        </w:tabs>
        <w:outlineLvl w:val="2"/>
        <w:rPr>
          <w:b/>
          <w:bCs/>
          <w:snapToGrid w:val="0"/>
          <w:szCs w:val="22"/>
        </w:rPr>
      </w:pPr>
      <w:r w:rsidRPr="00C21B99">
        <w:rPr>
          <w:b/>
          <w:bCs/>
          <w:snapToGrid w:val="0"/>
          <w:szCs w:val="22"/>
        </w:rPr>
        <w:t>10.</w:t>
      </w:r>
      <w:r w:rsidRPr="00C21B99">
        <w:rPr>
          <w:b/>
          <w:bCs/>
          <w:snapToGrid w:val="0"/>
          <w:szCs w:val="22"/>
        </w:rPr>
        <w:tab/>
        <w:t>TEKSTO PERŽIŪROS DATA</w:t>
      </w:r>
    </w:p>
    <w:p w14:paraId="2368889E" w14:textId="12F68965" w:rsidR="00C479E0" w:rsidRDefault="00C479E0" w:rsidP="0088092B">
      <w:pPr>
        <w:widowControl w:val="0"/>
        <w:rPr>
          <w:snapToGrid w:val="0"/>
          <w:szCs w:val="22"/>
          <w:lang w:eastAsia="en-US"/>
        </w:rPr>
      </w:pPr>
    </w:p>
    <w:p w14:paraId="5B20FFAD" w14:textId="74F91A56" w:rsidR="005408F6" w:rsidRDefault="00F67197" w:rsidP="0088092B">
      <w:pPr>
        <w:widowControl w:val="0"/>
        <w:rPr>
          <w:snapToGrid w:val="0"/>
          <w:szCs w:val="22"/>
          <w:lang w:eastAsia="en-US"/>
        </w:rPr>
      </w:pPr>
      <w:r>
        <w:rPr>
          <w:snapToGrid w:val="0"/>
          <w:szCs w:val="22"/>
          <w:lang w:eastAsia="en-US"/>
        </w:rPr>
        <w:t>2023 m. liepos 6 d.</w:t>
      </w:r>
    </w:p>
    <w:p w14:paraId="73A82F72" w14:textId="15AA473F" w:rsidR="0023627C" w:rsidRDefault="0023627C" w:rsidP="0088092B">
      <w:pPr>
        <w:widowControl w:val="0"/>
        <w:rPr>
          <w:snapToGrid w:val="0"/>
          <w:szCs w:val="22"/>
          <w:lang w:eastAsia="en-US"/>
        </w:rPr>
      </w:pPr>
    </w:p>
    <w:p w14:paraId="407BF6B5" w14:textId="77777777" w:rsidR="00EE64E8" w:rsidRPr="00C21B99" w:rsidRDefault="00EE64E8" w:rsidP="0088092B">
      <w:pPr>
        <w:widowControl w:val="0"/>
        <w:rPr>
          <w:snapToGrid w:val="0"/>
          <w:szCs w:val="22"/>
          <w:lang w:eastAsia="en-US"/>
        </w:rPr>
      </w:pPr>
    </w:p>
    <w:p w14:paraId="0B266207" w14:textId="77777777" w:rsidR="0088092B" w:rsidRPr="00C21B99" w:rsidRDefault="0088092B" w:rsidP="0088092B">
      <w:pPr>
        <w:widowControl w:val="0"/>
        <w:tabs>
          <w:tab w:val="left" w:pos="5954"/>
          <w:tab w:val="left" w:pos="6237"/>
          <w:tab w:val="left" w:pos="6663"/>
          <w:tab w:val="left" w:pos="6946"/>
        </w:tabs>
        <w:rPr>
          <w:rFonts w:eastAsia="SimSun"/>
          <w:szCs w:val="22"/>
          <w:lang w:eastAsia="en-US"/>
        </w:rPr>
      </w:pPr>
      <w:r w:rsidRPr="00C21B99">
        <w:rPr>
          <w:rFonts w:eastAsia="SimSun"/>
          <w:szCs w:val="22"/>
          <w:lang w:eastAsia="en-US"/>
        </w:rPr>
        <w:lastRenderedPageBreak/>
        <w:t>Išsami informacija apie šį vaistinį preparatą pateikiama Valstybinės vaistų kontrolės tarnybos prie Lietuvos Respublikos sveikatos apsaugos ministerijos tinklalapyje</w:t>
      </w:r>
      <w:r w:rsidRPr="00C21B99">
        <w:rPr>
          <w:rFonts w:eastAsia="SimSun"/>
          <w:i/>
          <w:szCs w:val="22"/>
          <w:lang w:eastAsia="en-US"/>
        </w:rPr>
        <w:t xml:space="preserve"> </w:t>
      </w:r>
      <w:hyperlink r:id="rId10" w:history="1">
        <w:r w:rsidRPr="00C21B99">
          <w:rPr>
            <w:rFonts w:eastAsia="SimSun"/>
            <w:color w:val="0000FF"/>
            <w:szCs w:val="22"/>
            <w:u w:val="single"/>
            <w:lang w:eastAsia="en-US"/>
          </w:rPr>
          <w:t>http://www.vvkt.lt</w:t>
        </w:r>
      </w:hyperlink>
    </w:p>
    <w:p w14:paraId="315C48B8" w14:textId="77777777" w:rsidR="00D87EAB" w:rsidRPr="00C21B99" w:rsidRDefault="00D87EAB" w:rsidP="00D87EAB">
      <w:pPr>
        <w:widowControl w:val="0"/>
        <w:tabs>
          <w:tab w:val="left" w:pos="567"/>
        </w:tabs>
        <w:rPr>
          <w:snapToGrid w:val="0"/>
          <w:szCs w:val="22"/>
          <w:lang w:eastAsia="en-US"/>
        </w:rPr>
      </w:pPr>
    </w:p>
    <w:p w14:paraId="3C5E8B2B" w14:textId="77777777" w:rsidR="00D87EAB" w:rsidRPr="00C21B99" w:rsidRDefault="00D87EAB" w:rsidP="00D87EAB">
      <w:pPr>
        <w:widowControl w:val="0"/>
        <w:tabs>
          <w:tab w:val="left" w:pos="567"/>
        </w:tabs>
        <w:rPr>
          <w:snapToGrid w:val="0"/>
          <w:szCs w:val="22"/>
          <w:lang w:eastAsia="en-US"/>
        </w:rPr>
      </w:pPr>
    </w:p>
    <w:p w14:paraId="120DBFAC" w14:textId="77777777" w:rsidR="00D87EAB" w:rsidRPr="00C21B99" w:rsidRDefault="00D87EAB" w:rsidP="00D87EAB">
      <w:pPr>
        <w:widowControl w:val="0"/>
        <w:tabs>
          <w:tab w:val="left" w:pos="567"/>
        </w:tabs>
        <w:rPr>
          <w:snapToGrid w:val="0"/>
          <w:szCs w:val="22"/>
          <w:lang w:eastAsia="en-US"/>
        </w:rPr>
      </w:pPr>
    </w:p>
    <w:p w14:paraId="347EF52A" w14:textId="77777777" w:rsidR="00D87EAB" w:rsidRPr="00C21B99" w:rsidRDefault="00D87EAB" w:rsidP="00D87EAB">
      <w:pPr>
        <w:widowControl w:val="0"/>
        <w:tabs>
          <w:tab w:val="left" w:pos="567"/>
        </w:tabs>
        <w:rPr>
          <w:snapToGrid w:val="0"/>
          <w:szCs w:val="22"/>
          <w:lang w:eastAsia="en-US"/>
        </w:rPr>
      </w:pPr>
    </w:p>
    <w:p w14:paraId="05901145" w14:textId="77777777" w:rsidR="00D87EAB" w:rsidRPr="00C21B99" w:rsidRDefault="00D87EAB" w:rsidP="00D87EAB">
      <w:pPr>
        <w:widowControl w:val="0"/>
        <w:tabs>
          <w:tab w:val="left" w:pos="567"/>
        </w:tabs>
        <w:rPr>
          <w:snapToGrid w:val="0"/>
          <w:szCs w:val="22"/>
          <w:lang w:eastAsia="en-US"/>
        </w:rPr>
      </w:pPr>
    </w:p>
    <w:p w14:paraId="02F342B6" w14:textId="77777777" w:rsidR="00D87EAB" w:rsidRPr="00C21B99" w:rsidRDefault="00D87EAB" w:rsidP="00D87EAB">
      <w:pPr>
        <w:widowControl w:val="0"/>
        <w:tabs>
          <w:tab w:val="left" w:pos="567"/>
        </w:tabs>
        <w:rPr>
          <w:snapToGrid w:val="0"/>
          <w:szCs w:val="22"/>
          <w:lang w:eastAsia="en-US"/>
        </w:rPr>
      </w:pPr>
    </w:p>
    <w:p w14:paraId="4952EDE6" w14:textId="77777777" w:rsidR="00D87EAB" w:rsidRPr="00C21B99" w:rsidRDefault="00D87EAB" w:rsidP="00D87EAB">
      <w:pPr>
        <w:widowControl w:val="0"/>
        <w:tabs>
          <w:tab w:val="left" w:pos="567"/>
        </w:tabs>
        <w:rPr>
          <w:snapToGrid w:val="0"/>
          <w:szCs w:val="22"/>
          <w:lang w:eastAsia="en-US"/>
        </w:rPr>
      </w:pPr>
    </w:p>
    <w:p w14:paraId="0D7D69BA" w14:textId="77777777" w:rsidR="00D87EAB" w:rsidRPr="00C21B99" w:rsidRDefault="00D87EAB" w:rsidP="00D87EAB">
      <w:pPr>
        <w:widowControl w:val="0"/>
        <w:tabs>
          <w:tab w:val="left" w:pos="567"/>
        </w:tabs>
        <w:rPr>
          <w:snapToGrid w:val="0"/>
          <w:szCs w:val="22"/>
          <w:lang w:eastAsia="en-US"/>
        </w:rPr>
      </w:pPr>
    </w:p>
    <w:p w14:paraId="1F4DAE88" w14:textId="77777777" w:rsidR="00D87EAB" w:rsidRPr="00C21B99" w:rsidRDefault="00D87EAB" w:rsidP="00D87EAB">
      <w:pPr>
        <w:widowControl w:val="0"/>
        <w:tabs>
          <w:tab w:val="left" w:pos="567"/>
        </w:tabs>
        <w:rPr>
          <w:snapToGrid w:val="0"/>
          <w:szCs w:val="22"/>
          <w:lang w:eastAsia="en-US"/>
        </w:rPr>
      </w:pPr>
    </w:p>
    <w:p w14:paraId="022D6676" w14:textId="77777777" w:rsidR="00D87EAB" w:rsidRPr="00C21B99" w:rsidRDefault="00D87EAB" w:rsidP="00D87EAB">
      <w:pPr>
        <w:widowControl w:val="0"/>
        <w:tabs>
          <w:tab w:val="left" w:pos="567"/>
        </w:tabs>
        <w:rPr>
          <w:snapToGrid w:val="0"/>
          <w:szCs w:val="22"/>
          <w:lang w:eastAsia="en-US"/>
        </w:rPr>
      </w:pPr>
    </w:p>
    <w:p w14:paraId="22C0622F" w14:textId="77777777" w:rsidR="00D87EAB" w:rsidRPr="00C21B99" w:rsidRDefault="00D87EAB" w:rsidP="00D87EAB">
      <w:pPr>
        <w:widowControl w:val="0"/>
        <w:tabs>
          <w:tab w:val="left" w:pos="567"/>
        </w:tabs>
        <w:rPr>
          <w:snapToGrid w:val="0"/>
          <w:szCs w:val="22"/>
          <w:lang w:eastAsia="en-US"/>
        </w:rPr>
      </w:pPr>
    </w:p>
    <w:p w14:paraId="49836A16" w14:textId="77777777" w:rsidR="00D87EAB" w:rsidRPr="00C21B99" w:rsidRDefault="00D87EAB" w:rsidP="00D87EAB">
      <w:pPr>
        <w:widowControl w:val="0"/>
        <w:tabs>
          <w:tab w:val="left" w:pos="567"/>
        </w:tabs>
        <w:rPr>
          <w:snapToGrid w:val="0"/>
          <w:szCs w:val="22"/>
          <w:lang w:eastAsia="en-US"/>
        </w:rPr>
      </w:pPr>
    </w:p>
    <w:p w14:paraId="5189A3A2" w14:textId="77777777" w:rsidR="00D87EAB" w:rsidRPr="00C21B99" w:rsidRDefault="00D87EAB" w:rsidP="00D87EAB">
      <w:pPr>
        <w:widowControl w:val="0"/>
        <w:tabs>
          <w:tab w:val="left" w:pos="567"/>
        </w:tabs>
        <w:rPr>
          <w:snapToGrid w:val="0"/>
          <w:szCs w:val="22"/>
          <w:lang w:eastAsia="en-US"/>
        </w:rPr>
      </w:pPr>
    </w:p>
    <w:p w14:paraId="28576F4B" w14:textId="77777777" w:rsidR="00D87EAB" w:rsidRPr="00C21B99" w:rsidRDefault="00D87EAB" w:rsidP="00D87EAB">
      <w:pPr>
        <w:widowControl w:val="0"/>
        <w:tabs>
          <w:tab w:val="left" w:pos="567"/>
        </w:tabs>
        <w:rPr>
          <w:snapToGrid w:val="0"/>
          <w:szCs w:val="22"/>
          <w:lang w:eastAsia="en-US"/>
        </w:rPr>
      </w:pPr>
    </w:p>
    <w:p w14:paraId="3D556A3C" w14:textId="77777777" w:rsidR="00D87EAB" w:rsidRPr="00C21B99" w:rsidRDefault="00D87EAB" w:rsidP="00D87EAB">
      <w:pPr>
        <w:widowControl w:val="0"/>
        <w:tabs>
          <w:tab w:val="left" w:pos="567"/>
        </w:tabs>
        <w:rPr>
          <w:snapToGrid w:val="0"/>
          <w:szCs w:val="22"/>
          <w:lang w:eastAsia="en-US"/>
        </w:rPr>
      </w:pPr>
    </w:p>
    <w:p w14:paraId="10D95F69" w14:textId="77777777" w:rsidR="00D87EAB" w:rsidRPr="00C21B99" w:rsidRDefault="00D87EAB" w:rsidP="00D87EAB">
      <w:pPr>
        <w:widowControl w:val="0"/>
        <w:tabs>
          <w:tab w:val="left" w:pos="567"/>
        </w:tabs>
        <w:rPr>
          <w:snapToGrid w:val="0"/>
          <w:szCs w:val="22"/>
          <w:lang w:eastAsia="en-US"/>
        </w:rPr>
      </w:pPr>
    </w:p>
    <w:p w14:paraId="7E2DE9ED" w14:textId="77777777" w:rsidR="00D87EAB" w:rsidRPr="00C21B99" w:rsidRDefault="00D87EAB" w:rsidP="00D87EAB">
      <w:pPr>
        <w:widowControl w:val="0"/>
        <w:tabs>
          <w:tab w:val="left" w:pos="567"/>
        </w:tabs>
        <w:jc w:val="center"/>
        <w:rPr>
          <w:b/>
          <w:snapToGrid w:val="0"/>
          <w:szCs w:val="22"/>
          <w:lang w:eastAsia="en-US"/>
        </w:rPr>
      </w:pPr>
    </w:p>
    <w:p w14:paraId="42741E70" w14:textId="77777777" w:rsidR="00D87EAB" w:rsidRPr="00C21B99" w:rsidRDefault="00D87EAB" w:rsidP="00D87EAB">
      <w:pPr>
        <w:widowControl w:val="0"/>
        <w:tabs>
          <w:tab w:val="left" w:pos="567"/>
        </w:tabs>
        <w:jc w:val="center"/>
        <w:rPr>
          <w:b/>
          <w:snapToGrid w:val="0"/>
          <w:szCs w:val="22"/>
          <w:lang w:eastAsia="en-US"/>
        </w:rPr>
      </w:pPr>
    </w:p>
    <w:p w14:paraId="7BC0738B" w14:textId="77777777" w:rsidR="00D87EAB" w:rsidRPr="00C21B99" w:rsidRDefault="00D87EAB" w:rsidP="00D87EAB">
      <w:pPr>
        <w:widowControl w:val="0"/>
        <w:tabs>
          <w:tab w:val="left" w:pos="567"/>
        </w:tabs>
        <w:jc w:val="center"/>
        <w:rPr>
          <w:b/>
          <w:snapToGrid w:val="0"/>
          <w:szCs w:val="22"/>
          <w:lang w:eastAsia="en-US"/>
        </w:rPr>
      </w:pPr>
    </w:p>
    <w:p w14:paraId="211D98EE" w14:textId="77777777" w:rsidR="00D87EAB" w:rsidRPr="00C21B99" w:rsidRDefault="00D87EAB" w:rsidP="00D87EAB">
      <w:pPr>
        <w:widowControl w:val="0"/>
        <w:tabs>
          <w:tab w:val="left" w:pos="567"/>
        </w:tabs>
        <w:jc w:val="center"/>
        <w:rPr>
          <w:b/>
          <w:snapToGrid w:val="0"/>
          <w:szCs w:val="22"/>
          <w:lang w:eastAsia="en-US"/>
        </w:rPr>
      </w:pPr>
    </w:p>
    <w:p w14:paraId="078098A3" w14:textId="77777777" w:rsidR="00D87EAB" w:rsidRPr="00C21B99" w:rsidRDefault="00D87EAB" w:rsidP="00D87EAB">
      <w:pPr>
        <w:widowControl w:val="0"/>
        <w:tabs>
          <w:tab w:val="left" w:pos="567"/>
        </w:tabs>
        <w:jc w:val="center"/>
        <w:rPr>
          <w:b/>
          <w:snapToGrid w:val="0"/>
          <w:szCs w:val="22"/>
          <w:lang w:eastAsia="en-US"/>
        </w:rPr>
      </w:pPr>
    </w:p>
    <w:p w14:paraId="6B6C6534" w14:textId="77777777" w:rsidR="00D87EAB" w:rsidRPr="00C21B99" w:rsidRDefault="00D87EAB" w:rsidP="00D87EAB">
      <w:pPr>
        <w:widowControl w:val="0"/>
        <w:tabs>
          <w:tab w:val="left" w:pos="567"/>
        </w:tabs>
        <w:jc w:val="center"/>
        <w:rPr>
          <w:b/>
          <w:snapToGrid w:val="0"/>
          <w:szCs w:val="22"/>
          <w:lang w:eastAsia="en-US"/>
        </w:rPr>
      </w:pPr>
    </w:p>
    <w:p w14:paraId="38735A60" w14:textId="77777777" w:rsidR="00D87EAB" w:rsidRPr="00C21B99" w:rsidRDefault="00D87EAB" w:rsidP="00D87EAB">
      <w:pPr>
        <w:widowControl w:val="0"/>
        <w:tabs>
          <w:tab w:val="left" w:pos="567"/>
        </w:tabs>
        <w:jc w:val="center"/>
        <w:rPr>
          <w:b/>
          <w:snapToGrid w:val="0"/>
          <w:szCs w:val="22"/>
          <w:lang w:eastAsia="en-US"/>
        </w:rPr>
      </w:pPr>
    </w:p>
    <w:p w14:paraId="07C00BC4" w14:textId="77777777" w:rsidR="0023627C" w:rsidRDefault="0023627C" w:rsidP="00D87EAB">
      <w:pPr>
        <w:widowControl w:val="0"/>
        <w:tabs>
          <w:tab w:val="left" w:pos="567"/>
        </w:tabs>
        <w:jc w:val="center"/>
        <w:rPr>
          <w:b/>
          <w:snapToGrid w:val="0"/>
          <w:szCs w:val="22"/>
          <w:lang w:eastAsia="en-US"/>
        </w:rPr>
      </w:pPr>
    </w:p>
    <w:p w14:paraId="5CB82E1A" w14:textId="77777777" w:rsidR="0023627C" w:rsidRDefault="0023627C" w:rsidP="00D87EAB">
      <w:pPr>
        <w:widowControl w:val="0"/>
        <w:tabs>
          <w:tab w:val="left" w:pos="567"/>
        </w:tabs>
        <w:jc w:val="center"/>
        <w:rPr>
          <w:b/>
          <w:snapToGrid w:val="0"/>
          <w:szCs w:val="22"/>
          <w:lang w:eastAsia="en-US"/>
        </w:rPr>
      </w:pPr>
    </w:p>
    <w:p w14:paraId="52D9E28A" w14:textId="77777777" w:rsidR="0023627C" w:rsidRDefault="0023627C" w:rsidP="00D87EAB">
      <w:pPr>
        <w:widowControl w:val="0"/>
        <w:tabs>
          <w:tab w:val="left" w:pos="567"/>
        </w:tabs>
        <w:jc w:val="center"/>
        <w:rPr>
          <w:b/>
          <w:snapToGrid w:val="0"/>
          <w:szCs w:val="22"/>
          <w:lang w:eastAsia="en-US"/>
        </w:rPr>
      </w:pPr>
    </w:p>
    <w:p w14:paraId="4939667C" w14:textId="77777777" w:rsidR="0023627C" w:rsidRDefault="0023627C" w:rsidP="00D87EAB">
      <w:pPr>
        <w:widowControl w:val="0"/>
        <w:tabs>
          <w:tab w:val="left" w:pos="567"/>
        </w:tabs>
        <w:jc w:val="center"/>
        <w:rPr>
          <w:b/>
          <w:snapToGrid w:val="0"/>
          <w:szCs w:val="22"/>
          <w:lang w:eastAsia="en-US"/>
        </w:rPr>
      </w:pPr>
    </w:p>
    <w:p w14:paraId="646D6912" w14:textId="77777777" w:rsidR="0023627C" w:rsidRDefault="0023627C" w:rsidP="00D87EAB">
      <w:pPr>
        <w:widowControl w:val="0"/>
        <w:tabs>
          <w:tab w:val="left" w:pos="567"/>
        </w:tabs>
        <w:jc w:val="center"/>
        <w:rPr>
          <w:b/>
          <w:snapToGrid w:val="0"/>
          <w:szCs w:val="22"/>
          <w:lang w:eastAsia="en-US"/>
        </w:rPr>
      </w:pPr>
    </w:p>
    <w:p w14:paraId="0997B45D" w14:textId="77777777" w:rsidR="0023627C" w:rsidRDefault="0023627C" w:rsidP="00D87EAB">
      <w:pPr>
        <w:widowControl w:val="0"/>
        <w:tabs>
          <w:tab w:val="left" w:pos="567"/>
        </w:tabs>
        <w:jc w:val="center"/>
        <w:rPr>
          <w:b/>
          <w:snapToGrid w:val="0"/>
          <w:szCs w:val="22"/>
          <w:lang w:eastAsia="en-US"/>
        </w:rPr>
      </w:pPr>
    </w:p>
    <w:p w14:paraId="6201B121" w14:textId="77777777" w:rsidR="0023627C" w:rsidRDefault="0023627C" w:rsidP="00D87EAB">
      <w:pPr>
        <w:widowControl w:val="0"/>
        <w:tabs>
          <w:tab w:val="left" w:pos="567"/>
        </w:tabs>
        <w:jc w:val="center"/>
        <w:rPr>
          <w:b/>
          <w:snapToGrid w:val="0"/>
          <w:szCs w:val="22"/>
          <w:lang w:eastAsia="en-US"/>
        </w:rPr>
      </w:pPr>
    </w:p>
    <w:p w14:paraId="53ABA6A9" w14:textId="77777777" w:rsidR="0023627C" w:rsidRDefault="0023627C" w:rsidP="00D87EAB">
      <w:pPr>
        <w:widowControl w:val="0"/>
        <w:tabs>
          <w:tab w:val="left" w:pos="567"/>
        </w:tabs>
        <w:jc w:val="center"/>
        <w:rPr>
          <w:b/>
          <w:snapToGrid w:val="0"/>
          <w:szCs w:val="22"/>
          <w:lang w:eastAsia="en-US"/>
        </w:rPr>
      </w:pPr>
    </w:p>
    <w:p w14:paraId="24F89839" w14:textId="77777777" w:rsidR="0023627C" w:rsidRDefault="0023627C" w:rsidP="00D87EAB">
      <w:pPr>
        <w:widowControl w:val="0"/>
        <w:tabs>
          <w:tab w:val="left" w:pos="567"/>
        </w:tabs>
        <w:jc w:val="center"/>
        <w:rPr>
          <w:b/>
          <w:snapToGrid w:val="0"/>
          <w:szCs w:val="22"/>
          <w:lang w:eastAsia="en-US"/>
        </w:rPr>
      </w:pPr>
    </w:p>
    <w:p w14:paraId="56928706" w14:textId="77777777" w:rsidR="0023627C" w:rsidRDefault="0023627C" w:rsidP="00D87EAB">
      <w:pPr>
        <w:widowControl w:val="0"/>
        <w:tabs>
          <w:tab w:val="left" w:pos="567"/>
        </w:tabs>
        <w:jc w:val="center"/>
        <w:rPr>
          <w:b/>
          <w:snapToGrid w:val="0"/>
          <w:szCs w:val="22"/>
          <w:lang w:eastAsia="en-US"/>
        </w:rPr>
      </w:pPr>
    </w:p>
    <w:p w14:paraId="59020ADD" w14:textId="77777777" w:rsidR="0023627C" w:rsidRDefault="0023627C" w:rsidP="00D87EAB">
      <w:pPr>
        <w:widowControl w:val="0"/>
        <w:tabs>
          <w:tab w:val="left" w:pos="567"/>
        </w:tabs>
        <w:jc w:val="center"/>
        <w:rPr>
          <w:b/>
          <w:snapToGrid w:val="0"/>
          <w:szCs w:val="22"/>
          <w:lang w:eastAsia="en-US"/>
        </w:rPr>
      </w:pPr>
    </w:p>
    <w:p w14:paraId="557689C0" w14:textId="77777777" w:rsidR="0023627C" w:rsidRDefault="0023627C" w:rsidP="00D87EAB">
      <w:pPr>
        <w:widowControl w:val="0"/>
        <w:tabs>
          <w:tab w:val="left" w:pos="567"/>
        </w:tabs>
        <w:jc w:val="center"/>
        <w:rPr>
          <w:b/>
          <w:snapToGrid w:val="0"/>
          <w:szCs w:val="22"/>
          <w:lang w:eastAsia="en-US"/>
        </w:rPr>
      </w:pPr>
    </w:p>
    <w:p w14:paraId="6597B846" w14:textId="77777777" w:rsidR="0023627C" w:rsidRDefault="0023627C" w:rsidP="00D87EAB">
      <w:pPr>
        <w:widowControl w:val="0"/>
        <w:tabs>
          <w:tab w:val="left" w:pos="567"/>
        </w:tabs>
        <w:jc w:val="center"/>
        <w:rPr>
          <w:b/>
          <w:snapToGrid w:val="0"/>
          <w:szCs w:val="22"/>
          <w:lang w:eastAsia="en-US"/>
        </w:rPr>
      </w:pPr>
    </w:p>
    <w:p w14:paraId="4D37BA7E" w14:textId="77777777" w:rsidR="0023627C" w:rsidRDefault="0023627C" w:rsidP="00D87EAB">
      <w:pPr>
        <w:widowControl w:val="0"/>
        <w:tabs>
          <w:tab w:val="left" w:pos="567"/>
        </w:tabs>
        <w:jc w:val="center"/>
        <w:rPr>
          <w:b/>
          <w:snapToGrid w:val="0"/>
          <w:szCs w:val="22"/>
          <w:lang w:eastAsia="en-US"/>
        </w:rPr>
      </w:pPr>
    </w:p>
    <w:p w14:paraId="5872FBAE" w14:textId="77777777" w:rsidR="0023627C" w:rsidRDefault="0023627C" w:rsidP="00D87EAB">
      <w:pPr>
        <w:widowControl w:val="0"/>
        <w:tabs>
          <w:tab w:val="left" w:pos="567"/>
        </w:tabs>
        <w:jc w:val="center"/>
        <w:rPr>
          <w:b/>
          <w:snapToGrid w:val="0"/>
          <w:szCs w:val="22"/>
          <w:lang w:eastAsia="en-US"/>
        </w:rPr>
      </w:pPr>
    </w:p>
    <w:p w14:paraId="217D18BF" w14:textId="77777777" w:rsidR="0023627C" w:rsidRDefault="0023627C" w:rsidP="00D87EAB">
      <w:pPr>
        <w:widowControl w:val="0"/>
        <w:tabs>
          <w:tab w:val="left" w:pos="567"/>
        </w:tabs>
        <w:jc w:val="center"/>
        <w:rPr>
          <w:b/>
          <w:snapToGrid w:val="0"/>
          <w:szCs w:val="22"/>
          <w:lang w:eastAsia="en-US"/>
        </w:rPr>
      </w:pPr>
    </w:p>
    <w:p w14:paraId="3F5D8538" w14:textId="77777777" w:rsidR="0023627C" w:rsidRDefault="0023627C" w:rsidP="00D87EAB">
      <w:pPr>
        <w:widowControl w:val="0"/>
        <w:tabs>
          <w:tab w:val="left" w:pos="567"/>
        </w:tabs>
        <w:jc w:val="center"/>
        <w:rPr>
          <w:b/>
          <w:snapToGrid w:val="0"/>
          <w:szCs w:val="22"/>
          <w:lang w:eastAsia="en-US"/>
        </w:rPr>
      </w:pPr>
    </w:p>
    <w:p w14:paraId="7DDF8260" w14:textId="77777777" w:rsidR="0023627C" w:rsidRDefault="0023627C" w:rsidP="00D87EAB">
      <w:pPr>
        <w:widowControl w:val="0"/>
        <w:tabs>
          <w:tab w:val="left" w:pos="567"/>
        </w:tabs>
        <w:jc w:val="center"/>
        <w:rPr>
          <w:b/>
          <w:snapToGrid w:val="0"/>
          <w:szCs w:val="22"/>
          <w:lang w:eastAsia="en-US"/>
        </w:rPr>
      </w:pPr>
    </w:p>
    <w:p w14:paraId="72B4EAD8" w14:textId="77777777" w:rsidR="0023627C" w:rsidRDefault="0023627C" w:rsidP="00D87EAB">
      <w:pPr>
        <w:widowControl w:val="0"/>
        <w:tabs>
          <w:tab w:val="left" w:pos="567"/>
        </w:tabs>
        <w:jc w:val="center"/>
        <w:rPr>
          <w:b/>
          <w:snapToGrid w:val="0"/>
          <w:szCs w:val="22"/>
          <w:lang w:eastAsia="en-US"/>
        </w:rPr>
      </w:pPr>
    </w:p>
    <w:p w14:paraId="1F82895B" w14:textId="77777777" w:rsidR="0023627C" w:rsidRDefault="0023627C" w:rsidP="00D87EAB">
      <w:pPr>
        <w:widowControl w:val="0"/>
        <w:tabs>
          <w:tab w:val="left" w:pos="567"/>
        </w:tabs>
        <w:jc w:val="center"/>
        <w:rPr>
          <w:b/>
          <w:snapToGrid w:val="0"/>
          <w:szCs w:val="22"/>
          <w:lang w:eastAsia="en-US"/>
        </w:rPr>
      </w:pPr>
    </w:p>
    <w:p w14:paraId="15D4B22C" w14:textId="77777777" w:rsidR="0023627C" w:rsidRDefault="0023627C" w:rsidP="00D87EAB">
      <w:pPr>
        <w:widowControl w:val="0"/>
        <w:tabs>
          <w:tab w:val="left" w:pos="567"/>
        </w:tabs>
        <w:jc w:val="center"/>
        <w:rPr>
          <w:b/>
          <w:snapToGrid w:val="0"/>
          <w:szCs w:val="22"/>
          <w:lang w:eastAsia="en-US"/>
        </w:rPr>
      </w:pPr>
    </w:p>
    <w:p w14:paraId="2B385F60" w14:textId="77777777" w:rsidR="0023627C" w:rsidRDefault="0023627C" w:rsidP="00D87EAB">
      <w:pPr>
        <w:widowControl w:val="0"/>
        <w:tabs>
          <w:tab w:val="left" w:pos="567"/>
        </w:tabs>
        <w:jc w:val="center"/>
        <w:rPr>
          <w:b/>
          <w:snapToGrid w:val="0"/>
          <w:szCs w:val="22"/>
          <w:lang w:eastAsia="en-US"/>
        </w:rPr>
      </w:pPr>
    </w:p>
    <w:p w14:paraId="62487660" w14:textId="77777777" w:rsidR="0023627C" w:rsidRDefault="0023627C" w:rsidP="00D87EAB">
      <w:pPr>
        <w:widowControl w:val="0"/>
        <w:tabs>
          <w:tab w:val="left" w:pos="567"/>
        </w:tabs>
        <w:jc w:val="center"/>
        <w:rPr>
          <w:b/>
          <w:snapToGrid w:val="0"/>
          <w:szCs w:val="22"/>
          <w:lang w:eastAsia="en-US"/>
        </w:rPr>
      </w:pPr>
    </w:p>
    <w:p w14:paraId="31D98E49" w14:textId="77777777" w:rsidR="0023627C" w:rsidRDefault="0023627C" w:rsidP="00D87EAB">
      <w:pPr>
        <w:widowControl w:val="0"/>
        <w:tabs>
          <w:tab w:val="left" w:pos="567"/>
        </w:tabs>
        <w:jc w:val="center"/>
        <w:rPr>
          <w:b/>
          <w:snapToGrid w:val="0"/>
          <w:szCs w:val="22"/>
          <w:lang w:eastAsia="en-US"/>
        </w:rPr>
      </w:pPr>
    </w:p>
    <w:p w14:paraId="4D19FA8A" w14:textId="77777777" w:rsidR="0023627C" w:rsidRDefault="0023627C" w:rsidP="00D87EAB">
      <w:pPr>
        <w:widowControl w:val="0"/>
        <w:tabs>
          <w:tab w:val="left" w:pos="567"/>
        </w:tabs>
        <w:jc w:val="center"/>
        <w:rPr>
          <w:b/>
          <w:snapToGrid w:val="0"/>
          <w:szCs w:val="22"/>
          <w:lang w:eastAsia="en-US"/>
        </w:rPr>
      </w:pPr>
    </w:p>
    <w:p w14:paraId="18A5EA3D" w14:textId="77777777" w:rsidR="0023627C" w:rsidRDefault="0023627C" w:rsidP="00D87EAB">
      <w:pPr>
        <w:widowControl w:val="0"/>
        <w:tabs>
          <w:tab w:val="left" w:pos="567"/>
        </w:tabs>
        <w:jc w:val="center"/>
        <w:rPr>
          <w:b/>
          <w:snapToGrid w:val="0"/>
          <w:szCs w:val="22"/>
          <w:lang w:eastAsia="en-US"/>
        </w:rPr>
      </w:pPr>
    </w:p>
    <w:p w14:paraId="4B2E5BF5" w14:textId="77777777" w:rsidR="0023627C" w:rsidRDefault="0023627C" w:rsidP="00D87EAB">
      <w:pPr>
        <w:widowControl w:val="0"/>
        <w:tabs>
          <w:tab w:val="left" w:pos="567"/>
        </w:tabs>
        <w:jc w:val="center"/>
        <w:rPr>
          <w:b/>
          <w:snapToGrid w:val="0"/>
          <w:szCs w:val="22"/>
          <w:lang w:eastAsia="en-US"/>
        </w:rPr>
      </w:pPr>
    </w:p>
    <w:p w14:paraId="04564381" w14:textId="77777777" w:rsidR="0023627C" w:rsidRDefault="0023627C" w:rsidP="00D87EAB">
      <w:pPr>
        <w:widowControl w:val="0"/>
        <w:tabs>
          <w:tab w:val="left" w:pos="567"/>
        </w:tabs>
        <w:jc w:val="center"/>
        <w:rPr>
          <w:b/>
          <w:snapToGrid w:val="0"/>
          <w:szCs w:val="22"/>
          <w:lang w:eastAsia="en-US"/>
        </w:rPr>
      </w:pPr>
    </w:p>
    <w:p w14:paraId="1F45F7D0" w14:textId="77777777" w:rsidR="0023627C" w:rsidRDefault="0023627C" w:rsidP="00D87EAB">
      <w:pPr>
        <w:widowControl w:val="0"/>
        <w:tabs>
          <w:tab w:val="left" w:pos="567"/>
        </w:tabs>
        <w:jc w:val="center"/>
        <w:rPr>
          <w:b/>
          <w:snapToGrid w:val="0"/>
          <w:szCs w:val="22"/>
          <w:lang w:eastAsia="en-US"/>
        </w:rPr>
      </w:pPr>
    </w:p>
    <w:p w14:paraId="19584681" w14:textId="77777777" w:rsidR="0023627C" w:rsidRDefault="0023627C" w:rsidP="00D87EAB">
      <w:pPr>
        <w:widowControl w:val="0"/>
        <w:tabs>
          <w:tab w:val="left" w:pos="567"/>
        </w:tabs>
        <w:jc w:val="center"/>
        <w:rPr>
          <w:b/>
          <w:snapToGrid w:val="0"/>
          <w:szCs w:val="22"/>
          <w:lang w:eastAsia="en-US"/>
        </w:rPr>
      </w:pPr>
    </w:p>
    <w:p w14:paraId="705AC140" w14:textId="77777777" w:rsidR="0023627C" w:rsidRDefault="0023627C" w:rsidP="00D87EAB">
      <w:pPr>
        <w:widowControl w:val="0"/>
        <w:tabs>
          <w:tab w:val="left" w:pos="567"/>
        </w:tabs>
        <w:jc w:val="center"/>
        <w:rPr>
          <w:b/>
          <w:snapToGrid w:val="0"/>
          <w:szCs w:val="22"/>
          <w:lang w:eastAsia="en-US"/>
        </w:rPr>
      </w:pPr>
    </w:p>
    <w:p w14:paraId="7EA0A13F" w14:textId="77777777" w:rsidR="0023627C" w:rsidRDefault="0023627C" w:rsidP="00D87EAB">
      <w:pPr>
        <w:widowControl w:val="0"/>
        <w:tabs>
          <w:tab w:val="left" w:pos="567"/>
        </w:tabs>
        <w:jc w:val="center"/>
        <w:rPr>
          <w:b/>
          <w:snapToGrid w:val="0"/>
          <w:szCs w:val="22"/>
          <w:lang w:eastAsia="en-US"/>
        </w:rPr>
      </w:pPr>
    </w:p>
    <w:p w14:paraId="646C3F1B" w14:textId="77777777" w:rsidR="0023627C" w:rsidRDefault="0023627C" w:rsidP="00D87EAB">
      <w:pPr>
        <w:widowControl w:val="0"/>
        <w:tabs>
          <w:tab w:val="left" w:pos="567"/>
        </w:tabs>
        <w:jc w:val="center"/>
        <w:rPr>
          <w:b/>
          <w:snapToGrid w:val="0"/>
          <w:szCs w:val="22"/>
          <w:lang w:eastAsia="en-US"/>
        </w:rPr>
      </w:pPr>
    </w:p>
    <w:p w14:paraId="3E261289" w14:textId="77777777" w:rsidR="0023627C" w:rsidRDefault="0023627C" w:rsidP="00D87EAB">
      <w:pPr>
        <w:widowControl w:val="0"/>
        <w:tabs>
          <w:tab w:val="left" w:pos="567"/>
        </w:tabs>
        <w:jc w:val="center"/>
        <w:rPr>
          <w:b/>
          <w:snapToGrid w:val="0"/>
          <w:szCs w:val="22"/>
          <w:lang w:eastAsia="en-US"/>
        </w:rPr>
      </w:pPr>
    </w:p>
    <w:p w14:paraId="57E46C3A" w14:textId="77777777" w:rsidR="0023627C" w:rsidRDefault="0023627C" w:rsidP="00D87EAB">
      <w:pPr>
        <w:widowControl w:val="0"/>
        <w:tabs>
          <w:tab w:val="left" w:pos="567"/>
        </w:tabs>
        <w:jc w:val="center"/>
        <w:rPr>
          <w:b/>
          <w:snapToGrid w:val="0"/>
          <w:szCs w:val="22"/>
          <w:lang w:eastAsia="en-US"/>
        </w:rPr>
      </w:pPr>
    </w:p>
    <w:p w14:paraId="3CEE3F0F" w14:textId="77777777" w:rsidR="0023627C" w:rsidRDefault="0023627C" w:rsidP="00D87EAB">
      <w:pPr>
        <w:widowControl w:val="0"/>
        <w:tabs>
          <w:tab w:val="left" w:pos="567"/>
        </w:tabs>
        <w:jc w:val="center"/>
        <w:rPr>
          <w:b/>
          <w:snapToGrid w:val="0"/>
          <w:szCs w:val="22"/>
          <w:lang w:eastAsia="en-US"/>
        </w:rPr>
      </w:pPr>
    </w:p>
    <w:p w14:paraId="25CAA332" w14:textId="77777777" w:rsidR="0023627C" w:rsidRDefault="0023627C" w:rsidP="00D87EAB">
      <w:pPr>
        <w:widowControl w:val="0"/>
        <w:tabs>
          <w:tab w:val="left" w:pos="567"/>
        </w:tabs>
        <w:jc w:val="center"/>
        <w:rPr>
          <w:b/>
          <w:snapToGrid w:val="0"/>
          <w:szCs w:val="22"/>
          <w:lang w:eastAsia="en-US"/>
        </w:rPr>
      </w:pPr>
    </w:p>
    <w:p w14:paraId="44E384F4" w14:textId="77777777" w:rsidR="0023627C" w:rsidRDefault="0023627C" w:rsidP="00D87EAB">
      <w:pPr>
        <w:widowControl w:val="0"/>
        <w:tabs>
          <w:tab w:val="left" w:pos="567"/>
        </w:tabs>
        <w:jc w:val="center"/>
        <w:rPr>
          <w:b/>
          <w:snapToGrid w:val="0"/>
          <w:szCs w:val="22"/>
          <w:lang w:eastAsia="en-US"/>
        </w:rPr>
      </w:pPr>
    </w:p>
    <w:p w14:paraId="68ECB11B" w14:textId="77777777" w:rsidR="0023627C" w:rsidRDefault="0023627C" w:rsidP="00D87EAB">
      <w:pPr>
        <w:widowControl w:val="0"/>
        <w:tabs>
          <w:tab w:val="left" w:pos="567"/>
        </w:tabs>
        <w:jc w:val="center"/>
        <w:rPr>
          <w:b/>
          <w:snapToGrid w:val="0"/>
          <w:szCs w:val="22"/>
          <w:lang w:eastAsia="en-US"/>
        </w:rPr>
      </w:pPr>
    </w:p>
    <w:p w14:paraId="41D006B3" w14:textId="77777777" w:rsidR="0023627C" w:rsidRDefault="0023627C" w:rsidP="00D87EAB">
      <w:pPr>
        <w:widowControl w:val="0"/>
        <w:tabs>
          <w:tab w:val="left" w:pos="567"/>
        </w:tabs>
        <w:jc w:val="center"/>
        <w:rPr>
          <w:b/>
          <w:snapToGrid w:val="0"/>
          <w:szCs w:val="22"/>
          <w:lang w:eastAsia="en-US"/>
        </w:rPr>
      </w:pPr>
    </w:p>
    <w:p w14:paraId="1E5F2788" w14:textId="77777777" w:rsidR="0023627C" w:rsidRDefault="0023627C" w:rsidP="00D87EAB">
      <w:pPr>
        <w:widowControl w:val="0"/>
        <w:tabs>
          <w:tab w:val="left" w:pos="567"/>
        </w:tabs>
        <w:jc w:val="center"/>
        <w:rPr>
          <w:b/>
          <w:snapToGrid w:val="0"/>
          <w:szCs w:val="22"/>
          <w:lang w:eastAsia="en-US"/>
        </w:rPr>
      </w:pPr>
    </w:p>
    <w:p w14:paraId="4F40BAE9" w14:textId="77777777" w:rsidR="0023627C" w:rsidRDefault="0023627C" w:rsidP="00D87EAB">
      <w:pPr>
        <w:widowControl w:val="0"/>
        <w:tabs>
          <w:tab w:val="left" w:pos="567"/>
        </w:tabs>
        <w:jc w:val="center"/>
        <w:rPr>
          <w:b/>
          <w:snapToGrid w:val="0"/>
          <w:szCs w:val="22"/>
          <w:lang w:eastAsia="en-US"/>
        </w:rPr>
      </w:pPr>
    </w:p>
    <w:p w14:paraId="61DB60B5" w14:textId="77777777" w:rsidR="0023627C" w:rsidRDefault="0023627C" w:rsidP="00D87EAB">
      <w:pPr>
        <w:widowControl w:val="0"/>
        <w:tabs>
          <w:tab w:val="left" w:pos="567"/>
        </w:tabs>
        <w:jc w:val="center"/>
        <w:rPr>
          <w:b/>
          <w:snapToGrid w:val="0"/>
          <w:szCs w:val="22"/>
          <w:lang w:eastAsia="en-US"/>
        </w:rPr>
      </w:pPr>
    </w:p>
    <w:p w14:paraId="096C3AE7" w14:textId="77777777" w:rsidR="0023627C" w:rsidRDefault="0023627C" w:rsidP="00D87EAB">
      <w:pPr>
        <w:widowControl w:val="0"/>
        <w:tabs>
          <w:tab w:val="left" w:pos="567"/>
        </w:tabs>
        <w:jc w:val="center"/>
        <w:rPr>
          <w:b/>
          <w:snapToGrid w:val="0"/>
          <w:szCs w:val="22"/>
          <w:lang w:eastAsia="en-US"/>
        </w:rPr>
      </w:pPr>
    </w:p>
    <w:p w14:paraId="53C97C49" w14:textId="77777777" w:rsidR="0023627C" w:rsidRDefault="0023627C" w:rsidP="00D87EAB">
      <w:pPr>
        <w:widowControl w:val="0"/>
        <w:tabs>
          <w:tab w:val="left" w:pos="567"/>
        </w:tabs>
        <w:jc w:val="center"/>
        <w:rPr>
          <w:b/>
          <w:snapToGrid w:val="0"/>
          <w:szCs w:val="22"/>
          <w:lang w:eastAsia="en-US"/>
        </w:rPr>
      </w:pPr>
    </w:p>
    <w:p w14:paraId="59DF7545" w14:textId="77777777" w:rsidR="0023627C" w:rsidRDefault="0023627C" w:rsidP="00D87EAB">
      <w:pPr>
        <w:widowControl w:val="0"/>
        <w:tabs>
          <w:tab w:val="left" w:pos="567"/>
        </w:tabs>
        <w:jc w:val="center"/>
        <w:rPr>
          <w:b/>
          <w:snapToGrid w:val="0"/>
          <w:szCs w:val="22"/>
          <w:lang w:eastAsia="en-US"/>
        </w:rPr>
      </w:pPr>
    </w:p>
    <w:p w14:paraId="75667889" w14:textId="77777777" w:rsidR="0023627C" w:rsidRDefault="0023627C" w:rsidP="00D87EAB">
      <w:pPr>
        <w:widowControl w:val="0"/>
        <w:tabs>
          <w:tab w:val="left" w:pos="567"/>
        </w:tabs>
        <w:jc w:val="center"/>
        <w:rPr>
          <w:b/>
          <w:snapToGrid w:val="0"/>
          <w:szCs w:val="22"/>
          <w:lang w:eastAsia="en-US"/>
        </w:rPr>
      </w:pPr>
    </w:p>
    <w:p w14:paraId="20DA3609" w14:textId="77777777" w:rsidR="0023627C" w:rsidRDefault="0023627C" w:rsidP="00D87EAB">
      <w:pPr>
        <w:widowControl w:val="0"/>
        <w:tabs>
          <w:tab w:val="left" w:pos="567"/>
        </w:tabs>
        <w:jc w:val="center"/>
        <w:rPr>
          <w:b/>
          <w:snapToGrid w:val="0"/>
          <w:szCs w:val="22"/>
          <w:lang w:eastAsia="en-US"/>
        </w:rPr>
      </w:pPr>
    </w:p>
    <w:p w14:paraId="32A9FF56" w14:textId="77777777" w:rsidR="0023627C" w:rsidRDefault="0023627C" w:rsidP="00D87EAB">
      <w:pPr>
        <w:widowControl w:val="0"/>
        <w:tabs>
          <w:tab w:val="left" w:pos="567"/>
        </w:tabs>
        <w:jc w:val="center"/>
        <w:rPr>
          <w:b/>
          <w:snapToGrid w:val="0"/>
          <w:szCs w:val="22"/>
          <w:lang w:eastAsia="en-US"/>
        </w:rPr>
      </w:pPr>
    </w:p>
    <w:p w14:paraId="026AA878" w14:textId="77777777" w:rsidR="0023627C" w:rsidRDefault="0023627C" w:rsidP="00D87EAB">
      <w:pPr>
        <w:widowControl w:val="0"/>
        <w:tabs>
          <w:tab w:val="left" w:pos="567"/>
        </w:tabs>
        <w:jc w:val="center"/>
        <w:rPr>
          <w:b/>
          <w:snapToGrid w:val="0"/>
          <w:szCs w:val="22"/>
          <w:lang w:eastAsia="en-US"/>
        </w:rPr>
      </w:pPr>
    </w:p>
    <w:p w14:paraId="49F0AF8C" w14:textId="77777777" w:rsidR="0023627C" w:rsidRDefault="0023627C" w:rsidP="00D87EAB">
      <w:pPr>
        <w:widowControl w:val="0"/>
        <w:tabs>
          <w:tab w:val="left" w:pos="567"/>
        </w:tabs>
        <w:jc w:val="center"/>
        <w:rPr>
          <w:b/>
          <w:snapToGrid w:val="0"/>
          <w:szCs w:val="22"/>
          <w:lang w:eastAsia="en-US"/>
        </w:rPr>
      </w:pPr>
    </w:p>
    <w:p w14:paraId="3BCD3DEF" w14:textId="77777777" w:rsidR="0023627C" w:rsidRDefault="0023627C" w:rsidP="00D87EAB">
      <w:pPr>
        <w:widowControl w:val="0"/>
        <w:tabs>
          <w:tab w:val="left" w:pos="567"/>
        </w:tabs>
        <w:jc w:val="center"/>
        <w:rPr>
          <w:b/>
          <w:snapToGrid w:val="0"/>
          <w:szCs w:val="22"/>
          <w:lang w:eastAsia="en-US"/>
        </w:rPr>
      </w:pPr>
    </w:p>
    <w:p w14:paraId="00E59DC2" w14:textId="77777777" w:rsidR="0023627C" w:rsidRDefault="0023627C" w:rsidP="00D87EAB">
      <w:pPr>
        <w:widowControl w:val="0"/>
        <w:tabs>
          <w:tab w:val="left" w:pos="567"/>
        </w:tabs>
        <w:jc w:val="center"/>
        <w:rPr>
          <w:b/>
          <w:snapToGrid w:val="0"/>
          <w:szCs w:val="22"/>
          <w:lang w:eastAsia="en-US"/>
        </w:rPr>
      </w:pPr>
    </w:p>
    <w:p w14:paraId="2AB45275" w14:textId="77777777" w:rsidR="0023627C" w:rsidRDefault="0023627C" w:rsidP="00D87EAB">
      <w:pPr>
        <w:widowControl w:val="0"/>
        <w:tabs>
          <w:tab w:val="left" w:pos="567"/>
        </w:tabs>
        <w:jc w:val="center"/>
        <w:rPr>
          <w:b/>
          <w:snapToGrid w:val="0"/>
          <w:szCs w:val="22"/>
          <w:lang w:eastAsia="en-US"/>
        </w:rPr>
      </w:pPr>
    </w:p>
    <w:p w14:paraId="0561CB41" w14:textId="77777777" w:rsidR="0023627C" w:rsidRDefault="0023627C" w:rsidP="00D87EAB">
      <w:pPr>
        <w:widowControl w:val="0"/>
        <w:tabs>
          <w:tab w:val="left" w:pos="567"/>
        </w:tabs>
        <w:jc w:val="center"/>
        <w:rPr>
          <w:b/>
          <w:snapToGrid w:val="0"/>
          <w:szCs w:val="22"/>
          <w:lang w:eastAsia="en-US"/>
        </w:rPr>
      </w:pPr>
    </w:p>
    <w:p w14:paraId="3C5EF0AA" w14:textId="7FB6081A" w:rsidR="00D87EAB" w:rsidRPr="00C21B99" w:rsidRDefault="00D87EAB" w:rsidP="00D87EAB">
      <w:pPr>
        <w:widowControl w:val="0"/>
        <w:tabs>
          <w:tab w:val="left" w:pos="567"/>
        </w:tabs>
        <w:jc w:val="center"/>
        <w:rPr>
          <w:b/>
          <w:snapToGrid w:val="0"/>
          <w:szCs w:val="22"/>
          <w:lang w:eastAsia="en-US"/>
        </w:rPr>
      </w:pPr>
      <w:r w:rsidRPr="00C21B99">
        <w:rPr>
          <w:b/>
          <w:snapToGrid w:val="0"/>
          <w:szCs w:val="22"/>
          <w:lang w:eastAsia="en-US"/>
        </w:rPr>
        <w:t>II PRIEDAS</w:t>
      </w:r>
    </w:p>
    <w:p w14:paraId="214370CB" w14:textId="77777777" w:rsidR="00D87EAB" w:rsidRPr="00C21B99" w:rsidRDefault="00D87EAB" w:rsidP="00D87EAB">
      <w:pPr>
        <w:widowControl w:val="0"/>
        <w:tabs>
          <w:tab w:val="left" w:pos="567"/>
        </w:tabs>
        <w:ind w:left="1701" w:right="1416" w:hanging="567"/>
        <w:rPr>
          <w:snapToGrid w:val="0"/>
          <w:szCs w:val="22"/>
          <w:lang w:eastAsia="en-US"/>
        </w:rPr>
      </w:pPr>
    </w:p>
    <w:p w14:paraId="334AD6B7" w14:textId="77777777" w:rsidR="00D87EAB" w:rsidRPr="00C21B99" w:rsidRDefault="00D87EAB" w:rsidP="00D87EAB">
      <w:pPr>
        <w:widowControl w:val="0"/>
        <w:tabs>
          <w:tab w:val="left" w:pos="567"/>
        </w:tabs>
        <w:jc w:val="center"/>
        <w:rPr>
          <w:i/>
          <w:snapToGrid w:val="0"/>
          <w:szCs w:val="22"/>
          <w:lang w:eastAsia="en-US"/>
        </w:rPr>
      </w:pPr>
      <w:r w:rsidRPr="00C21B99">
        <w:rPr>
          <w:b/>
          <w:snapToGrid w:val="0"/>
          <w:szCs w:val="22"/>
          <w:lang w:eastAsia="en-US"/>
        </w:rPr>
        <w:t>REGISTRACIJOS SĄLYGOS</w:t>
      </w:r>
    </w:p>
    <w:p w14:paraId="591C0272" w14:textId="77777777" w:rsidR="00D87EAB" w:rsidRPr="00C21B99" w:rsidRDefault="00D87EAB" w:rsidP="00D87EAB">
      <w:pPr>
        <w:widowControl w:val="0"/>
        <w:tabs>
          <w:tab w:val="left" w:pos="567"/>
        </w:tabs>
        <w:rPr>
          <w:snapToGrid w:val="0"/>
          <w:szCs w:val="22"/>
          <w:lang w:eastAsia="en-US"/>
        </w:rPr>
      </w:pPr>
    </w:p>
    <w:p w14:paraId="2296B2B2" w14:textId="77777777" w:rsidR="00D87EAB" w:rsidRPr="00C21B99" w:rsidRDefault="00D87EAB" w:rsidP="00D87EAB">
      <w:pPr>
        <w:widowControl w:val="0"/>
        <w:tabs>
          <w:tab w:val="left" w:pos="1701"/>
        </w:tabs>
        <w:ind w:left="1701" w:right="567" w:hanging="567"/>
        <w:rPr>
          <w:b/>
          <w:snapToGrid w:val="0"/>
          <w:szCs w:val="22"/>
          <w:lang w:eastAsia="en-US"/>
        </w:rPr>
      </w:pPr>
      <w:r w:rsidRPr="00C21B99">
        <w:rPr>
          <w:b/>
          <w:snapToGrid w:val="0"/>
          <w:szCs w:val="22"/>
          <w:lang w:eastAsia="en-US"/>
        </w:rPr>
        <w:t>A.</w:t>
      </w:r>
      <w:r w:rsidRPr="00C21B99">
        <w:rPr>
          <w:b/>
          <w:snapToGrid w:val="0"/>
          <w:szCs w:val="22"/>
          <w:lang w:eastAsia="en-US"/>
        </w:rPr>
        <w:tab/>
        <w:t>GAMINTOJAS (-AI), ATSAKINGAS (-I) UŽ SERIJŲ IŠLEIDIMĄ</w:t>
      </w:r>
    </w:p>
    <w:p w14:paraId="0A5223FE" w14:textId="77777777" w:rsidR="00D87EAB" w:rsidRPr="00C21B99" w:rsidRDefault="00D87EAB" w:rsidP="00D87EAB">
      <w:pPr>
        <w:widowControl w:val="0"/>
        <w:tabs>
          <w:tab w:val="left" w:pos="1701"/>
        </w:tabs>
        <w:ind w:left="567" w:right="567" w:hanging="567"/>
        <w:rPr>
          <w:snapToGrid w:val="0"/>
          <w:szCs w:val="22"/>
          <w:lang w:eastAsia="en-US"/>
        </w:rPr>
      </w:pPr>
    </w:p>
    <w:p w14:paraId="0C3B8C23" w14:textId="77777777" w:rsidR="00D87EAB" w:rsidRPr="00C21B99" w:rsidRDefault="00D87EAB" w:rsidP="00D87EAB">
      <w:pPr>
        <w:widowControl w:val="0"/>
        <w:tabs>
          <w:tab w:val="left" w:pos="1701"/>
        </w:tabs>
        <w:ind w:left="1701" w:right="567" w:hanging="567"/>
        <w:rPr>
          <w:b/>
          <w:snapToGrid w:val="0"/>
          <w:szCs w:val="22"/>
          <w:lang w:eastAsia="en-US"/>
        </w:rPr>
      </w:pPr>
      <w:r w:rsidRPr="00C21B99">
        <w:rPr>
          <w:b/>
          <w:snapToGrid w:val="0"/>
          <w:szCs w:val="22"/>
          <w:lang w:eastAsia="en-US"/>
        </w:rPr>
        <w:t>B.</w:t>
      </w:r>
      <w:r w:rsidRPr="00C21B99">
        <w:rPr>
          <w:b/>
          <w:snapToGrid w:val="0"/>
          <w:szCs w:val="22"/>
          <w:lang w:eastAsia="en-US"/>
        </w:rPr>
        <w:tab/>
        <w:t>TIEKIMO IR VARTOJIMO SĄLYGOS AR APRIBOJIMAI</w:t>
      </w:r>
    </w:p>
    <w:p w14:paraId="637BCB6B" w14:textId="77777777" w:rsidR="00D87EAB" w:rsidRPr="00C21B99" w:rsidRDefault="00D87EAB" w:rsidP="00D87EAB">
      <w:pPr>
        <w:widowControl w:val="0"/>
        <w:tabs>
          <w:tab w:val="left" w:pos="567"/>
        </w:tabs>
        <w:ind w:right="-1"/>
        <w:rPr>
          <w:snapToGrid w:val="0"/>
          <w:szCs w:val="22"/>
          <w:lang w:eastAsia="en-US"/>
        </w:rPr>
      </w:pPr>
    </w:p>
    <w:p w14:paraId="1F37A443" w14:textId="77777777" w:rsidR="00D87EAB" w:rsidRPr="00C21B99" w:rsidRDefault="00D87EAB" w:rsidP="00D87EAB">
      <w:pPr>
        <w:widowControl w:val="0"/>
        <w:tabs>
          <w:tab w:val="left" w:pos="567"/>
        </w:tabs>
        <w:ind w:left="567" w:hanging="567"/>
        <w:rPr>
          <w:b/>
          <w:snapToGrid w:val="0"/>
          <w:szCs w:val="22"/>
          <w:lang w:eastAsia="en-US"/>
        </w:rPr>
      </w:pPr>
      <w:r w:rsidRPr="00C21B99">
        <w:rPr>
          <w:snapToGrid w:val="0"/>
          <w:szCs w:val="22"/>
          <w:lang w:eastAsia="en-US"/>
        </w:rPr>
        <w:br w:type="page"/>
      </w:r>
      <w:r w:rsidRPr="00C21B99">
        <w:rPr>
          <w:b/>
          <w:snapToGrid w:val="0"/>
          <w:szCs w:val="22"/>
          <w:lang w:eastAsia="en-US"/>
        </w:rPr>
        <w:lastRenderedPageBreak/>
        <w:t>A.</w:t>
      </w:r>
      <w:r w:rsidRPr="00C21B99">
        <w:rPr>
          <w:b/>
          <w:snapToGrid w:val="0"/>
          <w:szCs w:val="22"/>
          <w:lang w:eastAsia="en-US"/>
        </w:rPr>
        <w:tab/>
        <w:t>GAMINTOJAS (-AI), ATSAKINGAS (-I) UŽ SERIJŲ IŠLEIDIMĄ</w:t>
      </w:r>
    </w:p>
    <w:p w14:paraId="34A55065" w14:textId="77777777" w:rsidR="00D87EAB" w:rsidRPr="00C21B99" w:rsidRDefault="00D87EAB" w:rsidP="00D87EAB">
      <w:pPr>
        <w:widowControl w:val="0"/>
        <w:tabs>
          <w:tab w:val="left" w:pos="567"/>
        </w:tabs>
        <w:rPr>
          <w:snapToGrid w:val="0"/>
          <w:szCs w:val="22"/>
          <w:lang w:eastAsia="en-US"/>
        </w:rPr>
      </w:pPr>
    </w:p>
    <w:p w14:paraId="4509F30E" w14:textId="77777777" w:rsidR="00D87EAB" w:rsidRPr="00C21B99" w:rsidRDefault="00D87EAB" w:rsidP="00D87EAB">
      <w:pPr>
        <w:widowControl w:val="0"/>
        <w:tabs>
          <w:tab w:val="left" w:pos="567"/>
        </w:tabs>
        <w:jc w:val="both"/>
        <w:rPr>
          <w:snapToGrid w:val="0"/>
          <w:szCs w:val="22"/>
          <w:lang w:eastAsia="en-US"/>
        </w:rPr>
      </w:pPr>
      <w:r w:rsidRPr="00C21B99">
        <w:rPr>
          <w:snapToGrid w:val="0"/>
          <w:szCs w:val="22"/>
          <w:u w:val="single"/>
          <w:lang w:eastAsia="en-US"/>
        </w:rPr>
        <w:t>Gamintojo (-ų), atsakingo (-ų) už serijų išleidimą, pavadinimas (-ai) ir adresas (-ai)</w:t>
      </w:r>
    </w:p>
    <w:p w14:paraId="29BE3B0D" w14:textId="77777777" w:rsidR="00593752" w:rsidRPr="00C21B99" w:rsidRDefault="00593752" w:rsidP="00D87EAB">
      <w:pPr>
        <w:widowControl w:val="0"/>
        <w:tabs>
          <w:tab w:val="left" w:pos="567"/>
        </w:tabs>
        <w:rPr>
          <w:snapToGrid w:val="0"/>
          <w:szCs w:val="22"/>
          <w:lang w:eastAsia="en-US"/>
        </w:rPr>
      </w:pPr>
    </w:p>
    <w:p w14:paraId="01EC28D5" w14:textId="77777777" w:rsidR="00593752" w:rsidRPr="00C21B99" w:rsidRDefault="00593752" w:rsidP="00D87EAB">
      <w:pPr>
        <w:widowControl w:val="0"/>
        <w:tabs>
          <w:tab w:val="left" w:pos="567"/>
        </w:tabs>
        <w:rPr>
          <w:snapToGrid w:val="0"/>
          <w:szCs w:val="22"/>
          <w:lang w:eastAsia="en-US"/>
        </w:rPr>
      </w:pPr>
      <w:proofErr w:type="spellStart"/>
      <w:r w:rsidRPr="00C21B99">
        <w:rPr>
          <w:snapToGrid w:val="0"/>
          <w:szCs w:val="22"/>
          <w:lang w:eastAsia="en-US"/>
        </w:rPr>
        <w:t>Remedica</w:t>
      </w:r>
      <w:proofErr w:type="spellEnd"/>
      <w:r w:rsidRPr="00C21B99">
        <w:rPr>
          <w:snapToGrid w:val="0"/>
          <w:szCs w:val="22"/>
          <w:lang w:eastAsia="en-US"/>
        </w:rPr>
        <w:t xml:space="preserve"> Ltd.</w:t>
      </w:r>
    </w:p>
    <w:p w14:paraId="5BE73550" w14:textId="77777777" w:rsidR="00D87EAB" w:rsidRPr="00C21B99" w:rsidRDefault="00593752" w:rsidP="00D87EAB">
      <w:pPr>
        <w:widowControl w:val="0"/>
        <w:tabs>
          <w:tab w:val="left" w:pos="567"/>
        </w:tabs>
        <w:rPr>
          <w:snapToGrid w:val="0"/>
          <w:szCs w:val="22"/>
          <w:lang w:eastAsia="en-US"/>
        </w:rPr>
      </w:pPr>
      <w:proofErr w:type="spellStart"/>
      <w:r w:rsidRPr="00C21B99">
        <w:rPr>
          <w:snapToGrid w:val="0"/>
          <w:szCs w:val="22"/>
          <w:lang w:eastAsia="en-US"/>
        </w:rPr>
        <w:t>Aharnon</w:t>
      </w:r>
      <w:proofErr w:type="spellEnd"/>
      <w:r w:rsidRPr="00C21B99">
        <w:rPr>
          <w:snapToGrid w:val="0"/>
          <w:szCs w:val="22"/>
          <w:lang w:eastAsia="en-US"/>
        </w:rPr>
        <w:t xml:space="preserve"> </w:t>
      </w:r>
      <w:proofErr w:type="spellStart"/>
      <w:r w:rsidRPr="00C21B99">
        <w:rPr>
          <w:snapToGrid w:val="0"/>
          <w:szCs w:val="22"/>
          <w:lang w:eastAsia="en-US"/>
        </w:rPr>
        <w:t>Street</w:t>
      </w:r>
      <w:proofErr w:type="spellEnd"/>
      <w:r w:rsidRPr="00C21B99">
        <w:rPr>
          <w:snapToGrid w:val="0"/>
          <w:szCs w:val="22"/>
          <w:lang w:eastAsia="en-US"/>
        </w:rPr>
        <w:t xml:space="preserve">, </w:t>
      </w:r>
      <w:proofErr w:type="spellStart"/>
      <w:r w:rsidRPr="00C21B99">
        <w:rPr>
          <w:snapToGrid w:val="0"/>
          <w:szCs w:val="22"/>
          <w:lang w:eastAsia="en-US"/>
        </w:rPr>
        <w:t>Limassol</w:t>
      </w:r>
      <w:proofErr w:type="spellEnd"/>
      <w:r w:rsidRPr="00C21B99">
        <w:rPr>
          <w:snapToGrid w:val="0"/>
          <w:szCs w:val="22"/>
          <w:lang w:eastAsia="en-US"/>
        </w:rPr>
        <w:t xml:space="preserve"> </w:t>
      </w:r>
      <w:proofErr w:type="spellStart"/>
      <w:r w:rsidRPr="00C21B99">
        <w:rPr>
          <w:snapToGrid w:val="0"/>
          <w:szCs w:val="22"/>
          <w:lang w:eastAsia="en-US"/>
        </w:rPr>
        <w:t>Industrial</w:t>
      </w:r>
      <w:proofErr w:type="spellEnd"/>
      <w:r w:rsidRPr="00C21B99">
        <w:rPr>
          <w:snapToGrid w:val="0"/>
          <w:szCs w:val="22"/>
          <w:lang w:eastAsia="en-US"/>
        </w:rPr>
        <w:t xml:space="preserve"> </w:t>
      </w:r>
      <w:proofErr w:type="spellStart"/>
      <w:r w:rsidRPr="00C21B99">
        <w:rPr>
          <w:snapToGrid w:val="0"/>
          <w:szCs w:val="22"/>
          <w:lang w:eastAsia="en-US"/>
        </w:rPr>
        <w:t>Estate</w:t>
      </w:r>
      <w:proofErr w:type="spellEnd"/>
    </w:p>
    <w:p w14:paraId="4FF53846" w14:textId="77777777" w:rsidR="00593752" w:rsidRPr="00C21B99" w:rsidRDefault="00593752" w:rsidP="00D87EAB">
      <w:pPr>
        <w:widowControl w:val="0"/>
        <w:tabs>
          <w:tab w:val="left" w:pos="567"/>
        </w:tabs>
        <w:rPr>
          <w:snapToGrid w:val="0"/>
          <w:szCs w:val="22"/>
          <w:lang w:eastAsia="en-US"/>
        </w:rPr>
      </w:pPr>
      <w:r w:rsidRPr="00C21B99">
        <w:rPr>
          <w:snapToGrid w:val="0"/>
          <w:szCs w:val="22"/>
          <w:lang w:eastAsia="en-US"/>
        </w:rPr>
        <w:t xml:space="preserve">3056 </w:t>
      </w:r>
      <w:proofErr w:type="spellStart"/>
      <w:r w:rsidRPr="00C21B99">
        <w:rPr>
          <w:snapToGrid w:val="0"/>
          <w:szCs w:val="22"/>
          <w:lang w:eastAsia="en-US"/>
        </w:rPr>
        <w:t>Limassol</w:t>
      </w:r>
      <w:proofErr w:type="spellEnd"/>
    </w:p>
    <w:p w14:paraId="0D7CA9BA" w14:textId="77777777" w:rsidR="00593752" w:rsidRPr="00C21B99" w:rsidRDefault="00593752" w:rsidP="00D87EAB">
      <w:pPr>
        <w:widowControl w:val="0"/>
        <w:tabs>
          <w:tab w:val="left" w:pos="567"/>
        </w:tabs>
        <w:rPr>
          <w:snapToGrid w:val="0"/>
          <w:szCs w:val="22"/>
          <w:lang w:eastAsia="en-US"/>
        </w:rPr>
      </w:pPr>
      <w:r w:rsidRPr="00C21B99">
        <w:rPr>
          <w:snapToGrid w:val="0"/>
          <w:szCs w:val="22"/>
          <w:lang w:eastAsia="en-US"/>
        </w:rPr>
        <w:t>Kipras</w:t>
      </w:r>
    </w:p>
    <w:p w14:paraId="02880550" w14:textId="77777777" w:rsidR="00593752" w:rsidRDefault="00593752" w:rsidP="00D87EAB">
      <w:pPr>
        <w:widowControl w:val="0"/>
        <w:tabs>
          <w:tab w:val="left" w:pos="567"/>
        </w:tabs>
        <w:rPr>
          <w:snapToGrid w:val="0"/>
          <w:szCs w:val="22"/>
          <w:lang w:eastAsia="en-US"/>
        </w:rPr>
      </w:pPr>
    </w:p>
    <w:p w14:paraId="37407F24" w14:textId="77777777" w:rsidR="00DF12E6" w:rsidRDefault="00DF12E6" w:rsidP="00D87EAB">
      <w:pPr>
        <w:widowControl w:val="0"/>
        <w:tabs>
          <w:tab w:val="left" w:pos="567"/>
        </w:tabs>
        <w:rPr>
          <w:snapToGrid w:val="0"/>
          <w:szCs w:val="22"/>
          <w:lang w:eastAsia="en-US"/>
        </w:rPr>
      </w:pPr>
      <w:r>
        <w:rPr>
          <w:snapToGrid w:val="0"/>
          <w:szCs w:val="22"/>
          <w:lang w:eastAsia="en-US"/>
        </w:rPr>
        <w:t>arba</w:t>
      </w:r>
    </w:p>
    <w:p w14:paraId="405A60F2" w14:textId="77777777" w:rsidR="00DF12E6" w:rsidRPr="00C21B99" w:rsidRDefault="00DF12E6" w:rsidP="00D87EAB">
      <w:pPr>
        <w:widowControl w:val="0"/>
        <w:tabs>
          <w:tab w:val="left" w:pos="567"/>
        </w:tabs>
        <w:rPr>
          <w:snapToGrid w:val="0"/>
          <w:szCs w:val="22"/>
          <w:lang w:eastAsia="en-US"/>
        </w:rPr>
      </w:pPr>
    </w:p>
    <w:p w14:paraId="6645FEBA" w14:textId="77777777" w:rsidR="00D87EAB" w:rsidRPr="00C21B99" w:rsidRDefault="00593752" w:rsidP="00D87EAB">
      <w:pPr>
        <w:widowControl w:val="0"/>
        <w:tabs>
          <w:tab w:val="left" w:pos="567"/>
        </w:tabs>
        <w:jc w:val="both"/>
        <w:rPr>
          <w:snapToGrid w:val="0"/>
          <w:szCs w:val="22"/>
          <w:lang w:eastAsia="en-US"/>
        </w:rPr>
      </w:pPr>
      <w:proofErr w:type="spellStart"/>
      <w:r w:rsidRPr="00C21B99">
        <w:rPr>
          <w:snapToGrid w:val="0"/>
          <w:szCs w:val="22"/>
          <w:lang w:eastAsia="en-US"/>
        </w:rPr>
        <w:t>Lek</w:t>
      </w:r>
      <w:proofErr w:type="spellEnd"/>
      <w:r w:rsidRPr="00C21B99">
        <w:rPr>
          <w:snapToGrid w:val="0"/>
          <w:szCs w:val="22"/>
          <w:lang w:eastAsia="en-US"/>
        </w:rPr>
        <w:t xml:space="preserve"> </w:t>
      </w:r>
      <w:proofErr w:type="spellStart"/>
      <w:r w:rsidRPr="00C21B99">
        <w:rPr>
          <w:snapToGrid w:val="0"/>
          <w:szCs w:val="22"/>
          <w:lang w:eastAsia="en-US"/>
        </w:rPr>
        <w:t>Pharmaceutical</w:t>
      </w:r>
      <w:proofErr w:type="spellEnd"/>
      <w:r w:rsidRPr="00C21B99">
        <w:rPr>
          <w:snapToGrid w:val="0"/>
          <w:szCs w:val="22"/>
          <w:lang w:eastAsia="en-US"/>
        </w:rPr>
        <w:t xml:space="preserve"> </w:t>
      </w:r>
      <w:r w:rsidR="00EE53AB" w:rsidRPr="00C21B99">
        <w:rPr>
          <w:snapToGrid w:val="0"/>
          <w:szCs w:val="22"/>
          <w:lang w:eastAsia="en-US"/>
        </w:rPr>
        <w:t>Ltd</w:t>
      </w:r>
      <w:r w:rsidRPr="00C21B99">
        <w:rPr>
          <w:snapToGrid w:val="0"/>
          <w:szCs w:val="22"/>
          <w:lang w:eastAsia="en-US"/>
        </w:rPr>
        <w:t>.</w:t>
      </w:r>
    </w:p>
    <w:p w14:paraId="264A051B" w14:textId="77777777" w:rsidR="00D87EAB" w:rsidRPr="00C21B99" w:rsidRDefault="00593752" w:rsidP="00D87EAB">
      <w:pPr>
        <w:widowControl w:val="0"/>
        <w:tabs>
          <w:tab w:val="left" w:pos="567"/>
        </w:tabs>
        <w:jc w:val="both"/>
        <w:rPr>
          <w:snapToGrid w:val="0"/>
          <w:szCs w:val="22"/>
          <w:lang w:eastAsia="en-US"/>
        </w:rPr>
      </w:pPr>
      <w:proofErr w:type="spellStart"/>
      <w:r w:rsidRPr="00C21B99">
        <w:rPr>
          <w:snapToGrid w:val="0"/>
          <w:szCs w:val="22"/>
          <w:lang w:eastAsia="en-US"/>
        </w:rPr>
        <w:t>Verovškova</w:t>
      </w:r>
      <w:proofErr w:type="spellEnd"/>
      <w:r w:rsidRPr="00C21B99">
        <w:rPr>
          <w:snapToGrid w:val="0"/>
          <w:szCs w:val="22"/>
          <w:lang w:eastAsia="en-US"/>
        </w:rPr>
        <w:t xml:space="preserve"> </w:t>
      </w:r>
      <w:proofErr w:type="spellStart"/>
      <w:r w:rsidRPr="00C21B99">
        <w:rPr>
          <w:snapToGrid w:val="0"/>
          <w:szCs w:val="22"/>
          <w:lang w:eastAsia="en-US"/>
        </w:rPr>
        <w:t>ulica</w:t>
      </w:r>
      <w:proofErr w:type="spellEnd"/>
      <w:r w:rsidRPr="00C21B99">
        <w:rPr>
          <w:snapToGrid w:val="0"/>
          <w:szCs w:val="22"/>
          <w:lang w:eastAsia="en-US"/>
        </w:rPr>
        <w:t xml:space="preserve"> 57</w:t>
      </w:r>
    </w:p>
    <w:p w14:paraId="00B2A6FE" w14:textId="77777777" w:rsidR="00D87EAB" w:rsidRPr="00C21B99" w:rsidRDefault="00EE53AB" w:rsidP="00D87EAB">
      <w:pPr>
        <w:widowControl w:val="0"/>
        <w:tabs>
          <w:tab w:val="left" w:pos="567"/>
        </w:tabs>
        <w:jc w:val="both"/>
        <w:rPr>
          <w:snapToGrid w:val="0"/>
          <w:szCs w:val="22"/>
          <w:lang w:eastAsia="en-US"/>
        </w:rPr>
      </w:pPr>
      <w:r w:rsidRPr="00C21B99">
        <w:rPr>
          <w:snapToGrid w:val="0"/>
          <w:szCs w:val="22"/>
          <w:lang w:eastAsia="en-US"/>
        </w:rPr>
        <w:t>1</w:t>
      </w:r>
      <w:r w:rsidR="00593752" w:rsidRPr="00C21B99">
        <w:rPr>
          <w:snapToGrid w:val="0"/>
          <w:szCs w:val="22"/>
          <w:lang w:eastAsia="en-US"/>
        </w:rPr>
        <w:t>526</w:t>
      </w:r>
      <w:r w:rsidRPr="00C21B99">
        <w:rPr>
          <w:snapToGrid w:val="0"/>
          <w:szCs w:val="22"/>
          <w:lang w:eastAsia="en-US"/>
        </w:rPr>
        <w:t xml:space="preserve"> </w:t>
      </w:r>
      <w:proofErr w:type="spellStart"/>
      <w:r w:rsidR="00593752" w:rsidRPr="00C21B99">
        <w:rPr>
          <w:snapToGrid w:val="0"/>
          <w:szCs w:val="22"/>
          <w:lang w:eastAsia="en-US"/>
        </w:rPr>
        <w:t>Ljubljana</w:t>
      </w:r>
      <w:proofErr w:type="spellEnd"/>
      <w:r w:rsidR="00D87EAB" w:rsidRPr="00C21B99">
        <w:rPr>
          <w:snapToGrid w:val="0"/>
          <w:szCs w:val="22"/>
          <w:lang w:eastAsia="en-US"/>
        </w:rPr>
        <w:t xml:space="preserve"> </w:t>
      </w:r>
    </w:p>
    <w:p w14:paraId="60BD0B01" w14:textId="77777777" w:rsidR="00D87EAB" w:rsidRPr="00C21B99" w:rsidRDefault="00593752" w:rsidP="00D87EAB">
      <w:pPr>
        <w:widowControl w:val="0"/>
        <w:rPr>
          <w:szCs w:val="22"/>
          <w:lang w:eastAsia="sl-SI"/>
        </w:rPr>
      </w:pPr>
      <w:r w:rsidRPr="00C21B99">
        <w:rPr>
          <w:snapToGrid w:val="0"/>
          <w:szCs w:val="22"/>
          <w:lang w:eastAsia="en-US"/>
        </w:rPr>
        <w:t>Slovėnija</w:t>
      </w:r>
    </w:p>
    <w:p w14:paraId="4F5C1010" w14:textId="77777777" w:rsidR="00DF12E6" w:rsidRDefault="00DF12E6" w:rsidP="00DF12E6">
      <w:pPr>
        <w:tabs>
          <w:tab w:val="left" w:pos="567"/>
        </w:tabs>
        <w:jc w:val="both"/>
        <w:rPr>
          <w:noProof/>
          <w:snapToGrid w:val="0"/>
          <w:szCs w:val="24"/>
          <w:lang w:eastAsia="en-US"/>
        </w:rPr>
      </w:pPr>
    </w:p>
    <w:p w14:paraId="19E10DEE" w14:textId="77777777" w:rsidR="00DF12E6" w:rsidRDefault="00DF12E6" w:rsidP="00DF12E6">
      <w:pPr>
        <w:tabs>
          <w:tab w:val="left" w:pos="567"/>
        </w:tabs>
        <w:jc w:val="both"/>
        <w:rPr>
          <w:noProof/>
          <w:snapToGrid w:val="0"/>
          <w:szCs w:val="24"/>
          <w:lang w:eastAsia="en-US"/>
        </w:rPr>
      </w:pPr>
      <w:r w:rsidRPr="00DF12E6">
        <w:rPr>
          <w:noProof/>
          <w:snapToGrid w:val="0"/>
          <w:szCs w:val="24"/>
          <w:lang w:eastAsia="en-US"/>
        </w:rPr>
        <w:t>Su pakuote pateikiamame lapelyje nurodomas gamintojo, atsakingo už konkrečios serijos išleidimą, pavadinimas ir adresas.</w:t>
      </w:r>
    </w:p>
    <w:p w14:paraId="69E02E50" w14:textId="77777777" w:rsidR="00DF12E6" w:rsidRPr="00DF12E6" w:rsidRDefault="00DF12E6" w:rsidP="00DF12E6">
      <w:pPr>
        <w:tabs>
          <w:tab w:val="left" w:pos="567"/>
        </w:tabs>
        <w:jc w:val="both"/>
        <w:rPr>
          <w:snapToGrid w:val="0"/>
          <w:szCs w:val="24"/>
          <w:lang w:eastAsia="en-US"/>
        </w:rPr>
      </w:pPr>
    </w:p>
    <w:p w14:paraId="585D9E82" w14:textId="77777777" w:rsidR="00D87EAB" w:rsidRPr="00C21B99" w:rsidRDefault="00D87EAB" w:rsidP="00D87EAB">
      <w:pPr>
        <w:widowControl w:val="0"/>
        <w:tabs>
          <w:tab w:val="left" w:pos="567"/>
        </w:tabs>
        <w:rPr>
          <w:snapToGrid w:val="0"/>
          <w:szCs w:val="22"/>
          <w:lang w:eastAsia="en-US"/>
        </w:rPr>
      </w:pPr>
    </w:p>
    <w:p w14:paraId="1A96CD33" w14:textId="77777777" w:rsidR="00D87EAB" w:rsidRPr="00C21B99" w:rsidRDefault="00D87EAB" w:rsidP="00D87EAB">
      <w:pPr>
        <w:widowControl w:val="0"/>
        <w:tabs>
          <w:tab w:val="left" w:pos="567"/>
        </w:tabs>
        <w:ind w:left="567" w:hanging="567"/>
        <w:rPr>
          <w:snapToGrid w:val="0"/>
          <w:szCs w:val="22"/>
          <w:lang w:eastAsia="en-US"/>
        </w:rPr>
      </w:pPr>
      <w:r w:rsidRPr="00C21B99">
        <w:rPr>
          <w:b/>
          <w:snapToGrid w:val="0"/>
          <w:szCs w:val="22"/>
          <w:lang w:eastAsia="en-US"/>
        </w:rPr>
        <w:t>B.</w:t>
      </w:r>
      <w:r w:rsidRPr="00C21B99">
        <w:rPr>
          <w:b/>
          <w:snapToGrid w:val="0"/>
          <w:szCs w:val="22"/>
          <w:lang w:eastAsia="en-US"/>
        </w:rPr>
        <w:tab/>
        <w:t>TIEKIMO IR VARTOJIMO SĄLYGOS AR APRIBOJIMAI</w:t>
      </w:r>
    </w:p>
    <w:p w14:paraId="264AED8D" w14:textId="77777777" w:rsidR="00D87EAB" w:rsidRPr="00C21B99" w:rsidRDefault="00D87EAB" w:rsidP="00D87EAB">
      <w:pPr>
        <w:widowControl w:val="0"/>
        <w:tabs>
          <w:tab w:val="left" w:pos="567"/>
        </w:tabs>
        <w:rPr>
          <w:snapToGrid w:val="0"/>
          <w:szCs w:val="22"/>
          <w:lang w:eastAsia="en-US"/>
        </w:rPr>
      </w:pPr>
    </w:p>
    <w:p w14:paraId="238813C4" w14:textId="77777777" w:rsidR="00D87EAB" w:rsidRPr="00C21B99" w:rsidRDefault="00D87EAB" w:rsidP="00D87EAB">
      <w:pPr>
        <w:widowControl w:val="0"/>
        <w:tabs>
          <w:tab w:val="left" w:pos="567"/>
        </w:tabs>
        <w:rPr>
          <w:snapToGrid w:val="0"/>
          <w:szCs w:val="22"/>
          <w:lang w:eastAsia="en-US"/>
        </w:rPr>
      </w:pPr>
      <w:r w:rsidRPr="00C21B99">
        <w:rPr>
          <w:snapToGrid w:val="0"/>
          <w:szCs w:val="22"/>
          <w:lang w:eastAsia="en-US"/>
        </w:rPr>
        <w:t>Receptinis vaistinis preparatas.</w:t>
      </w:r>
    </w:p>
    <w:p w14:paraId="366AFC01" w14:textId="77777777" w:rsidR="00D87EAB" w:rsidRPr="00C21B99" w:rsidRDefault="00D87EAB" w:rsidP="00D87EAB">
      <w:pPr>
        <w:widowControl w:val="0"/>
        <w:tabs>
          <w:tab w:val="left" w:pos="4962"/>
        </w:tabs>
        <w:rPr>
          <w:rFonts w:eastAsia="SimSun"/>
          <w:color w:val="000000"/>
          <w:szCs w:val="22"/>
          <w:lang w:eastAsia="en-US"/>
        </w:rPr>
      </w:pPr>
      <w:r w:rsidRPr="00C21B99">
        <w:rPr>
          <w:rFonts w:eastAsia="SimSun"/>
          <w:b/>
          <w:szCs w:val="22"/>
          <w:lang w:eastAsia="en-US"/>
        </w:rPr>
        <w:br w:type="page"/>
      </w:r>
    </w:p>
    <w:p w14:paraId="415275E0" w14:textId="77777777" w:rsidR="00D87EAB" w:rsidRPr="00C21B99" w:rsidRDefault="00D87EAB" w:rsidP="00D87EAB">
      <w:pPr>
        <w:widowControl w:val="0"/>
        <w:tabs>
          <w:tab w:val="left" w:pos="567"/>
        </w:tabs>
        <w:ind w:right="566"/>
        <w:rPr>
          <w:snapToGrid w:val="0"/>
          <w:szCs w:val="22"/>
          <w:lang w:eastAsia="en-US"/>
        </w:rPr>
      </w:pPr>
    </w:p>
    <w:p w14:paraId="1380DF1B" w14:textId="77777777" w:rsidR="00D87EAB" w:rsidRPr="00C21B99" w:rsidRDefault="00D87EAB" w:rsidP="00D87EAB">
      <w:pPr>
        <w:widowControl w:val="0"/>
        <w:tabs>
          <w:tab w:val="left" w:pos="567"/>
        </w:tabs>
        <w:rPr>
          <w:snapToGrid w:val="0"/>
          <w:szCs w:val="22"/>
          <w:lang w:eastAsia="en-US"/>
        </w:rPr>
      </w:pPr>
    </w:p>
    <w:p w14:paraId="51FBC249" w14:textId="77777777" w:rsidR="00D87EAB" w:rsidRPr="00C21B99" w:rsidRDefault="00D87EAB" w:rsidP="00D87EAB">
      <w:pPr>
        <w:widowControl w:val="0"/>
        <w:tabs>
          <w:tab w:val="left" w:pos="567"/>
        </w:tabs>
        <w:rPr>
          <w:snapToGrid w:val="0"/>
          <w:szCs w:val="22"/>
          <w:lang w:eastAsia="en-US"/>
        </w:rPr>
      </w:pPr>
    </w:p>
    <w:p w14:paraId="42593C31" w14:textId="77777777" w:rsidR="00D87EAB" w:rsidRPr="00C21B99" w:rsidRDefault="00D87EAB" w:rsidP="00D87EAB">
      <w:pPr>
        <w:widowControl w:val="0"/>
        <w:tabs>
          <w:tab w:val="left" w:pos="567"/>
        </w:tabs>
        <w:rPr>
          <w:snapToGrid w:val="0"/>
          <w:szCs w:val="22"/>
          <w:lang w:eastAsia="en-US"/>
        </w:rPr>
      </w:pPr>
    </w:p>
    <w:p w14:paraId="7466FD30" w14:textId="77777777" w:rsidR="00D87EAB" w:rsidRPr="00C21B99" w:rsidRDefault="00D87EAB" w:rsidP="00D87EAB">
      <w:pPr>
        <w:widowControl w:val="0"/>
        <w:tabs>
          <w:tab w:val="left" w:pos="567"/>
        </w:tabs>
        <w:rPr>
          <w:snapToGrid w:val="0"/>
          <w:szCs w:val="22"/>
          <w:lang w:eastAsia="en-US"/>
        </w:rPr>
      </w:pPr>
    </w:p>
    <w:p w14:paraId="2E0C0F07" w14:textId="77777777" w:rsidR="00D87EAB" w:rsidRPr="00C21B99" w:rsidRDefault="00D87EAB" w:rsidP="00D87EAB">
      <w:pPr>
        <w:widowControl w:val="0"/>
        <w:tabs>
          <w:tab w:val="left" w:pos="567"/>
        </w:tabs>
        <w:rPr>
          <w:snapToGrid w:val="0"/>
          <w:szCs w:val="22"/>
          <w:lang w:eastAsia="en-US"/>
        </w:rPr>
      </w:pPr>
    </w:p>
    <w:p w14:paraId="1FA94B4C" w14:textId="77777777" w:rsidR="00D87EAB" w:rsidRPr="00C21B99" w:rsidRDefault="00D87EAB" w:rsidP="00D87EAB">
      <w:pPr>
        <w:widowControl w:val="0"/>
        <w:tabs>
          <w:tab w:val="left" w:pos="567"/>
        </w:tabs>
        <w:rPr>
          <w:snapToGrid w:val="0"/>
          <w:szCs w:val="22"/>
          <w:lang w:eastAsia="en-US"/>
        </w:rPr>
      </w:pPr>
    </w:p>
    <w:p w14:paraId="3CBA6E96" w14:textId="77777777" w:rsidR="00D87EAB" w:rsidRPr="00C21B99" w:rsidRDefault="00D87EAB" w:rsidP="00D87EAB">
      <w:pPr>
        <w:widowControl w:val="0"/>
        <w:tabs>
          <w:tab w:val="left" w:pos="567"/>
        </w:tabs>
        <w:rPr>
          <w:snapToGrid w:val="0"/>
          <w:szCs w:val="22"/>
          <w:lang w:eastAsia="en-US"/>
        </w:rPr>
      </w:pPr>
    </w:p>
    <w:p w14:paraId="57315160" w14:textId="77777777" w:rsidR="00D87EAB" w:rsidRPr="00C21B99" w:rsidRDefault="00D87EAB" w:rsidP="00D87EAB">
      <w:pPr>
        <w:widowControl w:val="0"/>
        <w:tabs>
          <w:tab w:val="left" w:pos="567"/>
        </w:tabs>
        <w:rPr>
          <w:snapToGrid w:val="0"/>
          <w:szCs w:val="22"/>
          <w:lang w:eastAsia="en-US"/>
        </w:rPr>
      </w:pPr>
    </w:p>
    <w:p w14:paraId="1A0BA466" w14:textId="77777777" w:rsidR="00D87EAB" w:rsidRPr="00C21B99" w:rsidRDefault="00D87EAB" w:rsidP="00D87EAB">
      <w:pPr>
        <w:widowControl w:val="0"/>
        <w:tabs>
          <w:tab w:val="left" w:pos="567"/>
        </w:tabs>
        <w:rPr>
          <w:snapToGrid w:val="0"/>
          <w:szCs w:val="22"/>
          <w:lang w:eastAsia="en-US"/>
        </w:rPr>
      </w:pPr>
    </w:p>
    <w:p w14:paraId="4BAE8C56" w14:textId="77777777" w:rsidR="00D87EAB" w:rsidRPr="00C21B99" w:rsidRDefault="00D87EAB" w:rsidP="00D87EAB">
      <w:pPr>
        <w:widowControl w:val="0"/>
        <w:tabs>
          <w:tab w:val="left" w:pos="567"/>
        </w:tabs>
        <w:rPr>
          <w:snapToGrid w:val="0"/>
          <w:szCs w:val="22"/>
          <w:lang w:eastAsia="en-US"/>
        </w:rPr>
      </w:pPr>
    </w:p>
    <w:p w14:paraId="024A8A53" w14:textId="77777777" w:rsidR="00D87EAB" w:rsidRPr="00C21B99" w:rsidRDefault="00D87EAB" w:rsidP="00D87EAB">
      <w:pPr>
        <w:widowControl w:val="0"/>
        <w:tabs>
          <w:tab w:val="left" w:pos="567"/>
        </w:tabs>
        <w:rPr>
          <w:snapToGrid w:val="0"/>
          <w:szCs w:val="22"/>
          <w:lang w:eastAsia="en-US"/>
        </w:rPr>
      </w:pPr>
    </w:p>
    <w:p w14:paraId="00A945C8" w14:textId="77777777" w:rsidR="00D87EAB" w:rsidRPr="00C21B99" w:rsidRDefault="00D87EAB" w:rsidP="00D87EAB">
      <w:pPr>
        <w:widowControl w:val="0"/>
        <w:tabs>
          <w:tab w:val="left" w:pos="567"/>
        </w:tabs>
        <w:rPr>
          <w:snapToGrid w:val="0"/>
          <w:szCs w:val="22"/>
          <w:lang w:eastAsia="en-US"/>
        </w:rPr>
      </w:pPr>
    </w:p>
    <w:p w14:paraId="78E6C2E7" w14:textId="77777777" w:rsidR="00D87EAB" w:rsidRPr="00C21B99" w:rsidRDefault="00D87EAB" w:rsidP="00D87EAB">
      <w:pPr>
        <w:widowControl w:val="0"/>
        <w:tabs>
          <w:tab w:val="left" w:pos="567"/>
        </w:tabs>
        <w:rPr>
          <w:snapToGrid w:val="0"/>
          <w:szCs w:val="22"/>
          <w:lang w:eastAsia="en-US"/>
        </w:rPr>
      </w:pPr>
    </w:p>
    <w:p w14:paraId="47D00010" w14:textId="77777777" w:rsidR="00D87EAB" w:rsidRPr="00C21B99" w:rsidRDefault="00D87EAB" w:rsidP="00D87EAB">
      <w:pPr>
        <w:widowControl w:val="0"/>
        <w:tabs>
          <w:tab w:val="left" w:pos="567"/>
        </w:tabs>
        <w:rPr>
          <w:snapToGrid w:val="0"/>
          <w:szCs w:val="22"/>
          <w:lang w:eastAsia="en-US"/>
        </w:rPr>
      </w:pPr>
    </w:p>
    <w:p w14:paraId="119F3F0E" w14:textId="77777777" w:rsidR="00D87EAB" w:rsidRPr="00C21B99" w:rsidRDefault="00D87EAB" w:rsidP="00D87EAB">
      <w:pPr>
        <w:widowControl w:val="0"/>
        <w:tabs>
          <w:tab w:val="left" w:pos="567"/>
        </w:tabs>
        <w:rPr>
          <w:snapToGrid w:val="0"/>
          <w:szCs w:val="22"/>
          <w:lang w:eastAsia="en-US"/>
        </w:rPr>
      </w:pPr>
    </w:p>
    <w:p w14:paraId="2542BC60" w14:textId="77777777" w:rsidR="00D87EAB" w:rsidRPr="00C21B99" w:rsidRDefault="00D87EAB" w:rsidP="00D87EAB">
      <w:pPr>
        <w:widowControl w:val="0"/>
        <w:tabs>
          <w:tab w:val="left" w:pos="567"/>
        </w:tabs>
        <w:rPr>
          <w:snapToGrid w:val="0"/>
          <w:szCs w:val="22"/>
          <w:lang w:eastAsia="en-US"/>
        </w:rPr>
      </w:pPr>
    </w:p>
    <w:p w14:paraId="0C4182E0" w14:textId="77777777" w:rsidR="00D87EAB" w:rsidRPr="00C21B99" w:rsidRDefault="00D87EAB" w:rsidP="00D87EAB">
      <w:pPr>
        <w:widowControl w:val="0"/>
        <w:tabs>
          <w:tab w:val="left" w:pos="567"/>
        </w:tabs>
        <w:outlineLvl w:val="0"/>
        <w:rPr>
          <w:b/>
          <w:snapToGrid w:val="0"/>
          <w:szCs w:val="22"/>
          <w:lang w:eastAsia="en-US"/>
        </w:rPr>
      </w:pPr>
    </w:p>
    <w:p w14:paraId="4846703D" w14:textId="77777777" w:rsidR="00D87EAB" w:rsidRPr="00C21B99" w:rsidRDefault="00D87EAB" w:rsidP="00D87EAB">
      <w:pPr>
        <w:widowControl w:val="0"/>
        <w:tabs>
          <w:tab w:val="left" w:pos="567"/>
        </w:tabs>
        <w:outlineLvl w:val="0"/>
        <w:rPr>
          <w:b/>
          <w:snapToGrid w:val="0"/>
          <w:szCs w:val="22"/>
          <w:lang w:eastAsia="en-US"/>
        </w:rPr>
      </w:pPr>
    </w:p>
    <w:p w14:paraId="514CBC16" w14:textId="77777777" w:rsidR="00D87EAB" w:rsidRPr="00C21B99" w:rsidRDefault="00D87EAB" w:rsidP="00D87EAB">
      <w:pPr>
        <w:widowControl w:val="0"/>
        <w:tabs>
          <w:tab w:val="left" w:pos="567"/>
        </w:tabs>
        <w:outlineLvl w:val="0"/>
        <w:rPr>
          <w:b/>
          <w:snapToGrid w:val="0"/>
          <w:szCs w:val="22"/>
          <w:lang w:eastAsia="en-US"/>
        </w:rPr>
      </w:pPr>
    </w:p>
    <w:p w14:paraId="07D86F5D" w14:textId="77777777" w:rsidR="00D87EAB" w:rsidRPr="00C21B99" w:rsidRDefault="00D87EAB" w:rsidP="00D87EAB">
      <w:pPr>
        <w:widowControl w:val="0"/>
        <w:tabs>
          <w:tab w:val="left" w:pos="567"/>
        </w:tabs>
        <w:outlineLvl w:val="0"/>
        <w:rPr>
          <w:b/>
          <w:snapToGrid w:val="0"/>
          <w:szCs w:val="22"/>
          <w:lang w:eastAsia="en-US"/>
        </w:rPr>
      </w:pPr>
    </w:p>
    <w:p w14:paraId="1534EE52" w14:textId="77777777" w:rsidR="00D87EAB" w:rsidRPr="00C21B99" w:rsidRDefault="00D87EAB" w:rsidP="00D87EAB">
      <w:pPr>
        <w:widowControl w:val="0"/>
        <w:tabs>
          <w:tab w:val="left" w:pos="567"/>
        </w:tabs>
        <w:outlineLvl w:val="0"/>
        <w:rPr>
          <w:b/>
          <w:snapToGrid w:val="0"/>
          <w:szCs w:val="22"/>
          <w:lang w:eastAsia="en-US"/>
        </w:rPr>
      </w:pPr>
    </w:p>
    <w:p w14:paraId="2AA787B9" w14:textId="77777777" w:rsidR="00D87EAB" w:rsidRPr="00C21B99" w:rsidRDefault="00D87EAB" w:rsidP="00D87EAB">
      <w:pPr>
        <w:widowControl w:val="0"/>
        <w:tabs>
          <w:tab w:val="left" w:pos="567"/>
        </w:tabs>
        <w:jc w:val="center"/>
        <w:outlineLvl w:val="1"/>
        <w:rPr>
          <w:b/>
          <w:snapToGrid w:val="0"/>
          <w:szCs w:val="22"/>
        </w:rPr>
      </w:pPr>
      <w:r w:rsidRPr="00C21B99">
        <w:rPr>
          <w:b/>
          <w:bCs/>
          <w:iCs/>
          <w:snapToGrid w:val="0"/>
          <w:szCs w:val="22"/>
        </w:rPr>
        <w:t>III PRIEDAS</w:t>
      </w:r>
    </w:p>
    <w:p w14:paraId="780E8611" w14:textId="77777777" w:rsidR="00D87EAB" w:rsidRPr="00C21B99" w:rsidRDefault="00D87EAB" w:rsidP="00D87EAB">
      <w:pPr>
        <w:widowControl w:val="0"/>
        <w:tabs>
          <w:tab w:val="left" w:pos="567"/>
        </w:tabs>
        <w:rPr>
          <w:snapToGrid w:val="0"/>
          <w:szCs w:val="22"/>
          <w:lang w:eastAsia="en-US"/>
        </w:rPr>
      </w:pPr>
    </w:p>
    <w:p w14:paraId="603A2D6A" w14:textId="77777777" w:rsidR="00D87EAB" w:rsidRPr="00C21B99" w:rsidRDefault="00D87EAB" w:rsidP="00D87EAB">
      <w:pPr>
        <w:widowControl w:val="0"/>
        <w:tabs>
          <w:tab w:val="left" w:pos="567"/>
        </w:tabs>
        <w:jc w:val="center"/>
        <w:outlineLvl w:val="1"/>
        <w:rPr>
          <w:b/>
          <w:snapToGrid w:val="0"/>
          <w:szCs w:val="22"/>
        </w:rPr>
      </w:pPr>
      <w:r w:rsidRPr="00C21B99">
        <w:rPr>
          <w:b/>
          <w:bCs/>
          <w:iCs/>
          <w:snapToGrid w:val="0"/>
          <w:szCs w:val="22"/>
        </w:rPr>
        <w:t>ŽENKLINIMAS IR PAKUOTĖS LAPELIS</w:t>
      </w:r>
    </w:p>
    <w:p w14:paraId="32ED236F" w14:textId="77777777" w:rsidR="00D87EAB" w:rsidRPr="00C21B99" w:rsidRDefault="00D87EAB" w:rsidP="00D87EAB">
      <w:pPr>
        <w:widowControl w:val="0"/>
        <w:tabs>
          <w:tab w:val="left" w:pos="567"/>
        </w:tabs>
        <w:rPr>
          <w:snapToGrid w:val="0"/>
          <w:szCs w:val="22"/>
          <w:lang w:eastAsia="en-US"/>
        </w:rPr>
      </w:pPr>
      <w:r w:rsidRPr="00C21B99">
        <w:rPr>
          <w:snapToGrid w:val="0"/>
          <w:szCs w:val="22"/>
          <w:lang w:eastAsia="en-US"/>
        </w:rPr>
        <w:br w:type="page"/>
      </w:r>
    </w:p>
    <w:p w14:paraId="4E7530B1" w14:textId="77777777" w:rsidR="00D87EAB" w:rsidRPr="00C21B99" w:rsidRDefault="00D87EAB" w:rsidP="00D87EAB">
      <w:pPr>
        <w:widowControl w:val="0"/>
        <w:tabs>
          <w:tab w:val="left" w:pos="567"/>
        </w:tabs>
        <w:rPr>
          <w:snapToGrid w:val="0"/>
          <w:szCs w:val="22"/>
          <w:lang w:eastAsia="en-US"/>
        </w:rPr>
      </w:pPr>
    </w:p>
    <w:p w14:paraId="00D9C834" w14:textId="77777777" w:rsidR="00D87EAB" w:rsidRPr="00C21B99" w:rsidRDefault="00D87EAB" w:rsidP="00D87EAB">
      <w:pPr>
        <w:widowControl w:val="0"/>
        <w:tabs>
          <w:tab w:val="left" w:pos="567"/>
        </w:tabs>
        <w:rPr>
          <w:snapToGrid w:val="0"/>
          <w:szCs w:val="22"/>
          <w:lang w:eastAsia="en-US"/>
        </w:rPr>
      </w:pPr>
    </w:p>
    <w:p w14:paraId="3DE21475" w14:textId="77777777" w:rsidR="00D87EAB" w:rsidRPr="00C21B99" w:rsidRDefault="00D87EAB" w:rsidP="00D87EAB">
      <w:pPr>
        <w:widowControl w:val="0"/>
        <w:tabs>
          <w:tab w:val="left" w:pos="567"/>
        </w:tabs>
        <w:rPr>
          <w:snapToGrid w:val="0"/>
          <w:szCs w:val="22"/>
          <w:lang w:eastAsia="en-US"/>
        </w:rPr>
      </w:pPr>
    </w:p>
    <w:p w14:paraId="2537B4BB" w14:textId="77777777" w:rsidR="00D87EAB" w:rsidRPr="00C21B99" w:rsidRDefault="00D87EAB" w:rsidP="00D87EAB">
      <w:pPr>
        <w:widowControl w:val="0"/>
        <w:tabs>
          <w:tab w:val="left" w:pos="567"/>
        </w:tabs>
        <w:rPr>
          <w:snapToGrid w:val="0"/>
          <w:szCs w:val="22"/>
          <w:lang w:eastAsia="en-US"/>
        </w:rPr>
      </w:pPr>
    </w:p>
    <w:p w14:paraId="651D4246" w14:textId="77777777" w:rsidR="00D87EAB" w:rsidRPr="00C21B99" w:rsidRDefault="00D87EAB" w:rsidP="00D87EAB">
      <w:pPr>
        <w:widowControl w:val="0"/>
        <w:tabs>
          <w:tab w:val="left" w:pos="567"/>
        </w:tabs>
        <w:rPr>
          <w:snapToGrid w:val="0"/>
          <w:szCs w:val="22"/>
          <w:lang w:eastAsia="en-US"/>
        </w:rPr>
      </w:pPr>
    </w:p>
    <w:p w14:paraId="2E845730" w14:textId="77777777" w:rsidR="00D87EAB" w:rsidRPr="00C21B99" w:rsidRDefault="00D87EAB" w:rsidP="00D87EAB">
      <w:pPr>
        <w:widowControl w:val="0"/>
        <w:tabs>
          <w:tab w:val="left" w:pos="567"/>
        </w:tabs>
        <w:rPr>
          <w:snapToGrid w:val="0"/>
          <w:szCs w:val="22"/>
          <w:lang w:eastAsia="en-US"/>
        </w:rPr>
      </w:pPr>
    </w:p>
    <w:p w14:paraId="2611AB86" w14:textId="77777777" w:rsidR="00D87EAB" w:rsidRPr="00C21B99" w:rsidRDefault="00D87EAB" w:rsidP="00D87EAB">
      <w:pPr>
        <w:widowControl w:val="0"/>
        <w:tabs>
          <w:tab w:val="left" w:pos="567"/>
        </w:tabs>
        <w:rPr>
          <w:snapToGrid w:val="0"/>
          <w:szCs w:val="22"/>
          <w:lang w:eastAsia="en-US"/>
        </w:rPr>
      </w:pPr>
    </w:p>
    <w:p w14:paraId="0EEDFA6A" w14:textId="77777777" w:rsidR="00D87EAB" w:rsidRPr="00C21B99" w:rsidRDefault="00D87EAB" w:rsidP="00D87EAB">
      <w:pPr>
        <w:widowControl w:val="0"/>
        <w:tabs>
          <w:tab w:val="left" w:pos="567"/>
        </w:tabs>
        <w:rPr>
          <w:snapToGrid w:val="0"/>
          <w:szCs w:val="22"/>
          <w:lang w:eastAsia="en-US"/>
        </w:rPr>
      </w:pPr>
    </w:p>
    <w:p w14:paraId="5AAC79F7" w14:textId="77777777" w:rsidR="00D87EAB" w:rsidRPr="00C21B99" w:rsidRDefault="00D87EAB" w:rsidP="00D87EAB">
      <w:pPr>
        <w:widowControl w:val="0"/>
        <w:tabs>
          <w:tab w:val="left" w:pos="567"/>
        </w:tabs>
        <w:rPr>
          <w:snapToGrid w:val="0"/>
          <w:szCs w:val="22"/>
          <w:lang w:eastAsia="en-US"/>
        </w:rPr>
      </w:pPr>
    </w:p>
    <w:p w14:paraId="25CFE12F" w14:textId="77777777" w:rsidR="00D87EAB" w:rsidRPr="00C21B99" w:rsidRDefault="00D87EAB" w:rsidP="00D87EAB">
      <w:pPr>
        <w:widowControl w:val="0"/>
        <w:tabs>
          <w:tab w:val="left" w:pos="567"/>
        </w:tabs>
        <w:rPr>
          <w:snapToGrid w:val="0"/>
          <w:szCs w:val="22"/>
          <w:lang w:eastAsia="en-US"/>
        </w:rPr>
      </w:pPr>
    </w:p>
    <w:p w14:paraId="32FE837E" w14:textId="77777777" w:rsidR="00D87EAB" w:rsidRPr="00C21B99" w:rsidRDefault="00D87EAB" w:rsidP="00D87EAB">
      <w:pPr>
        <w:widowControl w:val="0"/>
        <w:tabs>
          <w:tab w:val="left" w:pos="567"/>
        </w:tabs>
        <w:rPr>
          <w:snapToGrid w:val="0"/>
          <w:szCs w:val="22"/>
          <w:lang w:eastAsia="en-US"/>
        </w:rPr>
      </w:pPr>
    </w:p>
    <w:p w14:paraId="6907542F" w14:textId="77777777" w:rsidR="00D87EAB" w:rsidRPr="00C21B99" w:rsidRDefault="00D87EAB" w:rsidP="00D87EAB">
      <w:pPr>
        <w:widowControl w:val="0"/>
        <w:tabs>
          <w:tab w:val="left" w:pos="567"/>
        </w:tabs>
        <w:rPr>
          <w:snapToGrid w:val="0"/>
          <w:szCs w:val="22"/>
          <w:lang w:eastAsia="en-US"/>
        </w:rPr>
      </w:pPr>
    </w:p>
    <w:p w14:paraId="59357FFD" w14:textId="77777777" w:rsidR="00D87EAB" w:rsidRPr="00C21B99" w:rsidRDefault="00D87EAB" w:rsidP="00D87EAB">
      <w:pPr>
        <w:widowControl w:val="0"/>
        <w:tabs>
          <w:tab w:val="left" w:pos="567"/>
        </w:tabs>
        <w:rPr>
          <w:snapToGrid w:val="0"/>
          <w:szCs w:val="22"/>
          <w:lang w:eastAsia="en-US"/>
        </w:rPr>
      </w:pPr>
    </w:p>
    <w:p w14:paraId="747C02D8" w14:textId="77777777" w:rsidR="00D87EAB" w:rsidRPr="00C21B99" w:rsidRDefault="00D87EAB" w:rsidP="00D87EAB">
      <w:pPr>
        <w:widowControl w:val="0"/>
        <w:tabs>
          <w:tab w:val="left" w:pos="567"/>
        </w:tabs>
        <w:rPr>
          <w:snapToGrid w:val="0"/>
          <w:szCs w:val="22"/>
          <w:lang w:eastAsia="en-US"/>
        </w:rPr>
      </w:pPr>
    </w:p>
    <w:p w14:paraId="548614EC" w14:textId="77777777" w:rsidR="00D87EAB" w:rsidRPr="00C21B99" w:rsidRDefault="00D87EAB" w:rsidP="00D87EAB">
      <w:pPr>
        <w:widowControl w:val="0"/>
        <w:tabs>
          <w:tab w:val="left" w:pos="567"/>
        </w:tabs>
        <w:rPr>
          <w:snapToGrid w:val="0"/>
          <w:szCs w:val="22"/>
          <w:lang w:eastAsia="en-US"/>
        </w:rPr>
      </w:pPr>
    </w:p>
    <w:p w14:paraId="36DD96B3" w14:textId="77777777" w:rsidR="00D87EAB" w:rsidRPr="00C21B99" w:rsidRDefault="00D87EAB" w:rsidP="00D87EAB">
      <w:pPr>
        <w:widowControl w:val="0"/>
        <w:tabs>
          <w:tab w:val="left" w:pos="567"/>
        </w:tabs>
        <w:rPr>
          <w:snapToGrid w:val="0"/>
          <w:szCs w:val="22"/>
          <w:lang w:eastAsia="en-US"/>
        </w:rPr>
      </w:pPr>
    </w:p>
    <w:p w14:paraId="6DEB1941" w14:textId="77777777" w:rsidR="00D87EAB" w:rsidRPr="00C21B99" w:rsidRDefault="00D87EAB" w:rsidP="00D87EAB">
      <w:pPr>
        <w:widowControl w:val="0"/>
        <w:tabs>
          <w:tab w:val="left" w:pos="567"/>
        </w:tabs>
        <w:rPr>
          <w:snapToGrid w:val="0"/>
          <w:szCs w:val="22"/>
          <w:lang w:eastAsia="en-US"/>
        </w:rPr>
      </w:pPr>
    </w:p>
    <w:p w14:paraId="6F34D6B6" w14:textId="77777777" w:rsidR="00D87EAB" w:rsidRPr="00C21B99" w:rsidRDefault="00D87EAB" w:rsidP="00D87EAB">
      <w:pPr>
        <w:widowControl w:val="0"/>
        <w:tabs>
          <w:tab w:val="left" w:pos="567"/>
        </w:tabs>
        <w:rPr>
          <w:snapToGrid w:val="0"/>
          <w:szCs w:val="22"/>
          <w:lang w:eastAsia="en-US"/>
        </w:rPr>
      </w:pPr>
    </w:p>
    <w:p w14:paraId="591DE6F2" w14:textId="77777777" w:rsidR="00D87EAB" w:rsidRPr="00C21B99" w:rsidRDefault="00D87EAB" w:rsidP="00D87EAB">
      <w:pPr>
        <w:widowControl w:val="0"/>
        <w:tabs>
          <w:tab w:val="left" w:pos="567"/>
        </w:tabs>
        <w:rPr>
          <w:snapToGrid w:val="0"/>
          <w:szCs w:val="22"/>
          <w:lang w:eastAsia="en-US"/>
        </w:rPr>
      </w:pPr>
    </w:p>
    <w:p w14:paraId="6B31C23B" w14:textId="77777777" w:rsidR="00D87EAB" w:rsidRPr="00C21B99" w:rsidRDefault="00D87EAB" w:rsidP="00D87EAB">
      <w:pPr>
        <w:widowControl w:val="0"/>
        <w:tabs>
          <w:tab w:val="left" w:pos="567"/>
        </w:tabs>
        <w:rPr>
          <w:snapToGrid w:val="0"/>
          <w:szCs w:val="22"/>
          <w:lang w:eastAsia="en-US"/>
        </w:rPr>
      </w:pPr>
    </w:p>
    <w:p w14:paraId="6EF535FC" w14:textId="77777777" w:rsidR="00D87EAB" w:rsidRPr="00C21B99" w:rsidRDefault="00D87EAB" w:rsidP="00D87EAB">
      <w:pPr>
        <w:widowControl w:val="0"/>
        <w:tabs>
          <w:tab w:val="left" w:pos="567"/>
        </w:tabs>
        <w:rPr>
          <w:snapToGrid w:val="0"/>
          <w:szCs w:val="22"/>
          <w:lang w:eastAsia="en-US"/>
        </w:rPr>
      </w:pPr>
    </w:p>
    <w:p w14:paraId="5024FBC2" w14:textId="77777777" w:rsidR="00D87EAB" w:rsidRPr="00C21B99" w:rsidRDefault="00D87EAB" w:rsidP="00D87EAB">
      <w:pPr>
        <w:widowControl w:val="0"/>
        <w:tabs>
          <w:tab w:val="left" w:pos="567"/>
        </w:tabs>
        <w:rPr>
          <w:snapToGrid w:val="0"/>
          <w:szCs w:val="22"/>
          <w:lang w:eastAsia="en-US"/>
        </w:rPr>
      </w:pPr>
    </w:p>
    <w:p w14:paraId="35DB1B04" w14:textId="77777777" w:rsidR="00D87EAB" w:rsidRPr="00C21B99" w:rsidRDefault="00D87EAB" w:rsidP="00D87EAB">
      <w:pPr>
        <w:widowControl w:val="0"/>
        <w:tabs>
          <w:tab w:val="left" w:pos="567"/>
        </w:tabs>
        <w:jc w:val="center"/>
        <w:outlineLvl w:val="1"/>
        <w:rPr>
          <w:b/>
          <w:snapToGrid w:val="0"/>
          <w:szCs w:val="22"/>
        </w:rPr>
      </w:pPr>
      <w:r w:rsidRPr="00C21B99">
        <w:rPr>
          <w:b/>
          <w:bCs/>
          <w:iCs/>
          <w:snapToGrid w:val="0"/>
          <w:szCs w:val="22"/>
        </w:rPr>
        <w:t>A. ŽENKLINIMAS</w:t>
      </w:r>
    </w:p>
    <w:p w14:paraId="31A8449E" w14:textId="77777777" w:rsidR="00D87EAB" w:rsidRPr="00C21B99" w:rsidRDefault="00D87EAB" w:rsidP="00D87EAB">
      <w:pPr>
        <w:widowControl w:val="0"/>
        <w:tabs>
          <w:tab w:val="left" w:pos="567"/>
        </w:tabs>
        <w:rPr>
          <w:snapToGrid w:val="0"/>
          <w:szCs w:val="22"/>
          <w:lang w:eastAsia="en-US"/>
        </w:rPr>
      </w:pPr>
      <w:r w:rsidRPr="00C21B99">
        <w:rPr>
          <w:snapToGrid w:val="0"/>
          <w:szCs w:val="22"/>
          <w:lang w:eastAsia="en-US"/>
        </w:rPr>
        <w:br w:type="page"/>
      </w:r>
    </w:p>
    <w:p w14:paraId="1F5D24E9"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C21B99">
        <w:rPr>
          <w:b/>
          <w:snapToGrid w:val="0"/>
          <w:szCs w:val="22"/>
          <w:lang w:eastAsia="en-US"/>
        </w:rPr>
        <w:lastRenderedPageBreak/>
        <w:t>INFORMACIJA ANT IŠORINĖS PAKUOTĖS</w:t>
      </w:r>
    </w:p>
    <w:p w14:paraId="535DCB5F"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Cs w:val="22"/>
          <w:lang w:eastAsia="en-US"/>
        </w:rPr>
      </w:pPr>
    </w:p>
    <w:p w14:paraId="504FD55A" w14:textId="77777777" w:rsidR="00763414" w:rsidRDefault="0034573F" w:rsidP="00D87EAB">
      <w:pPr>
        <w:widowControl w:val="0"/>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C21B99">
        <w:rPr>
          <w:b/>
          <w:snapToGrid w:val="0"/>
          <w:szCs w:val="22"/>
          <w:lang w:eastAsia="en-US"/>
        </w:rPr>
        <w:t>IŠORINĖ</w:t>
      </w:r>
      <w:r w:rsidR="00D87EAB" w:rsidRPr="00C21B99">
        <w:rPr>
          <w:b/>
          <w:snapToGrid w:val="0"/>
          <w:szCs w:val="22"/>
          <w:lang w:eastAsia="en-US"/>
        </w:rPr>
        <w:t xml:space="preserve"> DĖŽUTĖ</w:t>
      </w:r>
      <w:r w:rsidR="000B6056">
        <w:rPr>
          <w:b/>
          <w:snapToGrid w:val="0"/>
          <w:szCs w:val="22"/>
          <w:lang w:eastAsia="en-US"/>
        </w:rPr>
        <w:t xml:space="preserve"> </w:t>
      </w:r>
    </w:p>
    <w:p w14:paraId="21B8AF5F" w14:textId="77777777" w:rsidR="00DA6DCC" w:rsidRDefault="00DA6DCC" w:rsidP="00D87EAB">
      <w:pPr>
        <w:widowControl w:val="0"/>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p>
    <w:p w14:paraId="452C828A" w14:textId="77777777" w:rsidR="00D87EAB" w:rsidRPr="00DA6DCC" w:rsidRDefault="00DA6DCC" w:rsidP="00DA6DCC">
      <w:pPr>
        <w:widowControl w:val="0"/>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Pr>
          <w:b/>
          <w:snapToGrid w:val="0"/>
          <w:szCs w:val="22"/>
          <w:lang w:eastAsia="en-US"/>
        </w:rPr>
        <w:t>SUDĖTINĖS PAKUOTĖS VIDINĖ</w:t>
      </w:r>
      <w:r w:rsidRPr="00DA6DCC">
        <w:rPr>
          <w:b/>
          <w:snapToGrid w:val="0"/>
          <w:szCs w:val="22"/>
          <w:lang w:eastAsia="en-US"/>
        </w:rPr>
        <w:t xml:space="preserve"> DĖŽUTĖ </w:t>
      </w:r>
    </w:p>
    <w:p w14:paraId="5798B65B" w14:textId="77777777" w:rsidR="000B6056" w:rsidRPr="00C21B99" w:rsidRDefault="00DA6DCC" w:rsidP="00D87EAB">
      <w:pPr>
        <w:widowControl w:val="0"/>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Pr>
          <w:b/>
          <w:snapToGrid w:val="0"/>
          <w:szCs w:val="22"/>
          <w:lang w:eastAsia="en-US"/>
        </w:rPr>
        <w:t>SUDĖTINĖS PAKUOTĖS ETIKETĖ</w:t>
      </w:r>
    </w:p>
    <w:p w14:paraId="1898B32D" w14:textId="77777777" w:rsidR="00D87EAB" w:rsidRPr="00C21B99" w:rsidRDefault="00D87EAB" w:rsidP="00D87EAB">
      <w:pPr>
        <w:widowControl w:val="0"/>
        <w:tabs>
          <w:tab w:val="left" w:pos="567"/>
        </w:tabs>
        <w:rPr>
          <w:snapToGrid w:val="0"/>
          <w:szCs w:val="22"/>
          <w:lang w:eastAsia="en-US"/>
        </w:rPr>
      </w:pPr>
    </w:p>
    <w:p w14:paraId="351E9153" w14:textId="77777777" w:rsidR="00D87EAB" w:rsidRPr="00C21B99" w:rsidRDefault="00D87EAB" w:rsidP="00D87EAB">
      <w:pPr>
        <w:widowControl w:val="0"/>
        <w:tabs>
          <w:tab w:val="left" w:pos="567"/>
        </w:tabs>
        <w:rPr>
          <w:snapToGrid w:val="0"/>
          <w:szCs w:val="22"/>
          <w:lang w:eastAsia="en-US"/>
        </w:rPr>
      </w:pPr>
    </w:p>
    <w:p w14:paraId="70B9FE08"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C21B99">
        <w:rPr>
          <w:b/>
          <w:snapToGrid w:val="0"/>
          <w:szCs w:val="22"/>
          <w:lang w:eastAsia="en-US"/>
        </w:rPr>
        <w:t>1.</w:t>
      </w:r>
      <w:r w:rsidRPr="00C21B99">
        <w:rPr>
          <w:b/>
          <w:snapToGrid w:val="0"/>
          <w:szCs w:val="22"/>
          <w:lang w:eastAsia="en-US"/>
        </w:rPr>
        <w:tab/>
      </w:r>
      <w:r w:rsidRPr="00C21B99">
        <w:rPr>
          <w:b/>
          <w:caps/>
          <w:snapToGrid w:val="0"/>
          <w:szCs w:val="22"/>
          <w:lang w:eastAsia="en-US"/>
        </w:rPr>
        <w:t>VAISTINIO</w:t>
      </w:r>
      <w:r w:rsidRPr="00C21B99">
        <w:rPr>
          <w:b/>
          <w:snapToGrid w:val="0"/>
          <w:szCs w:val="22"/>
          <w:lang w:eastAsia="en-US"/>
        </w:rPr>
        <w:t xml:space="preserve"> PREPARATO PAVADINIMAS</w:t>
      </w:r>
    </w:p>
    <w:p w14:paraId="2A5373CA" w14:textId="77777777" w:rsidR="00D87EAB" w:rsidRPr="00C21B99" w:rsidRDefault="00D87EAB" w:rsidP="00D87EAB">
      <w:pPr>
        <w:widowControl w:val="0"/>
        <w:tabs>
          <w:tab w:val="left" w:pos="567"/>
        </w:tabs>
        <w:rPr>
          <w:snapToGrid w:val="0"/>
          <w:szCs w:val="22"/>
          <w:lang w:eastAsia="en-US"/>
        </w:rPr>
      </w:pPr>
    </w:p>
    <w:p w14:paraId="5E8DE206" w14:textId="77777777" w:rsidR="00D87EAB" w:rsidRPr="00C21B99" w:rsidRDefault="00593752" w:rsidP="00D87EAB">
      <w:pPr>
        <w:widowControl w:val="0"/>
        <w:tabs>
          <w:tab w:val="left" w:pos="567"/>
        </w:tabs>
        <w:rPr>
          <w:szCs w:val="22"/>
          <w:lang w:eastAsia="en-US"/>
        </w:rPr>
      </w:pPr>
      <w:proofErr w:type="spellStart"/>
      <w:r w:rsidRPr="00C21B99">
        <w:rPr>
          <w:szCs w:val="22"/>
          <w:lang w:eastAsia="en-US"/>
        </w:rPr>
        <w:t>Gefitinib</w:t>
      </w:r>
      <w:proofErr w:type="spellEnd"/>
      <w:r w:rsidRPr="00C21B99">
        <w:rPr>
          <w:szCs w:val="22"/>
          <w:lang w:eastAsia="en-US"/>
        </w:rPr>
        <w:t xml:space="preserve"> </w:t>
      </w:r>
      <w:proofErr w:type="spellStart"/>
      <w:r w:rsidRPr="00C21B99">
        <w:rPr>
          <w:szCs w:val="22"/>
          <w:lang w:eastAsia="en-US"/>
        </w:rPr>
        <w:t>Sandoz</w:t>
      </w:r>
      <w:proofErr w:type="spellEnd"/>
      <w:r w:rsidR="00D87EAB" w:rsidRPr="00C21B99">
        <w:rPr>
          <w:szCs w:val="22"/>
          <w:lang w:eastAsia="en-US"/>
        </w:rPr>
        <w:t xml:space="preserve"> </w:t>
      </w:r>
      <w:r w:rsidR="0034573F" w:rsidRPr="00C21B99">
        <w:rPr>
          <w:szCs w:val="22"/>
          <w:lang w:eastAsia="en-US"/>
        </w:rPr>
        <w:t>2</w:t>
      </w:r>
      <w:r w:rsidR="00D87EAB" w:rsidRPr="00C21B99">
        <w:rPr>
          <w:szCs w:val="22"/>
          <w:lang w:eastAsia="en-US"/>
        </w:rPr>
        <w:t>5</w:t>
      </w:r>
      <w:r w:rsidRPr="00C21B99">
        <w:rPr>
          <w:szCs w:val="22"/>
          <w:lang w:eastAsia="en-US"/>
        </w:rPr>
        <w:t>0</w:t>
      </w:r>
      <w:r w:rsidR="00D87EAB" w:rsidRPr="00C21B99">
        <w:rPr>
          <w:szCs w:val="22"/>
          <w:lang w:eastAsia="en-US"/>
        </w:rPr>
        <w:t> mg plėvele dengtos tabletės</w:t>
      </w:r>
    </w:p>
    <w:p w14:paraId="0424F1A0" w14:textId="77777777" w:rsidR="00D87EAB" w:rsidRPr="00C21B99" w:rsidRDefault="00D87EAB" w:rsidP="00D87EAB">
      <w:pPr>
        <w:widowControl w:val="0"/>
        <w:tabs>
          <w:tab w:val="left" w:pos="567"/>
        </w:tabs>
        <w:rPr>
          <w:snapToGrid w:val="0"/>
          <w:szCs w:val="22"/>
          <w:lang w:eastAsia="en-US"/>
        </w:rPr>
      </w:pPr>
    </w:p>
    <w:p w14:paraId="18563AC1" w14:textId="77777777" w:rsidR="00D87EAB" w:rsidRPr="00C21B99" w:rsidRDefault="000B6056" w:rsidP="00D87EAB">
      <w:pPr>
        <w:widowControl w:val="0"/>
        <w:tabs>
          <w:tab w:val="left" w:pos="567"/>
        </w:tabs>
        <w:rPr>
          <w:snapToGrid w:val="0"/>
          <w:szCs w:val="22"/>
          <w:lang w:eastAsia="en-US"/>
        </w:rPr>
      </w:pPr>
      <w:proofErr w:type="spellStart"/>
      <w:r>
        <w:rPr>
          <w:snapToGrid w:val="0"/>
          <w:szCs w:val="22"/>
          <w:lang w:eastAsia="en-US"/>
        </w:rPr>
        <w:t>g</w:t>
      </w:r>
      <w:r w:rsidR="00593752" w:rsidRPr="00C21B99">
        <w:rPr>
          <w:snapToGrid w:val="0"/>
          <w:szCs w:val="22"/>
          <w:lang w:eastAsia="en-US"/>
        </w:rPr>
        <w:t>ef</w:t>
      </w:r>
      <w:r w:rsidR="00C21B99">
        <w:rPr>
          <w:snapToGrid w:val="0"/>
          <w:szCs w:val="22"/>
          <w:lang w:eastAsia="en-US"/>
        </w:rPr>
        <w:t>i</w:t>
      </w:r>
      <w:r w:rsidR="00593752" w:rsidRPr="00C21B99">
        <w:rPr>
          <w:snapToGrid w:val="0"/>
          <w:szCs w:val="22"/>
          <w:lang w:eastAsia="en-US"/>
        </w:rPr>
        <w:t>tinibum</w:t>
      </w:r>
      <w:proofErr w:type="spellEnd"/>
    </w:p>
    <w:p w14:paraId="3F18B75C" w14:textId="77777777" w:rsidR="00D87EAB" w:rsidRPr="00C21B99" w:rsidRDefault="00D87EAB" w:rsidP="00D87EAB">
      <w:pPr>
        <w:widowControl w:val="0"/>
        <w:tabs>
          <w:tab w:val="left" w:pos="567"/>
        </w:tabs>
        <w:rPr>
          <w:snapToGrid w:val="0"/>
          <w:szCs w:val="22"/>
          <w:lang w:eastAsia="en-US"/>
        </w:rPr>
      </w:pPr>
    </w:p>
    <w:p w14:paraId="323F1592" w14:textId="77777777" w:rsidR="00D87EAB" w:rsidRPr="00C21B99" w:rsidRDefault="00D87EAB" w:rsidP="00D87EAB">
      <w:pPr>
        <w:widowControl w:val="0"/>
        <w:tabs>
          <w:tab w:val="left" w:pos="567"/>
        </w:tabs>
        <w:rPr>
          <w:snapToGrid w:val="0"/>
          <w:szCs w:val="22"/>
          <w:lang w:eastAsia="en-US"/>
        </w:rPr>
      </w:pPr>
    </w:p>
    <w:p w14:paraId="392B5104"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lang w:eastAsia="en-US"/>
        </w:rPr>
      </w:pPr>
      <w:r w:rsidRPr="00C21B99">
        <w:rPr>
          <w:b/>
          <w:snapToGrid w:val="0"/>
          <w:szCs w:val="22"/>
          <w:lang w:eastAsia="en-US"/>
        </w:rPr>
        <w:t>2.</w:t>
      </w:r>
      <w:r w:rsidRPr="00C21B99">
        <w:rPr>
          <w:b/>
          <w:snapToGrid w:val="0"/>
          <w:szCs w:val="22"/>
          <w:lang w:eastAsia="en-US"/>
        </w:rPr>
        <w:tab/>
        <w:t>VEIKLIOJI (-IOS) MEDŽIAGA (-OS) IR JOS (-Ų) KIEKIS (-IAI)</w:t>
      </w:r>
    </w:p>
    <w:p w14:paraId="4DCFCB29" w14:textId="77777777" w:rsidR="00D87EAB" w:rsidRPr="00C21B99" w:rsidRDefault="00D87EAB" w:rsidP="00D87EAB">
      <w:pPr>
        <w:widowControl w:val="0"/>
        <w:tabs>
          <w:tab w:val="left" w:pos="567"/>
        </w:tabs>
        <w:rPr>
          <w:snapToGrid w:val="0"/>
          <w:szCs w:val="22"/>
          <w:lang w:eastAsia="en-US"/>
        </w:rPr>
      </w:pPr>
    </w:p>
    <w:p w14:paraId="37B1D363" w14:textId="77777777" w:rsidR="00D87EAB" w:rsidRPr="00C21B99" w:rsidRDefault="00D87EAB" w:rsidP="0034573F">
      <w:pPr>
        <w:widowControl w:val="0"/>
        <w:tabs>
          <w:tab w:val="left" w:pos="567"/>
        </w:tabs>
        <w:rPr>
          <w:szCs w:val="22"/>
          <w:highlight w:val="darkGray"/>
          <w:lang w:eastAsia="en-US"/>
        </w:rPr>
      </w:pPr>
      <w:r w:rsidRPr="00C21B99">
        <w:rPr>
          <w:szCs w:val="22"/>
          <w:lang w:eastAsia="en-US"/>
        </w:rPr>
        <w:t xml:space="preserve">Kiekvienoje </w:t>
      </w:r>
      <w:r w:rsidR="000B6056" w:rsidRPr="00F84C8C">
        <w:rPr>
          <w:szCs w:val="22"/>
          <w:highlight w:val="lightGray"/>
          <w:lang w:eastAsia="en-US"/>
        </w:rPr>
        <w:t>plėvele dengtoje</w:t>
      </w:r>
      <w:r w:rsidR="000B6056">
        <w:rPr>
          <w:szCs w:val="22"/>
          <w:lang w:eastAsia="en-US"/>
        </w:rPr>
        <w:t xml:space="preserve"> </w:t>
      </w:r>
      <w:r w:rsidRPr="00C21B99">
        <w:rPr>
          <w:szCs w:val="22"/>
          <w:lang w:eastAsia="en-US"/>
        </w:rPr>
        <w:t xml:space="preserve">tabletėje yra </w:t>
      </w:r>
      <w:r w:rsidR="0034573F" w:rsidRPr="00C21B99">
        <w:rPr>
          <w:szCs w:val="22"/>
          <w:lang w:eastAsia="en-US"/>
        </w:rPr>
        <w:t>2</w:t>
      </w:r>
      <w:r w:rsidRPr="00C21B99">
        <w:rPr>
          <w:szCs w:val="22"/>
          <w:lang w:eastAsia="en-US"/>
        </w:rPr>
        <w:t>5</w:t>
      </w:r>
      <w:r w:rsidR="00593752" w:rsidRPr="00C21B99">
        <w:rPr>
          <w:szCs w:val="22"/>
          <w:lang w:eastAsia="en-US"/>
        </w:rPr>
        <w:t>0</w:t>
      </w:r>
      <w:r w:rsidRPr="00C21B99">
        <w:rPr>
          <w:szCs w:val="22"/>
          <w:lang w:eastAsia="en-US"/>
        </w:rPr>
        <w:t xml:space="preserve"> mg </w:t>
      </w:r>
      <w:proofErr w:type="spellStart"/>
      <w:r w:rsidR="00593752" w:rsidRPr="00C21B99">
        <w:rPr>
          <w:szCs w:val="22"/>
          <w:lang w:eastAsia="en-US"/>
        </w:rPr>
        <w:t>gef</w:t>
      </w:r>
      <w:r w:rsidR="00E32056">
        <w:rPr>
          <w:szCs w:val="22"/>
          <w:lang w:eastAsia="en-US"/>
        </w:rPr>
        <w:t>i</w:t>
      </w:r>
      <w:r w:rsidR="00593752" w:rsidRPr="00C21B99">
        <w:rPr>
          <w:szCs w:val="22"/>
          <w:lang w:eastAsia="en-US"/>
        </w:rPr>
        <w:t>tinibo</w:t>
      </w:r>
      <w:proofErr w:type="spellEnd"/>
      <w:r w:rsidR="00593752" w:rsidRPr="00C21B99">
        <w:rPr>
          <w:szCs w:val="22"/>
          <w:lang w:eastAsia="en-US"/>
        </w:rPr>
        <w:t>.</w:t>
      </w:r>
      <w:r w:rsidRPr="00C21B99">
        <w:rPr>
          <w:szCs w:val="22"/>
          <w:lang w:eastAsia="en-US"/>
        </w:rPr>
        <w:t xml:space="preserve"> </w:t>
      </w:r>
    </w:p>
    <w:p w14:paraId="3C076198" w14:textId="77777777" w:rsidR="00D87EAB" w:rsidRPr="00C21B99" w:rsidRDefault="00D87EAB" w:rsidP="00D87EAB">
      <w:pPr>
        <w:widowControl w:val="0"/>
        <w:tabs>
          <w:tab w:val="left" w:pos="567"/>
        </w:tabs>
        <w:rPr>
          <w:snapToGrid w:val="0"/>
          <w:szCs w:val="22"/>
          <w:lang w:eastAsia="en-US"/>
        </w:rPr>
      </w:pPr>
    </w:p>
    <w:p w14:paraId="0237DBE4" w14:textId="77777777" w:rsidR="00D87EAB" w:rsidRPr="00C21B99" w:rsidRDefault="00D87EAB" w:rsidP="00D87EAB">
      <w:pPr>
        <w:widowControl w:val="0"/>
        <w:tabs>
          <w:tab w:val="left" w:pos="567"/>
        </w:tabs>
        <w:rPr>
          <w:snapToGrid w:val="0"/>
          <w:szCs w:val="22"/>
          <w:lang w:eastAsia="en-US"/>
        </w:rPr>
      </w:pPr>
    </w:p>
    <w:p w14:paraId="33FB5ADF"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C21B99">
        <w:rPr>
          <w:b/>
          <w:snapToGrid w:val="0"/>
          <w:szCs w:val="22"/>
          <w:lang w:eastAsia="en-US"/>
        </w:rPr>
        <w:t>3.</w:t>
      </w:r>
      <w:r w:rsidRPr="00C21B99">
        <w:rPr>
          <w:b/>
          <w:snapToGrid w:val="0"/>
          <w:szCs w:val="22"/>
          <w:lang w:eastAsia="en-US"/>
        </w:rPr>
        <w:tab/>
        <w:t>PAGALBINIŲ MEDŽIAGŲ SĄRAŠAS</w:t>
      </w:r>
    </w:p>
    <w:p w14:paraId="4CD9FAD3" w14:textId="77777777" w:rsidR="00D87EAB" w:rsidRPr="00C21B99" w:rsidRDefault="00D87EAB" w:rsidP="00D87EAB">
      <w:pPr>
        <w:widowControl w:val="0"/>
        <w:tabs>
          <w:tab w:val="left" w:pos="567"/>
        </w:tabs>
        <w:rPr>
          <w:snapToGrid w:val="0"/>
          <w:szCs w:val="22"/>
          <w:lang w:eastAsia="en-US"/>
        </w:rPr>
      </w:pPr>
    </w:p>
    <w:p w14:paraId="61784B04" w14:textId="77777777" w:rsidR="0034573F" w:rsidRPr="00C21B99" w:rsidRDefault="0034573F" w:rsidP="00D87EAB">
      <w:pPr>
        <w:widowControl w:val="0"/>
        <w:tabs>
          <w:tab w:val="left" w:pos="567"/>
        </w:tabs>
        <w:rPr>
          <w:snapToGrid w:val="0"/>
          <w:szCs w:val="22"/>
          <w:lang w:eastAsia="en-US"/>
        </w:rPr>
      </w:pPr>
      <w:r w:rsidRPr="00C21B99">
        <w:rPr>
          <w:snapToGrid w:val="0"/>
          <w:szCs w:val="22"/>
          <w:lang w:eastAsia="en-US"/>
        </w:rPr>
        <w:t>Sudėtyje yra laktozės</w:t>
      </w:r>
      <w:r w:rsidR="00DF12E6">
        <w:rPr>
          <w:snapToGrid w:val="0"/>
          <w:szCs w:val="22"/>
          <w:lang w:eastAsia="en-US"/>
        </w:rPr>
        <w:t>.</w:t>
      </w:r>
    </w:p>
    <w:p w14:paraId="5EE2B48A" w14:textId="77777777" w:rsidR="00D87EAB" w:rsidRPr="00C21B99" w:rsidRDefault="00593752" w:rsidP="00D87EAB">
      <w:pPr>
        <w:widowControl w:val="0"/>
        <w:tabs>
          <w:tab w:val="left" w:pos="567"/>
        </w:tabs>
        <w:rPr>
          <w:snapToGrid w:val="0"/>
          <w:szCs w:val="22"/>
          <w:lang w:eastAsia="en-US"/>
        </w:rPr>
      </w:pPr>
      <w:r w:rsidRPr="00D4736C">
        <w:rPr>
          <w:snapToGrid w:val="0"/>
          <w:szCs w:val="22"/>
          <w:highlight w:val="lightGray"/>
          <w:lang w:eastAsia="en-US"/>
        </w:rPr>
        <w:t>Daugiau informacijos žr. pakuotės lapelyje</w:t>
      </w:r>
    </w:p>
    <w:p w14:paraId="3A34F50A" w14:textId="77777777" w:rsidR="00593752" w:rsidRPr="00C21B99" w:rsidRDefault="00593752" w:rsidP="00D87EAB">
      <w:pPr>
        <w:widowControl w:val="0"/>
        <w:tabs>
          <w:tab w:val="left" w:pos="567"/>
        </w:tabs>
        <w:rPr>
          <w:snapToGrid w:val="0"/>
          <w:szCs w:val="22"/>
          <w:lang w:eastAsia="en-US"/>
        </w:rPr>
      </w:pPr>
    </w:p>
    <w:p w14:paraId="1CA9517C" w14:textId="77777777" w:rsidR="0034573F" w:rsidRPr="00C21B99" w:rsidRDefault="0034573F" w:rsidP="00D87EAB">
      <w:pPr>
        <w:widowControl w:val="0"/>
        <w:tabs>
          <w:tab w:val="left" w:pos="567"/>
        </w:tabs>
        <w:rPr>
          <w:snapToGrid w:val="0"/>
          <w:szCs w:val="22"/>
          <w:lang w:eastAsia="en-US"/>
        </w:rPr>
      </w:pPr>
    </w:p>
    <w:p w14:paraId="26A7B526"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C21B99">
        <w:rPr>
          <w:b/>
          <w:snapToGrid w:val="0"/>
          <w:szCs w:val="22"/>
          <w:lang w:eastAsia="en-US"/>
        </w:rPr>
        <w:t>4.</w:t>
      </w:r>
      <w:r w:rsidRPr="00C21B99">
        <w:rPr>
          <w:b/>
          <w:snapToGrid w:val="0"/>
          <w:szCs w:val="22"/>
          <w:lang w:eastAsia="en-US"/>
        </w:rPr>
        <w:tab/>
        <w:t>FARMACINĖ FORMA IR KIEKIS PAKUOTĖJE</w:t>
      </w:r>
    </w:p>
    <w:p w14:paraId="0ADD4800" w14:textId="77777777" w:rsidR="00D87EAB" w:rsidRPr="00C21B99" w:rsidRDefault="00D87EAB" w:rsidP="00D87EAB">
      <w:pPr>
        <w:widowControl w:val="0"/>
        <w:tabs>
          <w:tab w:val="left" w:pos="567"/>
        </w:tabs>
        <w:rPr>
          <w:snapToGrid w:val="0"/>
          <w:szCs w:val="22"/>
          <w:lang w:eastAsia="en-US"/>
        </w:rPr>
      </w:pPr>
    </w:p>
    <w:p w14:paraId="661FEFA1" w14:textId="77777777" w:rsidR="00D87EAB" w:rsidRPr="00C21B99" w:rsidRDefault="00D87EAB" w:rsidP="00D87EAB">
      <w:pPr>
        <w:widowControl w:val="0"/>
        <w:rPr>
          <w:snapToGrid w:val="0"/>
          <w:szCs w:val="22"/>
          <w:lang w:eastAsia="en-US"/>
        </w:rPr>
      </w:pPr>
      <w:r w:rsidRPr="00D4736C">
        <w:rPr>
          <w:snapToGrid w:val="0"/>
          <w:szCs w:val="22"/>
          <w:highlight w:val="lightGray"/>
          <w:lang w:eastAsia="en-US"/>
        </w:rPr>
        <w:t>Plėvele dengta tabletė</w:t>
      </w:r>
    </w:p>
    <w:p w14:paraId="7238E633" w14:textId="77777777" w:rsidR="00D87EAB" w:rsidRDefault="00D87EAB" w:rsidP="00D87EAB">
      <w:pPr>
        <w:widowControl w:val="0"/>
        <w:rPr>
          <w:snapToGrid w:val="0"/>
          <w:szCs w:val="22"/>
          <w:lang w:eastAsia="en-US"/>
        </w:rPr>
      </w:pPr>
    </w:p>
    <w:p w14:paraId="0BE43641" w14:textId="77777777" w:rsidR="000B6056" w:rsidRPr="00C21B99" w:rsidRDefault="000B6056" w:rsidP="00D87EAB">
      <w:pPr>
        <w:widowControl w:val="0"/>
        <w:rPr>
          <w:snapToGrid w:val="0"/>
          <w:szCs w:val="22"/>
          <w:lang w:eastAsia="en-US"/>
        </w:rPr>
      </w:pPr>
      <w:r w:rsidRPr="00F84C8C">
        <w:rPr>
          <w:snapToGrid w:val="0"/>
          <w:szCs w:val="22"/>
          <w:highlight w:val="lightGray"/>
          <w:lang w:eastAsia="en-US"/>
        </w:rPr>
        <w:t>Išorinė dėžutė</w:t>
      </w:r>
    </w:p>
    <w:p w14:paraId="4D021BAD" w14:textId="77777777" w:rsidR="00D87EAB" w:rsidRDefault="00593752" w:rsidP="00D87EAB">
      <w:pPr>
        <w:widowControl w:val="0"/>
        <w:rPr>
          <w:snapToGrid w:val="0"/>
          <w:szCs w:val="22"/>
          <w:lang w:eastAsia="en-US"/>
        </w:rPr>
      </w:pPr>
      <w:r w:rsidRPr="00C21B99">
        <w:rPr>
          <w:snapToGrid w:val="0"/>
          <w:szCs w:val="22"/>
          <w:lang w:eastAsia="en-US"/>
        </w:rPr>
        <w:t xml:space="preserve">30 x1 </w:t>
      </w:r>
      <w:r w:rsidRPr="00D4736C">
        <w:rPr>
          <w:snapToGrid w:val="0"/>
          <w:szCs w:val="22"/>
          <w:highlight w:val="lightGray"/>
          <w:lang w:eastAsia="en-US"/>
        </w:rPr>
        <w:t>plėvele dengtų</w:t>
      </w:r>
      <w:r w:rsidRPr="00C21B99">
        <w:rPr>
          <w:snapToGrid w:val="0"/>
          <w:szCs w:val="22"/>
          <w:lang w:eastAsia="en-US"/>
        </w:rPr>
        <w:t xml:space="preserve"> tablečių</w:t>
      </w:r>
    </w:p>
    <w:p w14:paraId="64ECA14C" w14:textId="77777777" w:rsidR="00D4736C" w:rsidRPr="006675D7" w:rsidRDefault="00D4736C" w:rsidP="00D4736C">
      <w:pPr>
        <w:widowControl w:val="0"/>
        <w:rPr>
          <w:snapToGrid w:val="0"/>
          <w:szCs w:val="22"/>
          <w:highlight w:val="lightGray"/>
          <w:lang w:eastAsia="en-US"/>
        </w:rPr>
      </w:pPr>
      <w:r w:rsidRPr="006675D7">
        <w:rPr>
          <w:snapToGrid w:val="0"/>
          <w:szCs w:val="22"/>
          <w:highlight w:val="lightGray"/>
          <w:lang w:eastAsia="en-US"/>
        </w:rPr>
        <w:t xml:space="preserve">30 </w:t>
      </w:r>
      <w:r w:rsidRPr="00DF12E6">
        <w:rPr>
          <w:snapToGrid w:val="0"/>
          <w:szCs w:val="22"/>
          <w:highlight w:val="lightGray"/>
          <w:lang w:eastAsia="en-US"/>
        </w:rPr>
        <w:t>plėvele dengtų</w:t>
      </w:r>
      <w:r w:rsidRPr="006675D7">
        <w:rPr>
          <w:snapToGrid w:val="0"/>
          <w:szCs w:val="22"/>
          <w:highlight w:val="lightGray"/>
          <w:lang w:eastAsia="en-US"/>
        </w:rPr>
        <w:t xml:space="preserve"> tablečių</w:t>
      </w:r>
    </w:p>
    <w:p w14:paraId="64F4DE90" w14:textId="77777777" w:rsidR="00D4736C" w:rsidRPr="006675D7" w:rsidRDefault="00D4736C" w:rsidP="00D4736C">
      <w:pPr>
        <w:widowControl w:val="0"/>
        <w:rPr>
          <w:snapToGrid w:val="0"/>
          <w:szCs w:val="22"/>
          <w:highlight w:val="lightGray"/>
          <w:lang w:eastAsia="en-US"/>
        </w:rPr>
      </w:pPr>
      <w:r w:rsidRPr="006675D7">
        <w:rPr>
          <w:snapToGrid w:val="0"/>
          <w:szCs w:val="22"/>
          <w:highlight w:val="lightGray"/>
          <w:lang w:eastAsia="en-US"/>
        </w:rPr>
        <w:t xml:space="preserve">60 x1 </w:t>
      </w:r>
      <w:r w:rsidRPr="00DF12E6">
        <w:rPr>
          <w:snapToGrid w:val="0"/>
          <w:szCs w:val="22"/>
          <w:highlight w:val="lightGray"/>
          <w:lang w:eastAsia="en-US"/>
        </w:rPr>
        <w:t>plėvele dengtų</w:t>
      </w:r>
      <w:r w:rsidRPr="006675D7">
        <w:rPr>
          <w:snapToGrid w:val="0"/>
          <w:szCs w:val="22"/>
          <w:highlight w:val="lightGray"/>
          <w:lang w:eastAsia="en-US"/>
        </w:rPr>
        <w:t xml:space="preserve"> tablečių</w:t>
      </w:r>
    </w:p>
    <w:p w14:paraId="210B211E" w14:textId="77777777" w:rsidR="00D4736C" w:rsidRPr="006675D7" w:rsidRDefault="00D4736C" w:rsidP="00D4736C">
      <w:pPr>
        <w:widowControl w:val="0"/>
        <w:rPr>
          <w:snapToGrid w:val="0"/>
          <w:szCs w:val="22"/>
          <w:highlight w:val="lightGray"/>
          <w:lang w:eastAsia="en-US"/>
        </w:rPr>
      </w:pPr>
      <w:r w:rsidRPr="006675D7">
        <w:rPr>
          <w:snapToGrid w:val="0"/>
          <w:szCs w:val="22"/>
          <w:highlight w:val="lightGray"/>
          <w:lang w:eastAsia="en-US"/>
        </w:rPr>
        <w:t xml:space="preserve">90 x1 </w:t>
      </w:r>
      <w:r w:rsidRPr="00DF12E6">
        <w:rPr>
          <w:snapToGrid w:val="0"/>
          <w:szCs w:val="22"/>
          <w:highlight w:val="lightGray"/>
          <w:lang w:eastAsia="en-US"/>
        </w:rPr>
        <w:t>plėvele dengtų</w:t>
      </w:r>
      <w:r w:rsidRPr="006675D7">
        <w:rPr>
          <w:snapToGrid w:val="0"/>
          <w:szCs w:val="22"/>
          <w:highlight w:val="lightGray"/>
          <w:lang w:eastAsia="en-US"/>
        </w:rPr>
        <w:t xml:space="preserve"> tablečių</w:t>
      </w:r>
    </w:p>
    <w:p w14:paraId="43023777" w14:textId="77777777" w:rsidR="00D4736C" w:rsidRPr="006675D7" w:rsidRDefault="00D4736C" w:rsidP="00D4736C">
      <w:pPr>
        <w:widowControl w:val="0"/>
        <w:rPr>
          <w:snapToGrid w:val="0"/>
          <w:szCs w:val="22"/>
          <w:highlight w:val="lightGray"/>
          <w:lang w:eastAsia="en-US"/>
        </w:rPr>
      </w:pPr>
      <w:r w:rsidRPr="006675D7">
        <w:rPr>
          <w:snapToGrid w:val="0"/>
          <w:szCs w:val="22"/>
          <w:highlight w:val="lightGray"/>
          <w:lang w:eastAsia="en-US"/>
        </w:rPr>
        <w:t xml:space="preserve">100 x1 </w:t>
      </w:r>
      <w:r w:rsidRPr="00DF12E6">
        <w:rPr>
          <w:snapToGrid w:val="0"/>
          <w:szCs w:val="22"/>
          <w:highlight w:val="lightGray"/>
          <w:lang w:eastAsia="en-US"/>
        </w:rPr>
        <w:t>plėvele dengtų</w:t>
      </w:r>
      <w:r w:rsidRPr="006675D7">
        <w:rPr>
          <w:snapToGrid w:val="0"/>
          <w:szCs w:val="22"/>
          <w:highlight w:val="lightGray"/>
          <w:lang w:eastAsia="en-US"/>
        </w:rPr>
        <w:t xml:space="preserve"> tablečių</w:t>
      </w:r>
    </w:p>
    <w:p w14:paraId="4716B994" w14:textId="77777777" w:rsidR="00D87EAB" w:rsidRDefault="00D4736C" w:rsidP="00D4736C">
      <w:pPr>
        <w:widowControl w:val="0"/>
        <w:rPr>
          <w:snapToGrid w:val="0"/>
          <w:szCs w:val="22"/>
          <w:lang w:eastAsia="en-US"/>
        </w:rPr>
      </w:pPr>
      <w:r w:rsidRPr="006675D7">
        <w:rPr>
          <w:snapToGrid w:val="0"/>
          <w:szCs w:val="22"/>
          <w:highlight w:val="lightGray"/>
          <w:lang w:eastAsia="en-US"/>
        </w:rPr>
        <w:t xml:space="preserve">120 x1 </w:t>
      </w:r>
      <w:r w:rsidRPr="00DF12E6">
        <w:rPr>
          <w:snapToGrid w:val="0"/>
          <w:szCs w:val="22"/>
          <w:highlight w:val="lightGray"/>
          <w:lang w:eastAsia="en-US"/>
        </w:rPr>
        <w:t>plėvele dengtų</w:t>
      </w:r>
      <w:r w:rsidRPr="006675D7">
        <w:rPr>
          <w:snapToGrid w:val="0"/>
          <w:szCs w:val="22"/>
          <w:highlight w:val="lightGray"/>
          <w:lang w:eastAsia="en-US"/>
        </w:rPr>
        <w:t xml:space="preserve"> tablečių</w:t>
      </w:r>
    </w:p>
    <w:p w14:paraId="4DDA4B71" w14:textId="77777777" w:rsidR="00DF12E6" w:rsidRDefault="00DF12E6" w:rsidP="00D4736C">
      <w:pPr>
        <w:widowControl w:val="0"/>
        <w:rPr>
          <w:snapToGrid w:val="0"/>
          <w:szCs w:val="22"/>
          <w:lang w:eastAsia="en-US"/>
        </w:rPr>
      </w:pPr>
    </w:p>
    <w:p w14:paraId="4A8CFE60" w14:textId="77777777" w:rsidR="000B6056" w:rsidRDefault="00C225E3" w:rsidP="00D4736C">
      <w:pPr>
        <w:widowControl w:val="0"/>
        <w:rPr>
          <w:snapToGrid w:val="0"/>
          <w:szCs w:val="22"/>
          <w:lang w:eastAsia="en-US"/>
        </w:rPr>
      </w:pPr>
      <w:r>
        <w:rPr>
          <w:snapToGrid w:val="0"/>
          <w:szCs w:val="22"/>
          <w:highlight w:val="lightGray"/>
          <w:lang w:eastAsia="en-US"/>
        </w:rPr>
        <w:t>S</w:t>
      </w:r>
      <w:r w:rsidR="00DA6DCC">
        <w:rPr>
          <w:snapToGrid w:val="0"/>
          <w:szCs w:val="22"/>
          <w:highlight w:val="lightGray"/>
          <w:lang w:eastAsia="en-US"/>
        </w:rPr>
        <w:t>udėtinė</w:t>
      </w:r>
      <w:r>
        <w:rPr>
          <w:snapToGrid w:val="0"/>
          <w:szCs w:val="22"/>
          <w:highlight w:val="lightGray"/>
          <w:lang w:eastAsia="en-US"/>
        </w:rPr>
        <w:t>s</w:t>
      </w:r>
      <w:r w:rsidR="00DA6DCC">
        <w:rPr>
          <w:snapToGrid w:val="0"/>
          <w:szCs w:val="22"/>
          <w:highlight w:val="lightGray"/>
          <w:lang w:eastAsia="en-US"/>
        </w:rPr>
        <w:t xml:space="preserve"> </w:t>
      </w:r>
      <w:r w:rsidR="000B6056" w:rsidRPr="00F84C8C">
        <w:rPr>
          <w:snapToGrid w:val="0"/>
          <w:szCs w:val="22"/>
          <w:highlight w:val="lightGray"/>
          <w:lang w:eastAsia="en-US"/>
        </w:rPr>
        <w:t>pakuotė</w:t>
      </w:r>
      <w:r w:rsidRPr="00F84C8C">
        <w:rPr>
          <w:snapToGrid w:val="0"/>
          <w:szCs w:val="22"/>
          <w:highlight w:val="lightGray"/>
          <w:lang w:eastAsia="en-US"/>
        </w:rPr>
        <w:t>s vidinė dėžutė</w:t>
      </w:r>
    </w:p>
    <w:p w14:paraId="1E0777ED" w14:textId="77777777" w:rsidR="000B6056" w:rsidRDefault="000B6056" w:rsidP="00D4736C">
      <w:pPr>
        <w:widowControl w:val="0"/>
        <w:rPr>
          <w:snapToGrid w:val="0"/>
          <w:szCs w:val="22"/>
          <w:lang w:eastAsia="en-US"/>
        </w:rPr>
      </w:pPr>
      <w:r w:rsidRPr="00F84C8C">
        <w:rPr>
          <w:snapToGrid w:val="0"/>
          <w:szCs w:val="22"/>
          <w:highlight w:val="lightGray"/>
          <w:lang w:eastAsia="en-US"/>
        </w:rPr>
        <w:t>30 x 1 plėvele de</w:t>
      </w:r>
      <w:r w:rsidR="00DA6DCC">
        <w:rPr>
          <w:snapToGrid w:val="0"/>
          <w:szCs w:val="22"/>
          <w:highlight w:val="lightGray"/>
          <w:lang w:eastAsia="en-US"/>
        </w:rPr>
        <w:t>n</w:t>
      </w:r>
      <w:r w:rsidR="00EB257A">
        <w:rPr>
          <w:snapToGrid w:val="0"/>
          <w:szCs w:val="22"/>
          <w:highlight w:val="lightGray"/>
          <w:lang w:eastAsia="en-US"/>
        </w:rPr>
        <w:t xml:space="preserve">gtų tablečių. </w:t>
      </w:r>
      <w:r w:rsidR="00EB257A" w:rsidRPr="003A4A27">
        <w:rPr>
          <w:snapToGrid w:val="0"/>
          <w:szCs w:val="22"/>
          <w:highlight w:val="lightGray"/>
          <w:lang w:eastAsia="en-US"/>
        </w:rPr>
        <w:t>S</w:t>
      </w:r>
      <w:r w:rsidR="00DA6DCC" w:rsidRPr="003A4A27">
        <w:rPr>
          <w:snapToGrid w:val="0"/>
          <w:szCs w:val="22"/>
          <w:highlight w:val="lightGray"/>
          <w:lang w:eastAsia="en-US"/>
        </w:rPr>
        <w:t xml:space="preserve">udėtinių </w:t>
      </w:r>
      <w:r w:rsidR="00EB257A" w:rsidRPr="003557FA">
        <w:rPr>
          <w:snapToGrid w:val="0"/>
          <w:szCs w:val="22"/>
          <w:highlight w:val="lightGray"/>
          <w:lang w:eastAsia="en-US"/>
        </w:rPr>
        <w:t>pakuočių</w:t>
      </w:r>
      <w:r w:rsidRPr="00F84C8C">
        <w:rPr>
          <w:snapToGrid w:val="0"/>
          <w:szCs w:val="22"/>
          <w:highlight w:val="lightGray"/>
          <w:lang w:eastAsia="en-US"/>
        </w:rPr>
        <w:t xml:space="preserve"> negalima parduoti atskirai.</w:t>
      </w:r>
    </w:p>
    <w:p w14:paraId="1F908AC7" w14:textId="77777777" w:rsidR="000B6056" w:rsidRDefault="000B6056" w:rsidP="00D4736C">
      <w:pPr>
        <w:widowControl w:val="0"/>
        <w:rPr>
          <w:snapToGrid w:val="0"/>
          <w:szCs w:val="22"/>
          <w:lang w:eastAsia="en-US"/>
        </w:rPr>
      </w:pPr>
    </w:p>
    <w:p w14:paraId="0728B94E" w14:textId="77777777" w:rsidR="000B6056" w:rsidRDefault="00DA6DCC" w:rsidP="00F84C8C">
      <w:pPr>
        <w:widowControl w:val="0"/>
        <w:tabs>
          <w:tab w:val="left" w:pos="2400"/>
        </w:tabs>
        <w:rPr>
          <w:snapToGrid w:val="0"/>
          <w:szCs w:val="22"/>
          <w:lang w:eastAsia="en-US"/>
        </w:rPr>
      </w:pPr>
      <w:r w:rsidRPr="00F84C8C">
        <w:rPr>
          <w:snapToGrid w:val="0"/>
          <w:szCs w:val="22"/>
          <w:highlight w:val="lightGray"/>
          <w:lang w:eastAsia="en-US"/>
        </w:rPr>
        <w:t>Sudėtinės pakuotės etiketė</w:t>
      </w:r>
    </w:p>
    <w:p w14:paraId="4059A3FA" w14:textId="77777777" w:rsidR="00D93B35" w:rsidRPr="00F84C8C" w:rsidRDefault="00DA6DCC" w:rsidP="00F84C8C">
      <w:pPr>
        <w:widowControl w:val="0"/>
        <w:tabs>
          <w:tab w:val="left" w:pos="2400"/>
        </w:tabs>
        <w:rPr>
          <w:snapToGrid w:val="0"/>
          <w:szCs w:val="22"/>
          <w:highlight w:val="lightGray"/>
          <w:lang w:eastAsia="en-US"/>
        </w:rPr>
      </w:pPr>
      <w:r w:rsidRPr="00F84C8C">
        <w:rPr>
          <w:snapToGrid w:val="0"/>
          <w:szCs w:val="22"/>
          <w:highlight w:val="lightGray"/>
          <w:lang w:eastAsia="en-US"/>
        </w:rPr>
        <w:t xml:space="preserve">Sudėtinė pakuotė </w:t>
      </w:r>
      <w:r w:rsidR="00D93B35" w:rsidRPr="00F84C8C">
        <w:rPr>
          <w:snapToGrid w:val="0"/>
          <w:szCs w:val="22"/>
          <w:highlight w:val="lightGray"/>
          <w:lang w:eastAsia="en-US"/>
        </w:rPr>
        <w:t>60 x 1 (</w:t>
      </w:r>
      <w:r w:rsidRPr="00F84C8C">
        <w:rPr>
          <w:snapToGrid w:val="0"/>
          <w:szCs w:val="22"/>
          <w:highlight w:val="lightGray"/>
          <w:lang w:eastAsia="en-US"/>
        </w:rPr>
        <w:t>2 pakuotės po</w:t>
      </w:r>
      <w:r w:rsidR="00D93B35" w:rsidRPr="00F84C8C">
        <w:rPr>
          <w:snapToGrid w:val="0"/>
          <w:szCs w:val="22"/>
          <w:highlight w:val="lightGray"/>
          <w:lang w:eastAsia="en-US"/>
        </w:rPr>
        <w:t xml:space="preserve"> 30 x</w:t>
      </w:r>
      <w:r w:rsidRPr="00F84C8C">
        <w:rPr>
          <w:snapToGrid w:val="0"/>
          <w:szCs w:val="22"/>
          <w:highlight w:val="lightGray"/>
          <w:lang w:eastAsia="en-US"/>
        </w:rPr>
        <w:t xml:space="preserve"> </w:t>
      </w:r>
      <w:r w:rsidR="00D93B35" w:rsidRPr="00F84C8C">
        <w:rPr>
          <w:snapToGrid w:val="0"/>
          <w:szCs w:val="22"/>
          <w:highlight w:val="lightGray"/>
          <w:lang w:eastAsia="en-US"/>
        </w:rPr>
        <w:t xml:space="preserve">1) </w:t>
      </w:r>
      <w:r w:rsidR="00EB257A" w:rsidRPr="00C225E3">
        <w:rPr>
          <w:snapToGrid w:val="0"/>
          <w:szCs w:val="22"/>
          <w:highlight w:val="lightGray"/>
          <w:lang w:eastAsia="en-US"/>
        </w:rPr>
        <w:t>plėvele dengtų</w:t>
      </w:r>
      <w:r w:rsidR="00EB257A" w:rsidRPr="00F84C8C">
        <w:rPr>
          <w:snapToGrid w:val="0"/>
          <w:szCs w:val="22"/>
          <w:highlight w:val="lightGray"/>
          <w:lang w:eastAsia="en-US"/>
        </w:rPr>
        <w:t xml:space="preserve"> tablečių</w:t>
      </w:r>
    </w:p>
    <w:p w14:paraId="49F481F7" w14:textId="77777777" w:rsidR="00D93B35" w:rsidRPr="00C21B99" w:rsidRDefault="00EB257A" w:rsidP="00F84C8C">
      <w:pPr>
        <w:widowControl w:val="0"/>
        <w:tabs>
          <w:tab w:val="left" w:pos="2400"/>
        </w:tabs>
        <w:rPr>
          <w:snapToGrid w:val="0"/>
          <w:szCs w:val="22"/>
          <w:lang w:eastAsia="en-US"/>
        </w:rPr>
      </w:pPr>
      <w:r w:rsidRPr="00C225E3">
        <w:rPr>
          <w:snapToGrid w:val="0"/>
          <w:szCs w:val="22"/>
          <w:highlight w:val="lightGray"/>
          <w:lang w:eastAsia="en-US"/>
        </w:rPr>
        <w:t xml:space="preserve">Sudėtinė </w:t>
      </w:r>
      <w:r w:rsidR="00DA6DCC" w:rsidRPr="00C225E3">
        <w:rPr>
          <w:snapToGrid w:val="0"/>
          <w:szCs w:val="22"/>
          <w:highlight w:val="lightGray"/>
          <w:lang w:eastAsia="en-US"/>
        </w:rPr>
        <w:t>pakuotė 90 x 1 (3 pakuotės po</w:t>
      </w:r>
      <w:r w:rsidR="00D93B35" w:rsidRPr="00F84C8C">
        <w:rPr>
          <w:snapToGrid w:val="0"/>
          <w:szCs w:val="22"/>
          <w:highlight w:val="lightGray"/>
          <w:lang w:eastAsia="en-US"/>
        </w:rPr>
        <w:t xml:space="preserve"> 30 x</w:t>
      </w:r>
      <w:r w:rsidRPr="00C225E3">
        <w:rPr>
          <w:snapToGrid w:val="0"/>
          <w:szCs w:val="22"/>
          <w:highlight w:val="lightGray"/>
          <w:lang w:eastAsia="en-US"/>
        </w:rPr>
        <w:t xml:space="preserve"> 1) plėvele dengtų tablečių</w:t>
      </w:r>
    </w:p>
    <w:p w14:paraId="442AB9E5" w14:textId="77777777" w:rsidR="00D87EAB" w:rsidRDefault="00D87EAB" w:rsidP="00D87EAB">
      <w:pPr>
        <w:widowControl w:val="0"/>
        <w:tabs>
          <w:tab w:val="left" w:pos="567"/>
        </w:tabs>
        <w:rPr>
          <w:snapToGrid w:val="0"/>
          <w:szCs w:val="22"/>
          <w:lang w:eastAsia="en-US"/>
        </w:rPr>
      </w:pPr>
    </w:p>
    <w:p w14:paraId="362A65E0" w14:textId="77777777" w:rsidR="00121726" w:rsidRPr="00C21B99" w:rsidRDefault="00121726" w:rsidP="00D87EAB">
      <w:pPr>
        <w:widowControl w:val="0"/>
        <w:tabs>
          <w:tab w:val="left" w:pos="567"/>
        </w:tabs>
        <w:rPr>
          <w:snapToGrid w:val="0"/>
          <w:szCs w:val="22"/>
          <w:lang w:eastAsia="en-US"/>
        </w:rPr>
      </w:pPr>
    </w:p>
    <w:p w14:paraId="13931A7E"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C21B99">
        <w:rPr>
          <w:b/>
          <w:snapToGrid w:val="0"/>
          <w:szCs w:val="22"/>
          <w:lang w:eastAsia="en-US"/>
        </w:rPr>
        <w:t>5.</w:t>
      </w:r>
      <w:r w:rsidRPr="00C21B99">
        <w:rPr>
          <w:b/>
          <w:snapToGrid w:val="0"/>
          <w:szCs w:val="22"/>
          <w:lang w:eastAsia="en-US"/>
        </w:rPr>
        <w:tab/>
        <w:t>VARTOJIMO METODAS IR BŪDAS (-AI)</w:t>
      </w:r>
    </w:p>
    <w:p w14:paraId="0D6C1EA1" w14:textId="77777777" w:rsidR="00D87EAB" w:rsidRPr="00C21B99" w:rsidRDefault="00D87EAB" w:rsidP="00D87EAB">
      <w:pPr>
        <w:widowControl w:val="0"/>
        <w:tabs>
          <w:tab w:val="left" w:pos="567"/>
        </w:tabs>
        <w:rPr>
          <w:snapToGrid w:val="0"/>
          <w:szCs w:val="22"/>
          <w:lang w:eastAsia="en-US"/>
        </w:rPr>
      </w:pPr>
    </w:p>
    <w:p w14:paraId="07DFCB93" w14:textId="77777777" w:rsidR="00650E48" w:rsidRPr="00C21B99" w:rsidRDefault="00650E48" w:rsidP="00650E48">
      <w:pPr>
        <w:widowControl w:val="0"/>
        <w:tabs>
          <w:tab w:val="left" w:pos="567"/>
        </w:tabs>
        <w:rPr>
          <w:snapToGrid w:val="0"/>
          <w:szCs w:val="22"/>
          <w:lang w:eastAsia="en-US"/>
        </w:rPr>
      </w:pPr>
      <w:r w:rsidRPr="00C21B99">
        <w:rPr>
          <w:snapToGrid w:val="0"/>
          <w:szCs w:val="22"/>
          <w:lang w:eastAsia="en-US"/>
        </w:rPr>
        <w:t>Prieš vartojimą perskaitykite pakuotės lapelį.</w:t>
      </w:r>
    </w:p>
    <w:p w14:paraId="2F918C03" w14:textId="77777777" w:rsidR="00D87EAB" w:rsidRPr="00C21B99" w:rsidRDefault="00D87EAB" w:rsidP="00D87EAB">
      <w:pPr>
        <w:widowControl w:val="0"/>
        <w:tabs>
          <w:tab w:val="left" w:pos="567"/>
        </w:tabs>
        <w:rPr>
          <w:snapToGrid w:val="0"/>
          <w:szCs w:val="22"/>
          <w:lang w:eastAsia="en-US"/>
        </w:rPr>
      </w:pPr>
      <w:r w:rsidRPr="00C21B99">
        <w:rPr>
          <w:snapToGrid w:val="0"/>
          <w:szCs w:val="22"/>
          <w:lang w:eastAsia="en-US"/>
        </w:rPr>
        <w:t>Vartoti per burną.</w:t>
      </w:r>
    </w:p>
    <w:p w14:paraId="7DB51F1C" w14:textId="77777777" w:rsidR="00D87EAB" w:rsidRPr="00C21B99" w:rsidRDefault="00D87EAB" w:rsidP="00D87EAB">
      <w:pPr>
        <w:widowControl w:val="0"/>
        <w:tabs>
          <w:tab w:val="left" w:pos="567"/>
        </w:tabs>
        <w:rPr>
          <w:snapToGrid w:val="0"/>
          <w:szCs w:val="22"/>
          <w:lang w:eastAsia="en-US"/>
        </w:rPr>
      </w:pPr>
    </w:p>
    <w:p w14:paraId="28777514" w14:textId="77777777" w:rsidR="00D87EAB" w:rsidRPr="00C21B99" w:rsidRDefault="00D87EAB" w:rsidP="00D87EAB">
      <w:pPr>
        <w:widowControl w:val="0"/>
        <w:tabs>
          <w:tab w:val="left" w:pos="567"/>
        </w:tabs>
        <w:rPr>
          <w:snapToGrid w:val="0"/>
          <w:szCs w:val="22"/>
          <w:lang w:eastAsia="en-US"/>
        </w:rPr>
      </w:pPr>
    </w:p>
    <w:p w14:paraId="09D33625"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C21B99">
        <w:rPr>
          <w:b/>
          <w:snapToGrid w:val="0"/>
          <w:szCs w:val="22"/>
          <w:lang w:eastAsia="en-US"/>
        </w:rPr>
        <w:t>6.</w:t>
      </w:r>
      <w:r w:rsidRPr="00C21B99">
        <w:rPr>
          <w:b/>
          <w:snapToGrid w:val="0"/>
          <w:szCs w:val="22"/>
          <w:lang w:eastAsia="en-US"/>
        </w:rPr>
        <w:tab/>
        <w:t>SPECIALUS ĮSPĖJIMAS, KAD VAISTINĮ PREPARATĄ BŪTINA LAIKYTI VAIKAMS NEPASTEBIMOJE IR NEPASIEKIAMOJE VIETOJE</w:t>
      </w:r>
    </w:p>
    <w:p w14:paraId="06D0CD90" w14:textId="77777777" w:rsidR="00D87EAB" w:rsidRPr="00C21B99" w:rsidRDefault="00D87EAB" w:rsidP="00D87EAB">
      <w:pPr>
        <w:widowControl w:val="0"/>
        <w:tabs>
          <w:tab w:val="left" w:pos="567"/>
        </w:tabs>
        <w:rPr>
          <w:snapToGrid w:val="0"/>
          <w:szCs w:val="22"/>
          <w:lang w:eastAsia="en-US"/>
        </w:rPr>
      </w:pPr>
    </w:p>
    <w:p w14:paraId="136AAF8F" w14:textId="77777777" w:rsidR="00D87EAB" w:rsidRPr="00C21B99" w:rsidRDefault="00D87EAB" w:rsidP="00D87EAB">
      <w:pPr>
        <w:widowControl w:val="0"/>
        <w:tabs>
          <w:tab w:val="left" w:pos="567"/>
        </w:tabs>
        <w:rPr>
          <w:snapToGrid w:val="0"/>
          <w:szCs w:val="22"/>
          <w:lang w:eastAsia="en-US"/>
        </w:rPr>
      </w:pPr>
      <w:r w:rsidRPr="00C21B99">
        <w:rPr>
          <w:snapToGrid w:val="0"/>
          <w:szCs w:val="22"/>
          <w:lang w:eastAsia="en-US"/>
        </w:rPr>
        <w:lastRenderedPageBreak/>
        <w:t>Laikyti vaikams nepastebimoje ir nepasiekiamoje vietoje.</w:t>
      </w:r>
    </w:p>
    <w:p w14:paraId="7EDDB4CC" w14:textId="77777777" w:rsidR="00D87EAB" w:rsidRPr="00C21B99" w:rsidRDefault="00D87EAB" w:rsidP="00D87EAB">
      <w:pPr>
        <w:widowControl w:val="0"/>
        <w:tabs>
          <w:tab w:val="left" w:pos="567"/>
        </w:tabs>
        <w:rPr>
          <w:snapToGrid w:val="0"/>
          <w:szCs w:val="22"/>
          <w:lang w:eastAsia="en-US"/>
        </w:rPr>
      </w:pPr>
    </w:p>
    <w:p w14:paraId="1A6DEAA0" w14:textId="77777777" w:rsidR="00D87EAB" w:rsidRPr="00C21B99" w:rsidRDefault="00D87EAB" w:rsidP="00D87EAB">
      <w:pPr>
        <w:widowControl w:val="0"/>
        <w:tabs>
          <w:tab w:val="left" w:pos="567"/>
        </w:tabs>
        <w:rPr>
          <w:snapToGrid w:val="0"/>
          <w:szCs w:val="22"/>
          <w:lang w:eastAsia="en-US"/>
        </w:rPr>
      </w:pPr>
    </w:p>
    <w:p w14:paraId="05CEC0FD"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C21B99">
        <w:rPr>
          <w:b/>
          <w:snapToGrid w:val="0"/>
          <w:szCs w:val="22"/>
          <w:lang w:eastAsia="en-US"/>
        </w:rPr>
        <w:t>7.</w:t>
      </w:r>
      <w:r w:rsidRPr="00C21B99">
        <w:rPr>
          <w:b/>
          <w:snapToGrid w:val="0"/>
          <w:szCs w:val="22"/>
          <w:lang w:eastAsia="en-US"/>
        </w:rPr>
        <w:tab/>
        <w:t>KITAS (-I) SPECIALUS (-ŪS) ĮSPĖJIMAS (-AI) (JEI REIKIA)</w:t>
      </w:r>
    </w:p>
    <w:p w14:paraId="67CE5A9D" w14:textId="77777777" w:rsidR="00D87EAB" w:rsidRPr="00C21B99" w:rsidRDefault="00D87EAB" w:rsidP="00D87EAB">
      <w:pPr>
        <w:widowControl w:val="0"/>
        <w:tabs>
          <w:tab w:val="left" w:pos="567"/>
        </w:tabs>
        <w:rPr>
          <w:snapToGrid w:val="0"/>
          <w:szCs w:val="22"/>
          <w:lang w:eastAsia="en-US"/>
        </w:rPr>
      </w:pPr>
    </w:p>
    <w:p w14:paraId="7277156B" w14:textId="77777777" w:rsidR="00D87EAB" w:rsidRPr="00C21B99" w:rsidRDefault="00D87EAB" w:rsidP="00D87EAB">
      <w:pPr>
        <w:widowControl w:val="0"/>
        <w:tabs>
          <w:tab w:val="left" w:pos="567"/>
        </w:tabs>
        <w:rPr>
          <w:snapToGrid w:val="0"/>
          <w:szCs w:val="22"/>
          <w:lang w:eastAsia="en-US"/>
        </w:rPr>
      </w:pPr>
    </w:p>
    <w:p w14:paraId="5D7DA8A6"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C21B99">
        <w:rPr>
          <w:b/>
          <w:snapToGrid w:val="0"/>
          <w:szCs w:val="22"/>
          <w:lang w:eastAsia="en-US"/>
        </w:rPr>
        <w:t>8.</w:t>
      </w:r>
      <w:r w:rsidRPr="00C21B99">
        <w:rPr>
          <w:b/>
          <w:snapToGrid w:val="0"/>
          <w:szCs w:val="22"/>
          <w:lang w:eastAsia="en-US"/>
        </w:rPr>
        <w:tab/>
        <w:t>TINKAMUMO LAIKAS</w:t>
      </w:r>
    </w:p>
    <w:p w14:paraId="38BBCF08" w14:textId="77777777" w:rsidR="00D87EAB" w:rsidRPr="00C21B99" w:rsidRDefault="00D87EAB" w:rsidP="00D87EAB">
      <w:pPr>
        <w:widowControl w:val="0"/>
        <w:tabs>
          <w:tab w:val="left" w:pos="567"/>
        </w:tabs>
        <w:rPr>
          <w:snapToGrid w:val="0"/>
          <w:szCs w:val="22"/>
          <w:lang w:eastAsia="en-US"/>
        </w:rPr>
      </w:pPr>
    </w:p>
    <w:p w14:paraId="180240DF" w14:textId="77777777" w:rsidR="00D87EAB" w:rsidRPr="00C21B99" w:rsidRDefault="007E6167" w:rsidP="00D87EAB">
      <w:pPr>
        <w:widowControl w:val="0"/>
        <w:tabs>
          <w:tab w:val="left" w:pos="567"/>
        </w:tabs>
        <w:rPr>
          <w:snapToGrid w:val="0"/>
          <w:szCs w:val="22"/>
          <w:lang w:eastAsia="en-US"/>
        </w:rPr>
      </w:pPr>
      <w:r w:rsidRPr="00C21B99">
        <w:rPr>
          <w:snapToGrid w:val="0"/>
          <w:szCs w:val="22"/>
          <w:lang w:eastAsia="en-US"/>
        </w:rPr>
        <w:t>EXP</w:t>
      </w:r>
      <w:r w:rsidR="00D87EAB" w:rsidRPr="00C21B99">
        <w:rPr>
          <w:snapToGrid w:val="0"/>
          <w:szCs w:val="22"/>
          <w:lang w:eastAsia="en-US"/>
        </w:rPr>
        <w:t xml:space="preserve"> &lt;mm MMMM&gt;</w:t>
      </w:r>
    </w:p>
    <w:p w14:paraId="297F721F" w14:textId="77777777" w:rsidR="00D87EAB" w:rsidRPr="00C21B99" w:rsidRDefault="00D87EAB" w:rsidP="00D87EAB">
      <w:pPr>
        <w:widowControl w:val="0"/>
        <w:tabs>
          <w:tab w:val="left" w:pos="567"/>
        </w:tabs>
        <w:rPr>
          <w:snapToGrid w:val="0"/>
          <w:szCs w:val="22"/>
          <w:lang w:eastAsia="en-US"/>
        </w:rPr>
      </w:pPr>
    </w:p>
    <w:p w14:paraId="1949D134" w14:textId="77777777" w:rsidR="00D87EAB" w:rsidRPr="00C21B99" w:rsidRDefault="00D87EAB" w:rsidP="00D87EAB">
      <w:pPr>
        <w:widowControl w:val="0"/>
        <w:tabs>
          <w:tab w:val="left" w:pos="567"/>
        </w:tabs>
        <w:rPr>
          <w:snapToGrid w:val="0"/>
          <w:szCs w:val="22"/>
          <w:lang w:eastAsia="en-US"/>
        </w:rPr>
      </w:pPr>
    </w:p>
    <w:p w14:paraId="3FEB655F"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C21B99">
        <w:rPr>
          <w:b/>
          <w:snapToGrid w:val="0"/>
          <w:szCs w:val="22"/>
          <w:lang w:eastAsia="en-US"/>
        </w:rPr>
        <w:t>9.</w:t>
      </w:r>
      <w:r w:rsidRPr="00C21B99">
        <w:rPr>
          <w:b/>
          <w:snapToGrid w:val="0"/>
          <w:szCs w:val="22"/>
          <w:lang w:eastAsia="en-US"/>
        </w:rPr>
        <w:tab/>
        <w:t>SPECIALIOS LAIKYMO SĄLYGOS</w:t>
      </w:r>
    </w:p>
    <w:p w14:paraId="449CD12B" w14:textId="77777777" w:rsidR="00D87EAB" w:rsidRPr="00C21B99" w:rsidRDefault="00D87EAB" w:rsidP="00D87EAB">
      <w:pPr>
        <w:widowControl w:val="0"/>
        <w:tabs>
          <w:tab w:val="left" w:pos="567"/>
        </w:tabs>
        <w:rPr>
          <w:snapToGrid w:val="0"/>
          <w:szCs w:val="22"/>
          <w:lang w:eastAsia="en-US"/>
        </w:rPr>
      </w:pPr>
    </w:p>
    <w:p w14:paraId="4F11286D" w14:textId="77777777" w:rsidR="005953C4" w:rsidRPr="00C21B99" w:rsidRDefault="005953C4" w:rsidP="00D87EAB">
      <w:pPr>
        <w:widowControl w:val="0"/>
        <w:tabs>
          <w:tab w:val="left" w:pos="567"/>
        </w:tabs>
        <w:rPr>
          <w:snapToGrid w:val="0"/>
          <w:szCs w:val="22"/>
          <w:lang w:eastAsia="en-US"/>
        </w:rPr>
      </w:pPr>
      <w:r w:rsidRPr="00C21B99">
        <w:rPr>
          <w:snapToGrid w:val="0"/>
          <w:szCs w:val="22"/>
          <w:lang w:eastAsia="en-US"/>
        </w:rPr>
        <w:t>Laikyti gamintojo pakuotėje, kad vaistas būtų apsaugotas nuo drėgmės.</w:t>
      </w:r>
    </w:p>
    <w:p w14:paraId="6048B437" w14:textId="77777777" w:rsidR="005953C4" w:rsidRPr="00C21B99" w:rsidRDefault="005953C4" w:rsidP="00D87EAB">
      <w:pPr>
        <w:widowControl w:val="0"/>
        <w:tabs>
          <w:tab w:val="left" w:pos="567"/>
        </w:tabs>
        <w:rPr>
          <w:snapToGrid w:val="0"/>
          <w:szCs w:val="22"/>
          <w:lang w:eastAsia="en-US"/>
        </w:rPr>
      </w:pPr>
    </w:p>
    <w:p w14:paraId="60367AEB" w14:textId="77777777" w:rsidR="00D87EAB" w:rsidRPr="00C21B99" w:rsidRDefault="00D87EAB" w:rsidP="00D87EAB">
      <w:pPr>
        <w:widowControl w:val="0"/>
        <w:tabs>
          <w:tab w:val="left" w:pos="567"/>
        </w:tabs>
        <w:rPr>
          <w:snapToGrid w:val="0"/>
          <w:szCs w:val="22"/>
          <w:lang w:eastAsia="en-US"/>
        </w:rPr>
      </w:pPr>
    </w:p>
    <w:p w14:paraId="25167A84" w14:textId="77777777" w:rsidR="00D87EAB" w:rsidRPr="00C21B99" w:rsidRDefault="00D87EAB" w:rsidP="00650E4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lang w:eastAsia="en-US"/>
        </w:rPr>
      </w:pPr>
      <w:r w:rsidRPr="00C21B99">
        <w:rPr>
          <w:b/>
          <w:snapToGrid w:val="0"/>
          <w:szCs w:val="22"/>
          <w:lang w:eastAsia="en-US"/>
        </w:rPr>
        <w:t>10.</w:t>
      </w:r>
      <w:r w:rsidRPr="00C21B99">
        <w:rPr>
          <w:b/>
          <w:snapToGrid w:val="0"/>
          <w:szCs w:val="22"/>
          <w:lang w:eastAsia="en-US"/>
        </w:rPr>
        <w:tab/>
        <w:t>SPECIALIOS ATSARGUMO PRIEMONĖS DĖL NESUVARTOTO VAISTINIO PREPARATO AR JO ATLIEKŲ TVARKYMO (JEI REIKIA)</w:t>
      </w:r>
    </w:p>
    <w:p w14:paraId="6A66D811" w14:textId="77777777" w:rsidR="00D87EAB" w:rsidRPr="00C21B99" w:rsidRDefault="00D87EAB" w:rsidP="00D87EAB">
      <w:pPr>
        <w:widowControl w:val="0"/>
        <w:tabs>
          <w:tab w:val="left" w:pos="567"/>
        </w:tabs>
        <w:rPr>
          <w:snapToGrid w:val="0"/>
          <w:szCs w:val="22"/>
          <w:lang w:eastAsia="en-US"/>
        </w:rPr>
      </w:pPr>
    </w:p>
    <w:p w14:paraId="067BF446" w14:textId="77777777" w:rsidR="00D87EAB" w:rsidRPr="00C21B99" w:rsidRDefault="00D87EAB" w:rsidP="00D87EAB">
      <w:pPr>
        <w:widowControl w:val="0"/>
        <w:tabs>
          <w:tab w:val="left" w:pos="567"/>
        </w:tabs>
        <w:rPr>
          <w:snapToGrid w:val="0"/>
          <w:szCs w:val="22"/>
          <w:lang w:eastAsia="en-US"/>
        </w:rPr>
      </w:pPr>
    </w:p>
    <w:p w14:paraId="5C56CAB7"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C21B99">
        <w:rPr>
          <w:b/>
          <w:snapToGrid w:val="0"/>
          <w:szCs w:val="22"/>
          <w:lang w:eastAsia="en-US"/>
        </w:rPr>
        <w:t>11.</w:t>
      </w:r>
      <w:r w:rsidRPr="00C21B99">
        <w:rPr>
          <w:b/>
          <w:snapToGrid w:val="0"/>
          <w:szCs w:val="22"/>
          <w:lang w:eastAsia="en-US"/>
        </w:rPr>
        <w:tab/>
      </w:r>
      <w:r w:rsidRPr="00C21B99">
        <w:rPr>
          <w:b/>
          <w:caps/>
          <w:snapToGrid w:val="0"/>
          <w:szCs w:val="22"/>
          <w:lang w:eastAsia="en-US"/>
        </w:rPr>
        <w:t>REGISTRUOTOJO PAVADINIMAS IR ADRESAS</w:t>
      </w:r>
    </w:p>
    <w:p w14:paraId="08ABAB8C" w14:textId="77777777" w:rsidR="00D87EAB" w:rsidRPr="00C21B99" w:rsidRDefault="00D87EAB" w:rsidP="00D87EAB">
      <w:pPr>
        <w:widowControl w:val="0"/>
        <w:tabs>
          <w:tab w:val="left" w:pos="567"/>
        </w:tabs>
        <w:rPr>
          <w:snapToGrid w:val="0"/>
          <w:szCs w:val="22"/>
          <w:lang w:eastAsia="en-US"/>
        </w:rPr>
      </w:pPr>
    </w:p>
    <w:p w14:paraId="3CE0BDE7" w14:textId="77777777" w:rsidR="00D87EAB" w:rsidRPr="00C21B99" w:rsidRDefault="00D87EAB" w:rsidP="00D87EAB">
      <w:pPr>
        <w:widowControl w:val="0"/>
        <w:tabs>
          <w:tab w:val="left" w:pos="567"/>
        </w:tabs>
        <w:rPr>
          <w:snapToGrid w:val="0"/>
          <w:szCs w:val="22"/>
          <w:lang w:eastAsia="en-US"/>
        </w:rPr>
      </w:pPr>
      <w:proofErr w:type="spellStart"/>
      <w:r w:rsidRPr="00C21B99">
        <w:rPr>
          <w:snapToGrid w:val="0"/>
          <w:szCs w:val="22"/>
          <w:lang w:eastAsia="en-US"/>
        </w:rPr>
        <w:t>Sandoz</w:t>
      </w:r>
      <w:proofErr w:type="spellEnd"/>
      <w:r w:rsidRPr="00C21B99">
        <w:rPr>
          <w:snapToGrid w:val="0"/>
          <w:szCs w:val="22"/>
          <w:lang w:eastAsia="en-US"/>
        </w:rPr>
        <w:t xml:space="preserve"> </w:t>
      </w:r>
      <w:proofErr w:type="spellStart"/>
      <w:r w:rsidRPr="00C21B99">
        <w:rPr>
          <w:snapToGrid w:val="0"/>
          <w:szCs w:val="22"/>
          <w:lang w:eastAsia="en-US"/>
        </w:rPr>
        <w:t>d.d</w:t>
      </w:r>
      <w:proofErr w:type="spellEnd"/>
      <w:r w:rsidRPr="00C21B99">
        <w:rPr>
          <w:snapToGrid w:val="0"/>
          <w:szCs w:val="22"/>
          <w:lang w:eastAsia="en-US"/>
        </w:rPr>
        <w:t>.</w:t>
      </w:r>
    </w:p>
    <w:p w14:paraId="14E2088F" w14:textId="77777777" w:rsidR="00D87EAB" w:rsidRPr="00C21B99" w:rsidRDefault="00D87EAB" w:rsidP="00D87EAB">
      <w:pPr>
        <w:widowControl w:val="0"/>
        <w:tabs>
          <w:tab w:val="left" w:pos="567"/>
        </w:tabs>
        <w:rPr>
          <w:snapToGrid w:val="0"/>
          <w:szCs w:val="22"/>
          <w:lang w:eastAsia="en-US"/>
        </w:rPr>
      </w:pPr>
      <w:proofErr w:type="spellStart"/>
      <w:r w:rsidRPr="00C21B99">
        <w:rPr>
          <w:snapToGrid w:val="0"/>
          <w:szCs w:val="22"/>
          <w:lang w:eastAsia="en-US"/>
        </w:rPr>
        <w:t>Verovškova</w:t>
      </w:r>
      <w:proofErr w:type="spellEnd"/>
      <w:r w:rsidRPr="00C21B99">
        <w:rPr>
          <w:snapToGrid w:val="0"/>
          <w:szCs w:val="22"/>
          <w:lang w:eastAsia="en-US"/>
        </w:rPr>
        <w:t xml:space="preserve"> 57</w:t>
      </w:r>
    </w:p>
    <w:p w14:paraId="3E6F0DEC" w14:textId="77777777" w:rsidR="00D87EAB" w:rsidRPr="00C21B99" w:rsidRDefault="00D87EAB" w:rsidP="00D87EAB">
      <w:pPr>
        <w:widowControl w:val="0"/>
        <w:tabs>
          <w:tab w:val="left" w:pos="567"/>
        </w:tabs>
        <w:rPr>
          <w:snapToGrid w:val="0"/>
          <w:szCs w:val="22"/>
          <w:lang w:eastAsia="en-US"/>
        </w:rPr>
      </w:pPr>
      <w:r w:rsidRPr="00C21B99">
        <w:rPr>
          <w:snapToGrid w:val="0"/>
          <w:szCs w:val="22"/>
          <w:lang w:eastAsia="en-US"/>
        </w:rPr>
        <w:t xml:space="preserve">SI-1000 </w:t>
      </w:r>
      <w:proofErr w:type="spellStart"/>
      <w:r w:rsidRPr="00C21B99">
        <w:rPr>
          <w:snapToGrid w:val="0"/>
          <w:szCs w:val="22"/>
          <w:lang w:eastAsia="en-US"/>
        </w:rPr>
        <w:t>Ljubljana</w:t>
      </w:r>
      <w:proofErr w:type="spellEnd"/>
    </w:p>
    <w:p w14:paraId="4575E483" w14:textId="77777777" w:rsidR="00D87EAB" w:rsidRPr="00C21B99" w:rsidRDefault="00D87EAB" w:rsidP="00D87EAB">
      <w:pPr>
        <w:widowControl w:val="0"/>
        <w:tabs>
          <w:tab w:val="left" w:pos="567"/>
        </w:tabs>
        <w:rPr>
          <w:snapToGrid w:val="0"/>
          <w:szCs w:val="22"/>
          <w:lang w:eastAsia="en-US"/>
        </w:rPr>
      </w:pPr>
      <w:r w:rsidRPr="00C21B99">
        <w:rPr>
          <w:snapToGrid w:val="0"/>
          <w:szCs w:val="22"/>
          <w:lang w:eastAsia="en-US"/>
        </w:rPr>
        <w:t>Slovėnija</w:t>
      </w:r>
    </w:p>
    <w:p w14:paraId="56CC3DE5" w14:textId="77777777" w:rsidR="00D87EAB" w:rsidRPr="00C21B99" w:rsidRDefault="00D87EAB" w:rsidP="00D87EAB">
      <w:pPr>
        <w:widowControl w:val="0"/>
        <w:tabs>
          <w:tab w:val="left" w:pos="567"/>
        </w:tabs>
        <w:rPr>
          <w:snapToGrid w:val="0"/>
          <w:szCs w:val="22"/>
          <w:lang w:eastAsia="en-US"/>
        </w:rPr>
      </w:pPr>
    </w:p>
    <w:p w14:paraId="746F5EE4" w14:textId="77777777" w:rsidR="00D87EAB" w:rsidRPr="00C21B99" w:rsidRDefault="00D87EAB" w:rsidP="00D87EAB">
      <w:pPr>
        <w:widowControl w:val="0"/>
        <w:tabs>
          <w:tab w:val="left" w:pos="567"/>
        </w:tabs>
        <w:rPr>
          <w:snapToGrid w:val="0"/>
          <w:szCs w:val="22"/>
          <w:lang w:eastAsia="en-US"/>
        </w:rPr>
      </w:pPr>
    </w:p>
    <w:p w14:paraId="6F9855D3"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C21B99">
        <w:rPr>
          <w:b/>
          <w:snapToGrid w:val="0"/>
          <w:szCs w:val="22"/>
          <w:lang w:eastAsia="en-US"/>
        </w:rPr>
        <w:t>12.</w:t>
      </w:r>
      <w:r w:rsidRPr="00C21B99">
        <w:rPr>
          <w:b/>
          <w:snapToGrid w:val="0"/>
          <w:szCs w:val="22"/>
          <w:lang w:eastAsia="en-US"/>
        </w:rPr>
        <w:tab/>
        <w:t>REGISTRACIJOS PAŽYMĖJIMO NUMERIS (-IAI)</w:t>
      </w:r>
    </w:p>
    <w:p w14:paraId="42216960" w14:textId="77777777" w:rsidR="00D87EAB" w:rsidRDefault="00D87EAB" w:rsidP="00D87EAB">
      <w:pPr>
        <w:widowControl w:val="0"/>
        <w:tabs>
          <w:tab w:val="left" w:pos="567"/>
        </w:tabs>
        <w:rPr>
          <w:snapToGrid w:val="0"/>
          <w:szCs w:val="22"/>
          <w:lang w:eastAsia="en-US"/>
        </w:rPr>
      </w:pPr>
    </w:p>
    <w:p w14:paraId="7E336BE6" w14:textId="77777777" w:rsidR="00135B76" w:rsidRPr="00135B76" w:rsidRDefault="00135B76" w:rsidP="00135B76">
      <w:pPr>
        <w:widowControl w:val="0"/>
        <w:tabs>
          <w:tab w:val="left" w:pos="567"/>
        </w:tabs>
        <w:rPr>
          <w:szCs w:val="22"/>
          <w:highlight w:val="lightGray"/>
        </w:rPr>
      </w:pPr>
      <w:r w:rsidRPr="00135B76">
        <w:rPr>
          <w:snapToGrid w:val="0"/>
          <w:szCs w:val="22"/>
          <w:lang w:eastAsia="en-US"/>
        </w:rPr>
        <w:t xml:space="preserve">LT/1/18/4287/002 </w:t>
      </w:r>
      <w:r w:rsidRPr="00135B76">
        <w:rPr>
          <w:szCs w:val="22"/>
          <w:highlight w:val="lightGray"/>
        </w:rPr>
        <w:t>– N30x1</w:t>
      </w:r>
    </w:p>
    <w:p w14:paraId="111ED335" w14:textId="77777777" w:rsidR="00135B76" w:rsidRPr="00135B76" w:rsidRDefault="00135B76" w:rsidP="00135B76">
      <w:pPr>
        <w:widowControl w:val="0"/>
        <w:tabs>
          <w:tab w:val="left" w:pos="567"/>
        </w:tabs>
        <w:rPr>
          <w:szCs w:val="22"/>
          <w:highlight w:val="lightGray"/>
        </w:rPr>
      </w:pPr>
      <w:r w:rsidRPr="00135B76">
        <w:rPr>
          <w:szCs w:val="22"/>
          <w:highlight w:val="lightGray"/>
        </w:rPr>
        <w:t>LT/1/18/4287/001 – N30</w:t>
      </w:r>
    </w:p>
    <w:p w14:paraId="15BF600D" w14:textId="77777777" w:rsidR="00135B76" w:rsidRPr="00135B76" w:rsidRDefault="00135B76" w:rsidP="00135B76">
      <w:pPr>
        <w:widowControl w:val="0"/>
        <w:tabs>
          <w:tab w:val="left" w:pos="567"/>
        </w:tabs>
        <w:rPr>
          <w:szCs w:val="22"/>
          <w:highlight w:val="lightGray"/>
        </w:rPr>
      </w:pPr>
      <w:r w:rsidRPr="00135B76">
        <w:rPr>
          <w:szCs w:val="22"/>
          <w:highlight w:val="lightGray"/>
        </w:rPr>
        <w:t>LT/1/18/4287/003 – N60x1</w:t>
      </w:r>
    </w:p>
    <w:p w14:paraId="69D4922F" w14:textId="77777777" w:rsidR="00135B76" w:rsidRPr="00135B76" w:rsidRDefault="00135B76" w:rsidP="00135B76">
      <w:pPr>
        <w:widowControl w:val="0"/>
        <w:tabs>
          <w:tab w:val="left" w:pos="567"/>
        </w:tabs>
        <w:rPr>
          <w:szCs w:val="22"/>
          <w:highlight w:val="lightGray"/>
        </w:rPr>
      </w:pPr>
      <w:r w:rsidRPr="00135B76">
        <w:rPr>
          <w:szCs w:val="22"/>
          <w:highlight w:val="lightGray"/>
        </w:rPr>
        <w:t>LT/1/18/4287/004 – N90x1</w:t>
      </w:r>
    </w:p>
    <w:p w14:paraId="1AF90F82" w14:textId="77777777" w:rsidR="00135B76" w:rsidRPr="00135B76" w:rsidRDefault="00135B76" w:rsidP="00135B76">
      <w:pPr>
        <w:widowControl w:val="0"/>
        <w:tabs>
          <w:tab w:val="left" w:pos="567"/>
        </w:tabs>
        <w:rPr>
          <w:szCs w:val="22"/>
          <w:highlight w:val="lightGray"/>
        </w:rPr>
      </w:pPr>
      <w:r w:rsidRPr="00135B76">
        <w:rPr>
          <w:szCs w:val="22"/>
          <w:highlight w:val="lightGray"/>
        </w:rPr>
        <w:t>LT/1/18/4287/005 – N100x1</w:t>
      </w:r>
    </w:p>
    <w:p w14:paraId="5FD4C06C" w14:textId="77777777" w:rsidR="00135B76" w:rsidRPr="00135B76" w:rsidRDefault="00135B76" w:rsidP="00135B76">
      <w:pPr>
        <w:widowControl w:val="0"/>
        <w:tabs>
          <w:tab w:val="left" w:pos="567"/>
        </w:tabs>
        <w:rPr>
          <w:szCs w:val="22"/>
          <w:highlight w:val="lightGray"/>
        </w:rPr>
      </w:pPr>
      <w:r w:rsidRPr="00135B76">
        <w:rPr>
          <w:szCs w:val="22"/>
          <w:highlight w:val="lightGray"/>
        </w:rPr>
        <w:t>LT/1/18/4287/006 – N120x1</w:t>
      </w:r>
    </w:p>
    <w:p w14:paraId="533D7753" w14:textId="607F7F49" w:rsidR="00135B76" w:rsidRPr="00135B76" w:rsidRDefault="00135B76" w:rsidP="00135B76">
      <w:pPr>
        <w:widowControl w:val="0"/>
        <w:tabs>
          <w:tab w:val="left" w:pos="567"/>
        </w:tabs>
        <w:rPr>
          <w:szCs w:val="22"/>
          <w:highlight w:val="lightGray"/>
        </w:rPr>
      </w:pPr>
      <w:r w:rsidRPr="00135B76">
        <w:rPr>
          <w:szCs w:val="22"/>
          <w:highlight w:val="lightGray"/>
        </w:rPr>
        <w:t>LT/1/18/4287/007 – N60x1 (N2x(30x1)) (sudėtinė pakuotė)</w:t>
      </w:r>
    </w:p>
    <w:p w14:paraId="71AADDB7" w14:textId="7D3B421C" w:rsidR="00135B76" w:rsidRPr="00135B76" w:rsidRDefault="00135B76" w:rsidP="00135B76">
      <w:pPr>
        <w:widowControl w:val="0"/>
        <w:tabs>
          <w:tab w:val="left" w:pos="567"/>
        </w:tabs>
        <w:rPr>
          <w:szCs w:val="22"/>
          <w:highlight w:val="lightGray"/>
        </w:rPr>
      </w:pPr>
      <w:r w:rsidRPr="00135B76">
        <w:rPr>
          <w:szCs w:val="22"/>
          <w:highlight w:val="lightGray"/>
        </w:rPr>
        <w:t>LT/1/18/4287/008 – N90x1 (N3x(30x1)) (sudėtinė pakuotė)</w:t>
      </w:r>
    </w:p>
    <w:p w14:paraId="55C72725" w14:textId="77777777" w:rsidR="00135B76" w:rsidRPr="00C21B99" w:rsidRDefault="00135B76" w:rsidP="00135B76">
      <w:pPr>
        <w:widowControl w:val="0"/>
        <w:tabs>
          <w:tab w:val="left" w:pos="567"/>
        </w:tabs>
        <w:rPr>
          <w:snapToGrid w:val="0"/>
          <w:szCs w:val="22"/>
          <w:lang w:eastAsia="en-US"/>
        </w:rPr>
      </w:pPr>
    </w:p>
    <w:p w14:paraId="616C21BA" w14:textId="77777777" w:rsidR="00D87EAB" w:rsidRPr="00C21B99" w:rsidRDefault="00D87EAB" w:rsidP="00D87EAB">
      <w:pPr>
        <w:widowControl w:val="0"/>
        <w:tabs>
          <w:tab w:val="left" w:pos="567"/>
        </w:tabs>
        <w:rPr>
          <w:snapToGrid w:val="0"/>
          <w:szCs w:val="22"/>
          <w:lang w:eastAsia="en-US"/>
        </w:rPr>
      </w:pPr>
    </w:p>
    <w:p w14:paraId="0C56D608"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C21B99">
        <w:rPr>
          <w:b/>
          <w:snapToGrid w:val="0"/>
          <w:szCs w:val="22"/>
          <w:lang w:eastAsia="en-US"/>
        </w:rPr>
        <w:t>13.</w:t>
      </w:r>
      <w:r w:rsidRPr="00C21B99">
        <w:rPr>
          <w:b/>
          <w:snapToGrid w:val="0"/>
          <w:szCs w:val="22"/>
          <w:lang w:eastAsia="en-US"/>
        </w:rPr>
        <w:tab/>
        <w:t>SERIJOS NUMERIS</w:t>
      </w:r>
    </w:p>
    <w:p w14:paraId="7A5DB53D" w14:textId="77777777" w:rsidR="00D87EAB" w:rsidRPr="00C21B99" w:rsidRDefault="00D87EAB" w:rsidP="00D87EAB">
      <w:pPr>
        <w:widowControl w:val="0"/>
        <w:tabs>
          <w:tab w:val="left" w:pos="567"/>
        </w:tabs>
        <w:rPr>
          <w:snapToGrid w:val="0"/>
          <w:szCs w:val="22"/>
          <w:lang w:eastAsia="en-US"/>
        </w:rPr>
      </w:pPr>
    </w:p>
    <w:p w14:paraId="77FED82C" w14:textId="77777777" w:rsidR="00D87EAB" w:rsidRPr="00C21B99" w:rsidRDefault="007E6167" w:rsidP="00D87EAB">
      <w:pPr>
        <w:widowControl w:val="0"/>
        <w:tabs>
          <w:tab w:val="left" w:pos="567"/>
        </w:tabs>
        <w:rPr>
          <w:snapToGrid w:val="0"/>
          <w:szCs w:val="22"/>
          <w:lang w:eastAsia="en-US"/>
        </w:rPr>
      </w:pPr>
      <w:r w:rsidRPr="00C21B99">
        <w:rPr>
          <w:snapToGrid w:val="0"/>
          <w:szCs w:val="22"/>
          <w:lang w:eastAsia="en-US"/>
        </w:rPr>
        <w:t>Lot</w:t>
      </w:r>
    </w:p>
    <w:p w14:paraId="06B8094C" w14:textId="77777777" w:rsidR="00D87EAB" w:rsidRPr="00C21B99" w:rsidRDefault="00D87EAB" w:rsidP="00D87EAB">
      <w:pPr>
        <w:widowControl w:val="0"/>
        <w:tabs>
          <w:tab w:val="left" w:pos="567"/>
        </w:tabs>
        <w:rPr>
          <w:snapToGrid w:val="0"/>
          <w:szCs w:val="22"/>
          <w:lang w:eastAsia="en-US"/>
        </w:rPr>
      </w:pPr>
    </w:p>
    <w:p w14:paraId="5D495F15" w14:textId="77777777" w:rsidR="00D87EAB" w:rsidRPr="00C21B99" w:rsidRDefault="00D87EAB" w:rsidP="00D87EAB">
      <w:pPr>
        <w:widowControl w:val="0"/>
        <w:tabs>
          <w:tab w:val="left" w:pos="567"/>
        </w:tabs>
        <w:rPr>
          <w:snapToGrid w:val="0"/>
          <w:szCs w:val="22"/>
          <w:lang w:eastAsia="en-US"/>
        </w:rPr>
      </w:pPr>
    </w:p>
    <w:p w14:paraId="62D1847D"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C21B99">
        <w:rPr>
          <w:b/>
          <w:snapToGrid w:val="0"/>
          <w:szCs w:val="22"/>
          <w:lang w:eastAsia="en-US"/>
        </w:rPr>
        <w:t>14.</w:t>
      </w:r>
      <w:r w:rsidRPr="00C21B99">
        <w:rPr>
          <w:b/>
          <w:snapToGrid w:val="0"/>
          <w:szCs w:val="22"/>
          <w:lang w:eastAsia="en-US"/>
        </w:rPr>
        <w:tab/>
        <w:t>PARDAVIMO (IŠDAVIMO) TVARKA</w:t>
      </w:r>
    </w:p>
    <w:p w14:paraId="1AD4A3C7" w14:textId="77777777" w:rsidR="00D87EAB" w:rsidRPr="00C21B99" w:rsidRDefault="00D87EAB" w:rsidP="00D87EAB">
      <w:pPr>
        <w:widowControl w:val="0"/>
        <w:tabs>
          <w:tab w:val="left" w:pos="567"/>
        </w:tabs>
        <w:rPr>
          <w:snapToGrid w:val="0"/>
          <w:szCs w:val="22"/>
          <w:lang w:eastAsia="en-US"/>
        </w:rPr>
      </w:pPr>
    </w:p>
    <w:p w14:paraId="6A9BC023" w14:textId="77777777" w:rsidR="00D87EAB" w:rsidRPr="00C21B99" w:rsidRDefault="00D87EAB" w:rsidP="00D87EAB">
      <w:pPr>
        <w:widowControl w:val="0"/>
        <w:tabs>
          <w:tab w:val="left" w:pos="567"/>
        </w:tabs>
        <w:rPr>
          <w:snapToGrid w:val="0"/>
          <w:szCs w:val="22"/>
          <w:lang w:eastAsia="en-US"/>
        </w:rPr>
      </w:pPr>
      <w:r w:rsidRPr="00C21B99">
        <w:rPr>
          <w:snapToGrid w:val="0"/>
          <w:szCs w:val="22"/>
          <w:lang w:eastAsia="en-US"/>
        </w:rPr>
        <w:t>Receptinis vaistas.</w:t>
      </w:r>
    </w:p>
    <w:p w14:paraId="7426FD6A" w14:textId="77777777" w:rsidR="00D87EAB" w:rsidRPr="00C21B99" w:rsidRDefault="00D87EAB" w:rsidP="00D87EAB">
      <w:pPr>
        <w:widowControl w:val="0"/>
        <w:tabs>
          <w:tab w:val="left" w:pos="567"/>
        </w:tabs>
        <w:rPr>
          <w:snapToGrid w:val="0"/>
          <w:szCs w:val="22"/>
          <w:lang w:eastAsia="en-US"/>
        </w:rPr>
      </w:pPr>
    </w:p>
    <w:p w14:paraId="16D4D1A2" w14:textId="77777777" w:rsidR="00D87EAB" w:rsidRPr="00C21B99" w:rsidRDefault="00D87EAB" w:rsidP="00D87EAB">
      <w:pPr>
        <w:widowControl w:val="0"/>
        <w:tabs>
          <w:tab w:val="left" w:pos="567"/>
        </w:tabs>
        <w:rPr>
          <w:snapToGrid w:val="0"/>
          <w:szCs w:val="22"/>
          <w:lang w:eastAsia="en-US"/>
        </w:rPr>
      </w:pPr>
    </w:p>
    <w:p w14:paraId="7D7AECB8" w14:textId="77777777" w:rsidR="00D87EAB" w:rsidRPr="00C21B99" w:rsidRDefault="00D87EAB" w:rsidP="00D87EAB">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Cs w:val="22"/>
          <w:lang w:eastAsia="en-US"/>
        </w:rPr>
      </w:pPr>
      <w:r w:rsidRPr="00C21B99">
        <w:rPr>
          <w:b/>
          <w:snapToGrid w:val="0"/>
          <w:szCs w:val="22"/>
          <w:lang w:eastAsia="en-US"/>
        </w:rPr>
        <w:t>15.</w:t>
      </w:r>
      <w:r w:rsidRPr="00C21B99">
        <w:rPr>
          <w:b/>
          <w:snapToGrid w:val="0"/>
          <w:szCs w:val="22"/>
          <w:lang w:eastAsia="en-US"/>
        </w:rPr>
        <w:tab/>
        <w:t>VARTOJIMO INSTRUKCIJA</w:t>
      </w:r>
    </w:p>
    <w:p w14:paraId="6FD849E0" w14:textId="77777777" w:rsidR="00D87EAB" w:rsidRPr="00C21B99" w:rsidRDefault="00D87EAB" w:rsidP="00D87EAB">
      <w:pPr>
        <w:widowControl w:val="0"/>
        <w:tabs>
          <w:tab w:val="left" w:pos="567"/>
        </w:tabs>
        <w:rPr>
          <w:snapToGrid w:val="0"/>
          <w:szCs w:val="22"/>
          <w:lang w:eastAsia="en-US"/>
        </w:rPr>
      </w:pPr>
    </w:p>
    <w:p w14:paraId="5796FA1A" w14:textId="77777777" w:rsidR="00D87EAB" w:rsidRPr="00C21B99" w:rsidRDefault="00D87EAB" w:rsidP="00D87EAB">
      <w:pPr>
        <w:widowControl w:val="0"/>
        <w:tabs>
          <w:tab w:val="left" w:pos="567"/>
        </w:tabs>
        <w:rPr>
          <w:snapToGrid w:val="0"/>
          <w:szCs w:val="22"/>
          <w:lang w:eastAsia="en-US"/>
        </w:rPr>
      </w:pPr>
    </w:p>
    <w:p w14:paraId="5605AEA8" w14:textId="77777777" w:rsidR="00D87EAB" w:rsidRPr="00C21B99" w:rsidRDefault="00D87EAB" w:rsidP="00D87EAB">
      <w:pPr>
        <w:widowControl w:val="0"/>
        <w:pBdr>
          <w:top w:val="single" w:sz="4" w:space="1" w:color="auto"/>
          <w:left w:val="single" w:sz="4" w:space="4" w:color="auto"/>
          <w:bottom w:val="single" w:sz="4" w:space="0" w:color="auto"/>
          <w:right w:val="single" w:sz="4" w:space="4" w:color="auto"/>
        </w:pBdr>
        <w:tabs>
          <w:tab w:val="left" w:pos="567"/>
        </w:tabs>
        <w:rPr>
          <w:snapToGrid w:val="0"/>
          <w:szCs w:val="22"/>
          <w:lang w:eastAsia="en-US"/>
        </w:rPr>
      </w:pPr>
      <w:r w:rsidRPr="00C21B99">
        <w:rPr>
          <w:b/>
          <w:snapToGrid w:val="0"/>
          <w:szCs w:val="22"/>
          <w:lang w:eastAsia="en-US"/>
        </w:rPr>
        <w:t>16.</w:t>
      </w:r>
      <w:r w:rsidRPr="00C21B99">
        <w:rPr>
          <w:b/>
          <w:snapToGrid w:val="0"/>
          <w:szCs w:val="22"/>
          <w:lang w:eastAsia="en-US"/>
        </w:rPr>
        <w:tab/>
        <w:t>INFORMACIJA BRAILIO RAŠTU</w:t>
      </w:r>
    </w:p>
    <w:p w14:paraId="330A3C7F" w14:textId="77777777" w:rsidR="00D87EAB" w:rsidRPr="00C21B99" w:rsidRDefault="00D87EAB" w:rsidP="00D87EAB">
      <w:pPr>
        <w:widowControl w:val="0"/>
        <w:tabs>
          <w:tab w:val="left" w:pos="567"/>
        </w:tabs>
        <w:rPr>
          <w:snapToGrid w:val="0"/>
          <w:szCs w:val="22"/>
          <w:lang w:eastAsia="en-US"/>
        </w:rPr>
      </w:pPr>
    </w:p>
    <w:p w14:paraId="2ABFA955" w14:textId="77777777" w:rsidR="00D87EAB" w:rsidRPr="00C21B99" w:rsidRDefault="005953C4" w:rsidP="00D87EAB">
      <w:pPr>
        <w:widowControl w:val="0"/>
        <w:tabs>
          <w:tab w:val="left" w:pos="567"/>
        </w:tabs>
        <w:rPr>
          <w:szCs w:val="22"/>
          <w:lang w:eastAsia="en-US"/>
        </w:rPr>
      </w:pPr>
      <w:proofErr w:type="spellStart"/>
      <w:r w:rsidRPr="00C21B99">
        <w:rPr>
          <w:szCs w:val="22"/>
          <w:lang w:eastAsia="en-US"/>
        </w:rPr>
        <w:t>Gefitinib</w:t>
      </w:r>
      <w:proofErr w:type="spellEnd"/>
      <w:r w:rsidRPr="00C21B99">
        <w:rPr>
          <w:szCs w:val="22"/>
          <w:lang w:eastAsia="en-US"/>
        </w:rPr>
        <w:t xml:space="preserve"> </w:t>
      </w:r>
      <w:proofErr w:type="spellStart"/>
      <w:r w:rsidRPr="00C21B99">
        <w:rPr>
          <w:szCs w:val="22"/>
          <w:lang w:eastAsia="en-US"/>
        </w:rPr>
        <w:t>Sandoz</w:t>
      </w:r>
      <w:proofErr w:type="spellEnd"/>
      <w:r w:rsidR="007C3433">
        <w:rPr>
          <w:szCs w:val="22"/>
          <w:lang w:eastAsia="en-US"/>
        </w:rPr>
        <w:t xml:space="preserve"> 250 mg</w:t>
      </w:r>
    </w:p>
    <w:p w14:paraId="15CFE983" w14:textId="77777777" w:rsidR="00D87EAB" w:rsidRPr="00C21B99" w:rsidRDefault="00D87EAB" w:rsidP="00D87EAB">
      <w:pPr>
        <w:widowControl w:val="0"/>
        <w:tabs>
          <w:tab w:val="left" w:pos="567"/>
        </w:tabs>
        <w:rPr>
          <w:szCs w:val="22"/>
          <w:lang w:eastAsia="en-US"/>
        </w:rPr>
      </w:pPr>
    </w:p>
    <w:p w14:paraId="643E12F1" w14:textId="77777777" w:rsidR="00D87EAB" w:rsidRPr="00C21B99" w:rsidRDefault="00D87EAB" w:rsidP="00D87EAB">
      <w:pPr>
        <w:widowControl w:val="0"/>
        <w:tabs>
          <w:tab w:val="left" w:pos="567"/>
        </w:tabs>
        <w:rPr>
          <w:szCs w:val="22"/>
          <w:shd w:val="clear" w:color="auto" w:fill="CCCCCC"/>
          <w:lang w:bidi="lt-LT"/>
        </w:rPr>
      </w:pPr>
    </w:p>
    <w:p w14:paraId="3C6984E9"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i/>
          <w:szCs w:val="22"/>
          <w:lang w:bidi="lt-LT"/>
        </w:rPr>
      </w:pPr>
      <w:r w:rsidRPr="00C21B99">
        <w:rPr>
          <w:b/>
          <w:szCs w:val="22"/>
          <w:lang w:bidi="lt-LT"/>
        </w:rPr>
        <w:t>17.</w:t>
      </w:r>
      <w:r w:rsidRPr="00C21B99">
        <w:rPr>
          <w:b/>
          <w:szCs w:val="22"/>
          <w:lang w:bidi="lt-LT"/>
        </w:rPr>
        <w:tab/>
        <w:t>UNIKALUS IDENTIFIKATORIUS – 2D BRŪKŠNINIS KODAS</w:t>
      </w:r>
    </w:p>
    <w:p w14:paraId="371CC4EC" w14:textId="77777777" w:rsidR="00EB257A" w:rsidRPr="00E3315E" w:rsidRDefault="00EB257A" w:rsidP="00D87EAB">
      <w:pPr>
        <w:widowControl w:val="0"/>
        <w:rPr>
          <w:highlight w:val="lightGray"/>
        </w:rPr>
      </w:pPr>
    </w:p>
    <w:p w14:paraId="65BB6940" w14:textId="77777777" w:rsidR="00D87EAB" w:rsidRPr="004648D5" w:rsidRDefault="007C3433" w:rsidP="00D87EAB">
      <w:pPr>
        <w:widowControl w:val="0"/>
        <w:rPr>
          <w:szCs w:val="22"/>
          <w:lang w:bidi="lt-LT"/>
        </w:rPr>
      </w:pPr>
      <w:r w:rsidRPr="00F84C8C">
        <w:rPr>
          <w:szCs w:val="22"/>
          <w:highlight w:val="lightGray"/>
          <w:lang w:bidi="lt-LT"/>
        </w:rPr>
        <w:t xml:space="preserve">Išorinė dėžutė arba </w:t>
      </w:r>
      <w:r w:rsidR="00EB257A">
        <w:rPr>
          <w:szCs w:val="22"/>
          <w:highlight w:val="lightGray"/>
          <w:lang w:bidi="lt-LT"/>
        </w:rPr>
        <w:t>sudėtinės pakuotės</w:t>
      </w:r>
      <w:r w:rsidRPr="00F84C8C">
        <w:rPr>
          <w:szCs w:val="22"/>
          <w:highlight w:val="lightGray"/>
          <w:lang w:bidi="lt-LT"/>
        </w:rPr>
        <w:t xml:space="preserve"> etiketė</w:t>
      </w:r>
    </w:p>
    <w:p w14:paraId="61C19C15" w14:textId="77777777" w:rsidR="007C3433" w:rsidRDefault="00D87EAB" w:rsidP="00D87EAB">
      <w:pPr>
        <w:widowControl w:val="0"/>
        <w:tabs>
          <w:tab w:val="left" w:pos="567"/>
        </w:tabs>
        <w:rPr>
          <w:szCs w:val="22"/>
          <w:lang w:bidi="lt-LT"/>
        </w:rPr>
      </w:pPr>
      <w:r w:rsidRPr="00C21B99">
        <w:rPr>
          <w:szCs w:val="22"/>
          <w:highlight w:val="lightGray"/>
          <w:lang w:bidi="lt-LT"/>
        </w:rPr>
        <w:t>2D brūkšninis kodas su nurodytu unikaliu identifikatoriumi.</w:t>
      </w:r>
    </w:p>
    <w:p w14:paraId="5B8DB7AE" w14:textId="77777777" w:rsidR="007C3433" w:rsidRPr="00F84C8C" w:rsidRDefault="00EB257A" w:rsidP="00D87EAB">
      <w:pPr>
        <w:widowControl w:val="0"/>
        <w:tabs>
          <w:tab w:val="left" w:pos="567"/>
        </w:tabs>
        <w:rPr>
          <w:szCs w:val="22"/>
          <w:highlight w:val="lightGray"/>
          <w:lang w:bidi="lt-LT"/>
        </w:rPr>
      </w:pPr>
      <w:r w:rsidRPr="00EB257A">
        <w:rPr>
          <w:szCs w:val="22"/>
          <w:highlight w:val="lightGray"/>
          <w:lang w:bidi="lt-LT"/>
        </w:rPr>
        <w:t>Sudėtinės pakuotės v</w:t>
      </w:r>
      <w:r w:rsidR="007C3433" w:rsidRPr="00F84C8C">
        <w:rPr>
          <w:szCs w:val="22"/>
          <w:highlight w:val="lightGray"/>
          <w:lang w:bidi="lt-LT"/>
        </w:rPr>
        <w:t xml:space="preserve">idinė dėžutė </w:t>
      </w:r>
    </w:p>
    <w:p w14:paraId="66CC772F" w14:textId="77777777" w:rsidR="007C3433" w:rsidRPr="00C21B99" w:rsidRDefault="007C3433" w:rsidP="00D87EAB">
      <w:pPr>
        <w:widowControl w:val="0"/>
        <w:tabs>
          <w:tab w:val="left" w:pos="567"/>
        </w:tabs>
        <w:rPr>
          <w:szCs w:val="22"/>
          <w:lang w:bidi="lt-LT"/>
        </w:rPr>
      </w:pPr>
      <w:r w:rsidRPr="00F84C8C">
        <w:rPr>
          <w:szCs w:val="22"/>
          <w:highlight w:val="lightGray"/>
          <w:lang w:bidi="lt-LT"/>
        </w:rPr>
        <w:t>Netaikoma</w:t>
      </w:r>
    </w:p>
    <w:p w14:paraId="4D053245" w14:textId="77777777" w:rsidR="007C3433" w:rsidRPr="00C21B99" w:rsidRDefault="007C3433" w:rsidP="00D87EAB">
      <w:pPr>
        <w:widowControl w:val="0"/>
        <w:tabs>
          <w:tab w:val="left" w:pos="567"/>
        </w:tabs>
        <w:rPr>
          <w:szCs w:val="22"/>
          <w:highlight w:val="lightGray"/>
          <w:lang w:bidi="lt-LT"/>
        </w:rPr>
      </w:pPr>
    </w:p>
    <w:p w14:paraId="5B6665FE" w14:textId="77777777" w:rsidR="00D87EAB" w:rsidRPr="00C21B99" w:rsidRDefault="00D87EAB" w:rsidP="00D87EAB">
      <w:pPr>
        <w:widowControl w:val="0"/>
        <w:rPr>
          <w:szCs w:val="22"/>
          <w:lang w:bidi="lt-LT"/>
        </w:rPr>
      </w:pPr>
    </w:p>
    <w:p w14:paraId="0263B4D1" w14:textId="77777777" w:rsidR="00D87EAB" w:rsidRPr="00C21B99"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i/>
          <w:szCs w:val="22"/>
          <w:lang w:bidi="lt-LT"/>
        </w:rPr>
      </w:pPr>
      <w:r w:rsidRPr="00C21B99">
        <w:rPr>
          <w:b/>
          <w:szCs w:val="22"/>
          <w:lang w:bidi="lt-LT"/>
        </w:rPr>
        <w:t>18.</w:t>
      </w:r>
      <w:r w:rsidRPr="00C21B99">
        <w:rPr>
          <w:b/>
          <w:szCs w:val="22"/>
          <w:lang w:bidi="lt-LT"/>
        </w:rPr>
        <w:tab/>
        <w:t>UNIKALUS IDENTIFIKATORIUS – ŽMONĖMS SUPRANTAMI DUOMENYS</w:t>
      </w:r>
    </w:p>
    <w:p w14:paraId="461C6CD9" w14:textId="77777777" w:rsidR="0081449A" w:rsidRDefault="0081449A" w:rsidP="00D87EAB">
      <w:pPr>
        <w:widowControl w:val="0"/>
        <w:rPr>
          <w:szCs w:val="22"/>
          <w:lang w:bidi="lt-LT"/>
        </w:rPr>
      </w:pPr>
    </w:p>
    <w:p w14:paraId="4B88A025" w14:textId="77777777" w:rsidR="0081449A" w:rsidRPr="00C21B99" w:rsidRDefault="0081449A" w:rsidP="00D87EAB">
      <w:pPr>
        <w:widowControl w:val="0"/>
        <w:rPr>
          <w:szCs w:val="22"/>
          <w:lang w:bidi="lt-LT"/>
        </w:rPr>
      </w:pPr>
      <w:r w:rsidRPr="00F84C8C">
        <w:rPr>
          <w:szCs w:val="22"/>
          <w:highlight w:val="lightGray"/>
          <w:lang w:bidi="lt-LT"/>
        </w:rPr>
        <w:t>I</w:t>
      </w:r>
      <w:r w:rsidR="00EB257A" w:rsidRPr="00EB257A">
        <w:rPr>
          <w:szCs w:val="22"/>
          <w:highlight w:val="lightGray"/>
          <w:lang w:bidi="lt-LT"/>
        </w:rPr>
        <w:t>šorinė dėžutė arba sudėtinės pakuotės</w:t>
      </w:r>
      <w:r w:rsidRPr="00F84C8C">
        <w:rPr>
          <w:szCs w:val="22"/>
          <w:highlight w:val="lightGray"/>
          <w:lang w:bidi="lt-LT"/>
        </w:rPr>
        <w:t xml:space="preserve"> etiketė</w:t>
      </w:r>
    </w:p>
    <w:p w14:paraId="537477B8" w14:textId="77777777" w:rsidR="00D87EAB" w:rsidRPr="006675D7" w:rsidRDefault="00D87EAB" w:rsidP="00D87EAB">
      <w:pPr>
        <w:widowControl w:val="0"/>
        <w:tabs>
          <w:tab w:val="left" w:pos="567"/>
        </w:tabs>
        <w:rPr>
          <w:szCs w:val="22"/>
          <w:lang w:bidi="lt-LT"/>
        </w:rPr>
      </w:pPr>
      <w:r w:rsidRPr="006675D7">
        <w:rPr>
          <w:szCs w:val="22"/>
          <w:lang w:bidi="lt-LT"/>
        </w:rPr>
        <w:t xml:space="preserve">PC: </w:t>
      </w:r>
    </w:p>
    <w:p w14:paraId="3621A43D" w14:textId="77777777" w:rsidR="00D87EAB" w:rsidRPr="006675D7" w:rsidRDefault="00D87EAB" w:rsidP="00D87EAB">
      <w:pPr>
        <w:widowControl w:val="0"/>
        <w:tabs>
          <w:tab w:val="left" w:pos="567"/>
        </w:tabs>
        <w:rPr>
          <w:szCs w:val="22"/>
          <w:lang w:bidi="lt-LT"/>
        </w:rPr>
      </w:pPr>
      <w:r w:rsidRPr="006675D7">
        <w:rPr>
          <w:szCs w:val="22"/>
          <w:lang w:bidi="lt-LT"/>
        </w:rPr>
        <w:t xml:space="preserve">SN: </w:t>
      </w:r>
    </w:p>
    <w:p w14:paraId="43A67C32" w14:textId="77777777" w:rsidR="00D87EAB" w:rsidRDefault="00D87EAB" w:rsidP="00D87EAB">
      <w:pPr>
        <w:widowControl w:val="0"/>
        <w:tabs>
          <w:tab w:val="left" w:pos="567"/>
        </w:tabs>
        <w:rPr>
          <w:szCs w:val="22"/>
          <w:lang w:bidi="lt-LT"/>
        </w:rPr>
      </w:pPr>
      <w:r w:rsidRPr="00C21B99">
        <w:rPr>
          <w:szCs w:val="22"/>
          <w:highlight w:val="lightGray"/>
          <w:lang w:bidi="lt-LT"/>
        </w:rPr>
        <w:t xml:space="preserve">NN: </w:t>
      </w:r>
    </w:p>
    <w:p w14:paraId="64F7614E" w14:textId="77777777" w:rsidR="0081449A" w:rsidRDefault="0081449A" w:rsidP="00D87EAB">
      <w:pPr>
        <w:widowControl w:val="0"/>
        <w:tabs>
          <w:tab w:val="left" w:pos="567"/>
        </w:tabs>
        <w:rPr>
          <w:szCs w:val="22"/>
          <w:lang w:bidi="lt-LT"/>
        </w:rPr>
      </w:pPr>
    </w:p>
    <w:p w14:paraId="015CD0B2" w14:textId="77777777" w:rsidR="0081449A" w:rsidRPr="00F84C8C" w:rsidRDefault="00EB257A" w:rsidP="0081449A">
      <w:pPr>
        <w:widowControl w:val="0"/>
        <w:tabs>
          <w:tab w:val="left" w:pos="567"/>
        </w:tabs>
        <w:rPr>
          <w:szCs w:val="22"/>
          <w:highlight w:val="lightGray"/>
          <w:lang w:bidi="lt-LT"/>
        </w:rPr>
      </w:pPr>
      <w:r w:rsidRPr="00EB257A">
        <w:rPr>
          <w:szCs w:val="22"/>
          <w:highlight w:val="lightGray"/>
          <w:lang w:bidi="lt-LT"/>
        </w:rPr>
        <w:t>Sudėtinės pakuotės v</w:t>
      </w:r>
      <w:r w:rsidR="0081449A" w:rsidRPr="00F84C8C">
        <w:rPr>
          <w:szCs w:val="22"/>
          <w:highlight w:val="lightGray"/>
          <w:lang w:bidi="lt-LT"/>
        </w:rPr>
        <w:t>id</w:t>
      </w:r>
      <w:r w:rsidRPr="00EB257A">
        <w:rPr>
          <w:szCs w:val="22"/>
          <w:highlight w:val="lightGray"/>
          <w:lang w:bidi="lt-LT"/>
        </w:rPr>
        <w:t>inė dėžutė</w:t>
      </w:r>
    </w:p>
    <w:p w14:paraId="60BEEA98" w14:textId="77777777" w:rsidR="0081449A" w:rsidRPr="00C21B99" w:rsidRDefault="0081449A" w:rsidP="0081449A">
      <w:pPr>
        <w:widowControl w:val="0"/>
        <w:tabs>
          <w:tab w:val="left" w:pos="567"/>
        </w:tabs>
        <w:rPr>
          <w:szCs w:val="22"/>
          <w:lang w:bidi="lt-LT"/>
        </w:rPr>
      </w:pPr>
      <w:r w:rsidRPr="00F84C8C">
        <w:rPr>
          <w:szCs w:val="22"/>
          <w:highlight w:val="lightGray"/>
          <w:lang w:bidi="lt-LT"/>
        </w:rPr>
        <w:t>Netaikoma</w:t>
      </w:r>
    </w:p>
    <w:p w14:paraId="173AB053" w14:textId="77777777" w:rsidR="00D87EAB" w:rsidRPr="00C21B99" w:rsidRDefault="00D87EAB" w:rsidP="00650E48">
      <w:pPr>
        <w:widowControl w:val="0"/>
        <w:tabs>
          <w:tab w:val="left" w:pos="567"/>
        </w:tabs>
        <w:rPr>
          <w:b/>
          <w:snapToGrid w:val="0"/>
          <w:szCs w:val="22"/>
          <w:lang w:eastAsia="en-US"/>
        </w:rPr>
      </w:pPr>
    </w:p>
    <w:p w14:paraId="418B1CB2" w14:textId="77777777" w:rsidR="005953C4" w:rsidRPr="00C21B99" w:rsidRDefault="00D87EAB" w:rsidP="005953C4">
      <w:pPr>
        <w:tabs>
          <w:tab w:val="left" w:pos="540"/>
        </w:tabs>
        <w:rPr>
          <w:b/>
          <w:iCs/>
          <w:color w:val="000000"/>
          <w:szCs w:val="22"/>
          <w:lang w:eastAsia="en-US"/>
        </w:rPr>
      </w:pPr>
      <w:r w:rsidRPr="00C21B99">
        <w:rPr>
          <w:snapToGrid w:val="0"/>
          <w:szCs w:val="22"/>
          <w:lang w:eastAsia="en-US"/>
        </w:rPr>
        <w:br w:type="page"/>
      </w:r>
    </w:p>
    <w:p w14:paraId="10D8A984" w14:textId="77777777" w:rsidR="005953C4" w:rsidRPr="00C21B99" w:rsidRDefault="005953C4" w:rsidP="005953C4">
      <w:pPr>
        <w:keepNext/>
        <w:pBdr>
          <w:top w:val="single" w:sz="4" w:space="1" w:color="auto"/>
          <w:left w:val="single" w:sz="4" w:space="4" w:color="auto"/>
          <w:bottom w:val="single" w:sz="4" w:space="1" w:color="auto"/>
          <w:right w:val="single" w:sz="4" w:space="4" w:color="auto"/>
        </w:pBdr>
        <w:outlineLvl w:val="1"/>
        <w:rPr>
          <w:b/>
          <w:iCs/>
          <w:color w:val="000000"/>
          <w:szCs w:val="22"/>
          <w:lang w:eastAsia="en-US"/>
        </w:rPr>
      </w:pPr>
      <w:r w:rsidRPr="00C21B99">
        <w:rPr>
          <w:b/>
          <w:iCs/>
          <w:color w:val="000000"/>
          <w:szCs w:val="22"/>
          <w:lang w:eastAsia="en-US"/>
        </w:rPr>
        <w:lastRenderedPageBreak/>
        <w:t>MINIMALI INFORMACIJA ANT LIZDINIŲ PLOKŠTELIŲ ARBA DVISLUOKSNIŲ JUOSTELIŲ</w:t>
      </w:r>
    </w:p>
    <w:p w14:paraId="62EBE00D" w14:textId="77777777" w:rsidR="005953C4" w:rsidRPr="00C21B99" w:rsidRDefault="005953C4" w:rsidP="005953C4">
      <w:pPr>
        <w:keepNext/>
        <w:pBdr>
          <w:top w:val="single" w:sz="4" w:space="1" w:color="auto"/>
          <w:left w:val="single" w:sz="4" w:space="4" w:color="auto"/>
          <w:bottom w:val="single" w:sz="4" w:space="1" w:color="auto"/>
          <w:right w:val="single" w:sz="4" w:space="4" w:color="auto"/>
        </w:pBdr>
        <w:outlineLvl w:val="0"/>
        <w:rPr>
          <w:color w:val="000000"/>
          <w:kern w:val="32"/>
          <w:szCs w:val="22"/>
          <w:lang w:eastAsia="en-US"/>
        </w:rPr>
      </w:pPr>
    </w:p>
    <w:p w14:paraId="0DFF4E48" w14:textId="77777777" w:rsidR="005953C4" w:rsidRPr="00C21B99" w:rsidRDefault="005953C4" w:rsidP="005953C4">
      <w:pPr>
        <w:keepNext/>
        <w:pBdr>
          <w:top w:val="single" w:sz="4" w:space="1" w:color="auto"/>
          <w:left w:val="single" w:sz="4" w:space="4" w:color="auto"/>
          <w:bottom w:val="single" w:sz="4" w:space="1" w:color="auto"/>
          <w:right w:val="single" w:sz="4" w:space="4" w:color="auto"/>
        </w:pBdr>
        <w:outlineLvl w:val="0"/>
        <w:rPr>
          <w:b/>
          <w:color w:val="000000"/>
          <w:kern w:val="32"/>
          <w:szCs w:val="22"/>
          <w:lang w:eastAsia="en-US"/>
        </w:rPr>
      </w:pPr>
      <w:r w:rsidRPr="00C21B99">
        <w:rPr>
          <w:b/>
          <w:color w:val="000000"/>
          <w:kern w:val="32"/>
          <w:szCs w:val="22"/>
          <w:lang w:eastAsia="en-US"/>
        </w:rPr>
        <w:t>LIZDINĖ PLOKŠTELĖ</w:t>
      </w:r>
    </w:p>
    <w:p w14:paraId="166AE7CA" w14:textId="77777777" w:rsidR="005953C4" w:rsidRPr="00C21B99" w:rsidRDefault="005953C4" w:rsidP="005953C4">
      <w:pPr>
        <w:rPr>
          <w:color w:val="000000"/>
          <w:szCs w:val="22"/>
          <w:lang w:eastAsia="en-US"/>
        </w:rPr>
      </w:pPr>
    </w:p>
    <w:p w14:paraId="1E4AFCBD" w14:textId="77777777" w:rsidR="005953C4" w:rsidRPr="00C21B99" w:rsidRDefault="005953C4" w:rsidP="005953C4">
      <w:pPr>
        <w:rPr>
          <w:color w:val="000000"/>
          <w:szCs w:val="22"/>
          <w:lang w:eastAsia="en-US"/>
        </w:rPr>
      </w:pPr>
    </w:p>
    <w:p w14:paraId="3DCE95A8" w14:textId="77777777" w:rsidR="005953C4" w:rsidRPr="00C21B99" w:rsidRDefault="005953C4" w:rsidP="005953C4">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C21B99">
        <w:rPr>
          <w:b/>
          <w:color w:val="000000"/>
          <w:szCs w:val="22"/>
          <w:lang w:eastAsia="en-US"/>
        </w:rPr>
        <w:t>1.</w:t>
      </w:r>
      <w:r w:rsidRPr="00C21B99">
        <w:rPr>
          <w:b/>
          <w:color w:val="000000"/>
          <w:szCs w:val="22"/>
          <w:lang w:eastAsia="en-US"/>
        </w:rPr>
        <w:tab/>
        <w:t xml:space="preserve">VAISTINIO PREPARATO PAVADINIMAS </w:t>
      </w:r>
    </w:p>
    <w:p w14:paraId="3950344F" w14:textId="77777777" w:rsidR="005953C4" w:rsidRPr="00C21B99" w:rsidRDefault="005953C4" w:rsidP="005953C4">
      <w:pPr>
        <w:tabs>
          <w:tab w:val="left" w:pos="540"/>
        </w:tabs>
        <w:rPr>
          <w:color w:val="000000"/>
          <w:szCs w:val="22"/>
          <w:lang w:eastAsia="en-US"/>
        </w:rPr>
      </w:pPr>
    </w:p>
    <w:p w14:paraId="54F39237" w14:textId="77777777" w:rsidR="005953C4" w:rsidRPr="00C21B99" w:rsidRDefault="005953C4" w:rsidP="005953C4">
      <w:pPr>
        <w:rPr>
          <w:noProof/>
          <w:szCs w:val="22"/>
          <w:lang w:eastAsia="en-US"/>
        </w:rPr>
      </w:pPr>
      <w:r w:rsidRPr="00C21B99">
        <w:rPr>
          <w:noProof/>
          <w:szCs w:val="22"/>
          <w:lang w:eastAsia="en-US"/>
        </w:rPr>
        <w:t>Gefitinib Sandoz 250 mg plėvele dengtos tabletės</w:t>
      </w:r>
    </w:p>
    <w:p w14:paraId="1F3D27D1" w14:textId="77777777" w:rsidR="005953C4" w:rsidRPr="00C21B99" w:rsidRDefault="00763414" w:rsidP="005953C4">
      <w:pPr>
        <w:rPr>
          <w:noProof/>
          <w:szCs w:val="22"/>
          <w:lang w:eastAsia="en-US"/>
        </w:rPr>
      </w:pPr>
      <w:r>
        <w:rPr>
          <w:noProof/>
          <w:szCs w:val="22"/>
          <w:lang w:eastAsia="en-US"/>
        </w:rPr>
        <w:t>g</w:t>
      </w:r>
      <w:r w:rsidR="005953C4" w:rsidRPr="00C21B99">
        <w:rPr>
          <w:noProof/>
          <w:szCs w:val="22"/>
          <w:lang w:eastAsia="en-US"/>
        </w:rPr>
        <w:t>efitinibum</w:t>
      </w:r>
    </w:p>
    <w:p w14:paraId="082D3C9E" w14:textId="77777777" w:rsidR="005953C4" w:rsidRPr="00C21B99" w:rsidRDefault="005953C4" w:rsidP="005953C4">
      <w:pPr>
        <w:tabs>
          <w:tab w:val="left" w:pos="540"/>
        </w:tabs>
        <w:rPr>
          <w:color w:val="000000"/>
          <w:szCs w:val="22"/>
          <w:lang w:eastAsia="en-US"/>
        </w:rPr>
      </w:pPr>
    </w:p>
    <w:p w14:paraId="4A7B3C02" w14:textId="77777777" w:rsidR="005953C4" w:rsidRPr="00C21B99" w:rsidRDefault="005953C4" w:rsidP="005953C4">
      <w:pPr>
        <w:tabs>
          <w:tab w:val="left" w:pos="540"/>
        </w:tabs>
        <w:rPr>
          <w:color w:val="000000"/>
          <w:szCs w:val="22"/>
          <w:lang w:eastAsia="en-US"/>
        </w:rPr>
      </w:pPr>
    </w:p>
    <w:p w14:paraId="74BA04EC" w14:textId="77777777" w:rsidR="005953C4" w:rsidRPr="00C21B99" w:rsidRDefault="005953C4" w:rsidP="005953C4">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C21B99">
        <w:rPr>
          <w:b/>
          <w:color w:val="000000"/>
          <w:szCs w:val="22"/>
          <w:lang w:eastAsia="en-US"/>
        </w:rPr>
        <w:t>2.</w:t>
      </w:r>
      <w:r w:rsidRPr="00C21B99">
        <w:rPr>
          <w:b/>
          <w:color w:val="000000"/>
          <w:szCs w:val="22"/>
          <w:lang w:eastAsia="en-US"/>
        </w:rPr>
        <w:tab/>
      </w:r>
      <w:r w:rsidRPr="00C21B99">
        <w:rPr>
          <w:b/>
          <w:caps/>
          <w:noProof/>
          <w:szCs w:val="22"/>
          <w:lang w:eastAsia="en-US"/>
        </w:rPr>
        <w:t>REGISTRUOTOJO pavadinimas</w:t>
      </w:r>
    </w:p>
    <w:p w14:paraId="1F5BB6AA" w14:textId="77777777" w:rsidR="005953C4" w:rsidRPr="00C21B99" w:rsidRDefault="005953C4" w:rsidP="005953C4">
      <w:pPr>
        <w:tabs>
          <w:tab w:val="left" w:pos="540"/>
        </w:tabs>
        <w:rPr>
          <w:color w:val="000000"/>
          <w:szCs w:val="22"/>
          <w:lang w:eastAsia="en-US"/>
        </w:rPr>
      </w:pPr>
    </w:p>
    <w:p w14:paraId="1C7B6503" w14:textId="77777777" w:rsidR="005953C4" w:rsidRPr="00C21B99" w:rsidRDefault="005953C4" w:rsidP="005953C4">
      <w:pPr>
        <w:jc w:val="both"/>
        <w:rPr>
          <w:noProof/>
          <w:szCs w:val="22"/>
          <w:lang w:eastAsia="en-US"/>
        </w:rPr>
      </w:pPr>
      <w:r w:rsidRPr="00C21B99">
        <w:rPr>
          <w:noProof/>
          <w:szCs w:val="22"/>
          <w:lang w:eastAsia="en-US"/>
        </w:rPr>
        <w:t>SANDOZ</w:t>
      </w:r>
    </w:p>
    <w:p w14:paraId="44DEE1FB" w14:textId="77777777" w:rsidR="005953C4" w:rsidRPr="00C21B99" w:rsidRDefault="005953C4" w:rsidP="005953C4">
      <w:pPr>
        <w:tabs>
          <w:tab w:val="left" w:pos="540"/>
        </w:tabs>
        <w:rPr>
          <w:color w:val="000000"/>
          <w:szCs w:val="22"/>
          <w:lang w:eastAsia="en-US"/>
        </w:rPr>
      </w:pPr>
    </w:p>
    <w:p w14:paraId="3590355F" w14:textId="77777777" w:rsidR="005953C4" w:rsidRPr="00C21B99" w:rsidRDefault="005953C4" w:rsidP="005953C4">
      <w:pPr>
        <w:tabs>
          <w:tab w:val="left" w:pos="540"/>
        </w:tabs>
        <w:rPr>
          <w:color w:val="000000"/>
          <w:szCs w:val="22"/>
          <w:lang w:eastAsia="en-US"/>
        </w:rPr>
      </w:pPr>
    </w:p>
    <w:p w14:paraId="785C5985" w14:textId="77777777" w:rsidR="005953C4" w:rsidRPr="00C21B99" w:rsidRDefault="005953C4" w:rsidP="005953C4">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C21B99">
        <w:rPr>
          <w:b/>
          <w:color w:val="000000"/>
          <w:szCs w:val="22"/>
          <w:lang w:eastAsia="en-US"/>
        </w:rPr>
        <w:t>3.</w:t>
      </w:r>
      <w:r w:rsidRPr="00C21B99">
        <w:rPr>
          <w:b/>
          <w:color w:val="000000"/>
          <w:szCs w:val="22"/>
          <w:lang w:eastAsia="en-US"/>
        </w:rPr>
        <w:tab/>
        <w:t>TINKAMUMO LAIKAS</w:t>
      </w:r>
    </w:p>
    <w:p w14:paraId="09E3459F" w14:textId="77777777" w:rsidR="005953C4" w:rsidRPr="00C21B99" w:rsidRDefault="005953C4" w:rsidP="005953C4">
      <w:pPr>
        <w:tabs>
          <w:tab w:val="left" w:pos="540"/>
        </w:tabs>
        <w:rPr>
          <w:color w:val="000000"/>
          <w:szCs w:val="22"/>
          <w:lang w:eastAsia="en-US"/>
        </w:rPr>
      </w:pPr>
    </w:p>
    <w:p w14:paraId="6EF29371" w14:textId="77777777" w:rsidR="005953C4" w:rsidRPr="00C21B99" w:rsidRDefault="005953C4" w:rsidP="005953C4">
      <w:pPr>
        <w:tabs>
          <w:tab w:val="left" w:pos="540"/>
        </w:tabs>
        <w:rPr>
          <w:color w:val="000000"/>
          <w:szCs w:val="22"/>
          <w:lang w:eastAsia="en-US"/>
        </w:rPr>
      </w:pPr>
      <w:r w:rsidRPr="00D4736C">
        <w:rPr>
          <w:color w:val="000000"/>
          <w:szCs w:val="22"/>
          <w:highlight w:val="lightGray"/>
          <w:lang w:eastAsia="en-US"/>
        </w:rPr>
        <w:t>EXP</w:t>
      </w:r>
      <w:r w:rsidRPr="00C21B99">
        <w:rPr>
          <w:color w:val="000000"/>
          <w:szCs w:val="22"/>
          <w:lang w:eastAsia="en-US"/>
        </w:rPr>
        <w:t xml:space="preserve"> {mm MMMM}</w:t>
      </w:r>
    </w:p>
    <w:p w14:paraId="6B0F361B" w14:textId="77777777" w:rsidR="005953C4" w:rsidRPr="00C21B99" w:rsidRDefault="005953C4" w:rsidP="005953C4">
      <w:pPr>
        <w:tabs>
          <w:tab w:val="left" w:pos="540"/>
        </w:tabs>
        <w:rPr>
          <w:color w:val="000000"/>
          <w:szCs w:val="22"/>
          <w:lang w:eastAsia="en-US"/>
        </w:rPr>
      </w:pPr>
    </w:p>
    <w:p w14:paraId="419BA4EA" w14:textId="77777777" w:rsidR="005953C4" w:rsidRPr="00C21B99" w:rsidRDefault="005953C4" w:rsidP="005953C4">
      <w:pPr>
        <w:tabs>
          <w:tab w:val="left" w:pos="540"/>
        </w:tabs>
        <w:rPr>
          <w:color w:val="000000"/>
          <w:szCs w:val="22"/>
          <w:lang w:eastAsia="en-US"/>
        </w:rPr>
      </w:pPr>
    </w:p>
    <w:p w14:paraId="0B128FA2" w14:textId="77777777" w:rsidR="005953C4" w:rsidRPr="00C21B99" w:rsidRDefault="005953C4" w:rsidP="005953C4">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C21B99">
        <w:rPr>
          <w:b/>
          <w:color w:val="000000"/>
          <w:szCs w:val="22"/>
          <w:lang w:eastAsia="en-US"/>
        </w:rPr>
        <w:t>4.</w:t>
      </w:r>
      <w:r w:rsidRPr="00C21B99">
        <w:rPr>
          <w:b/>
          <w:color w:val="000000"/>
          <w:szCs w:val="22"/>
          <w:lang w:eastAsia="en-US"/>
        </w:rPr>
        <w:tab/>
        <w:t>SERIJOS NUMERIS</w:t>
      </w:r>
    </w:p>
    <w:p w14:paraId="621CFF88" w14:textId="77777777" w:rsidR="005953C4" w:rsidRPr="00C21B99" w:rsidRDefault="005953C4" w:rsidP="005953C4">
      <w:pPr>
        <w:tabs>
          <w:tab w:val="left" w:pos="540"/>
        </w:tabs>
        <w:rPr>
          <w:color w:val="000000"/>
          <w:szCs w:val="22"/>
          <w:lang w:eastAsia="en-US"/>
        </w:rPr>
      </w:pPr>
    </w:p>
    <w:p w14:paraId="0D8401C4" w14:textId="77777777" w:rsidR="005953C4" w:rsidRPr="00C21B99" w:rsidRDefault="005953C4" w:rsidP="005953C4">
      <w:pPr>
        <w:tabs>
          <w:tab w:val="left" w:pos="540"/>
        </w:tabs>
        <w:rPr>
          <w:color w:val="000000"/>
          <w:szCs w:val="22"/>
          <w:lang w:eastAsia="en-US"/>
        </w:rPr>
      </w:pPr>
      <w:r w:rsidRPr="006675D7">
        <w:rPr>
          <w:color w:val="000000"/>
          <w:szCs w:val="22"/>
          <w:highlight w:val="lightGray"/>
          <w:lang w:eastAsia="en-US"/>
        </w:rPr>
        <w:t>Lot</w:t>
      </w:r>
    </w:p>
    <w:p w14:paraId="1C446B43" w14:textId="77777777" w:rsidR="005953C4" w:rsidRPr="00C21B99" w:rsidRDefault="005953C4" w:rsidP="005953C4">
      <w:pPr>
        <w:tabs>
          <w:tab w:val="left" w:pos="540"/>
        </w:tabs>
        <w:rPr>
          <w:color w:val="000000"/>
          <w:szCs w:val="22"/>
          <w:lang w:eastAsia="en-US"/>
        </w:rPr>
      </w:pPr>
    </w:p>
    <w:p w14:paraId="07D39F84" w14:textId="77777777" w:rsidR="005953C4" w:rsidRPr="00C21B99" w:rsidRDefault="005953C4" w:rsidP="005953C4">
      <w:pPr>
        <w:tabs>
          <w:tab w:val="left" w:pos="540"/>
        </w:tabs>
        <w:rPr>
          <w:color w:val="000000"/>
          <w:szCs w:val="22"/>
          <w:lang w:eastAsia="en-US"/>
        </w:rPr>
      </w:pPr>
    </w:p>
    <w:p w14:paraId="5C9B4AF1" w14:textId="77777777" w:rsidR="005953C4" w:rsidRPr="00C21B99" w:rsidRDefault="005953C4" w:rsidP="005953C4">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C21B99">
        <w:rPr>
          <w:b/>
          <w:color w:val="000000"/>
          <w:szCs w:val="22"/>
          <w:lang w:eastAsia="en-US"/>
        </w:rPr>
        <w:t>5.</w:t>
      </w:r>
      <w:r w:rsidRPr="00C21B99">
        <w:rPr>
          <w:b/>
          <w:color w:val="000000"/>
          <w:szCs w:val="22"/>
          <w:lang w:eastAsia="en-US"/>
        </w:rPr>
        <w:tab/>
        <w:t>KITA</w:t>
      </w:r>
    </w:p>
    <w:p w14:paraId="4C96DE09" w14:textId="77777777" w:rsidR="005953C4" w:rsidRPr="00C21B99" w:rsidRDefault="005953C4" w:rsidP="005953C4">
      <w:pPr>
        <w:tabs>
          <w:tab w:val="left" w:pos="540"/>
        </w:tabs>
        <w:rPr>
          <w:color w:val="000000"/>
          <w:szCs w:val="22"/>
          <w:lang w:eastAsia="en-US"/>
        </w:rPr>
      </w:pPr>
    </w:p>
    <w:p w14:paraId="52D0DAFB" w14:textId="77777777" w:rsidR="00D87EAB" w:rsidRPr="00C21B99" w:rsidRDefault="005953C4" w:rsidP="005953C4">
      <w:pPr>
        <w:widowControl w:val="0"/>
        <w:tabs>
          <w:tab w:val="left" w:pos="567"/>
        </w:tabs>
        <w:outlineLvl w:val="0"/>
        <w:rPr>
          <w:snapToGrid w:val="0"/>
          <w:szCs w:val="22"/>
          <w:lang w:eastAsia="en-US"/>
        </w:rPr>
      </w:pPr>
      <w:r w:rsidRPr="00C21B99">
        <w:rPr>
          <w:i/>
          <w:color w:val="000000"/>
          <w:szCs w:val="22"/>
          <w:lang w:eastAsia="en-US"/>
        </w:rPr>
        <w:br w:type="page"/>
      </w:r>
    </w:p>
    <w:p w14:paraId="316DB59D" w14:textId="77777777" w:rsidR="00D87EAB" w:rsidRPr="00C21B99" w:rsidRDefault="00D87EAB" w:rsidP="00D87EAB">
      <w:pPr>
        <w:widowControl w:val="0"/>
        <w:tabs>
          <w:tab w:val="left" w:pos="567"/>
        </w:tabs>
        <w:outlineLvl w:val="0"/>
        <w:rPr>
          <w:snapToGrid w:val="0"/>
          <w:szCs w:val="22"/>
          <w:lang w:eastAsia="en-US"/>
        </w:rPr>
      </w:pPr>
    </w:p>
    <w:p w14:paraId="58DD0720" w14:textId="77777777" w:rsidR="00D87EAB" w:rsidRPr="00C21B99" w:rsidRDefault="00D87EAB" w:rsidP="00D87EAB">
      <w:pPr>
        <w:widowControl w:val="0"/>
        <w:tabs>
          <w:tab w:val="left" w:pos="567"/>
        </w:tabs>
        <w:outlineLvl w:val="0"/>
        <w:rPr>
          <w:snapToGrid w:val="0"/>
          <w:szCs w:val="22"/>
          <w:lang w:eastAsia="en-US"/>
        </w:rPr>
      </w:pPr>
    </w:p>
    <w:p w14:paraId="32672E38" w14:textId="77777777" w:rsidR="00D87EAB" w:rsidRPr="00C21B99" w:rsidRDefault="00D87EAB" w:rsidP="00D87EAB">
      <w:pPr>
        <w:widowControl w:val="0"/>
        <w:tabs>
          <w:tab w:val="left" w:pos="567"/>
        </w:tabs>
        <w:outlineLvl w:val="0"/>
        <w:rPr>
          <w:snapToGrid w:val="0"/>
          <w:szCs w:val="22"/>
          <w:lang w:eastAsia="en-US"/>
        </w:rPr>
      </w:pPr>
    </w:p>
    <w:p w14:paraId="3B64DAC8" w14:textId="77777777" w:rsidR="00D87EAB" w:rsidRPr="00C21B99" w:rsidRDefault="00D87EAB" w:rsidP="00D87EAB">
      <w:pPr>
        <w:widowControl w:val="0"/>
        <w:tabs>
          <w:tab w:val="left" w:pos="567"/>
        </w:tabs>
        <w:outlineLvl w:val="0"/>
        <w:rPr>
          <w:snapToGrid w:val="0"/>
          <w:szCs w:val="22"/>
          <w:lang w:eastAsia="en-US"/>
        </w:rPr>
      </w:pPr>
    </w:p>
    <w:p w14:paraId="272A0C97" w14:textId="77777777" w:rsidR="00D87EAB" w:rsidRPr="00C21B99" w:rsidRDefault="00D87EAB" w:rsidP="00D87EAB">
      <w:pPr>
        <w:widowControl w:val="0"/>
        <w:tabs>
          <w:tab w:val="left" w:pos="567"/>
        </w:tabs>
        <w:outlineLvl w:val="0"/>
        <w:rPr>
          <w:snapToGrid w:val="0"/>
          <w:szCs w:val="22"/>
          <w:lang w:eastAsia="en-US"/>
        </w:rPr>
      </w:pPr>
    </w:p>
    <w:p w14:paraId="1331BFD8" w14:textId="77777777" w:rsidR="00D87EAB" w:rsidRPr="00C21B99" w:rsidRDefault="00D87EAB" w:rsidP="00D87EAB">
      <w:pPr>
        <w:widowControl w:val="0"/>
        <w:tabs>
          <w:tab w:val="left" w:pos="567"/>
        </w:tabs>
        <w:outlineLvl w:val="0"/>
        <w:rPr>
          <w:snapToGrid w:val="0"/>
          <w:szCs w:val="22"/>
          <w:lang w:eastAsia="en-US"/>
        </w:rPr>
      </w:pPr>
    </w:p>
    <w:p w14:paraId="769983C7" w14:textId="77777777" w:rsidR="00D87EAB" w:rsidRPr="00C21B99" w:rsidRDefault="00D87EAB" w:rsidP="00D87EAB">
      <w:pPr>
        <w:widowControl w:val="0"/>
        <w:tabs>
          <w:tab w:val="left" w:pos="567"/>
        </w:tabs>
        <w:outlineLvl w:val="0"/>
        <w:rPr>
          <w:snapToGrid w:val="0"/>
          <w:szCs w:val="22"/>
          <w:lang w:eastAsia="en-US"/>
        </w:rPr>
      </w:pPr>
    </w:p>
    <w:p w14:paraId="7A615FFA" w14:textId="77777777" w:rsidR="00D87EAB" w:rsidRPr="00C21B99" w:rsidRDefault="00D87EAB" w:rsidP="00D87EAB">
      <w:pPr>
        <w:widowControl w:val="0"/>
        <w:tabs>
          <w:tab w:val="left" w:pos="567"/>
        </w:tabs>
        <w:outlineLvl w:val="0"/>
        <w:rPr>
          <w:snapToGrid w:val="0"/>
          <w:szCs w:val="22"/>
          <w:lang w:eastAsia="en-US"/>
        </w:rPr>
      </w:pPr>
    </w:p>
    <w:p w14:paraId="04ABEF3D" w14:textId="77777777" w:rsidR="00D87EAB" w:rsidRPr="00C21B99" w:rsidRDefault="00D87EAB" w:rsidP="00D87EAB">
      <w:pPr>
        <w:widowControl w:val="0"/>
        <w:tabs>
          <w:tab w:val="left" w:pos="567"/>
        </w:tabs>
        <w:outlineLvl w:val="0"/>
        <w:rPr>
          <w:snapToGrid w:val="0"/>
          <w:szCs w:val="22"/>
          <w:lang w:eastAsia="en-US"/>
        </w:rPr>
      </w:pPr>
    </w:p>
    <w:p w14:paraId="53059C8C" w14:textId="77777777" w:rsidR="00D87EAB" w:rsidRPr="00C21B99" w:rsidRDefault="00D87EAB" w:rsidP="00D87EAB">
      <w:pPr>
        <w:widowControl w:val="0"/>
        <w:tabs>
          <w:tab w:val="left" w:pos="567"/>
        </w:tabs>
        <w:outlineLvl w:val="0"/>
        <w:rPr>
          <w:snapToGrid w:val="0"/>
          <w:szCs w:val="22"/>
          <w:lang w:eastAsia="en-US"/>
        </w:rPr>
      </w:pPr>
    </w:p>
    <w:p w14:paraId="19539934" w14:textId="77777777" w:rsidR="00D87EAB" w:rsidRPr="00C21B99" w:rsidRDefault="00D87EAB" w:rsidP="00D87EAB">
      <w:pPr>
        <w:widowControl w:val="0"/>
        <w:tabs>
          <w:tab w:val="left" w:pos="567"/>
        </w:tabs>
        <w:outlineLvl w:val="0"/>
        <w:rPr>
          <w:snapToGrid w:val="0"/>
          <w:szCs w:val="22"/>
          <w:lang w:eastAsia="en-US"/>
        </w:rPr>
      </w:pPr>
    </w:p>
    <w:p w14:paraId="37291A69" w14:textId="77777777" w:rsidR="00D87EAB" w:rsidRPr="00C21B99" w:rsidRDefault="00D87EAB" w:rsidP="00D87EAB">
      <w:pPr>
        <w:widowControl w:val="0"/>
        <w:tabs>
          <w:tab w:val="left" w:pos="567"/>
        </w:tabs>
        <w:outlineLvl w:val="0"/>
        <w:rPr>
          <w:snapToGrid w:val="0"/>
          <w:szCs w:val="22"/>
          <w:lang w:eastAsia="en-US"/>
        </w:rPr>
      </w:pPr>
    </w:p>
    <w:p w14:paraId="3EE702AA" w14:textId="77777777" w:rsidR="00D87EAB" w:rsidRPr="00C21B99" w:rsidRDefault="00D87EAB" w:rsidP="00D87EAB">
      <w:pPr>
        <w:widowControl w:val="0"/>
        <w:tabs>
          <w:tab w:val="left" w:pos="567"/>
        </w:tabs>
        <w:outlineLvl w:val="0"/>
        <w:rPr>
          <w:snapToGrid w:val="0"/>
          <w:szCs w:val="22"/>
          <w:lang w:eastAsia="en-US"/>
        </w:rPr>
      </w:pPr>
    </w:p>
    <w:p w14:paraId="3F5E0967" w14:textId="77777777" w:rsidR="00D87EAB" w:rsidRPr="00C21B99" w:rsidRDefault="00D87EAB" w:rsidP="00D87EAB">
      <w:pPr>
        <w:widowControl w:val="0"/>
        <w:tabs>
          <w:tab w:val="left" w:pos="567"/>
        </w:tabs>
        <w:outlineLvl w:val="0"/>
        <w:rPr>
          <w:snapToGrid w:val="0"/>
          <w:szCs w:val="22"/>
          <w:lang w:eastAsia="en-US"/>
        </w:rPr>
      </w:pPr>
    </w:p>
    <w:p w14:paraId="159B7F80" w14:textId="77777777" w:rsidR="00D87EAB" w:rsidRPr="00C21B99" w:rsidRDefault="00D87EAB" w:rsidP="00D87EAB">
      <w:pPr>
        <w:widowControl w:val="0"/>
        <w:tabs>
          <w:tab w:val="left" w:pos="567"/>
        </w:tabs>
        <w:outlineLvl w:val="0"/>
        <w:rPr>
          <w:snapToGrid w:val="0"/>
          <w:szCs w:val="22"/>
          <w:lang w:eastAsia="en-US"/>
        </w:rPr>
      </w:pPr>
    </w:p>
    <w:p w14:paraId="09770521" w14:textId="77777777" w:rsidR="00D87EAB" w:rsidRPr="00C21B99" w:rsidRDefault="00D87EAB" w:rsidP="00D87EAB">
      <w:pPr>
        <w:widowControl w:val="0"/>
        <w:tabs>
          <w:tab w:val="left" w:pos="567"/>
        </w:tabs>
        <w:outlineLvl w:val="0"/>
        <w:rPr>
          <w:snapToGrid w:val="0"/>
          <w:szCs w:val="22"/>
          <w:lang w:eastAsia="en-US"/>
        </w:rPr>
      </w:pPr>
    </w:p>
    <w:p w14:paraId="360C7C3C" w14:textId="77777777" w:rsidR="00D87EAB" w:rsidRPr="00C21B99" w:rsidRDefault="00D87EAB" w:rsidP="00D87EAB">
      <w:pPr>
        <w:widowControl w:val="0"/>
        <w:tabs>
          <w:tab w:val="left" w:pos="567"/>
        </w:tabs>
        <w:outlineLvl w:val="0"/>
        <w:rPr>
          <w:snapToGrid w:val="0"/>
          <w:szCs w:val="22"/>
          <w:lang w:eastAsia="en-US"/>
        </w:rPr>
      </w:pPr>
    </w:p>
    <w:p w14:paraId="1806DAF2" w14:textId="77777777" w:rsidR="00D87EAB" w:rsidRPr="00C21B99" w:rsidRDefault="00D87EAB" w:rsidP="00D87EAB">
      <w:pPr>
        <w:widowControl w:val="0"/>
        <w:tabs>
          <w:tab w:val="left" w:pos="567"/>
        </w:tabs>
        <w:outlineLvl w:val="0"/>
        <w:rPr>
          <w:snapToGrid w:val="0"/>
          <w:szCs w:val="22"/>
          <w:lang w:eastAsia="en-US"/>
        </w:rPr>
      </w:pPr>
    </w:p>
    <w:p w14:paraId="5A0A44E3" w14:textId="77777777" w:rsidR="00D87EAB" w:rsidRPr="00C21B99" w:rsidRDefault="00D87EAB" w:rsidP="00D87EAB">
      <w:pPr>
        <w:widowControl w:val="0"/>
        <w:tabs>
          <w:tab w:val="left" w:pos="567"/>
        </w:tabs>
        <w:outlineLvl w:val="0"/>
        <w:rPr>
          <w:snapToGrid w:val="0"/>
          <w:szCs w:val="22"/>
          <w:lang w:eastAsia="en-US"/>
        </w:rPr>
      </w:pPr>
    </w:p>
    <w:p w14:paraId="5701A389" w14:textId="77777777" w:rsidR="00D87EAB" w:rsidRPr="00C21B99" w:rsidRDefault="00D87EAB" w:rsidP="00D87EAB">
      <w:pPr>
        <w:widowControl w:val="0"/>
        <w:tabs>
          <w:tab w:val="left" w:pos="567"/>
        </w:tabs>
        <w:outlineLvl w:val="0"/>
        <w:rPr>
          <w:snapToGrid w:val="0"/>
          <w:szCs w:val="22"/>
          <w:lang w:eastAsia="en-US"/>
        </w:rPr>
      </w:pPr>
    </w:p>
    <w:p w14:paraId="74EBAE43" w14:textId="77777777" w:rsidR="00D87EAB" w:rsidRPr="00C21B99" w:rsidRDefault="00D87EAB" w:rsidP="00D87EAB">
      <w:pPr>
        <w:widowControl w:val="0"/>
        <w:tabs>
          <w:tab w:val="left" w:pos="567"/>
        </w:tabs>
        <w:outlineLvl w:val="0"/>
        <w:rPr>
          <w:snapToGrid w:val="0"/>
          <w:szCs w:val="22"/>
          <w:lang w:eastAsia="en-US"/>
        </w:rPr>
      </w:pPr>
    </w:p>
    <w:p w14:paraId="108924F9" w14:textId="77777777" w:rsidR="00D87EAB" w:rsidRPr="00C21B99" w:rsidRDefault="00D87EAB" w:rsidP="00D87EAB">
      <w:pPr>
        <w:widowControl w:val="0"/>
        <w:tabs>
          <w:tab w:val="left" w:pos="567"/>
        </w:tabs>
        <w:outlineLvl w:val="0"/>
        <w:rPr>
          <w:snapToGrid w:val="0"/>
          <w:szCs w:val="22"/>
          <w:lang w:eastAsia="en-US"/>
        </w:rPr>
      </w:pPr>
    </w:p>
    <w:p w14:paraId="785C15D5" w14:textId="77777777" w:rsidR="00D87EAB" w:rsidRPr="00C21B99" w:rsidRDefault="00D87EAB" w:rsidP="00D87EAB">
      <w:pPr>
        <w:widowControl w:val="0"/>
        <w:tabs>
          <w:tab w:val="left" w:pos="567"/>
        </w:tabs>
        <w:jc w:val="center"/>
        <w:outlineLvl w:val="0"/>
        <w:rPr>
          <w:b/>
          <w:snapToGrid w:val="0"/>
          <w:szCs w:val="22"/>
          <w:lang w:eastAsia="en-US"/>
        </w:rPr>
      </w:pPr>
      <w:r w:rsidRPr="00C21B99">
        <w:rPr>
          <w:b/>
          <w:snapToGrid w:val="0"/>
          <w:szCs w:val="22"/>
          <w:lang w:eastAsia="en-US"/>
        </w:rPr>
        <w:t>B. PAKUOTĖS LAPELIS</w:t>
      </w:r>
    </w:p>
    <w:p w14:paraId="7FBE811D" w14:textId="77777777" w:rsidR="00D87EAB" w:rsidRPr="00C21B99" w:rsidRDefault="00D87EAB" w:rsidP="00D87EAB">
      <w:pPr>
        <w:widowControl w:val="0"/>
        <w:tabs>
          <w:tab w:val="left" w:pos="567"/>
        </w:tabs>
        <w:jc w:val="center"/>
        <w:outlineLvl w:val="1"/>
        <w:rPr>
          <w:b/>
          <w:snapToGrid w:val="0"/>
          <w:szCs w:val="22"/>
        </w:rPr>
      </w:pPr>
      <w:r w:rsidRPr="00C21B99">
        <w:rPr>
          <w:b/>
          <w:bCs/>
          <w:iCs/>
          <w:snapToGrid w:val="0"/>
          <w:szCs w:val="22"/>
        </w:rPr>
        <w:br w:type="page"/>
      </w:r>
      <w:r w:rsidRPr="00C21B99">
        <w:rPr>
          <w:b/>
          <w:bCs/>
          <w:iCs/>
          <w:snapToGrid w:val="0"/>
          <w:szCs w:val="22"/>
        </w:rPr>
        <w:lastRenderedPageBreak/>
        <w:t>Pakuotės lapelis:</w:t>
      </w:r>
      <w:r w:rsidRPr="00C21B99">
        <w:rPr>
          <w:b/>
          <w:snapToGrid w:val="0"/>
          <w:szCs w:val="22"/>
        </w:rPr>
        <w:t xml:space="preserve"> </w:t>
      </w:r>
      <w:r w:rsidRPr="00C21B99">
        <w:rPr>
          <w:b/>
          <w:bCs/>
          <w:iCs/>
          <w:snapToGrid w:val="0"/>
          <w:szCs w:val="22"/>
        </w:rPr>
        <w:t xml:space="preserve">informacija </w:t>
      </w:r>
      <w:r w:rsidR="0088092B" w:rsidRPr="00C21B99">
        <w:rPr>
          <w:b/>
          <w:bCs/>
          <w:iCs/>
          <w:snapToGrid w:val="0"/>
          <w:szCs w:val="22"/>
        </w:rPr>
        <w:t>pacientui</w:t>
      </w:r>
    </w:p>
    <w:p w14:paraId="4A6C35BD" w14:textId="77777777" w:rsidR="00D87EAB" w:rsidRPr="00C21B99" w:rsidRDefault="00D87EAB" w:rsidP="00D87EAB">
      <w:pPr>
        <w:widowControl w:val="0"/>
        <w:numPr>
          <w:ilvl w:val="12"/>
          <w:numId w:val="0"/>
        </w:numPr>
        <w:shd w:val="clear" w:color="auto" w:fill="FFFFFF"/>
        <w:jc w:val="center"/>
        <w:rPr>
          <w:snapToGrid w:val="0"/>
          <w:szCs w:val="22"/>
          <w:lang w:eastAsia="en-US"/>
        </w:rPr>
      </w:pPr>
    </w:p>
    <w:p w14:paraId="34566568" w14:textId="77777777" w:rsidR="002D715E" w:rsidRPr="00C21B99" w:rsidRDefault="005953C4" w:rsidP="00D87EAB">
      <w:pPr>
        <w:widowControl w:val="0"/>
        <w:jc w:val="center"/>
        <w:rPr>
          <w:b/>
          <w:snapToGrid w:val="0"/>
          <w:szCs w:val="22"/>
          <w:lang w:eastAsia="en-US"/>
        </w:rPr>
      </w:pPr>
      <w:proofErr w:type="spellStart"/>
      <w:r w:rsidRPr="00C21B99">
        <w:rPr>
          <w:b/>
          <w:snapToGrid w:val="0"/>
          <w:szCs w:val="22"/>
          <w:lang w:eastAsia="en-US"/>
        </w:rPr>
        <w:t>Gefitinib</w:t>
      </w:r>
      <w:proofErr w:type="spellEnd"/>
      <w:r w:rsidRPr="00C21B99">
        <w:rPr>
          <w:b/>
          <w:snapToGrid w:val="0"/>
          <w:szCs w:val="22"/>
          <w:lang w:eastAsia="en-US"/>
        </w:rPr>
        <w:t xml:space="preserve"> </w:t>
      </w:r>
      <w:proofErr w:type="spellStart"/>
      <w:r w:rsidRPr="00C21B99">
        <w:rPr>
          <w:b/>
          <w:snapToGrid w:val="0"/>
          <w:szCs w:val="22"/>
          <w:lang w:eastAsia="en-US"/>
        </w:rPr>
        <w:t>Sandoz</w:t>
      </w:r>
      <w:proofErr w:type="spellEnd"/>
      <w:r w:rsidR="0088092B" w:rsidRPr="00C21B99">
        <w:rPr>
          <w:b/>
          <w:snapToGrid w:val="0"/>
          <w:szCs w:val="22"/>
          <w:lang w:eastAsia="en-US"/>
        </w:rPr>
        <w:t xml:space="preserve"> 25</w:t>
      </w:r>
      <w:r w:rsidRPr="00C21B99">
        <w:rPr>
          <w:b/>
          <w:snapToGrid w:val="0"/>
          <w:szCs w:val="22"/>
          <w:lang w:eastAsia="en-US"/>
        </w:rPr>
        <w:t>0 </w:t>
      </w:r>
      <w:r w:rsidR="0088092B" w:rsidRPr="00C21B99">
        <w:rPr>
          <w:b/>
          <w:snapToGrid w:val="0"/>
          <w:szCs w:val="22"/>
          <w:lang w:eastAsia="en-US"/>
        </w:rPr>
        <w:t>mg plėvele dengtos tabletės</w:t>
      </w:r>
    </w:p>
    <w:p w14:paraId="717D2723" w14:textId="7404F0D0" w:rsidR="00D87EAB" w:rsidRPr="00C21B99" w:rsidRDefault="0019155B" w:rsidP="00D87EAB">
      <w:pPr>
        <w:widowControl w:val="0"/>
        <w:jc w:val="center"/>
        <w:rPr>
          <w:snapToGrid w:val="0"/>
          <w:szCs w:val="22"/>
          <w:lang w:eastAsia="en-US"/>
        </w:rPr>
      </w:pPr>
      <w:proofErr w:type="spellStart"/>
      <w:r>
        <w:rPr>
          <w:snapToGrid w:val="0"/>
          <w:szCs w:val="22"/>
          <w:lang w:eastAsia="en-US"/>
        </w:rPr>
        <w:t>g</w:t>
      </w:r>
      <w:r w:rsidR="005953C4" w:rsidRPr="00C21B99">
        <w:rPr>
          <w:snapToGrid w:val="0"/>
          <w:szCs w:val="22"/>
          <w:lang w:eastAsia="en-US"/>
        </w:rPr>
        <w:t>efitinibas</w:t>
      </w:r>
      <w:proofErr w:type="spellEnd"/>
    </w:p>
    <w:p w14:paraId="69535A2E" w14:textId="77777777" w:rsidR="00D87EAB" w:rsidRPr="00C21B99" w:rsidRDefault="00D87EAB" w:rsidP="00D87EAB">
      <w:pPr>
        <w:widowControl w:val="0"/>
        <w:jc w:val="center"/>
        <w:rPr>
          <w:snapToGrid w:val="0"/>
          <w:szCs w:val="22"/>
          <w:lang w:eastAsia="en-US"/>
        </w:rPr>
      </w:pPr>
    </w:p>
    <w:p w14:paraId="3DB78947" w14:textId="77777777" w:rsidR="00D87EAB" w:rsidRPr="00C21B99" w:rsidRDefault="00D87EAB" w:rsidP="00D87EAB">
      <w:pPr>
        <w:widowControl w:val="0"/>
        <w:rPr>
          <w:snapToGrid w:val="0"/>
          <w:szCs w:val="22"/>
          <w:lang w:eastAsia="en-US"/>
        </w:rPr>
      </w:pPr>
      <w:r w:rsidRPr="00C21B99">
        <w:rPr>
          <w:b/>
          <w:snapToGrid w:val="0"/>
          <w:szCs w:val="22"/>
          <w:lang w:eastAsia="en-US"/>
        </w:rPr>
        <w:t>Atidžiai perskaitykite visą šį lapelį, prieš pradėdami vartoti vaistą, nes jame pateikiama Jums svarbi informacija.</w:t>
      </w:r>
    </w:p>
    <w:p w14:paraId="451A3838" w14:textId="77777777" w:rsidR="00D87EAB" w:rsidRPr="00C21B99" w:rsidRDefault="00D87EAB" w:rsidP="00D87EAB">
      <w:pPr>
        <w:widowControl w:val="0"/>
        <w:numPr>
          <w:ilvl w:val="0"/>
          <w:numId w:val="7"/>
        </w:numPr>
        <w:ind w:left="567" w:right="-2" w:hanging="567"/>
        <w:rPr>
          <w:snapToGrid w:val="0"/>
          <w:szCs w:val="22"/>
          <w:lang w:eastAsia="en-US"/>
        </w:rPr>
      </w:pPr>
      <w:r w:rsidRPr="00C21B99">
        <w:rPr>
          <w:snapToGrid w:val="0"/>
          <w:szCs w:val="22"/>
          <w:lang w:eastAsia="en-US"/>
        </w:rPr>
        <w:t>Neišmeskite šio lapelio, nes vėl gali prireikti jį perskaityti.</w:t>
      </w:r>
    </w:p>
    <w:p w14:paraId="19EB8481" w14:textId="77777777" w:rsidR="00D87EAB" w:rsidRPr="00C21B99" w:rsidRDefault="00D87EAB" w:rsidP="00D87EAB">
      <w:pPr>
        <w:widowControl w:val="0"/>
        <w:numPr>
          <w:ilvl w:val="0"/>
          <w:numId w:val="7"/>
        </w:numPr>
        <w:ind w:left="567" w:right="-2" w:hanging="567"/>
        <w:rPr>
          <w:snapToGrid w:val="0"/>
          <w:szCs w:val="22"/>
          <w:lang w:eastAsia="en-US"/>
        </w:rPr>
      </w:pPr>
      <w:r w:rsidRPr="00C21B99">
        <w:rPr>
          <w:snapToGrid w:val="0"/>
          <w:szCs w:val="22"/>
          <w:lang w:eastAsia="en-US"/>
        </w:rPr>
        <w:t>Jeigu kiltų daugiau klausimų, kreipkitės į gydytoją</w:t>
      </w:r>
      <w:r w:rsidR="00DF12E6">
        <w:rPr>
          <w:snapToGrid w:val="0"/>
          <w:szCs w:val="22"/>
          <w:lang w:eastAsia="en-US"/>
        </w:rPr>
        <w:t>,</w:t>
      </w:r>
      <w:r w:rsidRPr="00C21B99">
        <w:rPr>
          <w:snapToGrid w:val="0"/>
          <w:szCs w:val="22"/>
          <w:lang w:eastAsia="en-US"/>
        </w:rPr>
        <w:t xml:space="preserve"> vaistininką</w:t>
      </w:r>
      <w:r w:rsidR="00DF12E6" w:rsidRPr="00DF12E6">
        <w:rPr>
          <w:snapToGrid w:val="0"/>
          <w:szCs w:val="22"/>
          <w:lang w:eastAsia="en-US"/>
        </w:rPr>
        <w:t xml:space="preserve"> </w:t>
      </w:r>
      <w:r w:rsidR="00DF12E6" w:rsidRPr="00C21B99">
        <w:rPr>
          <w:snapToGrid w:val="0"/>
          <w:szCs w:val="22"/>
          <w:lang w:eastAsia="en-US"/>
        </w:rPr>
        <w:t>arba</w:t>
      </w:r>
      <w:r w:rsidR="00DF12E6">
        <w:rPr>
          <w:snapToGrid w:val="0"/>
          <w:szCs w:val="22"/>
          <w:lang w:eastAsia="en-US"/>
        </w:rPr>
        <w:t xml:space="preserve"> slaugytoją</w:t>
      </w:r>
      <w:r w:rsidRPr="00C21B99">
        <w:rPr>
          <w:snapToGrid w:val="0"/>
          <w:szCs w:val="22"/>
          <w:lang w:eastAsia="en-US"/>
        </w:rPr>
        <w:t>.</w:t>
      </w:r>
    </w:p>
    <w:p w14:paraId="7B46F943" w14:textId="77777777" w:rsidR="00D87EAB" w:rsidRPr="00C21B99" w:rsidRDefault="00D87EAB" w:rsidP="00D87EAB">
      <w:pPr>
        <w:widowControl w:val="0"/>
        <w:numPr>
          <w:ilvl w:val="0"/>
          <w:numId w:val="7"/>
        </w:numPr>
        <w:ind w:left="567" w:right="-2" w:hanging="567"/>
        <w:rPr>
          <w:snapToGrid w:val="0"/>
          <w:szCs w:val="22"/>
          <w:lang w:eastAsia="en-US"/>
        </w:rPr>
      </w:pPr>
      <w:r w:rsidRPr="00C21B99">
        <w:rPr>
          <w:snapToGrid w:val="0"/>
          <w:szCs w:val="22"/>
          <w:lang w:eastAsia="en-US"/>
        </w:rPr>
        <w:t>Šis vaistas skirtas tik Jums, todėl kitiems žmonėms jo duoti negalima. Vaistas gali jiems pakenkti (net tiems, kurių ligos požymiai yra tokie patys kaip Jūsų).</w:t>
      </w:r>
    </w:p>
    <w:p w14:paraId="6CD58C94" w14:textId="77777777" w:rsidR="00D87EAB" w:rsidRPr="00C21B99" w:rsidRDefault="00D87EAB" w:rsidP="00D87EAB">
      <w:pPr>
        <w:widowControl w:val="0"/>
        <w:numPr>
          <w:ilvl w:val="0"/>
          <w:numId w:val="7"/>
        </w:numPr>
        <w:ind w:left="567" w:hanging="567"/>
        <w:rPr>
          <w:snapToGrid w:val="0"/>
          <w:szCs w:val="22"/>
          <w:lang w:eastAsia="en-US"/>
        </w:rPr>
      </w:pPr>
      <w:r w:rsidRPr="00C21B99">
        <w:rPr>
          <w:snapToGrid w:val="0"/>
          <w:szCs w:val="22"/>
          <w:lang w:eastAsia="en-US"/>
        </w:rPr>
        <w:t>Jeigu pasireiškė šalutinis poveikis (net jeigu jis šiame lapelyje nenurodytas), kreipkitės į gydytoją</w:t>
      </w:r>
      <w:r w:rsidR="00DF12E6">
        <w:rPr>
          <w:snapToGrid w:val="0"/>
          <w:szCs w:val="22"/>
          <w:lang w:eastAsia="en-US"/>
        </w:rPr>
        <w:t>,</w:t>
      </w:r>
      <w:r w:rsidRPr="00C21B99">
        <w:rPr>
          <w:snapToGrid w:val="0"/>
          <w:szCs w:val="22"/>
          <w:lang w:eastAsia="en-US"/>
        </w:rPr>
        <w:t xml:space="preserve"> vaistininką</w:t>
      </w:r>
      <w:r w:rsidR="00DF12E6" w:rsidRPr="00DF12E6">
        <w:rPr>
          <w:snapToGrid w:val="0"/>
          <w:szCs w:val="22"/>
          <w:lang w:eastAsia="en-US"/>
        </w:rPr>
        <w:t xml:space="preserve"> </w:t>
      </w:r>
      <w:r w:rsidR="00DF12E6" w:rsidRPr="00C21B99">
        <w:rPr>
          <w:snapToGrid w:val="0"/>
          <w:szCs w:val="22"/>
          <w:lang w:eastAsia="en-US"/>
        </w:rPr>
        <w:t>arba</w:t>
      </w:r>
      <w:r w:rsidR="00DF12E6">
        <w:rPr>
          <w:snapToGrid w:val="0"/>
          <w:szCs w:val="22"/>
          <w:lang w:eastAsia="en-US"/>
        </w:rPr>
        <w:t xml:space="preserve"> slaugytoją</w:t>
      </w:r>
      <w:r w:rsidRPr="00C21B99">
        <w:rPr>
          <w:snapToGrid w:val="0"/>
          <w:szCs w:val="22"/>
          <w:lang w:eastAsia="en-US"/>
        </w:rPr>
        <w:t>. Žr. 4 skyrių.</w:t>
      </w:r>
    </w:p>
    <w:p w14:paraId="577EF2BD" w14:textId="77777777" w:rsidR="00D87EAB" w:rsidRPr="00C21B99" w:rsidRDefault="00D87EAB" w:rsidP="00D87EAB">
      <w:pPr>
        <w:widowControl w:val="0"/>
        <w:ind w:right="-2"/>
        <w:rPr>
          <w:snapToGrid w:val="0"/>
          <w:szCs w:val="22"/>
          <w:lang w:eastAsia="en-US"/>
        </w:rPr>
      </w:pPr>
    </w:p>
    <w:p w14:paraId="3C3328EF" w14:textId="77777777" w:rsidR="00D87EAB" w:rsidRPr="00C21B99" w:rsidRDefault="00D87EAB" w:rsidP="00D87EAB">
      <w:pPr>
        <w:widowControl w:val="0"/>
        <w:tabs>
          <w:tab w:val="left" w:pos="567"/>
        </w:tabs>
        <w:jc w:val="both"/>
        <w:outlineLvl w:val="3"/>
        <w:rPr>
          <w:b/>
          <w:bCs/>
          <w:snapToGrid w:val="0"/>
          <w:szCs w:val="22"/>
        </w:rPr>
      </w:pPr>
      <w:r w:rsidRPr="00C21B99">
        <w:rPr>
          <w:b/>
          <w:bCs/>
          <w:snapToGrid w:val="0"/>
          <w:szCs w:val="22"/>
        </w:rPr>
        <w:t>Apie ką rašoma šiame lapelyje?</w:t>
      </w:r>
    </w:p>
    <w:p w14:paraId="11B61E5C" w14:textId="77777777" w:rsidR="00D87EAB" w:rsidRPr="00C21B99" w:rsidRDefault="00D87EAB" w:rsidP="00D87EAB">
      <w:pPr>
        <w:widowControl w:val="0"/>
        <w:tabs>
          <w:tab w:val="left" w:pos="567"/>
        </w:tabs>
        <w:jc w:val="both"/>
        <w:outlineLvl w:val="3"/>
        <w:rPr>
          <w:b/>
          <w:bCs/>
          <w:snapToGrid w:val="0"/>
          <w:szCs w:val="22"/>
        </w:rPr>
      </w:pPr>
    </w:p>
    <w:p w14:paraId="12B7787B" w14:textId="77777777" w:rsidR="00D87EAB" w:rsidRPr="00C21B99" w:rsidRDefault="00D87EAB" w:rsidP="00D87EAB">
      <w:pPr>
        <w:widowControl w:val="0"/>
        <w:numPr>
          <w:ilvl w:val="12"/>
          <w:numId w:val="0"/>
        </w:numPr>
        <w:ind w:left="567" w:right="-2" w:hanging="567"/>
        <w:rPr>
          <w:snapToGrid w:val="0"/>
          <w:szCs w:val="22"/>
          <w:lang w:eastAsia="en-US"/>
        </w:rPr>
      </w:pPr>
      <w:r w:rsidRPr="00C21B99">
        <w:rPr>
          <w:snapToGrid w:val="0"/>
          <w:szCs w:val="22"/>
          <w:lang w:eastAsia="en-US"/>
        </w:rPr>
        <w:t>1.</w:t>
      </w:r>
      <w:r w:rsidRPr="00C21B99">
        <w:rPr>
          <w:snapToGrid w:val="0"/>
          <w:szCs w:val="22"/>
          <w:lang w:eastAsia="en-US"/>
        </w:rPr>
        <w:tab/>
        <w:t xml:space="preserve">Kas yra </w:t>
      </w:r>
      <w:proofErr w:type="spellStart"/>
      <w:r w:rsidR="00F35514" w:rsidRPr="00C21B99">
        <w:rPr>
          <w:snapToGrid w:val="0"/>
          <w:szCs w:val="22"/>
          <w:lang w:eastAsia="en-US"/>
        </w:rPr>
        <w:t>Gefitinib</w:t>
      </w:r>
      <w:proofErr w:type="spellEnd"/>
      <w:r w:rsidR="00F35514" w:rsidRPr="00C21B99">
        <w:rPr>
          <w:snapToGrid w:val="0"/>
          <w:szCs w:val="22"/>
          <w:lang w:eastAsia="en-US"/>
        </w:rPr>
        <w:t xml:space="preserve"> </w:t>
      </w:r>
      <w:proofErr w:type="spellStart"/>
      <w:r w:rsidR="00F35514" w:rsidRPr="00C21B99">
        <w:rPr>
          <w:snapToGrid w:val="0"/>
          <w:szCs w:val="22"/>
          <w:lang w:eastAsia="en-US"/>
        </w:rPr>
        <w:t>Sandoz</w:t>
      </w:r>
      <w:proofErr w:type="spellEnd"/>
      <w:r w:rsidRPr="00C21B99">
        <w:rPr>
          <w:snapToGrid w:val="0"/>
          <w:szCs w:val="22"/>
          <w:lang w:eastAsia="en-US"/>
        </w:rPr>
        <w:t xml:space="preserve"> ir kam jis vartojamas</w:t>
      </w:r>
    </w:p>
    <w:p w14:paraId="2395BDFC" w14:textId="77777777" w:rsidR="00D87EAB" w:rsidRPr="00C21B99" w:rsidRDefault="00D87EAB" w:rsidP="00D87EAB">
      <w:pPr>
        <w:widowControl w:val="0"/>
        <w:numPr>
          <w:ilvl w:val="12"/>
          <w:numId w:val="0"/>
        </w:numPr>
        <w:ind w:left="567" w:right="-2" w:hanging="567"/>
        <w:rPr>
          <w:snapToGrid w:val="0"/>
          <w:szCs w:val="22"/>
          <w:lang w:eastAsia="en-US"/>
        </w:rPr>
      </w:pPr>
      <w:r w:rsidRPr="00C21B99">
        <w:rPr>
          <w:snapToGrid w:val="0"/>
          <w:szCs w:val="22"/>
          <w:lang w:eastAsia="en-US"/>
        </w:rPr>
        <w:t>2.</w:t>
      </w:r>
      <w:r w:rsidRPr="00C21B99">
        <w:rPr>
          <w:snapToGrid w:val="0"/>
          <w:szCs w:val="22"/>
          <w:lang w:eastAsia="en-US"/>
        </w:rPr>
        <w:tab/>
        <w:t xml:space="preserve">Kas žinotina prieš vartojant </w:t>
      </w:r>
      <w:proofErr w:type="spellStart"/>
      <w:r w:rsidR="00F35514" w:rsidRPr="00C21B99">
        <w:rPr>
          <w:snapToGrid w:val="0"/>
          <w:szCs w:val="22"/>
          <w:lang w:eastAsia="en-US"/>
        </w:rPr>
        <w:t>Gefitinib</w:t>
      </w:r>
      <w:proofErr w:type="spellEnd"/>
      <w:r w:rsidR="00F35514" w:rsidRPr="00C21B99">
        <w:rPr>
          <w:snapToGrid w:val="0"/>
          <w:szCs w:val="22"/>
          <w:lang w:eastAsia="en-US"/>
        </w:rPr>
        <w:t xml:space="preserve"> </w:t>
      </w:r>
      <w:proofErr w:type="spellStart"/>
      <w:r w:rsidR="00F35514" w:rsidRPr="00C21B99">
        <w:rPr>
          <w:snapToGrid w:val="0"/>
          <w:szCs w:val="22"/>
          <w:lang w:eastAsia="en-US"/>
        </w:rPr>
        <w:t>Sandoz</w:t>
      </w:r>
      <w:proofErr w:type="spellEnd"/>
    </w:p>
    <w:p w14:paraId="42A621F9" w14:textId="77777777" w:rsidR="00D87EAB" w:rsidRPr="00C21B99" w:rsidRDefault="00D87EAB" w:rsidP="00D87EAB">
      <w:pPr>
        <w:widowControl w:val="0"/>
        <w:numPr>
          <w:ilvl w:val="12"/>
          <w:numId w:val="0"/>
        </w:numPr>
        <w:ind w:left="567" w:right="-2" w:hanging="567"/>
        <w:rPr>
          <w:snapToGrid w:val="0"/>
          <w:szCs w:val="22"/>
          <w:lang w:eastAsia="en-US"/>
        </w:rPr>
      </w:pPr>
      <w:r w:rsidRPr="00C21B99">
        <w:rPr>
          <w:snapToGrid w:val="0"/>
          <w:szCs w:val="22"/>
          <w:lang w:eastAsia="en-US"/>
        </w:rPr>
        <w:t>3.</w:t>
      </w:r>
      <w:r w:rsidRPr="00C21B99">
        <w:rPr>
          <w:snapToGrid w:val="0"/>
          <w:szCs w:val="22"/>
          <w:lang w:eastAsia="en-US"/>
        </w:rPr>
        <w:tab/>
        <w:t xml:space="preserve">Kaip vartoti </w:t>
      </w:r>
      <w:proofErr w:type="spellStart"/>
      <w:r w:rsidR="00F35514" w:rsidRPr="00C21B99">
        <w:rPr>
          <w:snapToGrid w:val="0"/>
          <w:szCs w:val="22"/>
          <w:lang w:eastAsia="en-US"/>
        </w:rPr>
        <w:t>Gefitinib</w:t>
      </w:r>
      <w:proofErr w:type="spellEnd"/>
      <w:r w:rsidR="00F35514" w:rsidRPr="00C21B99">
        <w:rPr>
          <w:snapToGrid w:val="0"/>
          <w:szCs w:val="22"/>
          <w:lang w:eastAsia="en-US"/>
        </w:rPr>
        <w:t xml:space="preserve"> </w:t>
      </w:r>
      <w:proofErr w:type="spellStart"/>
      <w:r w:rsidR="00F35514" w:rsidRPr="00C21B99">
        <w:rPr>
          <w:snapToGrid w:val="0"/>
          <w:szCs w:val="22"/>
          <w:lang w:eastAsia="en-US"/>
        </w:rPr>
        <w:t>Sandoz</w:t>
      </w:r>
      <w:proofErr w:type="spellEnd"/>
    </w:p>
    <w:p w14:paraId="7A72147C" w14:textId="77777777" w:rsidR="00D87EAB" w:rsidRPr="00C21B99" w:rsidRDefault="00D87EAB" w:rsidP="00D87EAB">
      <w:pPr>
        <w:widowControl w:val="0"/>
        <w:numPr>
          <w:ilvl w:val="12"/>
          <w:numId w:val="0"/>
        </w:numPr>
        <w:ind w:left="567" w:right="-2" w:hanging="567"/>
        <w:rPr>
          <w:snapToGrid w:val="0"/>
          <w:szCs w:val="22"/>
          <w:lang w:eastAsia="en-US"/>
        </w:rPr>
      </w:pPr>
      <w:r w:rsidRPr="00C21B99">
        <w:rPr>
          <w:snapToGrid w:val="0"/>
          <w:szCs w:val="22"/>
          <w:lang w:eastAsia="en-US"/>
        </w:rPr>
        <w:t>4.</w:t>
      </w:r>
      <w:r w:rsidRPr="00C21B99">
        <w:rPr>
          <w:snapToGrid w:val="0"/>
          <w:szCs w:val="22"/>
          <w:lang w:eastAsia="en-US"/>
        </w:rPr>
        <w:tab/>
        <w:t>Galimas šalutinis poveikis</w:t>
      </w:r>
    </w:p>
    <w:p w14:paraId="0588E0BF" w14:textId="77777777" w:rsidR="00D87EAB" w:rsidRPr="00C21B99" w:rsidRDefault="00D87EAB" w:rsidP="00D87EAB">
      <w:pPr>
        <w:widowControl w:val="0"/>
        <w:numPr>
          <w:ilvl w:val="12"/>
          <w:numId w:val="0"/>
        </w:numPr>
        <w:tabs>
          <w:tab w:val="left" w:pos="709"/>
        </w:tabs>
        <w:ind w:left="567" w:right="-2" w:hanging="567"/>
        <w:rPr>
          <w:snapToGrid w:val="0"/>
          <w:szCs w:val="22"/>
          <w:lang w:eastAsia="en-US"/>
        </w:rPr>
      </w:pPr>
      <w:r w:rsidRPr="00C21B99">
        <w:rPr>
          <w:snapToGrid w:val="0"/>
          <w:szCs w:val="22"/>
          <w:lang w:eastAsia="en-US"/>
        </w:rPr>
        <w:t>5.</w:t>
      </w:r>
      <w:r w:rsidRPr="00C21B99">
        <w:rPr>
          <w:snapToGrid w:val="0"/>
          <w:szCs w:val="22"/>
          <w:lang w:eastAsia="en-US"/>
        </w:rPr>
        <w:tab/>
        <w:t xml:space="preserve">Kaip laikyti </w:t>
      </w:r>
      <w:proofErr w:type="spellStart"/>
      <w:r w:rsidR="00F35514" w:rsidRPr="00C21B99">
        <w:rPr>
          <w:snapToGrid w:val="0"/>
          <w:szCs w:val="22"/>
          <w:lang w:eastAsia="en-US"/>
        </w:rPr>
        <w:t>Gefitinib</w:t>
      </w:r>
      <w:proofErr w:type="spellEnd"/>
      <w:r w:rsidR="00F35514" w:rsidRPr="00C21B99">
        <w:rPr>
          <w:snapToGrid w:val="0"/>
          <w:szCs w:val="22"/>
          <w:lang w:eastAsia="en-US"/>
        </w:rPr>
        <w:t xml:space="preserve"> </w:t>
      </w:r>
      <w:proofErr w:type="spellStart"/>
      <w:r w:rsidR="00F35514" w:rsidRPr="00C21B99">
        <w:rPr>
          <w:snapToGrid w:val="0"/>
          <w:szCs w:val="22"/>
          <w:lang w:eastAsia="en-US"/>
        </w:rPr>
        <w:t>Sandoz</w:t>
      </w:r>
      <w:proofErr w:type="spellEnd"/>
    </w:p>
    <w:p w14:paraId="6F22B110" w14:textId="77777777" w:rsidR="00D87EAB" w:rsidRPr="00C21B99" w:rsidRDefault="00D87EAB" w:rsidP="00D87EAB">
      <w:pPr>
        <w:widowControl w:val="0"/>
        <w:numPr>
          <w:ilvl w:val="12"/>
          <w:numId w:val="0"/>
        </w:numPr>
        <w:ind w:left="567" w:right="-2" w:hanging="567"/>
        <w:rPr>
          <w:snapToGrid w:val="0"/>
          <w:szCs w:val="22"/>
          <w:lang w:eastAsia="en-US"/>
        </w:rPr>
      </w:pPr>
      <w:r w:rsidRPr="00C21B99">
        <w:rPr>
          <w:snapToGrid w:val="0"/>
          <w:szCs w:val="22"/>
          <w:lang w:eastAsia="en-US"/>
        </w:rPr>
        <w:t>6.</w:t>
      </w:r>
      <w:r w:rsidRPr="00C21B99">
        <w:rPr>
          <w:snapToGrid w:val="0"/>
          <w:szCs w:val="22"/>
          <w:lang w:eastAsia="en-US"/>
        </w:rPr>
        <w:tab/>
        <w:t>Pakuotės turinys ir kita informacija</w:t>
      </w:r>
    </w:p>
    <w:p w14:paraId="20EF9D10" w14:textId="77777777" w:rsidR="00D87EAB" w:rsidRPr="00C21B99" w:rsidRDefault="00D87EAB" w:rsidP="00D87EAB">
      <w:pPr>
        <w:widowControl w:val="0"/>
        <w:numPr>
          <w:ilvl w:val="12"/>
          <w:numId w:val="0"/>
        </w:numPr>
        <w:ind w:right="-2"/>
        <w:rPr>
          <w:snapToGrid w:val="0"/>
          <w:szCs w:val="22"/>
          <w:lang w:eastAsia="en-US"/>
        </w:rPr>
      </w:pPr>
    </w:p>
    <w:p w14:paraId="2369382B" w14:textId="77777777" w:rsidR="00D87EAB" w:rsidRPr="00C21B99" w:rsidRDefault="00D87EAB" w:rsidP="00D87EAB">
      <w:pPr>
        <w:widowControl w:val="0"/>
        <w:numPr>
          <w:ilvl w:val="12"/>
          <w:numId w:val="0"/>
        </w:numPr>
        <w:ind w:right="-2"/>
        <w:rPr>
          <w:snapToGrid w:val="0"/>
          <w:szCs w:val="22"/>
          <w:lang w:eastAsia="en-US"/>
        </w:rPr>
      </w:pPr>
    </w:p>
    <w:p w14:paraId="169C9CCB" w14:textId="77777777" w:rsidR="00D87EAB" w:rsidRPr="00C21B99" w:rsidRDefault="00D87EAB" w:rsidP="00D87EAB">
      <w:pPr>
        <w:widowControl w:val="0"/>
        <w:tabs>
          <w:tab w:val="left" w:pos="567"/>
        </w:tabs>
        <w:jc w:val="both"/>
        <w:outlineLvl w:val="3"/>
        <w:rPr>
          <w:b/>
          <w:bCs/>
          <w:snapToGrid w:val="0"/>
          <w:szCs w:val="22"/>
        </w:rPr>
      </w:pPr>
      <w:r w:rsidRPr="00C21B99">
        <w:rPr>
          <w:b/>
          <w:bCs/>
          <w:snapToGrid w:val="0"/>
          <w:szCs w:val="22"/>
        </w:rPr>
        <w:t>1.</w:t>
      </w:r>
      <w:r w:rsidRPr="00C21B99">
        <w:rPr>
          <w:b/>
          <w:bCs/>
          <w:snapToGrid w:val="0"/>
          <w:szCs w:val="22"/>
        </w:rPr>
        <w:tab/>
        <w:t xml:space="preserve">Kas yra </w:t>
      </w:r>
      <w:proofErr w:type="spellStart"/>
      <w:r w:rsidR="00F35514" w:rsidRPr="00C21B99">
        <w:rPr>
          <w:b/>
          <w:bCs/>
          <w:snapToGrid w:val="0"/>
          <w:szCs w:val="22"/>
        </w:rPr>
        <w:t>Gefitinib</w:t>
      </w:r>
      <w:proofErr w:type="spellEnd"/>
      <w:r w:rsidR="00F35514" w:rsidRPr="00C21B99">
        <w:rPr>
          <w:b/>
          <w:bCs/>
          <w:snapToGrid w:val="0"/>
          <w:szCs w:val="22"/>
        </w:rPr>
        <w:t xml:space="preserve"> </w:t>
      </w:r>
      <w:proofErr w:type="spellStart"/>
      <w:r w:rsidR="00F35514" w:rsidRPr="00C21B99">
        <w:rPr>
          <w:b/>
          <w:bCs/>
          <w:snapToGrid w:val="0"/>
          <w:szCs w:val="22"/>
        </w:rPr>
        <w:t>Sandoz</w:t>
      </w:r>
      <w:proofErr w:type="spellEnd"/>
      <w:r w:rsidRPr="00C21B99">
        <w:rPr>
          <w:b/>
          <w:bCs/>
          <w:snapToGrid w:val="0"/>
          <w:szCs w:val="22"/>
        </w:rPr>
        <w:t xml:space="preserve"> ir kam jis vartojamas</w:t>
      </w:r>
    </w:p>
    <w:p w14:paraId="1137E30D" w14:textId="77777777" w:rsidR="00D87EAB" w:rsidRPr="00C21B99" w:rsidRDefault="00D87EAB" w:rsidP="00D87EAB">
      <w:pPr>
        <w:widowControl w:val="0"/>
        <w:numPr>
          <w:ilvl w:val="12"/>
          <w:numId w:val="0"/>
        </w:numPr>
        <w:ind w:right="-2"/>
        <w:rPr>
          <w:snapToGrid w:val="0"/>
          <w:szCs w:val="22"/>
          <w:lang w:eastAsia="en-US"/>
        </w:rPr>
      </w:pPr>
    </w:p>
    <w:p w14:paraId="280E3241" w14:textId="77777777" w:rsidR="00F35514" w:rsidRPr="00C21B99" w:rsidRDefault="00F35514" w:rsidP="00F35514">
      <w:pPr>
        <w:pStyle w:val="Default"/>
        <w:rPr>
          <w:sz w:val="22"/>
          <w:szCs w:val="22"/>
          <w:lang w:val="lt-LT"/>
        </w:rPr>
      </w:pPr>
      <w:proofErr w:type="spellStart"/>
      <w:r w:rsidRPr="00C21B99">
        <w:rPr>
          <w:sz w:val="22"/>
          <w:szCs w:val="22"/>
          <w:lang w:val="lt-LT"/>
        </w:rPr>
        <w:t>Gefitinib</w:t>
      </w:r>
      <w:proofErr w:type="spellEnd"/>
      <w:r w:rsidRPr="00C21B99">
        <w:rPr>
          <w:sz w:val="22"/>
          <w:szCs w:val="22"/>
          <w:lang w:val="lt-LT"/>
        </w:rPr>
        <w:t xml:space="preserve"> </w:t>
      </w:r>
      <w:proofErr w:type="spellStart"/>
      <w:r w:rsidRPr="00C21B99">
        <w:rPr>
          <w:sz w:val="22"/>
          <w:szCs w:val="22"/>
          <w:lang w:val="lt-LT"/>
        </w:rPr>
        <w:t>Sandoz</w:t>
      </w:r>
      <w:proofErr w:type="spellEnd"/>
      <w:r w:rsidR="002D715E" w:rsidRPr="00C21B99">
        <w:rPr>
          <w:sz w:val="22"/>
          <w:szCs w:val="22"/>
          <w:lang w:val="lt-LT"/>
        </w:rPr>
        <w:t xml:space="preserve"> sudėtyje yra veikliosios medžiagos </w:t>
      </w:r>
      <w:proofErr w:type="spellStart"/>
      <w:r w:rsidRPr="00C21B99">
        <w:rPr>
          <w:sz w:val="22"/>
          <w:szCs w:val="22"/>
          <w:lang w:val="lt-LT"/>
        </w:rPr>
        <w:t>gefitinibo</w:t>
      </w:r>
      <w:proofErr w:type="spellEnd"/>
      <w:r w:rsidRPr="00C21B99">
        <w:rPr>
          <w:sz w:val="22"/>
          <w:szCs w:val="22"/>
          <w:lang w:val="lt-LT"/>
        </w:rPr>
        <w:t xml:space="preserve">, kuris blokuoja baltymą, vadinamą </w:t>
      </w:r>
      <w:proofErr w:type="spellStart"/>
      <w:r w:rsidRPr="00C21B99">
        <w:rPr>
          <w:sz w:val="22"/>
          <w:szCs w:val="22"/>
          <w:lang w:val="lt-LT"/>
        </w:rPr>
        <w:t>epiderminio</w:t>
      </w:r>
      <w:proofErr w:type="spellEnd"/>
      <w:r w:rsidRPr="00C21B99">
        <w:rPr>
          <w:sz w:val="22"/>
          <w:szCs w:val="22"/>
          <w:lang w:val="lt-LT"/>
        </w:rPr>
        <w:t xml:space="preserve"> augimo faktoriaus receptoriumi (EAFR). Šis baltymas yra svarbus vėžio ląstelių augimui ir sklidimui organizme.</w:t>
      </w:r>
    </w:p>
    <w:p w14:paraId="43AABADC" w14:textId="77777777" w:rsidR="002D715E" w:rsidRPr="00C21B99" w:rsidRDefault="00F35514" w:rsidP="00F35514">
      <w:pPr>
        <w:pStyle w:val="Default"/>
        <w:rPr>
          <w:sz w:val="22"/>
          <w:szCs w:val="22"/>
          <w:lang w:val="lt-LT"/>
        </w:rPr>
      </w:pPr>
      <w:proofErr w:type="spellStart"/>
      <w:r w:rsidRPr="00C21B99">
        <w:rPr>
          <w:sz w:val="22"/>
          <w:szCs w:val="22"/>
          <w:lang w:val="lt-LT"/>
        </w:rPr>
        <w:t>Gefitinib</w:t>
      </w:r>
      <w:proofErr w:type="spellEnd"/>
      <w:r w:rsidRPr="00C21B99">
        <w:rPr>
          <w:sz w:val="22"/>
          <w:szCs w:val="22"/>
          <w:lang w:val="lt-LT"/>
        </w:rPr>
        <w:t xml:space="preserve"> </w:t>
      </w:r>
      <w:proofErr w:type="spellStart"/>
      <w:r w:rsidRPr="00C21B99">
        <w:rPr>
          <w:sz w:val="22"/>
          <w:szCs w:val="22"/>
          <w:lang w:val="lt-LT"/>
        </w:rPr>
        <w:t>Sandoz</w:t>
      </w:r>
      <w:proofErr w:type="spellEnd"/>
      <w:r w:rsidRPr="00C21B99">
        <w:rPr>
          <w:sz w:val="22"/>
          <w:szCs w:val="22"/>
          <w:lang w:val="lt-LT"/>
        </w:rPr>
        <w:t xml:space="preserve"> yra vartojamas suaugusiųjų, sergančių nesmulkiųjų ląstelių plaučių vėžiu, gydymui. Šis vėžys – tai liga, kuria sergant plaučio audiniuose formuojasi piktybinės (vėžio) ląstelės</w:t>
      </w:r>
      <w:r w:rsidR="002D715E" w:rsidRPr="00C21B99">
        <w:rPr>
          <w:sz w:val="22"/>
          <w:szCs w:val="22"/>
          <w:lang w:val="lt-LT"/>
        </w:rPr>
        <w:t xml:space="preserve">. </w:t>
      </w:r>
    </w:p>
    <w:p w14:paraId="07CF5C32" w14:textId="77777777" w:rsidR="002D715E" w:rsidRPr="00C21B99" w:rsidRDefault="002D715E" w:rsidP="002D715E">
      <w:pPr>
        <w:pStyle w:val="Default"/>
        <w:rPr>
          <w:b/>
          <w:bCs/>
          <w:sz w:val="22"/>
          <w:szCs w:val="22"/>
          <w:lang w:val="lt-LT"/>
        </w:rPr>
      </w:pPr>
    </w:p>
    <w:p w14:paraId="3910AE93" w14:textId="77777777" w:rsidR="002D715E" w:rsidRPr="00C21B99" w:rsidRDefault="002D715E" w:rsidP="002D715E">
      <w:pPr>
        <w:pStyle w:val="Default"/>
        <w:rPr>
          <w:b/>
          <w:bCs/>
          <w:sz w:val="22"/>
          <w:szCs w:val="22"/>
          <w:lang w:val="lt-LT"/>
        </w:rPr>
      </w:pPr>
    </w:p>
    <w:p w14:paraId="50061106" w14:textId="77777777" w:rsidR="002D715E" w:rsidRPr="00C21B99" w:rsidRDefault="002D715E" w:rsidP="002D715E">
      <w:pPr>
        <w:pStyle w:val="Default"/>
        <w:rPr>
          <w:sz w:val="22"/>
          <w:szCs w:val="22"/>
          <w:lang w:val="lt-LT"/>
        </w:rPr>
      </w:pPr>
      <w:r w:rsidRPr="00C21B99">
        <w:rPr>
          <w:b/>
          <w:bCs/>
          <w:sz w:val="22"/>
          <w:szCs w:val="22"/>
          <w:lang w:val="lt-LT"/>
        </w:rPr>
        <w:t>2.</w:t>
      </w:r>
      <w:r w:rsidRPr="00C21B99">
        <w:rPr>
          <w:b/>
          <w:bCs/>
          <w:sz w:val="22"/>
          <w:szCs w:val="22"/>
          <w:lang w:val="lt-LT"/>
        </w:rPr>
        <w:tab/>
        <w:t xml:space="preserve">Kas žinotina prieš vartojant </w:t>
      </w:r>
      <w:proofErr w:type="spellStart"/>
      <w:r w:rsidR="0087080F" w:rsidRPr="00C21B99">
        <w:rPr>
          <w:b/>
          <w:bCs/>
          <w:sz w:val="22"/>
          <w:szCs w:val="22"/>
          <w:lang w:val="lt-LT"/>
        </w:rPr>
        <w:t>Gefitinib</w:t>
      </w:r>
      <w:proofErr w:type="spellEnd"/>
      <w:r w:rsidR="0087080F" w:rsidRPr="00C21B99">
        <w:rPr>
          <w:b/>
          <w:bCs/>
          <w:sz w:val="22"/>
          <w:szCs w:val="22"/>
          <w:lang w:val="lt-LT"/>
        </w:rPr>
        <w:t xml:space="preserve"> </w:t>
      </w:r>
      <w:proofErr w:type="spellStart"/>
      <w:r w:rsidR="0087080F" w:rsidRPr="00C21B99">
        <w:rPr>
          <w:b/>
          <w:bCs/>
          <w:sz w:val="22"/>
          <w:szCs w:val="22"/>
          <w:lang w:val="lt-LT"/>
        </w:rPr>
        <w:t>Sandoz</w:t>
      </w:r>
      <w:proofErr w:type="spellEnd"/>
      <w:r w:rsidRPr="00C21B99">
        <w:rPr>
          <w:b/>
          <w:bCs/>
          <w:sz w:val="22"/>
          <w:szCs w:val="22"/>
          <w:lang w:val="lt-LT"/>
        </w:rPr>
        <w:t xml:space="preserve"> </w:t>
      </w:r>
    </w:p>
    <w:p w14:paraId="13C7E1EF" w14:textId="77777777" w:rsidR="002D715E" w:rsidRPr="00C21B99" w:rsidRDefault="002D715E" w:rsidP="002D715E">
      <w:pPr>
        <w:pStyle w:val="Default"/>
        <w:rPr>
          <w:b/>
          <w:bCs/>
          <w:sz w:val="22"/>
          <w:szCs w:val="22"/>
          <w:lang w:val="lt-LT"/>
        </w:rPr>
      </w:pPr>
    </w:p>
    <w:p w14:paraId="76333DA0" w14:textId="77777777" w:rsidR="002D715E" w:rsidRPr="00C21B99" w:rsidRDefault="0087080F" w:rsidP="002D715E">
      <w:pPr>
        <w:pStyle w:val="Default"/>
        <w:rPr>
          <w:sz w:val="22"/>
          <w:szCs w:val="22"/>
          <w:lang w:val="lt-LT"/>
        </w:rPr>
      </w:pPr>
      <w:proofErr w:type="spellStart"/>
      <w:r w:rsidRPr="00C21B99">
        <w:rPr>
          <w:b/>
          <w:bCs/>
          <w:sz w:val="22"/>
          <w:szCs w:val="22"/>
          <w:lang w:val="lt-LT"/>
        </w:rPr>
        <w:t>Gefitinib</w:t>
      </w:r>
      <w:proofErr w:type="spellEnd"/>
      <w:r w:rsidRPr="00C21B99">
        <w:rPr>
          <w:b/>
          <w:bCs/>
          <w:sz w:val="22"/>
          <w:szCs w:val="22"/>
          <w:lang w:val="lt-LT"/>
        </w:rPr>
        <w:t xml:space="preserve"> </w:t>
      </w:r>
      <w:proofErr w:type="spellStart"/>
      <w:r w:rsidRPr="00C21B99">
        <w:rPr>
          <w:b/>
          <w:bCs/>
          <w:sz w:val="22"/>
          <w:szCs w:val="22"/>
          <w:lang w:val="lt-LT"/>
        </w:rPr>
        <w:t>Sandoz</w:t>
      </w:r>
      <w:proofErr w:type="spellEnd"/>
      <w:r w:rsidR="002D715E" w:rsidRPr="00C21B99">
        <w:rPr>
          <w:b/>
          <w:bCs/>
          <w:sz w:val="22"/>
          <w:szCs w:val="22"/>
          <w:lang w:val="lt-LT"/>
        </w:rPr>
        <w:t xml:space="preserve"> vartoti negalima: </w:t>
      </w:r>
    </w:p>
    <w:p w14:paraId="26D01EFC" w14:textId="77777777" w:rsidR="002D715E" w:rsidRPr="00C21B99" w:rsidRDefault="002D715E" w:rsidP="002D715E">
      <w:pPr>
        <w:pStyle w:val="Default"/>
        <w:numPr>
          <w:ilvl w:val="0"/>
          <w:numId w:val="18"/>
        </w:numPr>
        <w:ind w:left="567" w:hanging="567"/>
        <w:rPr>
          <w:sz w:val="22"/>
          <w:szCs w:val="22"/>
          <w:lang w:val="lt-LT"/>
        </w:rPr>
      </w:pPr>
      <w:r w:rsidRPr="00C21B99">
        <w:rPr>
          <w:sz w:val="22"/>
          <w:szCs w:val="22"/>
          <w:lang w:val="lt-LT"/>
        </w:rPr>
        <w:t xml:space="preserve">jeigu yra alergija </w:t>
      </w:r>
      <w:proofErr w:type="spellStart"/>
      <w:r w:rsidR="0087080F" w:rsidRPr="00C21B99">
        <w:rPr>
          <w:sz w:val="22"/>
          <w:szCs w:val="22"/>
          <w:lang w:val="lt-LT"/>
        </w:rPr>
        <w:t>gefitinibui</w:t>
      </w:r>
      <w:proofErr w:type="spellEnd"/>
      <w:r w:rsidRPr="00C21B99">
        <w:rPr>
          <w:sz w:val="22"/>
          <w:szCs w:val="22"/>
          <w:lang w:val="lt-LT"/>
        </w:rPr>
        <w:t xml:space="preserve"> arba bet kuriai pagalbinei šio vaisto medžiagai (jos išvardytos 6 skyriuje)</w:t>
      </w:r>
      <w:r w:rsidR="0087080F" w:rsidRPr="00C21B99">
        <w:rPr>
          <w:sz w:val="22"/>
          <w:szCs w:val="22"/>
          <w:lang w:val="lt-LT"/>
        </w:rPr>
        <w:t>;</w:t>
      </w:r>
      <w:r w:rsidRPr="00C21B99">
        <w:rPr>
          <w:sz w:val="22"/>
          <w:szCs w:val="22"/>
          <w:lang w:val="lt-LT"/>
        </w:rPr>
        <w:t xml:space="preserve"> </w:t>
      </w:r>
    </w:p>
    <w:p w14:paraId="194166C4" w14:textId="77777777" w:rsidR="002D715E" w:rsidRPr="00C21B99" w:rsidRDefault="002D715E" w:rsidP="002D715E">
      <w:pPr>
        <w:pStyle w:val="Default"/>
        <w:numPr>
          <w:ilvl w:val="0"/>
          <w:numId w:val="18"/>
        </w:numPr>
        <w:ind w:left="567" w:hanging="567"/>
        <w:rPr>
          <w:sz w:val="22"/>
          <w:szCs w:val="22"/>
          <w:lang w:val="lt-LT"/>
        </w:rPr>
      </w:pPr>
      <w:r w:rsidRPr="00C21B99">
        <w:rPr>
          <w:sz w:val="22"/>
          <w:szCs w:val="22"/>
          <w:lang w:val="lt-LT"/>
        </w:rPr>
        <w:t xml:space="preserve">jeigu </w:t>
      </w:r>
      <w:r w:rsidR="0087080F" w:rsidRPr="00C21B99">
        <w:rPr>
          <w:sz w:val="22"/>
          <w:szCs w:val="22"/>
          <w:lang w:val="lt-LT"/>
        </w:rPr>
        <w:t>esate žindyvė</w:t>
      </w:r>
      <w:r w:rsidRPr="00C21B99">
        <w:rPr>
          <w:sz w:val="22"/>
          <w:szCs w:val="22"/>
          <w:lang w:val="lt-LT"/>
        </w:rPr>
        <w:t xml:space="preserve">. </w:t>
      </w:r>
    </w:p>
    <w:p w14:paraId="7D103009" w14:textId="77777777" w:rsidR="002D715E" w:rsidRPr="00C21B99" w:rsidRDefault="002D715E" w:rsidP="002D715E">
      <w:pPr>
        <w:pStyle w:val="Default"/>
        <w:rPr>
          <w:sz w:val="22"/>
          <w:szCs w:val="22"/>
          <w:lang w:val="lt-LT"/>
        </w:rPr>
      </w:pPr>
    </w:p>
    <w:p w14:paraId="710FCA5E" w14:textId="77777777" w:rsidR="002D715E" w:rsidRPr="00C21B99" w:rsidRDefault="002D715E" w:rsidP="002D715E">
      <w:pPr>
        <w:pStyle w:val="Default"/>
        <w:rPr>
          <w:sz w:val="22"/>
          <w:szCs w:val="22"/>
          <w:lang w:val="lt-LT"/>
        </w:rPr>
      </w:pPr>
      <w:r w:rsidRPr="00C21B99">
        <w:rPr>
          <w:b/>
          <w:bCs/>
          <w:sz w:val="22"/>
          <w:szCs w:val="22"/>
          <w:lang w:val="lt-LT"/>
        </w:rPr>
        <w:t xml:space="preserve">Įspėjimai ir atsargumo priemonės </w:t>
      </w:r>
    </w:p>
    <w:p w14:paraId="05D37728" w14:textId="77777777" w:rsidR="00F3615F" w:rsidRPr="00C21B99" w:rsidRDefault="00F3615F" w:rsidP="002D715E">
      <w:pPr>
        <w:pStyle w:val="Default"/>
        <w:rPr>
          <w:sz w:val="22"/>
          <w:szCs w:val="22"/>
          <w:lang w:val="lt-LT"/>
        </w:rPr>
      </w:pPr>
      <w:r w:rsidRPr="00C21B99">
        <w:rPr>
          <w:sz w:val="22"/>
          <w:szCs w:val="22"/>
          <w:lang w:val="lt-LT"/>
        </w:rPr>
        <w:t xml:space="preserve">Pasitarkite su gydytoju arba vaistininku prieš pradėdami vartoti </w:t>
      </w:r>
      <w:proofErr w:type="spellStart"/>
      <w:r w:rsidR="0087080F" w:rsidRPr="00C21B99">
        <w:rPr>
          <w:sz w:val="22"/>
          <w:szCs w:val="22"/>
          <w:lang w:val="lt-LT"/>
        </w:rPr>
        <w:t>Gefitinib</w:t>
      </w:r>
      <w:proofErr w:type="spellEnd"/>
      <w:r w:rsidR="0087080F" w:rsidRPr="00C21B99">
        <w:rPr>
          <w:sz w:val="22"/>
          <w:szCs w:val="22"/>
          <w:lang w:val="lt-LT"/>
        </w:rPr>
        <w:t xml:space="preserve"> </w:t>
      </w:r>
      <w:proofErr w:type="spellStart"/>
      <w:r w:rsidR="0087080F" w:rsidRPr="00C21B99">
        <w:rPr>
          <w:sz w:val="22"/>
          <w:szCs w:val="22"/>
          <w:lang w:val="lt-LT"/>
        </w:rPr>
        <w:t>Sandoz</w:t>
      </w:r>
      <w:proofErr w:type="spellEnd"/>
      <w:r w:rsidR="00CF36F4" w:rsidRPr="00C21B99">
        <w:rPr>
          <w:sz w:val="22"/>
          <w:szCs w:val="22"/>
          <w:lang w:val="lt-LT"/>
        </w:rPr>
        <w:t>:</w:t>
      </w:r>
    </w:p>
    <w:p w14:paraId="1C8EE884" w14:textId="77777777" w:rsidR="0087080F" w:rsidRPr="00C21B99" w:rsidRDefault="0087080F" w:rsidP="00CF36F4">
      <w:pPr>
        <w:pStyle w:val="Default"/>
        <w:numPr>
          <w:ilvl w:val="0"/>
          <w:numId w:val="32"/>
        </w:numPr>
        <w:rPr>
          <w:sz w:val="22"/>
          <w:szCs w:val="22"/>
          <w:lang w:val="lt-LT"/>
        </w:rPr>
      </w:pPr>
      <w:r w:rsidRPr="00C21B99">
        <w:rPr>
          <w:sz w:val="22"/>
          <w:szCs w:val="22"/>
          <w:lang w:val="lt-LT"/>
        </w:rPr>
        <w:t xml:space="preserve">jeigu kada nors </w:t>
      </w:r>
      <w:r w:rsidR="00CF36F4" w:rsidRPr="00C21B99">
        <w:rPr>
          <w:sz w:val="22"/>
          <w:szCs w:val="22"/>
          <w:lang w:val="lt-LT"/>
        </w:rPr>
        <w:t>Jums yra buvę</w:t>
      </w:r>
      <w:r w:rsidRPr="00C21B99">
        <w:rPr>
          <w:sz w:val="22"/>
          <w:szCs w:val="22"/>
          <w:lang w:val="lt-LT"/>
        </w:rPr>
        <w:t xml:space="preserve"> kitokių plaučių sutrikimų (kai kurie plaučių sutrikimai gali</w:t>
      </w:r>
      <w:r w:rsidR="00CF36F4" w:rsidRPr="00C21B99">
        <w:rPr>
          <w:sz w:val="22"/>
          <w:szCs w:val="22"/>
          <w:lang w:val="lt-LT"/>
        </w:rPr>
        <w:t xml:space="preserve"> </w:t>
      </w:r>
      <w:r w:rsidRPr="00C21B99">
        <w:rPr>
          <w:sz w:val="22"/>
          <w:szCs w:val="22"/>
          <w:lang w:val="lt-LT"/>
        </w:rPr>
        <w:t xml:space="preserve">pasunkėti </w:t>
      </w:r>
      <w:r w:rsidR="00CF36F4" w:rsidRPr="00C21B99">
        <w:rPr>
          <w:sz w:val="22"/>
          <w:szCs w:val="22"/>
          <w:lang w:val="lt-LT"/>
        </w:rPr>
        <w:t>gy</w:t>
      </w:r>
      <w:r w:rsidR="00C21B99">
        <w:rPr>
          <w:sz w:val="22"/>
          <w:szCs w:val="22"/>
          <w:lang w:val="lt-LT"/>
        </w:rPr>
        <w:t>d</w:t>
      </w:r>
      <w:r w:rsidR="00CF36F4" w:rsidRPr="00C21B99">
        <w:rPr>
          <w:sz w:val="22"/>
          <w:szCs w:val="22"/>
          <w:lang w:val="lt-LT"/>
        </w:rPr>
        <w:t>ymo</w:t>
      </w:r>
      <w:r w:rsidRPr="00C21B99">
        <w:rPr>
          <w:sz w:val="22"/>
          <w:szCs w:val="22"/>
          <w:lang w:val="lt-LT"/>
        </w:rPr>
        <w:t xml:space="preserve"> </w:t>
      </w:r>
      <w:proofErr w:type="spellStart"/>
      <w:r w:rsidR="00CF36F4" w:rsidRPr="00C21B99">
        <w:rPr>
          <w:sz w:val="22"/>
          <w:szCs w:val="22"/>
          <w:lang w:val="lt-LT"/>
        </w:rPr>
        <w:t>Gefitinib</w:t>
      </w:r>
      <w:proofErr w:type="spellEnd"/>
      <w:r w:rsidR="00CF36F4" w:rsidRPr="00C21B99">
        <w:rPr>
          <w:sz w:val="22"/>
          <w:szCs w:val="22"/>
          <w:lang w:val="lt-LT"/>
        </w:rPr>
        <w:t xml:space="preserve"> </w:t>
      </w:r>
      <w:proofErr w:type="spellStart"/>
      <w:r w:rsidR="00CF36F4" w:rsidRPr="00C21B99">
        <w:rPr>
          <w:sz w:val="22"/>
          <w:szCs w:val="22"/>
          <w:lang w:val="lt-LT"/>
        </w:rPr>
        <w:t>Sandoz</w:t>
      </w:r>
      <w:proofErr w:type="spellEnd"/>
      <w:r w:rsidR="00CF36F4" w:rsidRPr="00C21B99">
        <w:rPr>
          <w:sz w:val="22"/>
          <w:szCs w:val="22"/>
          <w:lang w:val="lt-LT"/>
        </w:rPr>
        <w:t xml:space="preserve"> metu</w:t>
      </w:r>
      <w:r w:rsidRPr="00C21B99">
        <w:rPr>
          <w:sz w:val="22"/>
          <w:szCs w:val="22"/>
          <w:lang w:val="lt-LT"/>
        </w:rPr>
        <w:t>);</w:t>
      </w:r>
    </w:p>
    <w:p w14:paraId="317ABF29" w14:textId="77777777" w:rsidR="00CF36F4" w:rsidRPr="00C21B99" w:rsidRDefault="0087080F" w:rsidP="00CF36F4">
      <w:pPr>
        <w:pStyle w:val="Default"/>
        <w:numPr>
          <w:ilvl w:val="0"/>
          <w:numId w:val="32"/>
        </w:numPr>
        <w:ind w:hanging="720"/>
        <w:rPr>
          <w:sz w:val="22"/>
          <w:szCs w:val="22"/>
          <w:lang w:val="lt-LT"/>
        </w:rPr>
      </w:pPr>
      <w:r w:rsidRPr="00C21B99">
        <w:rPr>
          <w:sz w:val="22"/>
          <w:szCs w:val="22"/>
          <w:lang w:val="lt-LT"/>
        </w:rPr>
        <w:t xml:space="preserve">jeigu kada nors buvo sutrikusi Jūsų kepenų veikla. </w:t>
      </w:r>
    </w:p>
    <w:p w14:paraId="4D044C01" w14:textId="77777777" w:rsidR="00EC061F" w:rsidRPr="00C21B99" w:rsidRDefault="00EC061F" w:rsidP="00EC061F">
      <w:pPr>
        <w:pStyle w:val="Default"/>
        <w:rPr>
          <w:b/>
          <w:bCs/>
          <w:sz w:val="22"/>
          <w:szCs w:val="22"/>
          <w:lang w:val="lt-LT"/>
        </w:rPr>
      </w:pPr>
    </w:p>
    <w:p w14:paraId="38E4A079" w14:textId="77777777" w:rsidR="00EC061F" w:rsidRPr="00C21B99" w:rsidRDefault="00EC061F" w:rsidP="00EC061F">
      <w:pPr>
        <w:pStyle w:val="Default"/>
        <w:rPr>
          <w:sz w:val="22"/>
          <w:szCs w:val="22"/>
          <w:lang w:val="lt-LT"/>
        </w:rPr>
      </w:pPr>
      <w:r w:rsidRPr="00C21B99">
        <w:rPr>
          <w:b/>
          <w:bCs/>
          <w:sz w:val="22"/>
          <w:szCs w:val="22"/>
          <w:lang w:val="lt-LT"/>
        </w:rPr>
        <w:t xml:space="preserve">Vaikams ir paaugliams </w:t>
      </w:r>
    </w:p>
    <w:p w14:paraId="35ED2131" w14:textId="77777777" w:rsidR="00EC061F" w:rsidRPr="00C21B99" w:rsidRDefault="00CF36F4" w:rsidP="00EC061F">
      <w:pPr>
        <w:pStyle w:val="Default"/>
        <w:rPr>
          <w:sz w:val="22"/>
          <w:szCs w:val="22"/>
          <w:lang w:val="lt-LT"/>
        </w:rPr>
      </w:pPr>
      <w:proofErr w:type="spellStart"/>
      <w:r w:rsidRPr="00C21B99">
        <w:rPr>
          <w:sz w:val="22"/>
          <w:szCs w:val="22"/>
          <w:lang w:val="lt-LT"/>
        </w:rPr>
        <w:t>Gefitinib</w:t>
      </w:r>
      <w:proofErr w:type="spellEnd"/>
      <w:r w:rsidRPr="00C21B99">
        <w:rPr>
          <w:sz w:val="22"/>
          <w:szCs w:val="22"/>
          <w:lang w:val="lt-LT"/>
        </w:rPr>
        <w:t xml:space="preserve"> </w:t>
      </w:r>
      <w:proofErr w:type="spellStart"/>
      <w:r w:rsidRPr="00C21B99">
        <w:rPr>
          <w:sz w:val="22"/>
          <w:szCs w:val="22"/>
          <w:lang w:val="lt-LT"/>
        </w:rPr>
        <w:t>Sandoz</w:t>
      </w:r>
      <w:proofErr w:type="spellEnd"/>
      <w:r w:rsidR="00EC061F" w:rsidRPr="00C21B99">
        <w:rPr>
          <w:sz w:val="22"/>
          <w:szCs w:val="22"/>
          <w:lang w:val="lt-LT"/>
        </w:rPr>
        <w:t xml:space="preserve"> nėra skirtas vartoti vaikams ir </w:t>
      </w:r>
      <w:r w:rsidRPr="00C21B99">
        <w:rPr>
          <w:sz w:val="22"/>
          <w:szCs w:val="22"/>
          <w:lang w:val="lt-LT"/>
        </w:rPr>
        <w:t xml:space="preserve">jaunesniems kaip 18 metų </w:t>
      </w:r>
      <w:r w:rsidR="00EC061F" w:rsidRPr="00C21B99">
        <w:rPr>
          <w:sz w:val="22"/>
          <w:szCs w:val="22"/>
          <w:lang w:val="lt-LT"/>
        </w:rPr>
        <w:t xml:space="preserve">paaugliams. </w:t>
      </w:r>
    </w:p>
    <w:p w14:paraId="651F2978" w14:textId="77777777" w:rsidR="00B3762D" w:rsidRPr="00C21B99" w:rsidRDefault="00B3762D" w:rsidP="00EC061F">
      <w:pPr>
        <w:pStyle w:val="Default"/>
        <w:rPr>
          <w:b/>
          <w:bCs/>
          <w:sz w:val="22"/>
          <w:szCs w:val="22"/>
          <w:lang w:val="lt-LT"/>
        </w:rPr>
      </w:pPr>
    </w:p>
    <w:p w14:paraId="7786C42C" w14:textId="77777777" w:rsidR="00EC061F" w:rsidRPr="00C21B99" w:rsidRDefault="00EC061F" w:rsidP="00EC061F">
      <w:pPr>
        <w:pStyle w:val="Default"/>
        <w:rPr>
          <w:sz w:val="22"/>
          <w:szCs w:val="22"/>
          <w:lang w:val="lt-LT"/>
        </w:rPr>
      </w:pPr>
      <w:r w:rsidRPr="00C21B99">
        <w:rPr>
          <w:b/>
          <w:bCs/>
          <w:sz w:val="22"/>
          <w:szCs w:val="22"/>
          <w:lang w:val="lt-LT"/>
        </w:rPr>
        <w:t xml:space="preserve">Kiti vaistai ir </w:t>
      </w:r>
      <w:proofErr w:type="spellStart"/>
      <w:r w:rsidR="00D14829" w:rsidRPr="00C21B99">
        <w:rPr>
          <w:b/>
          <w:bCs/>
          <w:sz w:val="22"/>
          <w:szCs w:val="22"/>
          <w:lang w:val="lt-LT"/>
        </w:rPr>
        <w:t>Gefitinib</w:t>
      </w:r>
      <w:proofErr w:type="spellEnd"/>
      <w:r w:rsidR="00D14829" w:rsidRPr="00C21B99">
        <w:rPr>
          <w:b/>
          <w:bCs/>
          <w:sz w:val="22"/>
          <w:szCs w:val="22"/>
          <w:lang w:val="lt-LT"/>
        </w:rPr>
        <w:t xml:space="preserve"> </w:t>
      </w:r>
      <w:proofErr w:type="spellStart"/>
      <w:r w:rsidR="00D14829" w:rsidRPr="00C21B99">
        <w:rPr>
          <w:b/>
          <w:bCs/>
          <w:sz w:val="22"/>
          <w:szCs w:val="22"/>
          <w:lang w:val="lt-LT"/>
        </w:rPr>
        <w:t>Sandoz</w:t>
      </w:r>
      <w:proofErr w:type="spellEnd"/>
      <w:r w:rsidRPr="00C21B99">
        <w:rPr>
          <w:b/>
          <w:bCs/>
          <w:sz w:val="22"/>
          <w:szCs w:val="22"/>
          <w:lang w:val="lt-LT"/>
        </w:rPr>
        <w:t xml:space="preserve"> </w:t>
      </w:r>
    </w:p>
    <w:p w14:paraId="0820B530" w14:textId="77777777" w:rsidR="00933CCC" w:rsidRPr="00C21B99" w:rsidRDefault="00EC061F" w:rsidP="00EC061F">
      <w:pPr>
        <w:widowControl w:val="0"/>
        <w:numPr>
          <w:ilvl w:val="12"/>
          <w:numId w:val="0"/>
        </w:numPr>
        <w:ind w:right="-2"/>
        <w:rPr>
          <w:snapToGrid w:val="0"/>
          <w:szCs w:val="22"/>
          <w:lang w:eastAsia="en-US"/>
        </w:rPr>
      </w:pPr>
      <w:r w:rsidRPr="00C21B99">
        <w:rPr>
          <w:szCs w:val="22"/>
        </w:rPr>
        <w:t>Jeigu vartojate ar neseniai vartojote kitų vaistų arba dėl to nesate tikri, apie tai pasakykite gydytojui arba vaistininkui.</w:t>
      </w:r>
    </w:p>
    <w:p w14:paraId="69D3A6CF" w14:textId="77777777" w:rsidR="00B3762D" w:rsidRPr="00C21B99" w:rsidRDefault="00B3762D" w:rsidP="00D87EAB">
      <w:pPr>
        <w:widowControl w:val="0"/>
        <w:numPr>
          <w:ilvl w:val="12"/>
          <w:numId w:val="0"/>
        </w:numPr>
        <w:ind w:right="-2"/>
        <w:rPr>
          <w:snapToGrid w:val="0"/>
          <w:szCs w:val="22"/>
          <w:lang w:eastAsia="en-US"/>
        </w:rPr>
      </w:pPr>
    </w:p>
    <w:p w14:paraId="77B35220" w14:textId="77777777" w:rsidR="00D14829" w:rsidRPr="00C21B99" w:rsidRDefault="00D14829" w:rsidP="00D14829">
      <w:pPr>
        <w:widowControl w:val="0"/>
        <w:numPr>
          <w:ilvl w:val="12"/>
          <w:numId w:val="0"/>
        </w:numPr>
        <w:ind w:right="-2"/>
        <w:rPr>
          <w:snapToGrid w:val="0"/>
          <w:szCs w:val="22"/>
          <w:lang w:eastAsia="en-US"/>
        </w:rPr>
      </w:pPr>
      <w:r w:rsidRPr="00C21B99">
        <w:rPr>
          <w:snapToGrid w:val="0"/>
          <w:szCs w:val="22"/>
          <w:lang w:eastAsia="en-US"/>
        </w:rPr>
        <w:t>Gydytojui arba vaistininkui ypač svarbu pasakyti, jeigu vartojate šių vaistų:</w:t>
      </w:r>
    </w:p>
    <w:p w14:paraId="35628A4A" w14:textId="77777777" w:rsidR="00D14829" w:rsidRPr="00C21B99" w:rsidRDefault="00D14829" w:rsidP="00D14829">
      <w:pPr>
        <w:widowControl w:val="0"/>
        <w:numPr>
          <w:ilvl w:val="0"/>
          <w:numId w:val="33"/>
        </w:numPr>
        <w:ind w:left="567" w:right="-2" w:hanging="567"/>
        <w:rPr>
          <w:snapToGrid w:val="0"/>
          <w:szCs w:val="22"/>
          <w:lang w:eastAsia="en-US"/>
        </w:rPr>
      </w:pPr>
      <w:proofErr w:type="spellStart"/>
      <w:r w:rsidRPr="00C21B99">
        <w:rPr>
          <w:snapToGrid w:val="0"/>
          <w:szCs w:val="22"/>
          <w:lang w:eastAsia="en-US"/>
        </w:rPr>
        <w:t>fenitoino</w:t>
      </w:r>
      <w:proofErr w:type="spellEnd"/>
      <w:r w:rsidRPr="00C21B99">
        <w:rPr>
          <w:snapToGrid w:val="0"/>
          <w:szCs w:val="22"/>
          <w:lang w:eastAsia="en-US"/>
        </w:rPr>
        <w:t xml:space="preserve"> arba </w:t>
      </w:r>
      <w:proofErr w:type="spellStart"/>
      <w:r w:rsidRPr="00C21B99">
        <w:rPr>
          <w:snapToGrid w:val="0"/>
          <w:szCs w:val="22"/>
          <w:lang w:eastAsia="en-US"/>
        </w:rPr>
        <w:t>karbamazepino</w:t>
      </w:r>
      <w:proofErr w:type="spellEnd"/>
      <w:r w:rsidRPr="00C21B99">
        <w:rPr>
          <w:snapToGrid w:val="0"/>
          <w:szCs w:val="22"/>
          <w:lang w:eastAsia="en-US"/>
        </w:rPr>
        <w:t xml:space="preserve"> (nuo epilepsijos);</w:t>
      </w:r>
    </w:p>
    <w:p w14:paraId="20600BAE" w14:textId="77777777" w:rsidR="00D14829" w:rsidRPr="00C21B99" w:rsidRDefault="00D14829" w:rsidP="00D14829">
      <w:pPr>
        <w:widowControl w:val="0"/>
        <w:numPr>
          <w:ilvl w:val="0"/>
          <w:numId w:val="33"/>
        </w:numPr>
        <w:ind w:left="567" w:right="-2" w:hanging="567"/>
        <w:rPr>
          <w:snapToGrid w:val="0"/>
          <w:szCs w:val="22"/>
          <w:lang w:eastAsia="en-US"/>
        </w:rPr>
      </w:pPr>
      <w:proofErr w:type="spellStart"/>
      <w:r w:rsidRPr="00C21B99">
        <w:rPr>
          <w:snapToGrid w:val="0"/>
          <w:szCs w:val="22"/>
          <w:lang w:eastAsia="en-US"/>
        </w:rPr>
        <w:t>rifampicino</w:t>
      </w:r>
      <w:proofErr w:type="spellEnd"/>
      <w:r w:rsidRPr="00C21B99">
        <w:rPr>
          <w:snapToGrid w:val="0"/>
          <w:szCs w:val="22"/>
          <w:lang w:eastAsia="en-US"/>
        </w:rPr>
        <w:t xml:space="preserve"> (nuo tuberkuliozės);</w:t>
      </w:r>
    </w:p>
    <w:p w14:paraId="1FACE10A" w14:textId="77777777" w:rsidR="00D14829" w:rsidRPr="00C21B99" w:rsidRDefault="00D14829" w:rsidP="00D14829">
      <w:pPr>
        <w:widowControl w:val="0"/>
        <w:numPr>
          <w:ilvl w:val="0"/>
          <w:numId w:val="33"/>
        </w:numPr>
        <w:ind w:left="567" w:right="-2" w:hanging="567"/>
        <w:rPr>
          <w:snapToGrid w:val="0"/>
          <w:szCs w:val="22"/>
          <w:lang w:eastAsia="en-US"/>
        </w:rPr>
      </w:pPr>
      <w:proofErr w:type="spellStart"/>
      <w:r w:rsidRPr="00C21B99">
        <w:rPr>
          <w:snapToGrid w:val="0"/>
          <w:szCs w:val="22"/>
          <w:lang w:eastAsia="en-US"/>
        </w:rPr>
        <w:lastRenderedPageBreak/>
        <w:t>itrakonazol</w:t>
      </w:r>
      <w:r w:rsidR="00915AC3" w:rsidRPr="00C21B99">
        <w:rPr>
          <w:snapToGrid w:val="0"/>
          <w:szCs w:val="22"/>
          <w:lang w:eastAsia="en-US"/>
        </w:rPr>
        <w:t>o</w:t>
      </w:r>
      <w:proofErr w:type="spellEnd"/>
      <w:r w:rsidRPr="00C21B99">
        <w:rPr>
          <w:snapToGrid w:val="0"/>
          <w:szCs w:val="22"/>
          <w:lang w:eastAsia="en-US"/>
        </w:rPr>
        <w:t xml:space="preserve"> (nuo grybelių infekcijos);</w:t>
      </w:r>
    </w:p>
    <w:p w14:paraId="4641F368" w14:textId="77777777" w:rsidR="00D14829" w:rsidRPr="00C21B99" w:rsidRDefault="00D14829" w:rsidP="00D14829">
      <w:pPr>
        <w:widowControl w:val="0"/>
        <w:numPr>
          <w:ilvl w:val="0"/>
          <w:numId w:val="33"/>
        </w:numPr>
        <w:ind w:left="567" w:right="-2" w:hanging="567"/>
        <w:rPr>
          <w:snapToGrid w:val="0"/>
          <w:szCs w:val="22"/>
          <w:lang w:eastAsia="en-US"/>
        </w:rPr>
      </w:pPr>
      <w:r w:rsidRPr="00C21B99">
        <w:rPr>
          <w:snapToGrid w:val="0"/>
          <w:szCs w:val="22"/>
          <w:lang w:eastAsia="en-US"/>
        </w:rPr>
        <w:t>barbitūrat</w:t>
      </w:r>
      <w:r w:rsidR="00915AC3" w:rsidRPr="00C21B99">
        <w:rPr>
          <w:snapToGrid w:val="0"/>
          <w:szCs w:val="22"/>
          <w:lang w:eastAsia="en-US"/>
        </w:rPr>
        <w:t>ų</w:t>
      </w:r>
      <w:r w:rsidRPr="00C21B99">
        <w:rPr>
          <w:snapToGrid w:val="0"/>
          <w:szCs w:val="22"/>
          <w:lang w:eastAsia="en-US"/>
        </w:rPr>
        <w:t xml:space="preserve"> (</w:t>
      </w:r>
      <w:r w:rsidR="00915AC3" w:rsidRPr="00C21B99">
        <w:rPr>
          <w:snapToGrid w:val="0"/>
          <w:szCs w:val="22"/>
          <w:lang w:eastAsia="en-US"/>
        </w:rPr>
        <w:t xml:space="preserve">grupė </w:t>
      </w:r>
      <w:r w:rsidRPr="00C21B99">
        <w:rPr>
          <w:snapToGrid w:val="0"/>
          <w:szCs w:val="22"/>
          <w:lang w:eastAsia="en-US"/>
        </w:rPr>
        <w:t>vaist</w:t>
      </w:r>
      <w:r w:rsidR="00915AC3" w:rsidRPr="00C21B99">
        <w:rPr>
          <w:snapToGrid w:val="0"/>
          <w:szCs w:val="22"/>
          <w:lang w:eastAsia="en-US"/>
        </w:rPr>
        <w:t>ų, vartojamų</w:t>
      </w:r>
      <w:r w:rsidRPr="00C21B99">
        <w:rPr>
          <w:snapToGrid w:val="0"/>
          <w:szCs w:val="22"/>
          <w:lang w:eastAsia="en-US"/>
        </w:rPr>
        <w:t xml:space="preserve"> nuo miego sutrikimų);</w:t>
      </w:r>
    </w:p>
    <w:p w14:paraId="6B23AE27" w14:textId="77777777" w:rsidR="00D14829" w:rsidRPr="00C21B99" w:rsidRDefault="00D14829" w:rsidP="00D14829">
      <w:pPr>
        <w:widowControl w:val="0"/>
        <w:numPr>
          <w:ilvl w:val="0"/>
          <w:numId w:val="33"/>
        </w:numPr>
        <w:ind w:left="567" w:right="-2" w:hanging="567"/>
        <w:rPr>
          <w:snapToGrid w:val="0"/>
          <w:szCs w:val="22"/>
          <w:lang w:eastAsia="en-US"/>
        </w:rPr>
      </w:pPr>
      <w:r w:rsidRPr="00C21B99">
        <w:rPr>
          <w:snapToGrid w:val="0"/>
          <w:szCs w:val="22"/>
          <w:lang w:eastAsia="en-US"/>
        </w:rPr>
        <w:t>žolinių preparatų, kurių sudėtyje yra jonažolės (</w:t>
      </w:r>
      <w:proofErr w:type="spellStart"/>
      <w:r w:rsidRPr="00C21B99">
        <w:rPr>
          <w:snapToGrid w:val="0"/>
          <w:szCs w:val="22"/>
          <w:lang w:eastAsia="en-US"/>
        </w:rPr>
        <w:t>Hypericum</w:t>
      </w:r>
      <w:proofErr w:type="spellEnd"/>
      <w:r w:rsidRPr="00C21B99">
        <w:rPr>
          <w:snapToGrid w:val="0"/>
          <w:szCs w:val="22"/>
          <w:lang w:eastAsia="en-US"/>
        </w:rPr>
        <w:t xml:space="preserve"> </w:t>
      </w:r>
      <w:proofErr w:type="spellStart"/>
      <w:r w:rsidRPr="00C21B99">
        <w:rPr>
          <w:snapToGrid w:val="0"/>
          <w:szCs w:val="22"/>
          <w:lang w:eastAsia="en-US"/>
        </w:rPr>
        <w:t>perforatum</w:t>
      </w:r>
      <w:proofErr w:type="spellEnd"/>
      <w:r w:rsidRPr="00C21B99">
        <w:rPr>
          <w:snapToGrid w:val="0"/>
          <w:szCs w:val="22"/>
          <w:lang w:eastAsia="en-US"/>
        </w:rPr>
        <w:t>, vartojam</w:t>
      </w:r>
      <w:r w:rsidR="00915AC3" w:rsidRPr="00C21B99">
        <w:rPr>
          <w:snapToGrid w:val="0"/>
          <w:szCs w:val="22"/>
          <w:lang w:eastAsia="en-US"/>
        </w:rPr>
        <w:t>os</w:t>
      </w:r>
      <w:r w:rsidRPr="00C21B99">
        <w:rPr>
          <w:snapToGrid w:val="0"/>
          <w:szCs w:val="22"/>
          <w:lang w:eastAsia="en-US"/>
        </w:rPr>
        <w:t xml:space="preserve"> nuo</w:t>
      </w:r>
      <w:r w:rsidR="00915AC3" w:rsidRPr="00C21B99">
        <w:rPr>
          <w:snapToGrid w:val="0"/>
          <w:szCs w:val="22"/>
          <w:lang w:eastAsia="en-US"/>
        </w:rPr>
        <w:t xml:space="preserve"> </w:t>
      </w:r>
      <w:r w:rsidRPr="00C21B99">
        <w:rPr>
          <w:snapToGrid w:val="0"/>
          <w:szCs w:val="22"/>
          <w:lang w:eastAsia="en-US"/>
        </w:rPr>
        <w:t>depresijos ir nerimo);</w:t>
      </w:r>
    </w:p>
    <w:p w14:paraId="52DCF20C" w14:textId="77777777" w:rsidR="00D14829" w:rsidRPr="00C21B99" w:rsidRDefault="00D14829" w:rsidP="00D14829">
      <w:pPr>
        <w:widowControl w:val="0"/>
        <w:numPr>
          <w:ilvl w:val="0"/>
          <w:numId w:val="33"/>
        </w:numPr>
        <w:ind w:left="567" w:right="-2" w:hanging="567"/>
        <w:rPr>
          <w:snapToGrid w:val="0"/>
          <w:szCs w:val="22"/>
          <w:lang w:eastAsia="en-US"/>
        </w:rPr>
      </w:pPr>
      <w:r w:rsidRPr="00C21B99">
        <w:rPr>
          <w:snapToGrid w:val="0"/>
          <w:szCs w:val="22"/>
          <w:lang w:eastAsia="en-US"/>
        </w:rPr>
        <w:t>protonų siurbl</w:t>
      </w:r>
      <w:r w:rsidR="00915AC3" w:rsidRPr="00C21B99">
        <w:rPr>
          <w:snapToGrid w:val="0"/>
          <w:szCs w:val="22"/>
          <w:lang w:eastAsia="en-US"/>
        </w:rPr>
        <w:t>io inhibitorių</w:t>
      </w:r>
      <w:r w:rsidRPr="00C21B99">
        <w:rPr>
          <w:snapToGrid w:val="0"/>
          <w:szCs w:val="22"/>
          <w:lang w:eastAsia="en-US"/>
        </w:rPr>
        <w:t>, H</w:t>
      </w:r>
      <w:r w:rsidRPr="00C21B99">
        <w:rPr>
          <w:snapToGrid w:val="0"/>
          <w:szCs w:val="22"/>
          <w:vertAlign w:val="subscript"/>
          <w:lang w:eastAsia="en-US"/>
        </w:rPr>
        <w:t>2</w:t>
      </w:r>
      <w:r w:rsidRPr="00C21B99">
        <w:rPr>
          <w:snapToGrid w:val="0"/>
          <w:szCs w:val="22"/>
          <w:lang w:eastAsia="en-US"/>
        </w:rPr>
        <w:t xml:space="preserve"> </w:t>
      </w:r>
      <w:r w:rsidR="00915AC3" w:rsidRPr="00C21B99">
        <w:rPr>
          <w:snapToGrid w:val="0"/>
          <w:szCs w:val="22"/>
          <w:lang w:eastAsia="en-US"/>
        </w:rPr>
        <w:t xml:space="preserve">receptorių </w:t>
      </w:r>
      <w:r w:rsidRPr="00C21B99">
        <w:rPr>
          <w:snapToGrid w:val="0"/>
          <w:szCs w:val="22"/>
          <w:lang w:eastAsia="en-US"/>
        </w:rPr>
        <w:t>antagonist</w:t>
      </w:r>
      <w:r w:rsidR="00915AC3" w:rsidRPr="00C21B99">
        <w:rPr>
          <w:snapToGrid w:val="0"/>
          <w:szCs w:val="22"/>
          <w:lang w:eastAsia="en-US"/>
        </w:rPr>
        <w:t>ų</w:t>
      </w:r>
      <w:r w:rsidRPr="00C21B99">
        <w:rPr>
          <w:snapToGrid w:val="0"/>
          <w:szCs w:val="22"/>
          <w:lang w:eastAsia="en-US"/>
        </w:rPr>
        <w:t xml:space="preserve"> ar skrandžio rūgštį neutralizuojanči</w:t>
      </w:r>
      <w:r w:rsidR="00915AC3" w:rsidRPr="00C21B99">
        <w:rPr>
          <w:snapToGrid w:val="0"/>
          <w:szCs w:val="22"/>
          <w:lang w:eastAsia="en-US"/>
        </w:rPr>
        <w:t>ų</w:t>
      </w:r>
      <w:r w:rsidRPr="00C21B99">
        <w:rPr>
          <w:snapToGrid w:val="0"/>
          <w:szCs w:val="22"/>
          <w:lang w:eastAsia="en-US"/>
        </w:rPr>
        <w:t xml:space="preserve"> vaist</w:t>
      </w:r>
      <w:r w:rsidR="00915AC3" w:rsidRPr="00C21B99">
        <w:rPr>
          <w:snapToGrid w:val="0"/>
          <w:szCs w:val="22"/>
          <w:lang w:eastAsia="en-US"/>
        </w:rPr>
        <w:t xml:space="preserve">ų </w:t>
      </w:r>
      <w:r w:rsidRPr="00C21B99">
        <w:rPr>
          <w:snapToGrid w:val="0"/>
          <w:szCs w:val="22"/>
          <w:lang w:eastAsia="en-US"/>
        </w:rPr>
        <w:t xml:space="preserve">(nuo opos, </w:t>
      </w:r>
      <w:proofErr w:type="spellStart"/>
      <w:r w:rsidRPr="00C21B99">
        <w:rPr>
          <w:snapToGrid w:val="0"/>
          <w:szCs w:val="22"/>
          <w:lang w:eastAsia="en-US"/>
        </w:rPr>
        <w:t>nevirškinimo</w:t>
      </w:r>
      <w:proofErr w:type="spellEnd"/>
      <w:r w:rsidRPr="00C21B99">
        <w:rPr>
          <w:snapToGrid w:val="0"/>
          <w:szCs w:val="22"/>
          <w:lang w:eastAsia="en-US"/>
        </w:rPr>
        <w:t>, rėmens, taip pat rūgšties kiekiui skrandyje sumažinti);</w:t>
      </w:r>
    </w:p>
    <w:p w14:paraId="013E9526" w14:textId="77777777" w:rsidR="00D14829" w:rsidRPr="00C21B99" w:rsidRDefault="00915AC3" w:rsidP="00915AC3">
      <w:pPr>
        <w:widowControl w:val="0"/>
        <w:ind w:right="-2"/>
        <w:rPr>
          <w:snapToGrid w:val="0"/>
          <w:szCs w:val="22"/>
          <w:lang w:eastAsia="en-US"/>
        </w:rPr>
      </w:pPr>
      <w:r w:rsidRPr="00C21B99">
        <w:rPr>
          <w:snapToGrid w:val="0"/>
          <w:szCs w:val="22"/>
          <w:lang w:eastAsia="en-US"/>
        </w:rPr>
        <w:t>Šie vaistai gali daryti įtaką</w:t>
      </w:r>
      <w:r w:rsidR="00D14829" w:rsidRPr="00C21B99">
        <w:rPr>
          <w:snapToGrid w:val="0"/>
          <w:szCs w:val="22"/>
          <w:lang w:eastAsia="en-US"/>
        </w:rPr>
        <w:t xml:space="preserve">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r w:rsidR="00D14829" w:rsidRPr="00C21B99">
        <w:rPr>
          <w:snapToGrid w:val="0"/>
          <w:szCs w:val="22"/>
          <w:lang w:eastAsia="en-US"/>
        </w:rPr>
        <w:t xml:space="preserve"> veikimui).</w:t>
      </w:r>
    </w:p>
    <w:p w14:paraId="58EC7DAA" w14:textId="77777777" w:rsidR="00D14829" w:rsidRPr="00C21B99" w:rsidRDefault="00915AC3" w:rsidP="00B52E69">
      <w:pPr>
        <w:widowControl w:val="0"/>
        <w:numPr>
          <w:ilvl w:val="0"/>
          <w:numId w:val="34"/>
        </w:numPr>
        <w:ind w:left="567" w:right="-2" w:hanging="567"/>
        <w:rPr>
          <w:snapToGrid w:val="0"/>
          <w:szCs w:val="22"/>
          <w:lang w:eastAsia="en-US"/>
        </w:rPr>
      </w:pPr>
      <w:r w:rsidRPr="00C21B99">
        <w:rPr>
          <w:snapToGrid w:val="0"/>
          <w:szCs w:val="22"/>
          <w:lang w:eastAsia="en-US"/>
        </w:rPr>
        <w:t xml:space="preserve">varfarino </w:t>
      </w:r>
      <w:r w:rsidR="00D14829" w:rsidRPr="00C21B99">
        <w:rPr>
          <w:snapToGrid w:val="0"/>
          <w:szCs w:val="22"/>
          <w:lang w:eastAsia="en-US"/>
        </w:rPr>
        <w:t>(</w:t>
      </w:r>
      <w:r w:rsidRPr="00C21B99">
        <w:rPr>
          <w:snapToGrid w:val="0"/>
          <w:szCs w:val="22"/>
          <w:lang w:eastAsia="en-US"/>
        </w:rPr>
        <w:t>vadinamojo geriamojo antikoagulianto, trukdančio atsirasti kraujo krešuliams</w:t>
      </w:r>
      <w:r w:rsidR="00B52E69" w:rsidRPr="00C21B99">
        <w:rPr>
          <w:snapToGrid w:val="0"/>
          <w:szCs w:val="22"/>
          <w:lang w:eastAsia="en-US"/>
        </w:rPr>
        <w:t>)</w:t>
      </w:r>
      <w:r w:rsidR="00D14829" w:rsidRPr="00C21B99">
        <w:rPr>
          <w:snapToGrid w:val="0"/>
          <w:szCs w:val="22"/>
          <w:lang w:eastAsia="en-US"/>
        </w:rPr>
        <w:t>. Jeigu vartojate vaist</w:t>
      </w:r>
      <w:r w:rsidR="00B52E69" w:rsidRPr="00C21B99">
        <w:rPr>
          <w:snapToGrid w:val="0"/>
          <w:szCs w:val="22"/>
          <w:lang w:eastAsia="en-US"/>
        </w:rPr>
        <w:t>o</w:t>
      </w:r>
      <w:r w:rsidR="00D14829" w:rsidRPr="00C21B99">
        <w:rPr>
          <w:snapToGrid w:val="0"/>
          <w:szCs w:val="22"/>
          <w:lang w:eastAsia="en-US"/>
        </w:rPr>
        <w:t>, kurio sudėtyje yra</w:t>
      </w:r>
      <w:r w:rsidR="00B52E69" w:rsidRPr="00C21B99">
        <w:rPr>
          <w:snapToGrid w:val="0"/>
          <w:szCs w:val="22"/>
          <w:lang w:eastAsia="en-US"/>
        </w:rPr>
        <w:t xml:space="preserve"> </w:t>
      </w:r>
      <w:r w:rsidR="00D14829" w:rsidRPr="00C21B99">
        <w:rPr>
          <w:snapToGrid w:val="0"/>
          <w:szCs w:val="22"/>
          <w:lang w:eastAsia="en-US"/>
        </w:rPr>
        <w:t xml:space="preserve">šios veikliosios medžiagos, gydytojui gali reikėti dažniau </w:t>
      </w:r>
      <w:r w:rsidR="00B52E69" w:rsidRPr="00C21B99">
        <w:rPr>
          <w:snapToGrid w:val="0"/>
          <w:szCs w:val="22"/>
          <w:lang w:eastAsia="en-US"/>
        </w:rPr>
        <w:t>atlikinėti kraujo tyrimus</w:t>
      </w:r>
      <w:r w:rsidR="00D14829" w:rsidRPr="00C21B99">
        <w:rPr>
          <w:snapToGrid w:val="0"/>
          <w:szCs w:val="22"/>
          <w:lang w:eastAsia="en-US"/>
        </w:rPr>
        <w:t>.</w:t>
      </w:r>
    </w:p>
    <w:p w14:paraId="039DB8B5" w14:textId="77777777" w:rsidR="00D14829" w:rsidRPr="00C21B99" w:rsidRDefault="00D14829" w:rsidP="00D14829">
      <w:pPr>
        <w:widowControl w:val="0"/>
        <w:numPr>
          <w:ilvl w:val="12"/>
          <w:numId w:val="0"/>
        </w:numPr>
        <w:ind w:right="-2"/>
        <w:rPr>
          <w:snapToGrid w:val="0"/>
          <w:szCs w:val="22"/>
          <w:lang w:eastAsia="en-US"/>
        </w:rPr>
      </w:pPr>
      <w:r w:rsidRPr="00C21B99">
        <w:rPr>
          <w:snapToGrid w:val="0"/>
          <w:szCs w:val="22"/>
          <w:lang w:eastAsia="en-US"/>
        </w:rPr>
        <w:t>Jeigu J</w:t>
      </w:r>
      <w:r w:rsidR="00B52E69" w:rsidRPr="00C21B99">
        <w:rPr>
          <w:snapToGrid w:val="0"/>
          <w:szCs w:val="22"/>
          <w:lang w:eastAsia="en-US"/>
        </w:rPr>
        <w:t>ums tinka bet kuris aukščiau minėtas atvejis</w:t>
      </w:r>
      <w:r w:rsidRPr="00C21B99">
        <w:rPr>
          <w:snapToGrid w:val="0"/>
          <w:szCs w:val="22"/>
          <w:lang w:eastAsia="en-US"/>
        </w:rPr>
        <w:t xml:space="preserve"> arba jeigu dėl to abejojate, apie tai pasakykite</w:t>
      </w:r>
      <w:r w:rsidR="00B52E69" w:rsidRPr="00C21B99">
        <w:rPr>
          <w:snapToGrid w:val="0"/>
          <w:szCs w:val="22"/>
          <w:lang w:eastAsia="en-US"/>
        </w:rPr>
        <w:t xml:space="preserve"> </w:t>
      </w:r>
      <w:r w:rsidRPr="00C21B99">
        <w:rPr>
          <w:snapToGrid w:val="0"/>
          <w:szCs w:val="22"/>
          <w:lang w:eastAsia="en-US"/>
        </w:rPr>
        <w:t>gydytojui arba vaistininkui prieš prad</w:t>
      </w:r>
      <w:r w:rsidR="00B52E69" w:rsidRPr="00C21B99">
        <w:rPr>
          <w:snapToGrid w:val="0"/>
          <w:szCs w:val="22"/>
          <w:lang w:eastAsia="en-US"/>
        </w:rPr>
        <w:t>edant</w:t>
      </w:r>
      <w:r w:rsidRPr="00C21B99">
        <w:rPr>
          <w:snapToGrid w:val="0"/>
          <w:szCs w:val="22"/>
          <w:lang w:eastAsia="en-US"/>
        </w:rPr>
        <w:t xml:space="preserve"> vartoti </w:t>
      </w:r>
      <w:proofErr w:type="spellStart"/>
      <w:r w:rsidR="00B52E69" w:rsidRPr="00C21B99">
        <w:rPr>
          <w:snapToGrid w:val="0"/>
          <w:szCs w:val="22"/>
          <w:lang w:eastAsia="en-US"/>
        </w:rPr>
        <w:t>Gefitinib</w:t>
      </w:r>
      <w:proofErr w:type="spellEnd"/>
      <w:r w:rsidR="00B52E69" w:rsidRPr="00C21B99">
        <w:rPr>
          <w:snapToGrid w:val="0"/>
          <w:szCs w:val="22"/>
          <w:lang w:eastAsia="en-US"/>
        </w:rPr>
        <w:t xml:space="preserve"> </w:t>
      </w:r>
      <w:proofErr w:type="spellStart"/>
      <w:r w:rsidR="00B52E69" w:rsidRPr="00C21B99">
        <w:rPr>
          <w:snapToGrid w:val="0"/>
          <w:szCs w:val="22"/>
          <w:lang w:eastAsia="en-US"/>
        </w:rPr>
        <w:t>Sandoz</w:t>
      </w:r>
      <w:proofErr w:type="spellEnd"/>
      <w:r w:rsidR="00B52E69" w:rsidRPr="00C21B99">
        <w:rPr>
          <w:snapToGrid w:val="0"/>
          <w:szCs w:val="22"/>
          <w:lang w:eastAsia="en-US"/>
        </w:rPr>
        <w:t>.</w:t>
      </w:r>
    </w:p>
    <w:p w14:paraId="54C39D71" w14:textId="77777777" w:rsidR="00D14829" w:rsidRPr="00C21B99" w:rsidRDefault="00D14829" w:rsidP="00D87EAB">
      <w:pPr>
        <w:widowControl w:val="0"/>
        <w:numPr>
          <w:ilvl w:val="12"/>
          <w:numId w:val="0"/>
        </w:numPr>
        <w:ind w:right="-2"/>
        <w:rPr>
          <w:snapToGrid w:val="0"/>
          <w:szCs w:val="22"/>
          <w:lang w:eastAsia="en-US"/>
        </w:rPr>
      </w:pPr>
    </w:p>
    <w:p w14:paraId="6F7BDFE6" w14:textId="77777777" w:rsidR="00B3762D" w:rsidRPr="00C21B99" w:rsidRDefault="00B3762D" w:rsidP="00B3762D">
      <w:pPr>
        <w:pStyle w:val="Default"/>
        <w:rPr>
          <w:sz w:val="22"/>
          <w:szCs w:val="22"/>
          <w:lang w:val="lt-LT"/>
        </w:rPr>
      </w:pPr>
      <w:r w:rsidRPr="00C21B99">
        <w:rPr>
          <w:b/>
          <w:bCs/>
          <w:sz w:val="22"/>
          <w:szCs w:val="22"/>
          <w:lang w:val="lt-LT"/>
        </w:rPr>
        <w:t>Nėštumas</w:t>
      </w:r>
      <w:r w:rsidR="006939FA">
        <w:rPr>
          <w:b/>
          <w:bCs/>
          <w:sz w:val="22"/>
          <w:szCs w:val="22"/>
          <w:lang w:val="lt-LT"/>
        </w:rPr>
        <w:t xml:space="preserve">, </w:t>
      </w:r>
      <w:r w:rsidR="00CE7CF3" w:rsidRPr="00C21B99">
        <w:rPr>
          <w:b/>
          <w:bCs/>
          <w:sz w:val="22"/>
          <w:szCs w:val="22"/>
          <w:lang w:val="lt-LT"/>
        </w:rPr>
        <w:t>žindymo laikotarpis</w:t>
      </w:r>
      <w:r w:rsidRPr="00C21B99">
        <w:rPr>
          <w:b/>
          <w:bCs/>
          <w:sz w:val="22"/>
          <w:szCs w:val="22"/>
          <w:lang w:val="lt-LT"/>
        </w:rPr>
        <w:t xml:space="preserve"> </w:t>
      </w:r>
      <w:r w:rsidR="006939FA">
        <w:rPr>
          <w:b/>
          <w:bCs/>
          <w:sz w:val="22"/>
          <w:szCs w:val="22"/>
          <w:lang w:val="lt-LT"/>
        </w:rPr>
        <w:t>ir vaisingumas</w:t>
      </w:r>
    </w:p>
    <w:p w14:paraId="7E497150" w14:textId="77777777" w:rsidR="00B3762D" w:rsidRPr="00C21B99" w:rsidRDefault="00B3762D" w:rsidP="00B3762D">
      <w:pPr>
        <w:pStyle w:val="Default"/>
        <w:rPr>
          <w:sz w:val="22"/>
          <w:szCs w:val="22"/>
          <w:lang w:val="lt-LT"/>
        </w:rPr>
      </w:pPr>
      <w:r w:rsidRPr="00C21B99">
        <w:rPr>
          <w:sz w:val="22"/>
          <w:szCs w:val="22"/>
          <w:lang w:val="lt-LT"/>
        </w:rPr>
        <w:t xml:space="preserve">Jeigu esate nėščia, žindote kūdikį, manote, kad galbūt esate nėščia arba planuojate pastoti, tai prieš vartodama šį vaistą pasitarkite su gydytoju arba vaistininku. </w:t>
      </w:r>
    </w:p>
    <w:p w14:paraId="628D0684" w14:textId="77777777" w:rsidR="00CE7CF3" w:rsidRPr="00C21B99" w:rsidRDefault="00CE7CF3" w:rsidP="00B3762D">
      <w:pPr>
        <w:pStyle w:val="Default"/>
        <w:rPr>
          <w:b/>
          <w:bCs/>
          <w:sz w:val="22"/>
          <w:szCs w:val="22"/>
          <w:lang w:val="lt-LT"/>
        </w:rPr>
      </w:pPr>
    </w:p>
    <w:p w14:paraId="573FEAEA" w14:textId="77777777" w:rsidR="00B52E69" w:rsidRPr="00C21B99" w:rsidRDefault="00B52E69" w:rsidP="00B52E69">
      <w:pPr>
        <w:pStyle w:val="Default"/>
        <w:rPr>
          <w:bCs/>
          <w:sz w:val="22"/>
          <w:szCs w:val="22"/>
          <w:lang w:val="lt-LT"/>
        </w:rPr>
      </w:pPr>
      <w:r w:rsidRPr="00C21B99">
        <w:rPr>
          <w:bCs/>
          <w:sz w:val="22"/>
          <w:szCs w:val="22"/>
          <w:lang w:val="lt-LT"/>
        </w:rPr>
        <w:t>Gydymo</w:t>
      </w:r>
      <w:r w:rsidRPr="00C21B99">
        <w:rPr>
          <w:lang w:val="lt-LT"/>
        </w:rPr>
        <w:t xml:space="preserve"> </w:t>
      </w:r>
      <w:proofErr w:type="spellStart"/>
      <w:r w:rsidRPr="00C21B99">
        <w:rPr>
          <w:bCs/>
          <w:sz w:val="22"/>
          <w:szCs w:val="22"/>
          <w:lang w:val="lt-LT"/>
        </w:rPr>
        <w:t>Gefitinib</w:t>
      </w:r>
      <w:proofErr w:type="spellEnd"/>
      <w:r w:rsidRPr="00C21B99">
        <w:rPr>
          <w:bCs/>
          <w:sz w:val="22"/>
          <w:szCs w:val="22"/>
          <w:lang w:val="lt-LT"/>
        </w:rPr>
        <w:t xml:space="preserve"> </w:t>
      </w:r>
      <w:proofErr w:type="spellStart"/>
      <w:r w:rsidRPr="00C21B99">
        <w:rPr>
          <w:bCs/>
          <w:sz w:val="22"/>
          <w:szCs w:val="22"/>
          <w:lang w:val="lt-LT"/>
        </w:rPr>
        <w:t>Sandoz</w:t>
      </w:r>
      <w:proofErr w:type="spellEnd"/>
      <w:r w:rsidRPr="00C21B99">
        <w:rPr>
          <w:bCs/>
          <w:sz w:val="22"/>
          <w:szCs w:val="22"/>
          <w:lang w:val="lt-LT"/>
        </w:rPr>
        <w:t xml:space="preserve"> metu rekomenduojama saugotis nuo</w:t>
      </w:r>
      <w:r w:rsidR="00C21B99">
        <w:rPr>
          <w:bCs/>
          <w:sz w:val="22"/>
          <w:szCs w:val="22"/>
          <w:lang w:val="lt-LT"/>
        </w:rPr>
        <w:t xml:space="preserve"> </w:t>
      </w:r>
      <w:r w:rsidRPr="00C21B99">
        <w:rPr>
          <w:bCs/>
          <w:sz w:val="22"/>
          <w:szCs w:val="22"/>
          <w:lang w:val="lt-LT"/>
        </w:rPr>
        <w:t xml:space="preserve">pastojimo, kadangi </w:t>
      </w:r>
      <w:proofErr w:type="spellStart"/>
      <w:r w:rsidRPr="00C21B99">
        <w:rPr>
          <w:bCs/>
          <w:sz w:val="22"/>
          <w:szCs w:val="22"/>
          <w:lang w:val="lt-LT"/>
        </w:rPr>
        <w:t>Gefitinib</w:t>
      </w:r>
      <w:proofErr w:type="spellEnd"/>
      <w:r w:rsidRPr="00C21B99">
        <w:rPr>
          <w:bCs/>
          <w:sz w:val="22"/>
          <w:szCs w:val="22"/>
          <w:lang w:val="lt-LT"/>
        </w:rPr>
        <w:t xml:space="preserve"> </w:t>
      </w:r>
      <w:proofErr w:type="spellStart"/>
      <w:r w:rsidRPr="00C21B99">
        <w:rPr>
          <w:bCs/>
          <w:sz w:val="22"/>
          <w:szCs w:val="22"/>
          <w:lang w:val="lt-LT"/>
        </w:rPr>
        <w:t>Sandoz</w:t>
      </w:r>
      <w:proofErr w:type="spellEnd"/>
      <w:r w:rsidRPr="00C21B99">
        <w:rPr>
          <w:bCs/>
          <w:sz w:val="22"/>
          <w:szCs w:val="22"/>
          <w:lang w:val="lt-LT"/>
        </w:rPr>
        <w:t xml:space="preserve"> gali pakenkti Jūsų kūdikiui.</w:t>
      </w:r>
    </w:p>
    <w:p w14:paraId="4A24019A" w14:textId="77777777" w:rsidR="00B52E69" w:rsidRPr="00C21B99" w:rsidRDefault="00B52E69" w:rsidP="00B52E69">
      <w:pPr>
        <w:pStyle w:val="Default"/>
        <w:rPr>
          <w:bCs/>
          <w:sz w:val="22"/>
          <w:szCs w:val="22"/>
          <w:lang w:val="lt-LT"/>
        </w:rPr>
      </w:pPr>
      <w:r w:rsidRPr="00C21B99">
        <w:rPr>
          <w:bCs/>
          <w:sz w:val="22"/>
          <w:szCs w:val="22"/>
          <w:lang w:val="lt-LT"/>
        </w:rPr>
        <w:t xml:space="preserve">Nevartokite </w:t>
      </w:r>
      <w:proofErr w:type="spellStart"/>
      <w:r w:rsidRPr="00C21B99">
        <w:rPr>
          <w:bCs/>
          <w:sz w:val="22"/>
          <w:szCs w:val="22"/>
          <w:lang w:val="lt-LT"/>
        </w:rPr>
        <w:t>Gefitinib</w:t>
      </w:r>
      <w:proofErr w:type="spellEnd"/>
      <w:r w:rsidRPr="00C21B99">
        <w:rPr>
          <w:bCs/>
          <w:sz w:val="22"/>
          <w:szCs w:val="22"/>
          <w:lang w:val="lt-LT"/>
        </w:rPr>
        <w:t xml:space="preserve"> </w:t>
      </w:r>
      <w:proofErr w:type="spellStart"/>
      <w:r w:rsidRPr="00C21B99">
        <w:rPr>
          <w:bCs/>
          <w:sz w:val="22"/>
          <w:szCs w:val="22"/>
          <w:lang w:val="lt-LT"/>
        </w:rPr>
        <w:t>Sandoz</w:t>
      </w:r>
      <w:proofErr w:type="spellEnd"/>
      <w:r w:rsidRPr="00C21B99">
        <w:rPr>
          <w:bCs/>
          <w:sz w:val="22"/>
          <w:szCs w:val="22"/>
          <w:lang w:val="lt-LT"/>
        </w:rPr>
        <w:t>, jeigu esate žindyvė dėl Jūsų kūdikio saugumo.</w:t>
      </w:r>
    </w:p>
    <w:p w14:paraId="625E4EAE" w14:textId="77777777" w:rsidR="00B52E69" w:rsidRPr="00C21B99" w:rsidRDefault="00B52E69" w:rsidP="00B52E69">
      <w:pPr>
        <w:pStyle w:val="Default"/>
        <w:rPr>
          <w:bCs/>
          <w:sz w:val="22"/>
          <w:szCs w:val="22"/>
          <w:lang w:val="lt-LT"/>
        </w:rPr>
      </w:pPr>
    </w:p>
    <w:p w14:paraId="56FD4BF7" w14:textId="77777777" w:rsidR="00B52E69" w:rsidRPr="00C21B99" w:rsidRDefault="00B52E69" w:rsidP="00B52E69">
      <w:pPr>
        <w:pStyle w:val="Default"/>
        <w:rPr>
          <w:b/>
          <w:bCs/>
          <w:sz w:val="22"/>
          <w:szCs w:val="22"/>
          <w:lang w:val="lt-LT"/>
        </w:rPr>
      </w:pPr>
      <w:r w:rsidRPr="00C21B99">
        <w:rPr>
          <w:b/>
          <w:bCs/>
          <w:sz w:val="22"/>
          <w:szCs w:val="22"/>
          <w:lang w:val="lt-LT"/>
        </w:rPr>
        <w:t>Vairavimas ir mechanizmų valdymas</w:t>
      </w:r>
    </w:p>
    <w:p w14:paraId="4E582C01" w14:textId="77777777" w:rsidR="00B52E69" w:rsidRPr="00C21B99" w:rsidRDefault="00B52E69" w:rsidP="00B52E69">
      <w:pPr>
        <w:pStyle w:val="Default"/>
        <w:rPr>
          <w:bCs/>
          <w:sz w:val="22"/>
          <w:szCs w:val="22"/>
          <w:lang w:val="lt-LT"/>
        </w:rPr>
      </w:pPr>
      <w:r w:rsidRPr="00C21B99">
        <w:rPr>
          <w:bCs/>
          <w:sz w:val="22"/>
          <w:szCs w:val="22"/>
          <w:lang w:val="lt-LT"/>
        </w:rPr>
        <w:t>Jeigu vartojant šio vaisto jaučiate silpnumą, vairuojant ar valdant mechanizmus laikykitės atsargumo.</w:t>
      </w:r>
    </w:p>
    <w:p w14:paraId="279D0412" w14:textId="77777777" w:rsidR="00B52E69" w:rsidRPr="00C21B99" w:rsidRDefault="00B52E69" w:rsidP="00B52E69">
      <w:pPr>
        <w:pStyle w:val="Default"/>
        <w:rPr>
          <w:bCs/>
          <w:sz w:val="22"/>
          <w:szCs w:val="22"/>
          <w:lang w:val="lt-LT"/>
        </w:rPr>
      </w:pPr>
    </w:p>
    <w:p w14:paraId="4DB1FAFC" w14:textId="7BA80474" w:rsidR="00B52E69" w:rsidRDefault="00B52E69" w:rsidP="00B52E69">
      <w:pPr>
        <w:pStyle w:val="Default"/>
        <w:rPr>
          <w:b/>
          <w:bCs/>
          <w:sz w:val="22"/>
          <w:szCs w:val="22"/>
          <w:lang w:val="lt-LT"/>
        </w:rPr>
      </w:pPr>
      <w:proofErr w:type="spellStart"/>
      <w:r w:rsidRPr="006675D7">
        <w:rPr>
          <w:b/>
          <w:bCs/>
          <w:sz w:val="22"/>
          <w:szCs w:val="22"/>
          <w:lang w:val="lt-LT"/>
        </w:rPr>
        <w:t>Gefitinib</w:t>
      </w:r>
      <w:proofErr w:type="spellEnd"/>
      <w:r w:rsidRPr="006675D7">
        <w:rPr>
          <w:b/>
          <w:bCs/>
          <w:sz w:val="22"/>
          <w:szCs w:val="22"/>
          <w:lang w:val="lt-LT"/>
        </w:rPr>
        <w:t xml:space="preserve"> </w:t>
      </w:r>
      <w:proofErr w:type="spellStart"/>
      <w:r w:rsidRPr="006675D7">
        <w:rPr>
          <w:b/>
          <w:bCs/>
          <w:sz w:val="22"/>
          <w:szCs w:val="22"/>
          <w:lang w:val="lt-LT"/>
        </w:rPr>
        <w:t>Sandoz</w:t>
      </w:r>
      <w:proofErr w:type="spellEnd"/>
      <w:r w:rsidRPr="006675D7">
        <w:rPr>
          <w:b/>
          <w:bCs/>
          <w:sz w:val="22"/>
          <w:szCs w:val="22"/>
          <w:lang w:val="lt-LT"/>
        </w:rPr>
        <w:t xml:space="preserve"> sudėtyje yra </w:t>
      </w:r>
      <w:r w:rsidR="006E0DFA">
        <w:rPr>
          <w:b/>
          <w:bCs/>
          <w:sz w:val="22"/>
          <w:szCs w:val="22"/>
          <w:lang w:val="lt-LT"/>
        </w:rPr>
        <w:t xml:space="preserve">natrio ir </w:t>
      </w:r>
      <w:r w:rsidRPr="006675D7">
        <w:rPr>
          <w:b/>
          <w:bCs/>
          <w:sz w:val="22"/>
          <w:szCs w:val="22"/>
          <w:lang w:val="lt-LT"/>
        </w:rPr>
        <w:t>laktozės</w:t>
      </w:r>
    </w:p>
    <w:p w14:paraId="3FF66439" w14:textId="77777777" w:rsidR="006E0DFA" w:rsidRDefault="006E0DFA" w:rsidP="00B52E69">
      <w:pPr>
        <w:pStyle w:val="Default"/>
        <w:rPr>
          <w:b/>
          <w:bCs/>
          <w:sz w:val="22"/>
          <w:szCs w:val="22"/>
          <w:lang w:val="lt-LT"/>
        </w:rPr>
      </w:pPr>
    </w:p>
    <w:p w14:paraId="596F76E5" w14:textId="77BFD1B2" w:rsidR="006E0DFA" w:rsidRPr="0023469D" w:rsidRDefault="006E0DFA" w:rsidP="0023469D">
      <w:pPr>
        <w:widowControl w:val="0"/>
        <w:tabs>
          <w:tab w:val="left" w:pos="567"/>
        </w:tabs>
        <w:rPr>
          <w:snapToGrid w:val="0"/>
          <w:szCs w:val="22"/>
          <w:lang w:eastAsia="en-US"/>
        </w:rPr>
      </w:pPr>
      <w:r w:rsidRPr="006433D3">
        <w:rPr>
          <w:snapToGrid w:val="0"/>
          <w:szCs w:val="22"/>
          <w:lang w:eastAsia="en-US"/>
        </w:rPr>
        <w:t xml:space="preserve">Šio vaisto plėvele dengtoje tabletėje yra mažiau kaip 1 </w:t>
      </w:r>
      <w:proofErr w:type="spellStart"/>
      <w:r w:rsidRPr="006433D3">
        <w:rPr>
          <w:snapToGrid w:val="0"/>
          <w:szCs w:val="22"/>
          <w:lang w:eastAsia="en-US"/>
        </w:rPr>
        <w:t>mmol</w:t>
      </w:r>
      <w:proofErr w:type="spellEnd"/>
      <w:r w:rsidRPr="006433D3">
        <w:rPr>
          <w:snapToGrid w:val="0"/>
          <w:szCs w:val="22"/>
          <w:lang w:eastAsia="en-US"/>
        </w:rPr>
        <w:t xml:space="preserve"> (23 mg) natrio, t.</w:t>
      </w:r>
      <w:r w:rsidR="00687E51">
        <w:rPr>
          <w:snapToGrid w:val="0"/>
          <w:szCs w:val="22"/>
          <w:lang w:eastAsia="en-US"/>
        </w:rPr>
        <w:t xml:space="preserve"> </w:t>
      </w:r>
      <w:r w:rsidRPr="006433D3">
        <w:rPr>
          <w:snapToGrid w:val="0"/>
          <w:szCs w:val="22"/>
          <w:lang w:eastAsia="en-US"/>
        </w:rPr>
        <w:t>y. jis beveik</w:t>
      </w:r>
      <w:r w:rsidR="00687E51">
        <w:rPr>
          <w:snapToGrid w:val="0"/>
          <w:szCs w:val="22"/>
          <w:lang w:eastAsia="en-US"/>
        </w:rPr>
        <w:t xml:space="preserve"> </w:t>
      </w:r>
      <w:r w:rsidRPr="006433D3">
        <w:rPr>
          <w:snapToGrid w:val="0"/>
          <w:szCs w:val="22"/>
          <w:lang w:eastAsia="en-US"/>
        </w:rPr>
        <w:t>neturi reikšmės.</w:t>
      </w:r>
    </w:p>
    <w:p w14:paraId="24311253" w14:textId="77777777" w:rsidR="00034887" w:rsidRPr="00C21B99" w:rsidRDefault="00B52E69" w:rsidP="00B52E69">
      <w:pPr>
        <w:pStyle w:val="Default"/>
        <w:rPr>
          <w:sz w:val="22"/>
          <w:szCs w:val="22"/>
          <w:lang w:val="lt-LT"/>
        </w:rPr>
      </w:pPr>
      <w:r w:rsidRPr="00C21B99">
        <w:rPr>
          <w:bCs/>
          <w:sz w:val="22"/>
          <w:szCs w:val="22"/>
          <w:lang w:val="lt-LT"/>
        </w:rPr>
        <w:t>Jeigu gydytojas Jums yra sakęs, kad netoleruojate kokių nors angliavandenių, kreipkitės į jį, prieš pradėdami vartoti šį vaistą.</w:t>
      </w:r>
    </w:p>
    <w:p w14:paraId="0998B98C" w14:textId="77777777" w:rsidR="00034887" w:rsidRPr="00C21B99" w:rsidRDefault="00034887" w:rsidP="00B3762D">
      <w:pPr>
        <w:pStyle w:val="Default"/>
        <w:rPr>
          <w:b/>
          <w:bCs/>
          <w:sz w:val="22"/>
          <w:szCs w:val="22"/>
          <w:lang w:val="lt-LT"/>
        </w:rPr>
      </w:pPr>
    </w:p>
    <w:p w14:paraId="4312D699" w14:textId="77777777" w:rsidR="00034887" w:rsidRPr="00C21B99" w:rsidRDefault="00034887" w:rsidP="00B3762D">
      <w:pPr>
        <w:pStyle w:val="Default"/>
        <w:rPr>
          <w:b/>
          <w:bCs/>
          <w:sz w:val="22"/>
          <w:szCs w:val="22"/>
          <w:lang w:val="lt-LT"/>
        </w:rPr>
      </w:pPr>
    </w:p>
    <w:p w14:paraId="44BF81E6" w14:textId="77777777" w:rsidR="00B3762D" w:rsidRPr="00C21B99" w:rsidRDefault="00B3762D" w:rsidP="00B3762D">
      <w:pPr>
        <w:pStyle w:val="Default"/>
        <w:rPr>
          <w:sz w:val="22"/>
          <w:szCs w:val="22"/>
          <w:lang w:val="lt-LT"/>
        </w:rPr>
      </w:pPr>
      <w:r w:rsidRPr="00C21B99">
        <w:rPr>
          <w:b/>
          <w:bCs/>
          <w:sz w:val="22"/>
          <w:szCs w:val="22"/>
          <w:lang w:val="lt-LT"/>
        </w:rPr>
        <w:t>3.</w:t>
      </w:r>
      <w:r w:rsidR="00034887" w:rsidRPr="00C21B99">
        <w:rPr>
          <w:b/>
          <w:bCs/>
          <w:sz w:val="22"/>
          <w:szCs w:val="22"/>
          <w:lang w:val="lt-LT"/>
        </w:rPr>
        <w:tab/>
      </w:r>
      <w:r w:rsidRPr="00C21B99">
        <w:rPr>
          <w:b/>
          <w:bCs/>
          <w:sz w:val="22"/>
          <w:szCs w:val="22"/>
          <w:lang w:val="lt-LT"/>
        </w:rPr>
        <w:t xml:space="preserve">Kaip vartoti </w:t>
      </w:r>
      <w:proofErr w:type="spellStart"/>
      <w:r w:rsidR="001B2891" w:rsidRPr="00C21B99">
        <w:rPr>
          <w:b/>
          <w:bCs/>
          <w:sz w:val="22"/>
          <w:szCs w:val="22"/>
          <w:lang w:val="lt-LT"/>
        </w:rPr>
        <w:t>Gefitinib</w:t>
      </w:r>
      <w:proofErr w:type="spellEnd"/>
      <w:r w:rsidR="001B2891" w:rsidRPr="00C21B99">
        <w:rPr>
          <w:b/>
          <w:bCs/>
          <w:sz w:val="22"/>
          <w:szCs w:val="22"/>
          <w:lang w:val="lt-LT"/>
        </w:rPr>
        <w:t xml:space="preserve"> </w:t>
      </w:r>
      <w:proofErr w:type="spellStart"/>
      <w:r w:rsidR="001B2891" w:rsidRPr="00C21B99">
        <w:rPr>
          <w:b/>
          <w:bCs/>
          <w:sz w:val="22"/>
          <w:szCs w:val="22"/>
          <w:lang w:val="lt-LT"/>
        </w:rPr>
        <w:t>Sandoz</w:t>
      </w:r>
      <w:proofErr w:type="spellEnd"/>
      <w:r w:rsidRPr="00C21B99">
        <w:rPr>
          <w:b/>
          <w:bCs/>
          <w:sz w:val="22"/>
          <w:szCs w:val="22"/>
          <w:lang w:val="lt-LT"/>
        </w:rPr>
        <w:t xml:space="preserve"> </w:t>
      </w:r>
    </w:p>
    <w:p w14:paraId="01E737FD" w14:textId="77777777" w:rsidR="00034887" w:rsidRPr="00C21B99" w:rsidRDefault="00034887" w:rsidP="00B3762D">
      <w:pPr>
        <w:pStyle w:val="Default"/>
        <w:rPr>
          <w:sz w:val="22"/>
          <w:szCs w:val="22"/>
          <w:lang w:val="lt-LT"/>
        </w:rPr>
      </w:pPr>
    </w:p>
    <w:p w14:paraId="1E5B99D0" w14:textId="77777777" w:rsidR="00B3762D" w:rsidRPr="00C21B99" w:rsidRDefault="00B3762D" w:rsidP="00B3762D">
      <w:pPr>
        <w:pStyle w:val="Default"/>
        <w:rPr>
          <w:sz w:val="22"/>
          <w:szCs w:val="22"/>
          <w:lang w:val="lt-LT"/>
        </w:rPr>
      </w:pPr>
      <w:r w:rsidRPr="00C21B99">
        <w:rPr>
          <w:sz w:val="22"/>
          <w:szCs w:val="22"/>
          <w:lang w:val="lt-LT"/>
        </w:rPr>
        <w:t xml:space="preserve">Visada vartokite šį vaistą tiksliai kaip nurodė gydytojas. Jeigu abejojate, kreipkitės į gydytoją arba vaistininką. </w:t>
      </w:r>
    </w:p>
    <w:p w14:paraId="3B287D2F" w14:textId="77777777" w:rsidR="001B2891" w:rsidRPr="00C21B99" w:rsidRDefault="001B2891" w:rsidP="001B2891">
      <w:pPr>
        <w:widowControl w:val="0"/>
        <w:numPr>
          <w:ilvl w:val="0"/>
          <w:numId w:val="35"/>
        </w:numPr>
        <w:ind w:left="567" w:right="-2" w:hanging="567"/>
        <w:rPr>
          <w:szCs w:val="22"/>
        </w:rPr>
      </w:pPr>
      <w:r w:rsidRPr="00C21B99">
        <w:rPr>
          <w:szCs w:val="22"/>
        </w:rPr>
        <w:t>Rekomenduojama dozė yra viena 250 mg tabletė per parą.</w:t>
      </w:r>
    </w:p>
    <w:p w14:paraId="1B573C88" w14:textId="77777777" w:rsidR="001B2891" w:rsidRPr="00C21B99" w:rsidRDefault="001B2891" w:rsidP="001B2891">
      <w:pPr>
        <w:widowControl w:val="0"/>
        <w:numPr>
          <w:ilvl w:val="0"/>
          <w:numId w:val="35"/>
        </w:numPr>
        <w:ind w:left="567" w:right="-2" w:hanging="567"/>
        <w:rPr>
          <w:szCs w:val="22"/>
        </w:rPr>
      </w:pPr>
      <w:r w:rsidRPr="00C21B99">
        <w:rPr>
          <w:szCs w:val="22"/>
        </w:rPr>
        <w:t>Gerkite tabletę kasdien maždaug tuo pačiu laiku.</w:t>
      </w:r>
    </w:p>
    <w:p w14:paraId="7CB9F9AE" w14:textId="77777777" w:rsidR="001B2891" w:rsidRPr="00C21B99" w:rsidRDefault="001B2891" w:rsidP="001B2891">
      <w:pPr>
        <w:widowControl w:val="0"/>
        <w:numPr>
          <w:ilvl w:val="0"/>
          <w:numId w:val="35"/>
        </w:numPr>
        <w:ind w:left="567" w:right="-2" w:hanging="567"/>
        <w:rPr>
          <w:szCs w:val="22"/>
        </w:rPr>
      </w:pPr>
      <w:r w:rsidRPr="00C21B99">
        <w:rPr>
          <w:szCs w:val="22"/>
        </w:rPr>
        <w:t>Tabletę galite gerti valgant arba kitu laiku.</w:t>
      </w:r>
    </w:p>
    <w:p w14:paraId="05AC84F8" w14:textId="77777777" w:rsidR="001B2891" w:rsidRPr="00C21B99" w:rsidRDefault="001B2891" w:rsidP="001B2891">
      <w:pPr>
        <w:widowControl w:val="0"/>
        <w:numPr>
          <w:ilvl w:val="0"/>
          <w:numId w:val="35"/>
        </w:numPr>
        <w:ind w:right="-2"/>
        <w:rPr>
          <w:szCs w:val="22"/>
        </w:rPr>
      </w:pPr>
      <w:r w:rsidRPr="00C21B99">
        <w:rPr>
          <w:szCs w:val="22"/>
        </w:rPr>
        <w:t xml:space="preserve">Negerkite skrandžio rūgštį neutralizuojančių vaistų (jie skirti rūgšties kiekiui skrandyje mažinti) 2 val. iki </w:t>
      </w:r>
      <w:proofErr w:type="spellStart"/>
      <w:r w:rsidRPr="00C21B99">
        <w:rPr>
          <w:szCs w:val="22"/>
        </w:rPr>
        <w:t>Gefitinib</w:t>
      </w:r>
      <w:proofErr w:type="spellEnd"/>
      <w:r w:rsidRPr="00C21B99">
        <w:rPr>
          <w:szCs w:val="22"/>
        </w:rPr>
        <w:t xml:space="preserve"> </w:t>
      </w:r>
      <w:proofErr w:type="spellStart"/>
      <w:r w:rsidRPr="00C21B99">
        <w:rPr>
          <w:szCs w:val="22"/>
        </w:rPr>
        <w:t>Sandoz</w:t>
      </w:r>
      <w:proofErr w:type="spellEnd"/>
      <w:r w:rsidRPr="00C21B99">
        <w:rPr>
          <w:szCs w:val="22"/>
        </w:rPr>
        <w:t xml:space="preserve"> vartojimo ir 1 val. po jo.</w:t>
      </w:r>
    </w:p>
    <w:p w14:paraId="4675E234" w14:textId="77777777" w:rsidR="001B2891" w:rsidRPr="00C21B99" w:rsidRDefault="001B2891" w:rsidP="001B2891">
      <w:pPr>
        <w:widowControl w:val="0"/>
        <w:numPr>
          <w:ilvl w:val="12"/>
          <w:numId w:val="0"/>
        </w:numPr>
        <w:ind w:right="-2"/>
        <w:rPr>
          <w:szCs w:val="22"/>
        </w:rPr>
      </w:pPr>
    </w:p>
    <w:p w14:paraId="3373C300" w14:textId="77777777" w:rsidR="001B2891" w:rsidRPr="00C21B99" w:rsidRDefault="001B2891" w:rsidP="001B2891">
      <w:pPr>
        <w:widowControl w:val="0"/>
        <w:numPr>
          <w:ilvl w:val="12"/>
          <w:numId w:val="0"/>
        </w:numPr>
        <w:ind w:right="-2"/>
        <w:rPr>
          <w:szCs w:val="22"/>
        </w:rPr>
      </w:pPr>
      <w:r w:rsidRPr="00C21B99">
        <w:rPr>
          <w:szCs w:val="22"/>
        </w:rPr>
        <w:t>Jeigu sunku nuryti tabletę, ištirpinkite ją pusėje stiklinės negazuoto (neputojančio) vandens. Kitų skysčių naudoti negalima. Tabletės negalima traiškyti. Pasukiokite stiklinę su vandeniu, kol tabletė ištirps (tai gali trukti iki 20 min.) ir skystį tuoj pat išgerkite. Kad būtų suvartotas visas vaistas, gerai praskalaukite stiklinę puse stiklinės vandens ir jį išgerkite.</w:t>
      </w:r>
    </w:p>
    <w:p w14:paraId="7B0CB63B" w14:textId="77777777" w:rsidR="001B2891" w:rsidRPr="00C21B99" w:rsidRDefault="001B2891" w:rsidP="001B2891">
      <w:pPr>
        <w:widowControl w:val="0"/>
        <w:numPr>
          <w:ilvl w:val="12"/>
          <w:numId w:val="0"/>
        </w:numPr>
        <w:ind w:right="-2"/>
        <w:rPr>
          <w:szCs w:val="22"/>
        </w:rPr>
      </w:pPr>
    </w:p>
    <w:p w14:paraId="31B7F078" w14:textId="77777777" w:rsidR="001B2891" w:rsidRPr="00C21B99" w:rsidRDefault="001B2891" w:rsidP="001B2891">
      <w:pPr>
        <w:widowControl w:val="0"/>
        <w:numPr>
          <w:ilvl w:val="12"/>
          <w:numId w:val="0"/>
        </w:numPr>
        <w:ind w:right="-2"/>
        <w:rPr>
          <w:b/>
          <w:szCs w:val="22"/>
        </w:rPr>
      </w:pPr>
      <w:r w:rsidRPr="00C21B99">
        <w:rPr>
          <w:b/>
          <w:szCs w:val="22"/>
        </w:rPr>
        <w:t xml:space="preserve">Pavartojus per didelę </w:t>
      </w:r>
      <w:proofErr w:type="spellStart"/>
      <w:r w:rsidRPr="00C21B99">
        <w:rPr>
          <w:b/>
          <w:szCs w:val="22"/>
        </w:rPr>
        <w:t>Gefitinib</w:t>
      </w:r>
      <w:proofErr w:type="spellEnd"/>
      <w:r w:rsidRPr="00C21B99">
        <w:rPr>
          <w:b/>
          <w:szCs w:val="22"/>
        </w:rPr>
        <w:t xml:space="preserve"> </w:t>
      </w:r>
      <w:proofErr w:type="spellStart"/>
      <w:r w:rsidRPr="00C21B99">
        <w:rPr>
          <w:b/>
          <w:szCs w:val="22"/>
        </w:rPr>
        <w:t>Sandoz</w:t>
      </w:r>
      <w:proofErr w:type="spellEnd"/>
      <w:r w:rsidRPr="00C21B99">
        <w:rPr>
          <w:b/>
          <w:szCs w:val="22"/>
        </w:rPr>
        <w:t xml:space="preserve"> dozę</w:t>
      </w:r>
    </w:p>
    <w:p w14:paraId="7890E8F5" w14:textId="77777777" w:rsidR="001B2891" w:rsidRPr="00C21B99" w:rsidRDefault="001B2891" w:rsidP="001B2891">
      <w:pPr>
        <w:widowControl w:val="0"/>
        <w:numPr>
          <w:ilvl w:val="12"/>
          <w:numId w:val="0"/>
        </w:numPr>
        <w:ind w:right="-2"/>
        <w:rPr>
          <w:szCs w:val="22"/>
        </w:rPr>
      </w:pPr>
      <w:r w:rsidRPr="00C21B99">
        <w:rPr>
          <w:szCs w:val="22"/>
        </w:rPr>
        <w:t>Išgėrus per daug tablečių, nedels</w:t>
      </w:r>
      <w:r w:rsidR="00B8654E" w:rsidRPr="00C21B99">
        <w:rPr>
          <w:szCs w:val="22"/>
        </w:rPr>
        <w:t>dami</w:t>
      </w:r>
      <w:r w:rsidRPr="00C21B99">
        <w:rPr>
          <w:szCs w:val="22"/>
        </w:rPr>
        <w:t xml:space="preserve"> praneškite gydytojui arba vaistininkui.</w:t>
      </w:r>
    </w:p>
    <w:p w14:paraId="6A45F623" w14:textId="77777777" w:rsidR="001B2891" w:rsidRPr="00C21B99" w:rsidRDefault="001B2891" w:rsidP="001B2891">
      <w:pPr>
        <w:widowControl w:val="0"/>
        <w:numPr>
          <w:ilvl w:val="12"/>
          <w:numId w:val="0"/>
        </w:numPr>
        <w:ind w:right="-2"/>
        <w:rPr>
          <w:szCs w:val="22"/>
        </w:rPr>
      </w:pPr>
    </w:p>
    <w:p w14:paraId="190095BA" w14:textId="77777777" w:rsidR="001B2891" w:rsidRPr="00C21B99" w:rsidRDefault="001B2891" w:rsidP="001B2891">
      <w:pPr>
        <w:widowControl w:val="0"/>
        <w:numPr>
          <w:ilvl w:val="12"/>
          <w:numId w:val="0"/>
        </w:numPr>
        <w:ind w:right="-2"/>
        <w:rPr>
          <w:b/>
          <w:szCs w:val="22"/>
        </w:rPr>
      </w:pPr>
      <w:r w:rsidRPr="00C21B99">
        <w:rPr>
          <w:b/>
          <w:szCs w:val="22"/>
        </w:rPr>
        <w:t xml:space="preserve">Pamiršus pavartoti </w:t>
      </w:r>
      <w:proofErr w:type="spellStart"/>
      <w:r w:rsidRPr="00C21B99">
        <w:rPr>
          <w:b/>
          <w:szCs w:val="22"/>
        </w:rPr>
        <w:t>Gefitinib</w:t>
      </w:r>
      <w:proofErr w:type="spellEnd"/>
      <w:r w:rsidRPr="00C21B99">
        <w:rPr>
          <w:b/>
          <w:szCs w:val="22"/>
        </w:rPr>
        <w:t xml:space="preserve"> </w:t>
      </w:r>
      <w:proofErr w:type="spellStart"/>
      <w:r w:rsidRPr="00C21B99">
        <w:rPr>
          <w:b/>
          <w:szCs w:val="22"/>
        </w:rPr>
        <w:t>Sandoz</w:t>
      </w:r>
      <w:proofErr w:type="spellEnd"/>
    </w:p>
    <w:p w14:paraId="467CC175" w14:textId="77777777" w:rsidR="001B2891" w:rsidRPr="00C21B99" w:rsidRDefault="001B2891" w:rsidP="001B2891">
      <w:pPr>
        <w:widowControl w:val="0"/>
        <w:numPr>
          <w:ilvl w:val="12"/>
          <w:numId w:val="0"/>
        </w:numPr>
        <w:ind w:right="-2"/>
        <w:rPr>
          <w:szCs w:val="22"/>
        </w:rPr>
      </w:pPr>
      <w:r w:rsidRPr="00C21B99">
        <w:rPr>
          <w:szCs w:val="22"/>
        </w:rPr>
        <w:t xml:space="preserve">Ką daryti </w:t>
      </w:r>
      <w:r w:rsidR="00E858A2" w:rsidRPr="00C21B99">
        <w:rPr>
          <w:szCs w:val="22"/>
        </w:rPr>
        <w:t xml:space="preserve">pamiršus </w:t>
      </w:r>
      <w:r w:rsidRPr="00C21B99">
        <w:rPr>
          <w:szCs w:val="22"/>
        </w:rPr>
        <w:t>išgerti tabletę, priklauso nuo to, kiek liko laiko iki kitos dozės.</w:t>
      </w:r>
    </w:p>
    <w:p w14:paraId="3B168AE2" w14:textId="77777777" w:rsidR="001B2891" w:rsidRPr="00C21B99" w:rsidRDefault="00E858A2" w:rsidP="00E858A2">
      <w:pPr>
        <w:widowControl w:val="0"/>
        <w:numPr>
          <w:ilvl w:val="0"/>
          <w:numId w:val="36"/>
        </w:numPr>
        <w:ind w:left="567" w:right="-2" w:hanging="567"/>
        <w:rPr>
          <w:szCs w:val="22"/>
        </w:rPr>
      </w:pPr>
      <w:r w:rsidRPr="00C21B99">
        <w:rPr>
          <w:szCs w:val="22"/>
        </w:rPr>
        <w:t>Jeigu</w:t>
      </w:r>
      <w:r w:rsidR="001B2891" w:rsidRPr="00C21B99">
        <w:rPr>
          <w:szCs w:val="22"/>
        </w:rPr>
        <w:t xml:space="preserve"> iki </w:t>
      </w:r>
      <w:r w:rsidRPr="00C21B99">
        <w:rPr>
          <w:szCs w:val="22"/>
        </w:rPr>
        <w:t>kitos dozės vartojimo laiko</w:t>
      </w:r>
      <w:r w:rsidR="001B2891" w:rsidRPr="00C21B99">
        <w:rPr>
          <w:szCs w:val="22"/>
        </w:rPr>
        <w:t xml:space="preserve"> liko 12 val. arba daugiau, </w:t>
      </w:r>
      <w:r w:rsidRPr="00C21B99">
        <w:rPr>
          <w:szCs w:val="22"/>
        </w:rPr>
        <w:t>pa</w:t>
      </w:r>
      <w:r w:rsidR="001B2891" w:rsidRPr="00C21B99">
        <w:rPr>
          <w:szCs w:val="22"/>
        </w:rPr>
        <w:t>mirštą tabletę išgerkite iš karto</w:t>
      </w:r>
      <w:r w:rsidRPr="00C21B99">
        <w:rPr>
          <w:szCs w:val="22"/>
        </w:rPr>
        <w:t xml:space="preserve"> </w:t>
      </w:r>
      <w:r w:rsidR="001B2891" w:rsidRPr="00C21B99">
        <w:rPr>
          <w:szCs w:val="22"/>
        </w:rPr>
        <w:t>prisiminę, o kitą dozę vartokite įprastu laiku.</w:t>
      </w:r>
    </w:p>
    <w:p w14:paraId="6ADAD0B9" w14:textId="77777777" w:rsidR="001B2891" w:rsidRPr="00C21B99" w:rsidRDefault="00E858A2" w:rsidP="00E858A2">
      <w:pPr>
        <w:widowControl w:val="0"/>
        <w:numPr>
          <w:ilvl w:val="0"/>
          <w:numId w:val="36"/>
        </w:numPr>
        <w:ind w:left="567" w:right="-2" w:hanging="567"/>
        <w:rPr>
          <w:szCs w:val="22"/>
        </w:rPr>
      </w:pPr>
      <w:r w:rsidRPr="00C21B99">
        <w:rPr>
          <w:szCs w:val="22"/>
        </w:rPr>
        <w:t>Jeigu iki kitos dozės vartojimo laiko liko  mažiau kaip 12 val., pamirštą</w:t>
      </w:r>
      <w:r w:rsidR="001B2891" w:rsidRPr="00C21B99">
        <w:rPr>
          <w:szCs w:val="22"/>
        </w:rPr>
        <w:t xml:space="preserve"> tabletę praleiskite</w:t>
      </w:r>
      <w:r w:rsidRPr="00C21B99">
        <w:rPr>
          <w:szCs w:val="22"/>
        </w:rPr>
        <w:t>. Kitą</w:t>
      </w:r>
      <w:r w:rsidR="001B2891" w:rsidRPr="00C21B99">
        <w:rPr>
          <w:szCs w:val="22"/>
        </w:rPr>
        <w:t xml:space="preserve"> </w:t>
      </w:r>
      <w:r w:rsidRPr="00C21B99">
        <w:rPr>
          <w:szCs w:val="22"/>
        </w:rPr>
        <w:t>tabletę</w:t>
      </w:r>
      <w:r w:rsidR="001B2891" w:rsidRPr="00C21B99">
        <w:rPr>
          <w:szCs w:val="22"/>
        </w:rPr>
        <w:t xml:space="preserve"> gerkite</w:t>
      </w:r>
      <w:r w:rsidRPr="00C21B99">
        <w:rPr>
          <w:szCs w:val="22"/>
        </w:rPr>
        <w:t xml:space="preserve"> </w:t>
      </w:r>
      <w:r w:rsidR="001B2891" w:rsidRPr="00C21B99">
        <w:rPr>
          <w:szCs w:val="22"/>
        </w:rPr>
        <w:t>įprastu laiku.</w:t>
      </w:r>
    </w:p>
    <w:p w14:paraId="67863421" w14:textId="77777777" w:rsidR="00B3762D" w:rsidRPr="00C21B99" w:rsidRDefault="001B2891" w:rsidP="00E858A2">
      <w:pPr>
        <w:widowControl w:val="0"/>
        <w:ind w:right="-2"/>
        <w:rPr>
          <w:snapToGrid w:val="0"/>
          <w:szCs w:val="22"/>
          <w:lang w:eastAsia="en-US"/>
        </w:rPr>
      </w:pPr>
      <w:r w:rsidRPr="00C21B99">
        <w:rPr>
          <w:szCs w:val="22"/>
        </w:rPr>
        <w:lastRenderedPageBreak/>
        <w:t>Negalima vartoti dvigubos dozės (iš karto dviejų tablečių) norint kompensuoti praleistą dozę.</w:t>
      </w:r>
    </w:p>
    <w:p w14:paraId="228AB79F" w14:textId="77777777" w:rsidR="00296D95" w:rsidRPr="00C21B99" w:rsidRDefault="00296D95" w:rsidP="00296D95">
      <w:pPr>
        <w:pStyle w:val="Default"/>
        <w:rPr>
          <w:sz w:val="22"/>
          <w:szCs w:val="22"/>
          <w:lang w:val="lt-LT"/>
        </w:rPr>
      </w:pPr>
    </w:p>
    <w:p w14:paraId="3EB31C3D" w14:textId="77777777" w:rsidR="00B3762D" w:rsidRPr="00C21B99" w:rsidRDefault="00296D95" w:rsidP="00296D95">
      <w:pPr>
        <w:widowControl w:val="0"/>
        <w:numPr>
          <w:ilvl w:val="12"/>
          <w:numId w:val="0"/>
        </w:numPr>
        <w:ind w:right="-2"/>
        <w:rPr>
          <w:snapToGrid w:val="0"/>
          <w:szCs w:val="22"/>
          <w:lang w:eastAsia="en-US"/>
        </w:rPr>
      </w:pPr>
      <w:r w:rsidRPr="00C21B99">
        <w:rPr>
          <w:szCs w:val="22"/>
        </w:rPr>
        <w:t>Jeigu kiltų daugiau klausimų dėl šio vaisto vartojimo, kreipkitės į gydytoją arba vaistininką.</w:t>
      </w:r>
    </w:p>
    <w:p w14:paraId="784F22F4" w14:textId="77777777" w:rsidR="00D87EAB" w:rsidRPr="00C21B99" w:rsidRDefault="00D87EAB" w:rsidP="00D87EAB">
      <w:pPr>
        <w:widowControl w:val="0"/>
        <w:numPr>
          <w:ilvl w:val="12"/>
          <w:numId w:val="0"/>
        </w:numPr>
        <w:ind w:right="-29"/>
        <w:rPr>
          <w:snapToGrid w:val="0"/>
          <w:szCs w:val="22"/>
          <w:lang w:eastAsia="en-US"/>
        </w:rPr>
      </w:pPr>
    </w:p>
    <w:p w14:paraId="0EFCDFD5" w14:textId="77777777" w:rsidR="00D87EAB" w:rsidRPr="00C21B99" w:rsidRDefault="00D87EAB" w:rsidP="00D87EAB">
      <w:pPr>
        <w:widowControl w:val="0"/>
        <w:numPr>
          <w:ilvl w:val="12"/>
          <w:numId w:val="0"/>
        </w:numPr>
        <w:rPr>
          <w:snapToGrid w:val="0"/>
          <w:szCs w:val="22"/>
          <w:lang w:eastAsia="en-US"/>
        </w:rPr>
      </w:pPr>
    </w:p>
    <w:p w14:paraId="1623A528" w14:textId="77777777" w:rsidR="00D87EAB" w:rsidRPr="00C21B99" w:rsidRDefault="00D87EAB" w:rsidP="00D87EAB">
      <w:pPr>
        <w:widowControl w:val="0"/>
        <w:tabs>
          <w:tab w:val="left" w:pos="567"/>
        </w:tabs>
        <w:outlineLvl w:val="2"/>
        <w:rPr>
          <w:b/>
          <w:bCs/>
          <w:snapToGrid w:val="0"/>
          <w:szCs w:val="22"/>
        </w:rPr>
      </w:pPr>
      <w:r w:rsidRPr="00C21B99">
        <w:rPr>
          <w:b/>
          <w:bCs/>
          <w:snapToGrid w:val="0"/>
          <w:szCs w:val="22"/>
        </w:rPr>
        <w:t>4.</w:t>
      </w:r>
      <w:r w:rsidRPr="00C21B99">
        <w:rPr>
          <w:b/>
          <w:bCs/>
          <w:snapToGrid w:val="0"/>
          <w:szCs w:val="22"/>
        </w:rPr>
        <w:tab/>
        <w:t>Galimas šalutinis poveikis</w:t>
      </w:r>
    </w:p>
    <w:p w14:paraId="70839A8A" w14:textId="77777777" w:rsidR="00D87EAB" w:rsidRPr="00C21B99" w:rsidRDefault="00D87EAB" w:rsidP="00D87EAB">
      <w:pPr>
        <w:widowControl w:val="0"/>
        <w:numPr>
          <w:ilvl w:val="12"/>
          <w:numId w:val="0"/>
        </w:numPr>
        <w:rPr>
          <w:snapToGrid w:val="0"/>
          <w:szCs w:val="22"/>
          <w:lang w:eastAsia="en-US"/>
        </w:rPr>
      </w:pPr>
    </w:p>
    <w:p w14:paraId="03CC8404" w14:textId="77777777" w:rsidR="00E858A2" w:rsidRPr="00C21B99" w:rsidRDefault="00D87EAB" w:rsidP="00AF35F0">
      <w:pPr>
        <w:widowControl w:val="0"/>
        <w:numPr>
          <w:ilvl w:val="12"/>
          <w:numId w:val="0"/>
        </w:numPr>
        <w:ind w:right="-29"/>
        <w:rPr>
          <w:snapToGrid w:val="0"/>
          <w:szCs w:val="22"/>
          <w:lang w:eastAsia="en-US"/>
        </w:rPr>
      </w:pPr>
      <w:r w:rsidRPr="00C21B99">
        <w:rPr>
          <w:snapToGrid w:val="0"/>
          <w:szCs w:val="22"/>
          <w:lang w:eastAsia="en-US"/>
        </w:rPr>
        <w:t xml:space="preserve">Šis vaistas, kaip ir visi kiti, gali sukelti šalutinį poveikį, nors jis pasireiškia ne visiems žmonėms. </w:t>
      </w:r>
    </w:p>
    <w:p w14:paraId="57F145DF" w14:textId="77777777" w:rsidR="00E858A2" w:rsidRPr="00C21B99" w:rsidRDefault="00E858A2" w:rsidP="00AF35F0">
      <w:pPr>
        <w:widowControl w:val="0"/>
        <w:numPr>
          <w:ilvl w:val="12"/>
          <w:numId w:val="0"/>
        </w:numPr>
        <w:ind w:right="-29"/>
        <w:rPr>
          <w:snapToGrid w:val="0"/>
          <w:szCs w:val="22"/>
          <w:lang w:eastAsia="en-US"/>
        </w:rPr>
      </w:pPr>
    </w:p>
    <w:p w14:paraId="5E127399" w14:textId="77777777" w:rsidR="00B8654E" w:rsidRPr="00C21B99" w:rsidRDefault="00B8654E" w:rsidP="00B8654E">
      <w:pPr>
        <w:widowControl w:val="0"/>
        <w:numPr>
          <w:ilvl w:val="12"/>
          <w:numId w:val="0"/>
        </w:numPr>
        <w:ind w:right="-29"/>
        <w:rPr>
          <w:b/>
          <w:bCs/>
          <w:snapToGrid w:val="0"/>
          <w:szCs w:val="22"/>
          <w:lang w:eastAsia="en-US"/>
        </w:rPr>
      </w:pPr>
      <w:r w:rsidRPr="00C21B99">
        <w:rPr>
          <w:b/>
          <w:bCs/>
          <w:snapToGrid w:val="0"/>
          <w:szCs w:val="22"/>
          <w:lang w:eastAsia="en-US"/>
        </w:rPr>
        <w:t xml:space="preserve">Nedelsdami kreipkitės į gydytoją, pastebėję bet kurį iš </w:t>
      </w:r>
      <w:r w:rsidR="000201A3" w:rsidRPr="00C21B99">
        <w:rPr>
          <w:b/>
          <w:bCs/>
          <w:snapToGrid w:val="0"/>
          <w:szCs w:val="22"/>
          <w:lang w:eastAsia="en-US"/>
        </w:rPr>
        <w:t>toliau išvardyto</w:t>
      </w:r>
      <w:r w:rsidRPr="00C21B99">
        <w:rPr>
          <w:b/>
          <w:bCs/>
          <w:snapToGrid w:val="0"/>
          <w:szCs w:val="22"/>
          <w:lang w:eastAsia="en-US"/>
        </w:rPr>
        <w:t xml:space="preserve"> šalutini</w:t>
      </w:r>
      <w:r w:rsidR="000201A3" w:rsidRPr="00C21B99">
        <w:rPr>
          <w:b/>
          <w:bCs/>
          <w:snapToGrid w:val="0"/>
          <w:szCs w:val="22"/>
          <w:lang w:eastAsia="en-US"/>
        </w:rPr>
        <w:t>o</w:t>
      </w:r>
      <w:r w:rsidRPr="00C21B99">
        <w:rPr>
          <w:b/>
          <w:bCs/>
          <w:snapToGrid w:val="0"/>
          <w:szCs w:val="22"/>
          <w:lang w:eastAsia="en-US"/>
        </w:rPr>
        <w:t xml:space="preserve"> poveiki</w:t>
      </w:r>
      <w:r w:rsidR="000201A3" w:rsidRPr="00C21B99">
        <w:rPr>
          <w:b/>
          <w:bCs/>
          <w:snapToGrid w:val="0"/>
          <w:szCs w:val="22"/>
          <w:lang w:eastAsia="en-US"/>
        </w:rPr>
        <w:t>o atvejų</w:t>
      </w:r>
      <w:r w:rsidRPr="00C21B99">
        <w:rPr>
          <w:b/>
          <w:bCs/>
          <w:snapToGrid w:val="0"/>
          <w:szCs w:val="22"/>
          <w:lang w:eastAsia="en-US"/>
        </w:rPr>
        <w:t xml:space="preserve"> (gali reikėti skubaus gydymo):</w:t>
      </w:r>
    </w:p>
    <w:p w14:paraId="04E98A87" w14:textId="77777777" w:rsidR="00B8654E" w:rsidRPr="00C21B99" w:rsidRDefault="00B8654E" w:rsidP="00B8654E">
      <w:pPr>
        <w:widowControl w:val="0"/>
        <w:numPr>
          <w:ilvl w:val="0"/>
          <w:numId w:val="37"/>
        </w:numPr>
        <w:ind w:left="567" w:right="-29" w:hanging="567"/>
        <w:rPr>
          <w:snapToGrid w:val="0"/>
          <w:szCs w:val="22"/>
          <w:lang w:eastAsia="en-US"/>
        </w:rPr>
      </w:pPr>
      <w:r w:rsidRPr="00C21B99">
        <w:rPr>
          <w:snapToGrid w:val="0"/>
          <w:szCs w:val="22"/>
          <w:lang w:eastAsia="en-US"/>
        </w:rPr>
        <w:t>alerginę reakciją (ji pasireiškia dažnai), ypač jeigu tinsta veidas, lūpos, liežuvis arba gerklė; atsiranda dilgėlinė, išbėrimas ruplėmis, pasunkėja rijimas ar kvėpavimas;</w:t>
      </w:r>
    </w:p>
    <w:p w14:paraId="0E741DA2" w14:textId="77777777" w:rsidR="00B8654E" w:rsidRPr="00C21B99" w:rsidRDefault="00B8654E" w:rsidP="00B8654E">
      <w:pPr>
        <w:widowControl w:val="0"/>
        <w:numPr>
          <w:ilvl w:val="0"/>
          <w:numId w:val="37"/>
        </w:numPr>
        <w:ind w:left="567" w:right="-29" w:hanging="567"/>
        <w:rPr>
          <w:snapToGrid w:val="0"/>
          <w:szCs w:val="22"/>
          <w:lang w:eastAsia="en-US"/>
        </w:rPr>
      </w:pPr>
      <w:r w:rsidRPr="00C21B99">
        <w:rPr>
          <w:snapToGrid w:val="0"/>
          <w:szCs w:val="22"/>
          <w:lang w:eastAsia="en-US"/>
        </w:rPr>
        <w:t>sunkų arba staiga pasunkėjusį dusulį (kartu gali būti kosulys ar karščiavimas) – šie sutrikimai gali rodyti plaučių uždegimą, vadinamą „</w:t>
      </w:r>
      <w:proofErr w:type="spellStart"/>
      <w:r w:rsidRPr="00C21B99">
        <w:rPr>
          <w:snapToGrid w:val="0"/>
          <w:szCs w:val="22"/>
          <w:lang w:eastAsia="en-US"/>
        </w:rPr>
        <w:t>intersticine</w:t>
      </w:r>
      <w:proofErr w:type="spellEnd"/>
      <w:r w:rsidRPr="00C21B99">
        <w:rPr>
          <w:snapToGrid w:val="0"/>
          <w:szCs w:val="22"/>
          <w:lang w:eastAsia="en-US"/>
        </w:rPr>
        <w:t xml:space="preserve"> plaučių liga“ (jis gali pasireikšti maždaug vienam iš 100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r w:rsidRPr="00C21B99">
        <w:rPr>
          <w:snapToGrid w:val="0"/>
          <w:szCs w:val="22"/>
          <w:lang w:eastAsia="en-US"/>
        </w:rPr>
        <w:t xml:space="preserve"> vartojančių pacientų ir kelti pavojų gyvybei);</w:t>
      </w:r>
    </w:p>
    <w:p w14:paraId="17A1995C" w14:textId="77777777" w:rsidR="00B8654E" w:rsidRPr="00C21B99" w:rsidRDefault="00B8654E" w:rsidP="00B8654E">
      <w:pPr>
        <w:widowControl w:val="0"/>
        <w:numPr>
          <w:ilvl w:val="0"/>
          <w:numId w:val="37"/>
        </w:numPr>
        <w:ind w:left="567" w:right="-29" w:hanging="567"/>
        <w:rPr>
          <w:snapToGrid w:val="0"/>
          <w:szCs w:val="22"/>
          <w:lang w:eastAsia="en-US"/>
        </w:rPr>
      </w:pPr>
      <w:r w:rsidRPr="00C21B99">
        <w:rPr>
          <w:snapToGrid w:val="0"/>
          <w:szCs w:val="22"/>
          <w:lang w:eastAsia="en-US"/>
        </w:rPr>
        <w:t>sunkių odos reakcijų (jų būna retai), pažeidžiančių dideles kūno paviršiaus sritis (jų požymiai gali būti paraudimas, skausmas, opos, pūslės ir odos pleiskanojimas. Taip pat gali būti pažeisti; lūpos, nosis, akys ir lytiniai organai);</w:t>
      </w:r>
    </w:p>
    <w:p w14:paraId="2D85192B" w14:textId="77777777" w:rsidR="00B8654E" w:rsidRPr="00C21B99" w:rsidRDefault="00B8654E" w:rsidP="00B8654E">
      <w:pPr>
        <w:widowControl w:val="0"/>
        <w:numPr>
          <w:ilvl w:val="0"/>
          <w:numId w:val="37"/>
        </w:numPr>
        <w:ind w:left="567" w:right="-29" w:hanging="567"/>
        <w:rPr>
          <w:snapToGrid w:val="0"/>
          <w:szCs w:val="22"/>
          <w:lang w:eastAsia="en-US"/>
        </w:rPr>
      </w:pPr>
      <w:r w:rsidRPr="00C21B99">
        <w:rPr>
          <w:snapToGrid w:val="0"/>
          <w:szCs w:val="22"/>
          <w:lang w:eastAsia="en-US"/>
        </w:rPr>
        <w:t>skysčių netekimą (jis pasireiškia dažnai) dėl ilgalaikio ar stipraus viduriavimo, vėmimo, pykinimo arba apetito stokos;</w:t>
      </w:r>
    </w:p>
    <w:p w14:paraId="662349AE" w14:textId="77777777" w:rsidR="00B8654E" w:rsidRPr="00C21B99" w:rsidRDefault="00B8654E" w:rsidP="00B8654E">
      <w:pPr>
        <w:widowControl w:val="0"/>
        <w:numPr>
          <w:ilvl w:val="0"/>
          <w:numId w:val="37"/>
        </w:numPr>
        <w:ind w:left="567" w:right="-29" w:hanging="567"/>
        <w:rPr>
          <w:snapToGrid w:val="0"/>
          <w:szCs w:val="22"/>
          <w:lang w:eastAsia="en-US"/>
        </w:rPr>
      </w:pPr>
      <w:r w:rsidRPr="00C21B99">
        <w:rPr>
          <w:snapToGrid w:val="0"/>
          <w:szCs w:val="22"/>
          <w:lang w:eastAsia="en-US"/>
        </w:rPr>
        <w:t>akių sutrikimų (jų būna nedažnai), pvz., skausmą, paraudimą, ašarojimą, jautrumą šviesai, pakitusią regą arba blakstienų įaugimą. Tai gali reikšti, kad yra išopėjęs Jūsų akies paviršius (ragena).</w:t>
      </w:r>
    </w:p>
    <w:p w14:paraId="72CE87DA" w14:textId="77777777" w:rsidR="00B8654E" w:rsidRPr="00C21B99" w:rsidRDefault="00B8654E" w:rsidP="00B8654E">
      <w:pPr>
        <w:widowControl w:val="0"/>
        <w:numPr>
          <w:ilvl w:val="12"/>
          <w:numId w:val="0"/>
        </w:numPr>
        <w:ind w:right="-29"/>
        <w:rPr>
          <w:b/>
          <w:bCs/>
          <w:snapToGrid w:val="0"/>
          <w:szCs w:val="22"/>
          <w:lang w:eastAsia="en-US"/>
        </w:rPr>
      </w:pPr>
    </w:p>
    <w:p w14:paraId="783EA8C2" w14:textId="77777777" w:rsidR="00B8654E" w:rsidRPr="00C21B99" w:rsidRDefault="00B8654E" w:rsidP="00B8654E">
      <w:pPr>
        <w:widowControl w:val="0"/>
        <w:numPr>
          <w:ilvl w:val="12"/>
          <w:numId w:val="0"/>
        </w:numPr>
        <w:ind w:right="-29"/>
        <w:rPr>
          <w:b/>
          <w:bCs/>
          <w:snapToGrid w:val="0"/>
          <w:szCs w:val="22"/>
          <w:lang w:eastAsia="en-US"/>
        </w:rPr>
      </w:pPr>
      <w:r w:rsidRPr="00C21B99">
        <w:rPr>
          <w:b/>
          <w:bCs/>
          <w:snapToGrid w:val="0"/>
          <w:szCs w:val="22"/>
          <w:lang w:eastAsia="en-US"/>
        </w:rPr>
        <w:t>Kiek galima greičiau pasakykite gydytojui, jeigu pastebėjote bet kur</w:t>
      </w:r>
      <w:r w:rsidR="00C21B99">
        <w:rPr>
          <w:b/>
          <w:bCs/>
          <w:snapToGrid w:val="0"/>
          <w:szCs w:val="22"/>
          <w:lang w:eastAsia="en-US"/>
        </w:rPr>
        <w:t>į</w:t>
      </w:r>
      <w:r w:rsidRPr="00C21B99">
        <w:rPr>
          <w:b/>
          <w:bCs/>
          <w:snapToGrid w:val="0"/>
          <w:szCs w:val="22"/>
          <w:lang w:eastAsia="en-US"/>
        </w:rPr>
        <w:t xml:space="preserve"> iš toliau išvardytų šalutinį poveikį:</w:t>
      </w:r>
    </w:p>
    <w:p w14:paraId="16DD1057" w14:textId="77777777" w:rsidR="00B8654E" w:rsidRPr="00C21B99" w:rsidRDefault="00B8654E" w:rsidP="00B8654E">
      <w:pPr>
        <w:widowControl w:val="0"/>
        <w:numPr>
          <w:ilvl w:val="12"/>
          <w:numId w:val="0"/>
        </w:numPr>
        <w:ind w:right="-29"/>
        <w:rPr>
          <w:b/>
          <w:bCs/>
          <w:snapToGrid w:val="0"/>
          <w:szCs w:val="22"/>
          <w:lang w:eastAsia="en-US"/>
        </w:rPr>
      </w:pPr>
    </w:p>
    <w:p w14:paraId="39C8A8CE" w14:textId="3771E769" w:rsidR="00B8654E" w:rsidRPr="00C21B99" w:rsidRDefault="00B8654E" w:rsidP="00B8654E">
      <w:pPr>
        <w:widowControl w:val="0"/>
        <w:numPr>
          <w:ilvl w:val="12"/>
          <w:numId w:val="0"/>
        </w:numPr>
        <w:ind w:right="-29"/>
        <w:rPr>
          <w:b/>
          <w:bCs/>
          <w:snapToGrid w:val="0"/>
          <w:szCs w:val="22"/>
          <w:lang w:eastAsia="en-US"/>
        </w:rPr>
      </w:pPr>
      <w:r w:rsidRPr="00C21B99">
        <w:rPr>
          <w:b/>
          <w:bCs/>
          <w:snapToGrid w:val="0"/>
          <w:szCs w:val="22"/>
          <w:lang w:eastAsia="en-US"/>
        </w:rPr>
        <w:t>Labai dažn</w:t>
      </w:r>
      <w:r w:rsidR="00A079EB">
        <w:rPr>
          <w:b/>
          <w:bCs/>
          <w:snapToGrid w:val="0"/>
          <w:szCs w:val="22"/>
          <w:lang w:eastAsia="en-US"/>
        </w:rPr>
        <w:t>i</w:t>
      </w:r>
      <w:r w:rsidRPr="00C21B99">
        <w:rPr>
          <w:b/>
          <w:bCs/>
          <w:snapToGrid w:val="0"/>
          <w:szCs w:val="22"/>
          <w:lang w:eastAsia="en-US"/>
        </w:rPr>
        <w:t xml:space="preserve"> šalutini</w:t>
      </w:r>
      <w:r w:rsidR="00A079EB">
        <w:rPr>
          <w:b/>
          <w:bCs/>
          <w:snapToGrid w:val="0"/>
          <w:szCs w:val="22"/>
          <w:lang w:eastAsia="en-US"/>
        </w:rPr>
        <w:t>o</w:t>
      </w:r>
      <w:r w:rsidRPr="00C21B99">
        <w:rPr>
          <w:b/>
          <w:bCs/>
          <w:snapToGrid w:val="0"/>
          <w:szCs w:val="22"/>
          <w:lang w:eastAsia="en-US"/>
        </w:rPr>
        <w:t xml:space="preserve"> poveiki</w:t>
      </w:r>
      <w:r w:rsidR="00A079EB">
        <w:rPr>
          <w:b/>
          <w:bCs/>
          <w:snapToGrid w:val="0"/>
          <w:szCs w:val="22"/>
          <w:lang w:eastAsia="en-US"/>
        </w:rPr>
        <w:t>o reiškiniai</w:t>
      </w:r>
      <w:r w:rsidRPr="00C21B99">
        <w:rPr>
          <w:b/>
          <w:bCs/>
          <w:snapToGrid w:val="0"/>
          <w:szCs w:val="22"/>
          <w:lang w:eastAsia="en-US"/>
        </w:rPr>
        <w:t xml:space="preserve"> (gali pasireikšti </w:t>
      </w:r>
      <w:r w:rsidR="00A079EB">
        <w:rPr>
          <w:b/>
          <w:bCs/>
          <w:snapToGrid w:val="0"/>
          <w:szCs w:val="22"/>
          <w:lang w:eastAsia="en-US"/>
        </w:rPr>
        <w:t>ne rečiau</w:t>
      </w:r>
      <w:r w:rsidRPr="00C21B99">
        <w:rPr>
          <w:b/>
          <w:bCs/>
          <w:snapToGrid w:val="0"/>
          <w:szCs w:val="22"/>
          <w:lang w:eastAsia="en-US"/>
        </w:rPr>
        <w:t xml:space="preserve"> kaip 1 iš 10</w:t>
      </w:r>
      <w:r w:rsidR="00A079EB">
        <w:rPr>
          <w:b/>
          <w:bCs/>
          <w:snapToGrid w:val="0"/>
          <w:szCs w:val="22"/>
          <w:lang w:eastAsia="en-US"/>
        </w:rPr>
        <w:t xml:space="preserve"> asmen</w:t>
      </w:r>
      <w:r w:rsidRPr="00C21B99">
        <w:rPr>
          <w:b/>
          <w:bCs/>
          <w:snapToGrid w:val="0"/>
          <w:szCs w:val="22"/>
          <w:lang w:eastAsia="en-US"/>
        </w:rPr>
        <w:t>ų):</w:t>
      </w:r>
    </w:p>
    <w:p w14:paraId="6200C073" w14:textId="77777777" w:rsidR="00B8654E" w:rsidRPr="00C21B99" w:rsidRDefault="00B8654E" w:rsidP="00B8654E">
      <w:pPr>
        <w:widowControl w:val="0"/>
        <w:numPr>
          <w:ilvl w:val="0"/>
          <w:numId w:val="38"/>
        </w:numPr>
        <w:ind w:left="567" w:right="-29" w:hanging="567"/>
        <w:rPr>
          <w:snapToGrid w:val="0"/>
          <w:szCs w:val="22"/>
          <w:lang w:eastAsia="en-US"/>
        </w:rPr>
      </w:pPr>
      <w:r w:rsidRPr="00C21B99">
        <w:rPr>
          <w:snapToGrid w:val="0"/>
          <w:szCs w:val="22"/>
          <w:lang w:eastAsia="en-US"/>
        </w:rPr>
        <w:t>viduriavimas;</w:t>
      </w:r>
    </w:p>
    <w:p w14:paraId="51E3DEE8" w14:textId="77777777" w:rsidR="00B8654E" w:rsidRPr="00C21B99" w:rsidRDefault="00B8654E" w:rsidP="00B8654E">
      <w:pPr>
        <w:widowControl w:val="0"/>
        <w:numPr>
          <w:ilvl w:val="0"/>
          <w:numId w:val="38"/>
        </w:numPr>
        <w:ind w:left="567" w:right="-29" w:hanging="567"/>
        <w:rPr>
          <w:snapToGrid w:val="0"/>
          <w:szCs w:val="22"/>
          <w:lang w:eastAsia="en-US"/>
        </w:rPr>
      </w:pPr>
      <w:r w:rsidRPr="00C21B99">
        <w:rPr>
          <w:snapToGrid w:val="0"/>
          <w:szCs w:val="22"/>
          <w:lang w:eastAsia="en-US"/>
        </w:rPr>
        <w:t>vėmimas;</w:t>
      </w:r>
    </w:p>
    <w:p w14:paraId="2DEB5009" w14:textId="77777777" w:rsidR="00B8654E" w:rsidRPr="00C21B99" w:rsidRDefault="00B8654E" w:rsidP="00B8654E">
      <w:pPr>
        <w:widowControl w:val="0"/>
        <w:numPr>
          <w:ilvl w:val="0"/>
          <w:numId w:val="38"/>
        </w:numPr>
        <w:ind w:left="567" w:right="-29" w:hanging="567"/>
        <w:rPr>
          <w:snapToGrid w:val="0"/>
          <w:szCs w:val="22"/>
          <w:lang w:eastAsia="en-US"/>
        </w:rPr>
      </w:pPr>
      <w:r w:rsidRPr="00C21B99">
        <w:rPr>
          <w:snapToGrid w:val="0"/>
          <w:szCs w:val="22"/>
          <w:lang w:eastAsia="en-US"/>
        </w:rPr>
        <w:t>pykinimas;</w:t>
      </w:r>
    </w:p>
    <w:p w14:paraId="376A365F" w14:textId="77777777" w:rsidR="00B8654E" w:rsidRPr="00C21B99" w:rsidRDefault="00B8654E" w:rsidP="00B8654E">
      <w:pPr>
        <w:widowControl w:val="0"/>
        <w:numPr>
          <w:ilvl w:val="0"/>
          <w:numId w:val="38"/>
        </w:numPr>
        <w:ind w:left="567" w:right="-29" w:hanging="567"/>
        <w:rPr>
          <w:snapToGrid w:val="0"/>
          <w:szCs w:val="22"/>
          <w:lang w:eastAsia="en-US"/>
        </w:rPr>
      </w:pPr>
      <w:r w:rsidRPr="00C21B99">
        <w:rPr>
          <w:snapToGrid w:val="0"/>
          <w:szCs w:val="22"/>
          <w:lang w:eastAsia="en-US"/>
        </w:rPr>
        <w:t>odos reakcijos, pvz., panašus į spuogus išbėrimas (kartais kartu būna niežulys, sausa oda ir /</w:t>
      </w:r>
      <w:r w:rsidR="000201A3" w:rsidRPr="00C21B99">
        <w:rPr>
          <w:snapToGrid w:val="0"/>
          <w:szCs w:val="22"/>
          <w:lang w:eastAsia="en-US"/>
        </w:rPr>
        <w:t xml:space="preserve"> </w:t>
      </w:r>
      <w:r w:rsidRPr="00C21B99">
        <w:rPr>
          <w:snapToGrid w:val="0"/>
          <w:szCs w:val="22"/>
          <w:lang w:eastAsia="en-US"/>
        </w:rPr>
        <w:t xml:space="preserve">arba odos </w:t>
      </w:r>
      <w:r w:rsidR="000201A3" w:rsidRPr="00C21B99">
        <w:rPr>
          <w:snapToGrid w:val="0"/>
          <w:szCs w:val="22"/>
          <w:lang w:eastAsia="en-US"/>
        </w:rPr>
        <w:t>įtrūkimų</w:t>
      </w:r>
      <w:r w:rsidRPr="00C21B99">
        <w:rPr>
          <w:snapToGrid w:val="0"/>
          <w:szCs w:val="22"/>
          <w:lang w:eastAsia="en-US"/>
        </w:rPr>
        <w:t>);</w:t>
      </w:r>
    </w:p>
    <w:p w14:paraId="00B4B0D5" w14:textId="77777777" w:rsidR="00B8654E" w:rsidRPr="00C21B99" w:rsidRDefault="00B8654E" w:rsidP="00B8654E">
      <w:pPr>
        <w:widowControl w:val="0"/>
        <w:numPr>
          <w:ilvl w:val="0"/>
          <w:numId w:val="38"/>
        </w:numPr>
        <w:ind w:left="567" w:right="-29" w:hanging="567"/>
        <w:rPr>
          <w:snapToGrid w:val="0"/>
          <w:szCs w:val="22"/>
          <w:lang w:eastAsia="en-US"/>
        </w:rPr>
      </w:pPr>
      <w:r w:rsidRPr="00C21B99">
        <w:rPr>
          <w:snapToGrid w:val="0"/>
          <w:szCs w:val="22"/>
          <w:lang w:eastAsia="en-US"/>
        </w:rPr>
        <w:t>apetito stoka;</w:t>
      </w:r>
    </w:p>
    <w:p w14:paraId="2EF09872" w14:textId="77777777" w:rsidR="00B8654E" w:rsidRPr="00C21B99" w:rsidRDefault="00B8654E" w:rsidP="00B8654E">
      <w:pPr>
        <w:widowControl w:val="0"/>
        <w:numPr>
          <w:ilvl w:val="0"/>
          <w:numId w:val="38"/>
        </w:numPr>
        <w:ind w:left="567" w:right="-29" w:hanging="567"/>
        <w:rPr>
          <w:snapToGrid w:val="0"/>
          <w:szCs w:val="22"/>
          <w:lang w:eastAsia="en-US"/>
        </w:rPr>
      </w:pPr>
      <w:r w:rsidRPr="00C21B99">
        <w:rPr>
          <w:snapToGrid w:val="0"/>
          <w:szCs w:val="22"/>
          <w:lang w:eastAsia="en-US"/>
        </w:rPr>
        <w:t>silpnumas;</w:t>
      </w:r>
    </w:p>
    <w:p w14:paraId="5F1528AD" w14:textId="77777777" w:rsidR="00B8654E" w:rsidRPr="00C21B99" w:rsidRDefault="00B8654E" w:rsidP="00B8654E">
      <w:pPr>
        <w:widowControl w:val="0"/>
        <w:numPr>
          <w:ilvl w:val="0"/>
          <w:numId w:val="38"/>
        </w:numPr>
        <w:ind w:left="567" w:right="-29" w:hanging="567"/>
        <w:rPr>
          <w:snapToGrid w:val="0"/>
          <w:szCs w:val="22"/>
          <w:lang w:eastAsia="en-US"/>
        </w:rPr>
      </w:pPr>
      <w:r w:rsidRPr="00C21B99">
        <w:rPr>
          <w:snapToGrid w:val="0"/>
          <w:szCs w:val="22"/>
          <w:lang w:eastAsia="en-US"/>
        </w:rPr>
        <w:t xml:space="preserve">burnos paraudimas ar </w:t>
      </w:r>
      <w:r w:rsidR="000201A3" w:rsidRPr="00C21B99">
        <w:rPr>
          <w:snapToGrid w:val="0"/>
          <w:szCs w:val="22"/>
          <w:lang w:eastAsia="en-US"/>
        </w:rPr>
        <w:t>skausmingumas</w:t>
      </w:r>
      <w:r w:rsidRPr="00C21B99">
        <w:rPr>
          <w:snapToGrid w:val="0"/>
          <w:szCs w:val="22"/>
          <w:lang w:eastAsia="en-US"/>
        </w:rPr>
        <w:t>;</w:t>
      </w:r>
    </w:p>
    <w:p w14:paraId="49C66354" w14:textId="77777777" w:rsidR="00B8654E" w:rsidRPr="00C21B99" w:rsidRDefault="00B8654E" w:rsidP="000201A3">
      <w:pPr>
        <w:widowControl w:val="0"/>
        <w:numPr>
          <w:ilvl w:val="0"/>
          <w:numId w:val="38"/>
        </w:numPr>
        <w:ind w:left="567" w:right="-29" w:hanging="567"/>
        <w:rPr>
          <w:snapToGrid w:val="0"/>
          <w:szCs w:val="22"/>
          <w:lang w:eastAsia="en-US"/>
        </w:rPr>
      </w:pPr>
      <w:r w:rsidRPr="00C21B99">
        <w:rPr>
          <w:snapToGrid w:val="0"/>
          <w:szCs w:val="22"/>
          <w:lang w:eastAsia="en-US"/>
        </w:rPr>
        <w:t xml:space="preserve">padidėjęs kepenų fermento, vadinamo </w:t>
      </w:r>
      <w:proofErr w:type="spellStart"/>
      <w:r w:rsidRPr="00C21B99">
        <w:rPr>
          <w:snapToGrid w:val="0"/>
          <w:szCs w:val="22"/>
          <w:lang w:eastAsia="en-US"/>
        </w:rPr>
        <w:t>alanino</w:t>
      </w:r>
      <w:proofErr w:type="spellEnd"/>
      <w:r w:rsidRPr="00C21B99">
        <w:rPr>
          <w:snapToGrid w:val="0"/>
          <w:szCs w:val="22"/>
          <w:lang w:eastAsia="en-US"/>
        </w:rPr>
        <w:t xml:space="preserve"> </w:t>
      </w:r>
      <w:proofErr w:type="spellStart"/>
      <w:r w:rsidRPr="00C21B99">
        <w:rPr>
          <w:snapToGrid w:val="0"/>
          <w:szCs w:val="22"/>
          <w:lang w:eastAsia="en-US"/>
        </w:rPr>
        <w:t>aminotransferaze</w:t>
      </w:r>
      <w:proofErr w:type="spellEnd"/>
      <w:r w:rsidRPr="00C21B99">
        <w:rPr>
          <w:snapToGrid w:val="0"/>
          <w:szCs w:val="22"/>
          <w:lang w:eastAsia="en-US"/>
        </w:rPr>
        <w:t xml:space="preserve">, </w:t>
      </w:r>
      <w:r w:rsidR="000201A3" w:rsidRPr="00C21B99">
        <w:rPr>
          <w:snapToGrid w:val="0"/>
          <w:szCs w:val="22"/>
          <w:lang w:eastAsia="en-US"/>
        </w:rPr>
        <w:t>aktyvumas</w:t>
      </w:r>
      <w:r w:rsidRPr="00C21B99">
        <w:rPr>
          <w:snapToGrid w:val="0"/>
          <w:szCs w:val="22"/>
          <w:lang w:eastAsia="en-US"/>
        </w:rPr>
        <w:t xml:space="preserve"> (nustatomas tiriant</w:t>
      </w:r>
      <w:r w:rsidR="000201A3" w:rsidRPr="00C21B99">
        <w:rPr>
          <w:snapToGrid w:val="0"/>
          <w:szCs w:val="22"/>
          <w:lang w:eastAsia="en-US"/>
        </w:rPr>
        <w:t xml:space="preserve"> </w:t>
      </w:r>
      <w:r w:rsidRPr="00C21B99">
        <w:rPr>
          <w:snapToGrid w:val="0"/>
          <w:szCs w:val="22"/>
          <w:lang w:eastAsia="en-US"/>
        </w:rPr>
        <w:t xml:space="preserve">kraują; jeigu jis per didelis, gydytojas gali nurodyti nutraukti </w:t>
      </w:r>
      <w:proofErr w:type="spellStart"/>
      <w:r w:rsidR="000201A3" w:rsidRPr="00C21B99">
        <w:rPr>
          <w:szCs w:val="22"/>
        </w:rPr>
        <w:t>Gefitinib</w:t>
      </w:r>
      <w:proofErr w:type="spellEnd"/>
      <w:r w:rsidR="000201A3" w:rsidRPr="00C21B99">
        <w:rPr>
          <w:szCs w:val="22"/>
        </w:rPr>
        <w:t xml:space="preserve"> </w:t>
      </w:r>
      <w:proofErr w:type="spellStart"/>
      <w:r w:rsidR="000201A3" w:rsidRPr="00C21B99">
        <w:rPr>
          <w:szCs w:val="22"/>
        </w:rPr>
        <w:t>Sandoz</w:t>
      </w:r>
      <w:proofErr w:type="spellEnd"/>
      <w:r w:rsidR="000201A3" w:rsidRPr="00C21B99">
        <w:rPr>
          <w:b/>
          <w:szCs w:val="22"/>
        </w:rPr>
        <w:t xml:space="preserve"> </w:t>
      </w:r>
      <w:r w:rsidRPr="00C21B99">
        <w:rPr>
          <w:snapToGrid w:val="0"/>
          <w:szCs w:val="22"/>
          <w:lang w:eastAsia="en-US"/>
        </w:rPr>
        <w:t>vartojimą).</w:t>
      </w:r>
    </w:p>
    <w:p w14:paraId="5ADD7404" w14:textId="77777777" w:rsidR="000201A3" w:rsidRPr="00C21B99" w:rsidRDefault="000201A3" w:rsidP="00B8654E">
      <w:pPr>
        <w:widowControl w:val="0"/>
        <w:numPr>
          <w:ilvl w:val="12"/>
          <w:numId w:val="0"/>
        </w:numPr>
        <w:ind w:right="-29"/>
        <w:rPr>
          <w:b/>
          <w:bCs/>
          <w:snapToGrid w:val="0"/>
          <w:szCs w:val="22"/>
          <w:lang w:eastAsia="en-US"/>
        </w:rPr>
      </w:pPr>
    </w:p>
    <w:p w14:paraId="7CB8A9DF" w14:textId="453723BB" w:rsidR="00B8654E" w:rsidRPr="00C21B99" w:rsidRDefault="00B8654E" w:rsidP="00B8654E">
      <w:pPr>
        <w:widowControl w:val="0"/>
        <w:numPr>
          <w:ilvl w:val="12"/>
          <w:numId w:val="0"/>
        </w:numPr>
        <w:ind w:right="-29"/>
        <w:rPr>
          <w:b/>
          <w:bCs/>
          <w:snapToGrid w:val="0"/>
          <w:szCs w:val="22"/>
          <w:lang w:eastAsia="en-US"/>
        </w:rPr>
      </w:pPr>
      <w:r w:rsidRPr="00C21B99">
        <w:rPr>
          <w:b/>
          <w:bCs/>
          <w:snapToGrid w:val="0"/>
          <w:szCs w:val="22"/>
          <w:lang w:eastAsia="en-US"/>
        </w:rPr>
        <w:t>Dažn</w:t>
      </w:r>
      <w:r w:rsidR="00A079EB">
        <w:rPr>
          <w:b/>
          <w:bCs/>
          <w:snapToGrid w:val="0"/>
          <w:szCs w:val="22"/>
          <w:lang w:eastAsia="en-US"/>
        </w:rPr>
        <w:t>i</w:t>
      </w:r>
      <w:r w:rsidRPr="00C21B99">
        <w:rPr>
          <w:b/>
          <w:bCs/>
          <w:snapToGrid w:val="0"/>
          <w:szCs w:val="22"/>
          <w:lang w:eastAsia="en-US"/>
        </w:rPr>
        <w:t xml:space="preserve"> šalutini</w:t>
      </w:r>
      <w:r w:rsidR="00A079EB">
        <w:rPr>
          <w:b/>
          <w:bCs/>
          <w:snapToGrid w:val="0"/>
          <w:szCs w:val="22"/>
          <w:lang w:eastAsia="en-US"/>
        </w:rPr>
        <w:t>o</w:t>
      </w:r>
      <w:r w:rsidRPr="00C21B99">
        <w:rPr>
          <w:b/>
          <w:bCs/>
          <w:snapToGrid w:val="0"/>
          <w:szCs w:val="22"/>
          <w:lang w:eastAsia="en-US"/>
        </w:rPr>
        <w:t xml:space="preserve"> poveiki</w:t>
      </w:r>
      <w:r w:rsidR="00A079EB">
        <w:rPr>
          <w:b/>
          <w:bCs/>
          <w:snapToGrid w:val="0"/>
          <w:szCs w:val="22"/>
          <w:lang w:eastAsia="en-US"/>
        </w:rPr>
        <w:t>o reiškiniai</w:t>
      </w:r>
      <w:r w:rsidRPr="00C21B99">
        <w:rPr>
          <w:b/>
          <w:bCs/>
          <w:snapToGrid w:val="0"/>
          <w:szCs w:val="22"/>
          <w:lang w:eastAsia="en-US"/>
        </w:rPr>
        <w:t xml:space="preserve"> (gali pasireikšti </w:t>
      </w:r>
      <w:r w:rsidR="00E51765">
        <w:rPr>
          <w:b/>
          <w:bCs/>
          <w:snapToGrid w:val="0"/>
          <w:szCs w:val="22"/>
          <w:lang w:eastAsia="en-US"/>
        </w:rPr>
        <w:t>reč</w:t>
      </w:r>
      <w:r w:rsidR="000201A3" w:rsidRPr="00C21B99">
        <w:rPr>
          <w:b/>
          <w:bCs/>
          <w:snapToGrid w:val="0"/>
          <w:szCs w:val="22"/>
          <w:lang w:eastAsia="en-US"/>
        </w:rPr>
        <w:t>iau kaip</w:t>
      </w:r>
      <w:r w:rsidRPr="00C21B99">
        <w:rPr>
          <w:b/>
          <w:bCs/>
          <w:snapToGrid w:val="0"/>
          <w:szCs w:val="22"/>
          <w:lang w:eastAsia="en-US"/>
        </w:rPr>
        <w:t xml:space="preserve"> 1 iš 10 </w:t>
      </w:r>
      <w:r w:rsidR="00A079EB">
        <w:rPr>
          <w:b/>
          <w:bCs/>
          <w:snapToGrid w:val="0"/>
          <w:szCs w:val="22"/>
          <w:lang w:eastAsia="en-US"/>
        </w:rPr>
        <w:t>asmen</w:t>
      </w:r>
      <w:r w:rsidRPr="00C21B99">
        <w:rPr>
          <w:b/>
          <w:bCs/>
          <w:snapToGrid w:val="0"/>
          <w:szCs w:val="22"/>
          <w:lang w:eastAsia="en-US"/>
        </w:rPr>
        <w:t>ų):</w:t>
      </w:r>
    </w:p>
    <w:p w14:paraId="5359C9D8"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burnos sausumas;</w:t>
      </w:r>
    </w:p>
    <w:p w14:paraId="36A14ACC"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akių sausumas, paraudimas ar niežulys;</w:t>
      </w:r>
    </w:p>
    <w:p w14:paraId="64BF3A17"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vokų paraudimas ir perštėjimas;</w:t>
      </w:r>
    </w:p>
    <w:p w14:paraId="17247739"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nagų sutrikimai;</w:t>
      </w:r>
    </w:p>
    <w:p w14:paraId="6CFE8AA3"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plaukų slinkimas;</w:t>
      </w:r>
    </w:p>
    <w:p w14:paraId="7C19939C"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karščiavimas;</w:t>
      </w:r>
    </w:p>
    <w:p w14:paraId="7C40C65F"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kraujavimas (pvz., kraujavimas iš nosies, kraujas šlapime);</w:t>
      </w:r>
    </w:p>
    <w:p w14:paraId="5C0730B5"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baltymas šlapime (nustatomas tiriant šlapimą);</w:t>
      </w:r>
    </w:p>
    <w:p w14:paraId="1AE475E2"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 xml:space="preserve">padidėjęs </w:t>
      </w:r>
      <w:proofErr w:type="spellStart"/>
      <w:r w:rsidRPr="00C21B99">
        <w:rPr>
          <w:snapToGrid w:val="0"/>
          <w:szCs w:val="22"/>
          <w:lang w:eastAsia="en-US"/>
        </w:rPr>
        <w:t>bilirubino</w:t>
      </w:r>
      <w:proofErr w:type="spellEnd"/>
      <w:r w:rsidRPr="00C21B99">
        <w:rPr>
          <w:snapToGrid w:val="0"/>
          <w:szCs w:val="22"/>
          <w:lang w:eastAsia="en-US"/>
        </w:rPr>
        <w:t xml:space="preserve"> </w:t>
      </w:r>
      <w:r w:rsidR="000201A3" w:rsidRPr="00C21B99">
        <w:rPr>
          <w:snapToGrid w:val="0"/>
          <w:szCs w:val="22"/>
          <w:lang w:eastAsia="en-US"/>
        </w:rPr>
        <w:t>ki</w:t>
      </w:r>
      <w:r w:rsidR="00C21B99">
        <w:rPr>
          <w:snapToGrid w:val="0"/>
          <w:szCs w:val="22"/>
          <w:lang w:eastAsia="en-US"/>
        </w:rPr>
        <w:t>e</w:t>
      </w:r>
      <w:r w:rsidR="000201A3" w:rsidRPr="00C21B99">
        <w:rPr>
          <w:snapToGrid w:val="0"/>
          <w:szCs w:val="22"/>
          <w:lang w:eastAsia="en-US"/>
        </w:rPr>
        <w:t>kis</w:t>
      </w:r>
      <w:r w:rsidR="00C21B99">
        <w:rPr>
          <w:snapToGrid w:val="0"/>
          <w:szCs w:val="22"/>
          <w:lang w:eastAsia="en-US"/>
        </w:rPr>
        <w:t xml:space="preserve"> </w:t>
      </w:r>
      <w:r w:rsidRPr="00C21B99">
        <w:rPr>
          <w:snapToGrid w:val="0"/>
          <w:szCs w:val="22"/>
          <w:lang w:eastAsia="en-US"/>
        </w:rPr>
        <w:t xml:space="preserve">ir kepenų fermento, vadinamo </w:t>
      </w:r>
      <w:proofErr w:type="spellStart"/>
      <w:r w:rsidRPr="00C21B99">
        <w:rPr>
          <w:snapToGrid w:val="0"/>
          <w:szCs w:val="22"/>
          <w:lang w:eastAsia="en-US"/>
        </w:rPr>
        <w:t>aspartato</w:t>
      </w:r>
      <w:proofErr w:type="spellEnd"/>
      <w:r w:rsidRPr="00C21B99">
        <w:rPr>
          <w:snapToGrid w:val="0"/>
          <w:szCs w:val="22"/>
          <w:lang w:eastAsia="en-US"/>
        </w:rPr>
        <w:t xml:space="preserve"> </w:t>
      </w:r>
      <w:proofErr w:type="spellStart"/>
      <w:r w:rsidRPr="00C21B99">
        <w:rPr>
          <w:snapToGrid w:val="0"/>
          <w:szCs w:val="22"/>
          <w:lang w:eastAsia="en-US"/>
        </w:rPr>
        <w:t>aminotransferaze</w:t>
      </w:r>
      <w:proofErr w:type="spellEnd"/>
      <w:r w:rsidRPr="00C21B99">
        <w:rPr>
          <w:snapToGrid w:val="0"/>
          <w:szCs w:val="22"/>
          <w:lang w:eastAsia="en-US"/>
        </w:rPr>
        <w:t xml:space="preserve">, </w:t>
      </w:r>
      <w:r w:rsidR="000201A3" w:rsidRPr="00C21B99">
        <w:rPr>
          <w:snapToGrid w:val="0"/>
          <w:szCs w:val="22"/>
          <w:lang w:eastAsia="en-US"/>
        </w:rPr>
        <w:t xml:space="preserve">aktyvumas </w:t>
      </w:r>
      <w:r w:rsidRPr="00C21B99">
        <w:rPr>
          <w:snapToGrid w:val="0"/>
          <w:szCs w:val="22"/>
          <w:lang w:eastAsia="en-US"/>
        </w:rPr>
        <w:t xml:space="preserve">(nustatomas tiriant kraują; jeigu jis per didelis, gydytojas gali nurodyti nutraukti </w:t>
      </w:r>
      <w:proofErr w:type="spellStart"/>
      <w:r w:rsidR="000201A3" w:rsidRPr="00C21B99">
        <w:rPr>
          <w:snapToGrid w:val="0"/>
          <w:szCs w:val="22"/>
          <w:lang w:eastAsia="en-US"/>
        </w:rPr>
        <w:t>Gefitinib</w:t>
      </w:r>
      <w:proofErr w:type="spellEnd"/>
      <w:r w:rsidR="000201A3" w:rsidRPr="00C21B99">
        <w:rPr>
          <w:snapToGrid w:val="0"/>
          <w:szCs w:val="22"/>
          <w:lang w:eastAsia="en-US"/>
        </w:rPr>
        <w:t xml:space="preserve"> </w:t>
      </w:r>
      <w:proofErr w:type="spellStart"/>
      <w:r w:rsidR="000201A3" w:rsidRPr="00C21B99">
        <w:rPr>
          <w:snapToGrid w:val="0"/>
          <w:szCs w:val="22"/>
          <w:lang w:eastAsia="en-US"/>
        </w:rPr>
        <w:t>Sandoz</w:t>
      </w:r>
      <w:proofErr w:type="spellEnd"/>
      <w:r w:rsidR="000201A3" w:rsidRPr="00C21B99">
        <w:rPr>
          <w:snapToGrid w:val="0"/>
          <w:szCs w:val="22"/>
          <w:lang w:eastAsia="en-US"/>
        </w:rPr>
        <w:t xml:space="preserve"> </w:t>
      </w:r>
      <w:r w:rsidRPr="00C21B99">
        <w:rPr>
          <w:snapToGrid w:val="0"/>
          <w:szCs w:val="22"/>
          <w:lang w:eastAsia="en-US"/>
        </w:rPr>
        <w:t>vartojimą);</w:t>
      </w:r>
    </w:p>
    <w:p w14:paraId="498B28AE"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padidėj</w:t>
      </w:r>
      <w:r w:rsidR="000201A3" w:rsidRPr="00C21B99">
        <w:rPr>
          <w:snapToGrid w:val="0"/>
          <w:szCs w:val="22"/>
          <w:lang w:eastAsia="en-US"/>
        </w:rPr>
        <w:t>ę</w:t>
      </w:r>
      <w:r w:rsidRPr="00C21B99">
        <w:rPr>
          <w:snapToGrid w:val="0"/>
          <w:szCs w:val="22"/>
          <w:lang w:eastAsia="en-US"/>
        </w:rPr>
        <w:t xml:space="preserve"> kreatinino </w:t>
      </w:r>
      <w:r w:rsidR="000201A3" w:rsidRPr="00C21B99">
        <w:rPr>
          <w:snapToGrid w:val="0"/>
          <w:szCs w:val="22"/>
          <w:lang w:eastAsia="en-US"/>
        </w:rPr>
        <w:t>lygiai</w:t>
      </w:r>
      <w:r w:rsidRPr="00C21B99">
        <w:rPr>
          <w:snapToGrid w:val="0"/>
          <w:szCs w:val="22"/>
          <w:lang w:eastAsia="en-US"/>
        </w:rPr>
        <w:t xml:space="preserve"> kraujyje (nustatoma tiriant kraują; šio tyrimo duomenys</w:t>
      </w:r>
      <w:r w:rsidR="000201A3" w:rsidRPr="00C21B99">
        <w:rPr>
          <w:snapToGrid w:val="0"/>
          <w:szCs w:val="22"/>
          <w:lang w:eastAsia="en-US"/>
        </w:rPr>
        <w:t xml:space="preserve"> </w:t>
      </w:r>
      <w:r w:rsidRPr="00C21B99">
        <w:rPr>
          <w:snapToGrid w:val="0"/>
          <w:szCs w:val="22"/>
          <w:lang w:eastAsia="en-US"/>
        </w:rPr>
        <w:t>rodo inkstų funkciją);</w:t>
      </w:r>
    </w:p>
    <w:p w14:paraId="7AA48348" w14:textId="77777777" w:rsidR="00B8654E" w:rsidRPr="00C21B99" w:rsidRDefault="00B8654E" w:rsidP="000201A3">
      <w:pPr>
        <w:widowControl w:val="0"/>
        <w:numPr>
          <w:ilvl w:val="0"/>
          <w:numId w:val="39"/>
        </w:numPr>
        <w:ind w:left="567" w:right="-29" w:hanging="567"/>
        <w:rPr>
          <w:snapToGrid w:val="0"/>
          <w:szCs w:val="22"/>
          <w:lang w:eastAsia="en-US"/>
        </w:rPr>
      </w:pPr>
      <w:r w:rsidRPr="00C21B99">
        <w:rPr>
          <w:snapToGrid w:val="0"/>
          <w:szCs w:val="22"/>
          <w:lang w:eastAsia="en-US"/>
        </w:rPr>
        <w:t>cistitas (jis pasireiškia deginimo pojūčiu šlapinantis ir dažnu</w:t>
      </w:r>
      <w:r w:rsidR="000201A3" w:rsidRPr="00C21B99">
        <w:rPr>
          <w:snapToGrid w:val="0"/>
          <w:szCs w:val="22"/>
          <w:lang w:eastAsia="en-US"/>
        </w:rPr>
        <w:t xml:space="preserve"> varymu </w:t>
      </w:r>
      <w:r w:rsidRPr="00C21B99">
        <w:rPr>
          <w:snapToGrid w:val="0"/>
          <w:szCs w:val="22"/>
          <w:lang w:eastAsia="en-US"/>
        </w:rPr>
        <w:t>šlapintis).</w:t>
      </w:r>
    </w:p>
    <w:p w14:paraId="144D6CD3" w14:textId="77777777" w:rsidR="000201A3" w:rsidRPr="00C21B99" w:rsidRDefault="000201A3" w:rsidP="00B8654E">
      <w:pPr>
        <w:widowControl w:val="0"/>
        <w:numPr>
          <w:ilvl w:val="12"/>
          <w:numId w:val="0"/>
        </w:numPr>
        <w:ind w:right="-29"/>
        <w:rPr>
          <w:b/>
          <w:bCs/>
          <w:snapToGrid w:val="0"/>
          <w:szCs w:val="22"/>
          <w:lang w:eastAsia="en-US"/>
        </w:rPr>
      </w:pPr>
    </w:p>
    <w:p w14:paraId="7954A44E" w14:textId="65699AFF" w:rsidR="00B8654E" w:rsidRPr="00C21B99" w:rsidRDefault="00B8654E" w:rsidP="00B8654E">
      <w:pPr>
        <w:widowControl w:val="0"/>
        <w:numPr>
          <w:ilvl w:val="12"/>
          <w:numId w:val="0"/>
        </w:numPr>
        <w:ind w:right="-29"/>
        <w:rPr>
          <w:b/>
          <w:bCs/>
          <w:snapToGrid w:val="0"/>
          <w:szCs w:val="22"/>
          <w:lang w:eastAsia="en-US"/>
        </w:rPr>
      </w:pPr>
      <w:r w:rsidRPr="00C21B99">
        <w:rPr>
          <w:b/>
          <w:bCs/>
          <w:snapToGrid w:val="0"/>
          <w:szCs w:val="22"/>
          <w:lang w:eastAsia="en-US"/>
        </w:rPr>
        <w:t>Nedažn</w:t>
      </w:r>
      <w:r w:rsidR="00A079EB">
        <w:rPr>
          <w:b/>
          <w:bCs/>
          <w:snapToGrid w:val="0"/>
          <w:szCs w:val="22"/>
          <w:lang w:eastAsia="en-US"/>
        </w:rPr>
        <w:t>i</w:t>
      </w:r>
      <w:r w:rsidRPr="00C21B99">
        <w:rPr>
          <w:b/>
          <w:bCs/>
          <w:snapToGrid w:val="0"/>
          <w:szCs w:val="22"/>
          <w:lang w:eastAsia="en-US"/>
        </w:rPr>
        <w:t xml:space="preserve"> šalutini</w:t>
      </w:r>
      <w:r w:rsidR="00A079EB">
        <w:rPr>
          <w:b/>
          <w:bCs/>
          <w:snapToGrid w:val="0"/>
          <w:szCs w:val="22"/>
          <w:lang w:eastAsia="en-US"/>
        </w:rPr>
        <w:t>o</w:t>
      </w:r>
      <w:r w:rsidRPr="00C21B99">
        <w:rPr>
          <w:b/>
          <w:bCs/>
          <w:snapToGrid w:val="0"/>
          <w:szCs w:val="22"/>
          <w:lang w:eastAsia="en-US"/>
        </w:rPr>
        <w:t xml:space="preserve"> poveiki</w:t>
      </w:r>
      <w:r w:rsidR="00A079EB">
        <w:rPr>
          <w:b/>
          <w:bCs/>
          <w:snapToGrid w:val="0"/>
          <w:szCs w:val="22"/>
          <w:lang w:eastAsia="en-US"/>
        </w:rPr>
        <w:t>o reiškiniai</w:t>
      </w:r>
      <w:r w:rsidRPr="00C21B99">
        <w:rPr>
          <w:b/>
          <w:bCs/>
          <w:snapToGrid w:val="0"/>
          <w:szCs w:val="22"/>
          <w:lang w:eastAsia="en-US"/>
        </w:rPr>
        <w:t xml:space="preserve"> (gali pasireikšti </w:t>
      </w:r>
      <w:r w:rsidR="00E51765">
        <w:rPr>
          <w:b/>
          <w:bCs/>
          <w:snapToGrid w:val="0"/>
          <w:szCs w:val="22"/>
          <w:lang w:eastAsia="en-US"/>
        </w:rPr>
        <w:t>reč</w:t>
      </w:r>
      <w:r w:rsidR="000201A3" w:rsidRPr="00C21B99">
        <w:rPr>
          <w:b/>
          <w:bCs/>
          <w:snapToGrid w:val="0"/>
          <w:szCs w:val="22"/>
          <w:lang w:eastAsia="en-US"/>
        </w:rPr>
        <w:t>iau kaip</w:t>
      </w:r>
      <w:r w:rsidRPr="00C21B99">
        <w:rPr>
          <w:b/>
          <w:bCs/>
          <w:snapToGrid w:val="0"/>
          <w:szCs w:val="22"/>
          <w:lang w:eastAsia="en-US"/>
        </w:rPr>
        <w:t xml:space="preserve"> 1 iš 100 </w:t>
      </w:r>
      <w:r w:rsidR="00A079EB">
        <w:rPr>
          <w:b/>
          <w:bCs/>
          <w:snapToGrid w:val="0"/>
          <w:szCs w:val="22"/>
          <w:lang w:eastAsia="en-US"/>
        </w:rPr>
        <w:t>asmen</w:t>
      </w:r>
      <w:r w:rsidRPr="00C21B99">
        <w:rPr>
          <w:b/>
          <w:bCs/>
          <w:snapToGrid w:val="0"/>
          <w:szCs w:val="22"/>
          <w:lang w:eastAsia="en-US"/>
        </w:rPr>
        <w:t>ų):</w:t>
      </w:r>
    </w:p>
    <w:p w14:paraId="3F303361" w14:textId="77777777" w:rsidR="00B8654E" w:rsidRPr="00C21B99" w:rsidRDefault="00B8654E" w:rsidP="000201A3">
      <w:pPr>
        <w:widowControl w:val="0"/>
        <w:numPr>
          <w:ilvl w:val="0"/>
          <w:numId w:val="40"/>
        </w:numPr>
        <w:ind w:left="567" w:right="-29" w:hanging="567"/>
        <w:rPr>
          <w:snapToGrid w:val="0"/>
          <w:szCs w:val="22"/>
          <w:lang w:eastAsia="en-US"/>
        </w:rPr>
      </w:pPr>
      <w:r w:rsidRPr="00C21B99">
        <w:rPr>
          <w:snapToGrid w:val="0"/>
          <w:szCs w:val="22"/>
          <w:lang w:eastAsia="en-US"/>
        </w:rPr>
        <w:t>kasos uždegimas (jo simptomai yra labai stiprus skausmas viršutinėje skrandžio srities dalyje,</w:t>
      </w:r>
      <w:r w:rsidR="000201A3" w:rsidRPr="00C21B99">
        <w:rPr>
          <w:snapToGrid w:val="0"/>
          <w:szCs w:val="22"/>
          <w:lang w:eastAsia="en-US"/>
        </w:rPr>
        <w:t xml:space="preserve"> </w:t>
      </w:r>
      <w:r w:rsidRPr="00C21B99">
        <w:rPr>
          <w:snapToGrid w:val="0"/>
          <w:szCs w:val="22"/>
          <w:lang w:eastAsia="en-US"/>
        </w:rPr>
        <w:t>stiprus pykinimas ir vėmimas);</w:t>
      </w:r>
    </w:p>
    <w:p w14:paraId="372FF192" w14:textId="77777777" w:rsidR="00B8654E" w:rsidRPr="00C21B99" w:rsidRDefault="00B8654E" w:rsidP="000201A3">
      <w:pPr>
        <w:widowControl w:val="0"/>
        <w:numPr>
          <w:ilvl w:val="0"/>
          <w:numId w:val="40"/>
        </w:numPr>
        <w:ind w:left="567" w:right="-29" w:hanging="567"/>
        <w:rPr>
          <w:snapToGrid w:val="0"/>
          <w:szCs w:val="22"/>
          <w:lang w:eastAsia="en-US"/>
        </w:rPr>
      </w:pPr>
      <w:r w:rsidRPr="00C21B99">
        <w:rPr>
          <w:snapToGrid w:val="0"/>
          <w:szCs w:val="22"/>
          <w:lang w:eastAsia="en-US"/>
        </w:rPr>
        <w:t>kepenų uždegimas, kurio simptomai gali būti bendras negalavimas su gelta (pageltusi oda ir</w:t>
      </w:r>
      <w:r w:rsidR="000201A3" w:rsidRPr="00C21B99">
        <w:rPr>
          <w:snapToGrid w:val="0"/>
          <w:szCs w:val="22"/>
          <w:lang w:eastAsia="en-US"/>
        </w:rPr>
        <w:t xml:space="preserve"> </w:t>
      </w:r>
      <w:r w:rsidRPr="00C21B99">
        <w:rPr>
          <w:snapToGrid w:val="0"/>
          <w:szCs w:val="22"/>
          <w:lang w:eastAsia="en-US"/>
        </w:rPr>
        <w:t>akys) ar be jos. Šis šalutinis poveikis pasireiškia nedažnai, tačiau dėl jo yra buvę mirties atvejų;</w:t>
      </w:r>
    </w:p>
    <w:p w14:paraId="45534601" w14:textId="1F6C0B9F" w:rsidR="00B8654E" w:rsidRDefault="00B8654E" w:rsidP="000201A3">
      <w:pPr>
        <w:widowControl w:val="0"/>
        <w:numPr>
          <w:ilvl w:val="0"/>
          <w:numId w:val="40"/>
        </w:numPr>
        <w:ind w:left="567" w:right="-29" w:hanging="567"/>
        <w:rPr>
          <w:snapToGrid w:val="0"/>
          <w:szCs w:val="22"/>
          <w:lang w:eastAsia="en-US"/>
        </w:rPr>
      </w:pPr>
      <w:r w:rsidRPr="00C21B99">
        <w:rPr>
          <w:snapToGrid w:val="0"/>
          <w:szCs w:val="22"/>
          <w:lang w:eastAsia="en-US"/>
        </w:rPr>
        <w:t>virškinimo trakto prakiurimas</w:t>
      </w:r>
      <w:r w:rsidR="003D0171">
        <w:rPr>
          <w:snapToGrid w:val="0"/>
          <w:szCs w:val="22"/>
          <w:lang w:eastAsia="en-US"/>
        </w:rPr>
        <w:t>;</w:t>
      </w:r>
    </w:p>
    <w:p w14:paraId="0ACC5466" w14:textId="17CA40EB" w:rsidR="003D0171" w:rsidRPr="00C21B99" w:rsidRDefault="003D0171" w:rsidP="000201A3">
      <w:pPr>
        <w:widowControl w:val="0"/>
        <w:numPr>
          <w:ilvl w:val="0"/>
          <w:numId w:val="40"/>
        </w:numPr>
        <w:ind w:left="567" w:right="-29" w:hanging="567"/>
        <w:rPr>
          <w:snapToGrid w:val="0"/>
          <w:szCs w:val="22"/>
          <w:lang w:eastAsia="en-US"/>
        </w:rPr>
      </w:pPr>
      <w:r>
        <w:t xml:space="preserve">plaštakų ir pėdų odos reakcija, kuri pasireiškia dilgčiojimu, nejautra, skausmu, patinimu ar paraudinimu (vadinama plaštakų ir pėdų </w:t>
      </w:r>
      <w:proofErr w:type="spellStart"/>
      <w:r>
        <w:t>eritrodizestezijos</w:t>
      </w:r>
      <w:proofErr w:type="spellEnd"/>
      <w:r>
        <w:t xml:space="preserve"> sindromu arba plaštakų ir pėdų sindromu).</w:t>
      </w:r>
    </w:p>
    <w:p w14:paraId="26B177A5" w14:textId="77777777" w:rsidR="000201A3" w:rsidRPr="00C21B99" w:rsidRDefault="000201A3" w:rsidP="00B8654E">
      <w:pPr>
        <w:widowControl w:val="0"/>
        <w:numPr>
          <w:ilvl w:val="12"/>
          <w:numId w:val="0"/>
        </w:numPr>
        <w:ind w:right="-29"/>
        <w:rPr>
          <w:b/>
          <w:bCs/>
          <w:snapToGrid w:val="0"/>
          <w:szCs w:val="22"/>
          <w:lang w:eastAsia="en-US"/>
        </w:rPr>
      </w:pPr>
    </w:p>
    <w:p w14:paraId="0147C246" w14:textId="61680D51" w:rsidR="00B8654E" w:rsidRPr="00C21B99" w:rsidRDefault="00B8654E" w:rsidP="00B8654E">
      <w:pPr>
        <w:widowControl w:val="0"/>
        <w:numPr>
          <w:ilvl w:val="12"/>
          <w:numId w:val="0"/>
        </w:numPr>
        <w:ind w:right="-29"/>
        <w:rPr>
          <w:b/>
          <w:bCs/>
          <w:snapToGrid w:val="0"/>
          <w:szCs w:val="22"/>
          <w:lang w:eastAsia="en-US"/>
        </w:rPr>
      </w:pPr>
      <w:r w:rsidRPr="00C21B99">
        <w:rPr>
          <w:b/>
          <w:bCs/>
          <w:snapToGrid w:val="0"/>
          <w:szCs w:val="22"/>
          <w:lang w:eastAsia="en-US"/>
        </w:rPr>
        <w:t>Ret</w:t>
      </w:r>
      <w:r w:rsidR="00A079EB">
        <w:rPr>
          <w:b/>
          <w:bCs/>
          <w:snapToGrid w:val="0"/>
          <w:szCs w:val="22"/>
          <w:lang w:eastAsia="en-US"/>
        </w:rPr>
        <w:t>i</w:t>
      </w:r>
      <w:r w:rsidRPr="00C21B99">
        <w:rPr>
          <w:b/>
          <w:bCs/>
          <w:snapToGrid w:val="0"/>
          <w:szCs w:val="22"/>
          <w:lang w:eastAsia="en-US"/>
        </w:rPr>
        <w:t xml:space="preserve"> šalutini</w:t>
      </w:r>
      <w:r w:rsidR="00A079EB">
        <w:rPr>
          <w:b/>
          <w:bCs/>
          <w:snapToGrid w:val="0"/>
          <w:szCs w:val="22"/>
          <w:lang w:eastAsia="en-US"/>
        </w:rPr>
        <w:t>o</w:t>
      </w:r>
      <w:r w:rsidRPr="00C21B99">
        <w:rPr>
          <w:b/>
          <w:bCs/>
          <w:snapToGrid w:val="0"/>
          <w:szCs w:val="22"/>
          <w:lang w:eastAsia="en-US"/>
        </w:rPr>
        <w:t xml:space="preserve"> poveiki</w:t>
      </w:r>
      <w:r w:rsidR="00A079EB">
        <w:rPr>
          <w:b/>
          <w:bCs/>
          <w:snapToGrid w:val="0"/>
          <w:szCs w:val="22"/>
          <w:lang w:eastAsia="en-US"/>
        </w:rPr>
        <w:t>o reiškiniai</w:t>
      </w:r>
      <w:r w:rsidRPr="00C21B99">
        <w:rPr>
          <w:b/>
          <w:bCs/>
          <w:snapToGrid w:val="0"/>
          <w:szCs w:val="22"/>
          <w:lang w:eastAsia="en-US"/>
        </w:rPr>
        <w:t xml:space="preserve"> (gali pasireikšti </w:t>
      </w:r>
      <w:r w:rsidR="00E51765">
        <w:rPr>
          <w:b/>
          <w:bCs/>
          <w:snapToGrid w:val="0"/>
          <w:szCs w:val="22"/>
          <w:lang w:eastAsia="en-US"/>
        </w:rPr>
        <w:t>reč</w:t>
      </w:r>
      <w:r w:rsidR="000201A3" w:rsidRPr="00C21B99">
        <w:rPr>
          <w:b/>
          <w:bCs/>
          <w:snapToGrid w:val="0"/>
          <w:szCs w:val="22"/>
          <w:lang w:eastAsia="en-US"/>
        </w:rPr>
        <w:t xml:space="preserve">iau kaip 1 </w:t>
      </w:r>
      <w:r w:rsidRPr="00C21B99">
        <w:rPr>
          <w:b/>
          <w:bCs/>
          <w:snapToGrid w:val="0"/>
          <w:szCs w:val="22"/>
          <w:lang w:eastAsia="en-US"/>
        </w:rPr>
        <w:t>iš 1</w:t>
      </w:r>
      <w:r w:rsidR="00A079EB">
        <w:rPr>
          <w:b/>
          <w:bCs/>
          <w:snapToGrid w:val="0"/>
          <w:szCs w:val="22"/>
          <w:lang w:eastAsia="en-US"/>
        </w:rPr>
        <w:t xml:space="preserve"> </w:t>
      </w:r>
      <w:r w:rsidRPr="00C21B99">
        <w:rPr>
          <w:b/>
          <w:bCs/>
          <w:snapToGrid w:val="0"/>
          <w:szCs w:val="22"/>
          <w:lang w:eastAsia="en-US"/>
        </w:rPr>
        <w:t xml:space="preserve">000 </w:t>
      </w:r>
      <w:r w:rsidR="00A079EB">
        <w:rPr>
          <w:b/>
          <w:bCs/>
          <w:snapToGrid w:val="0"/>
          <w:szCs w:val="22"/>
          <w:lang w:eastAsia="en-US"/>
        </w:rPr>
        <w:t>asmen</w:t>
      </w:r>
      <w:r w:rsidRPr="00C21B99">
        <w:rPr>
          <w:b/>
          <w:bCs/>
          <w:snapToGrid w:val="0"/>
          <w:szCs w:val="22"/>
          <w:lang w:eastAsia="en-US"/>
        </w:rPr>
        <w:t>ų):</w:t>
      </w:r>
    </w:p>
    <w:p w14:paraId="38F495ED" w14:textId="77777777" w:rsidR="00B8654E" w:rsidRPr="00C21B99" w:rsidRDefault="00B8654E" w:rsidP="000201A3">
      <w:pPr>
        <w:widowControl w:val="0"/>
        <w:numPr>
          <w:ilvl w:val="0"/>
          <w:numId w:val="41"/>
        </w:numPr>
        <w:ind w:left="567" w:right="-29" w:hanging="567"/>
        <w:rPr>
          <w:snapToGrid w:val="0"/>
          <w:szCs w:val="22"/>
          <w:lang w:eastAsia="en-US"/>
        </w:rPr>
      </w:pPr>
      <w:r w:rsidRPr="00C21B99">
        <w:rPr>
          <w:snapToGrid w:val="0"/>
          <w:szCs w:val="22"/>
          <w:lang w:eastAsia="en-US"/>
        </w:rPr>
        <w:t>odos kraujagyslių uždegimas (dėl jo gali susidaryti kraujosruvų ar paspaudus neblunkančio</w:t>
      </w:r>
      <w:r w:rsidR="000201A3" w:rsidRPr="00C21B99">
        <w:rPr>
          <w:snapToGrid w:val="0"/>
          <w:szCs w:val="22"/>
          <w:lang w:eastAsia="en-US"/>
        </w:rPr>
        <w:t xml:space="preserve"> </w:t>
      </w:r>
      <w:r w:rsidRPr="00C21B99">
        <w:rPr>
          <w:snapToGrid w:val="0"/>
          <w:szCs w:val="22"/>
          <w:lang w:eastAsia="en-US"/>
        </w:rPr>
        <w:t>išbėrimo dėmių odoje);</w:t>
      </w:r>
    </w:p>
    <w:p w14:paraId="1A287C2B" w14:textId="77777777" w:rsidR="00B8654E" w:rsidRPr="00C21B99" w:rsidRDefault="00B8654E" w:rsidP="000201A3">
      <w:pPr>
        <w:widowControl w:val="0"/>
        <w:numPr>
          <w:ilvl w:val="0"/>
          <w:numId w:val="41"/>
        </w:numPr>
        <w:ind w:left="567" w:right="-29" w:hanging="567"/>
        <w:rPr>
          <w:snapToGrid w:val="0"/>
          <w:szCs w:val="22"/>
          <w:lang w:eastAsia="en-US"/>
        </w:rPr>
      </w:pPr>
      <w:r w:rsidRPr="00C21B99">
        <w:rPr>
          <w:snapToGrid w:val="0"/>
          <w:szCs w:val="22"/>
          <w:lang w:eastAsia="en-US"/>
        </w:rPr>
        <w:t>hemoraginis cistitas (jis pasireiškia deginimo pojūčiu šlapinantis ir dažnu</w:t>
      </w:r>
      <w:r w:rsidR="000201A3" w:rsidRPr="00C21B99">
        <w:rPr>
          <w:snapToGrid w:val="0"/>
          <w:szCs w:val="22"/>
          <w:lang w:eastAsia="en-US"/>
        </w:rPr>
        <w:t xml:space="preserve"> varymu</w:t>
      </w:r>
      <w:r w:rsidRPr="00C21B99">
        <w:rPr>
          <w:snapToGrid w:val="0"/>
          <w:szCs w:val="22"/>
          <w:lang w:eastAsia="en-US"/>
        </w:rPr>
        <w:t xml:space="preserve"> šlapintis</w:t>
      </w:r>
      <w:r w:rsidR="00D02C26" w:rsidRPr="00C21B99">
        <w:rPr>
          <w:snapToGrid w:val="0"/>
          <w:szCs w:val="22"/>
          <w:lang w:eastAsia="en-US"/>
        </w:rPr>
        <w:t xml:space="preserve"> šlapimu</w:t>
      </w:r>
      <w:r w:rsidRPr="00C21B99">
        <w:rPr>
          <w:snapToGrid w:val="0"/>
          <w:szCs w:val="22"/>
          <w:lang w:eastAsia="en-US"/>
        </w:rPr>
        <w:t xml:space="preserve">, </w:t>
      </w:r>
      <w:r w:rsidR="00D02C26" w:rsidRPr="00C21B99">
        <w:rPr>
          <w:snapToGrid w:val="0"/>
          <w:szCs w:val="22"/>
          <w:lang w:eastAsia="en-US"/>
        </w:rPr>
        <w:t>kuriame yra</w:t>
      </w:r>
      <w:r w:rsidRPr="00C21B99">
        <w:rPr>
          <w:snapToGrid w:val="0"/>
          <w:szCs w:val="22"/>
          <w:lang w:eastAsia="en-US"/>
        </w:rPr>
        <w:t xml:space="preserve"> kraujo).</w:t>
      </w:r>
    </w:p>
    <w:p w14:paraId="1E303F1C" w14:textId="77777777" w:rsidR="00D02C26" w:rsidRPr="00C21B99" w:rsidRDefault="00D02C26" w:rsidP="00B8654E">
      <w:pPr>
        <w:widowControl w:val="0"/>
        <w:numPr>
          <w:ilvl w:val="12"/>
          <w:numId w:val="0"/>
        </w:numPr>
        <w:ind w:right="-29"/>
        <w:rPr>
          <w:b/>
          <w:bCs/>
          <w:snapToGrid w:val="0"/>
          <w:szCs w:val="22"/>
          <w:lang w:eastAsia="en-US"/>
        </w:rPr>
      </w:pPr>
    </w:p>
    <w:p w14:paraId="3BF1E592" w14:textId="77777777" w:rsidR="00D02C26" w:rsidRPr="00C21B99" w:rsidRDefault="00D02C26" w:rsidP="00D02C26">
      <w:pPr>
        <w:widowControl w:val="0"/>
        <w:tabs>
          <w:tab w:val="left" w:pos="567"/>
        </w:tabs>
        <w:rPr>
          <w:b/>
          <w:snapToGrid w:val="0"/>
          <w:szCs w:val="22"/>
          <w:lang w:eastAsia="en-US"/>
        </w:rPr>
      </w:pPr>
      <w:r w:rsidRPr="00C21B99">
        <w:rPr>
          <w:b/>
          <w:snapToGrid w:val="0"/>
          <w:szCs w:val="22"/>
          <w:lang w:eastAsia="en-US"/>
        </w:rPr>
        <w:t>Pranešimas apie šalutinį poveikį</w:t>
      </w:r>
    </w:p>
    <w:p w14:paraId="12525FE9" w14:textId="0F73B600" w:rsidR="00A079EB" w:rsidRDefault="00D02C26" w:rsidP="00D02C26">
      <w:pPr>
        <w:widowControl w:val="0"/>
        <w:tabs>
          <w:tab w:val="left" w:pos="567"/>
        </w:tabs>
        <w:ind w:right="-449"/>
        <w:rPr>
          <w:snapToGrid w:val="0"/>
          <w:szCs w:val="22"/>
          <w:lang w:eastAsia="en-US"/>
        </w:rPr>
      </w:pPr>
      <w:r w:rsidRPr="00C21B99">
        <w:rPr>
          <w:snapToGrid w:val="0"/>
          <w:szCs w:val="22"/>
          <w:lang w:eastAsia="en-US"/>
        </w:rPr>
        <w:t>Jeigu pasireiškė šalutinis poveikis, įskaitant šiame lapelyje nenurodytą, pasakykite gydytojui arba vaistininkui.</w:t>
      </w:r>
      <w:r w:rsidR="00A079EB" w:rsidRPr="00A079EB">
        <w:rPr>
          <w:szCs w:val="22"/>
        </w:rPr>
        <w:t xml:space="preserve"> </w:t>
      </w:r>
      <w:r w:rsidR="00A079EB" w:rsidRPr="00CE7679">
        <w:rPr>
          <w:szCs w:val="22"/>
        </w:rPr>
        <w:t>.</w:t>
      </w:r>
      <w:r w:rsidR="00A079EB" w:rsidRPr="00B76C43">
        <w:t xml:space="preserve"> </w:t>
      </w:r>
      <w:r w:rsidR="00A079EB" w:rsidRPr="0075443F">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A079EB" w:rsidRPr="0075443F">
        <w:t>NepageidaujamaR@vvkt.lt</w:t>
      </w:r>
      <w:proofErr w:type="spellEnd"/>
      <w:r w:rsidR="00A079EB" w:rsidRPr="0075443F">
        <w:t>) arba nemokamu telefonu 8 800 73 568</w:t>
      </w:r>
      <w:r w:rsidRPr="00C21B99">
        <w:rPr>
          <w:snapToGrid w:val="0"/>
          <w:szCs w:val="22"/>
          <w:lang w:eastAsia="en-US"/>
        </w:rPr>
        <w:t xml:space="preserve">. </w:t>
      </w:r>
    </w:p>
    <w:p w14:paraId="4A00E80E" w14:textId="4405170E" w:rsidR="00D02C26" w:rsidRPr="00C21B99" w:rsidRDefault="00D02C26" w:rsidP="00D02C26">
      <w:pPr>
        <w:widowControl w:val="0"/>
        <w:tabs>
          <w:tab w:val="left" w:pos="567"/>
        </w:tabs>
        <w:ind w:right="-449"/>
        <w:rPr>
          <w:snapToGrid w:val="0"/>
          <w:szCs w:val="22"/>
          <w:lang w:eastAsia="en-US"/>
        </w:rPr>
      </w:pPr>
      <w:r w:rsidRPr="00C21B99">
        <w:rPr>
          <w:snapToGrid w:val="0"/>
          <w:szCs w:val="22"/>
          <w:lang w:eastAsia="en-US"/>
        </w:rPr>
        <w:t>Pranešdami apie šalutinį poveikį galite mums padėti gauti daugiau informacijos apie šio vaisto saugumą.</w:t>
      </w:r>
    </w:p>
    <w:p w14:paraId="1FD34F02" w14:textId="77777777" w:rsidR="00D02C26" w:rsidRPr="00C21B99" w:rsidRDefault="00D02C26" w:rsidP="00B8654E">
      <w:pPr>
        <w:widowControl w:val="0"/>
        <w:numPr>
          <w:ilvl w:val="12"/>
          <w:numId w:val="0"/>
        </w:numPr>
        <w:ind w:right="-29"/>
        <w:rPr>
          <w:b/>
          <w:bCs/>
          <w:snapToGrid w:val="0"/>
          <w:szCs w:val="22"/>
          <w:lang w:eastAsia="en-US"/>
        </w:rPr>
      </w:pPr>
    </w:p>
    <w:p w14:paraId="088AC51D" w14:textId="77777777" w:rsidR="00D02C26" w:rsidRPr="00C21B99" w:rsidRDefault="00D02C26" w:rsidP="00B8654E">
      <w:pPr>
        <w:widowControl w:val="0"/>
        <w:numPr>
          <w:ilvl w:val="12"/>
          <w:numId w:val="0"/>
        </w:numPr>
        <w:ind w:right="-29"/>
        <w:rPr>
          <w:b/>
          <w:bCs/>
          <w:snapToGrid w:val="0"/>
          <w:szCs w:val="22"/>
          <w:lang w:eastAsia="en-US"/>
        </w:rPr>
      </w:pPr>
    </w:p>
    <w:p w14:paraId="4EB8A4A7" w14:textId="77777777" w:rsidR="00B8654E" w:rsidRPr="00C21B99" w:rsidRDefault="00B8654E" w:rsidP="00B8654E">
      <w:pPr>
        <w:widowControl w:val="0"/>
        <w:numPr>
          <w:ilvl w:val="12"/>
          <w:numId w:val="0"/>
        </w:numPr>
        <w:ind w:right="-29"/>
        <w:rPr>
          <w:b/>
          <w:bCs/>
          <w:snapToGrid w:val="0"/>
          <w:szCs w:val="22"/>
          <w:lang w:eastAsia="en-US"/>
        </w:rPr>
      </w:pPr>
      <w:r w:rsidRPr="00C21B99">
        <w:rPr>
          <w:b/>
          <w:bCs/>
          <w:snapToGrid w:val="0"/>
          <w:szCs w:val="22"/>
          <w:lang w:eastAsia="en-US"/>
        </w:rPr>
        <w:t>5.</w:t>
      </w:r>
      <w:r w:rsidR="007559A7" w:rsidRPr="00C21B99">
        <w:rPr>
          <w:b/>
          <w:bCs/>
          <w:snapToGrid w:val="0"/>
          <w:szCs w:val="22"/>
          <w:lang w:eastAsia="en-US"/>
        </w:rPr>
        <w:tab/>
      </w:r>
      <w:r w:rsidRPr="00C21B99">
        <w:rPr>
          <w:b/>
          <w:bCs/>
          <w:snapToGrid w:val="0"/>
          <w:szCs w:val="22"/>
          <w:lang w:eastAsia="en-US"/>
        </w:rPr>
        <w:t xml:space="preserve">Kaip laikyti </w:t>
      </w:r>
      <w:proofErr w:type="spellStart"/>
      <w:r w:rsidR="00D02C26" w:rsidRPr="00C21B99">
        <w:rPr>
          <w:b/>
          <w:bCs/>
          <w:snapToGrid w:val="0"/>
          <w:szCs w:val="22"/>
          <w:lang w:eastAsia="en-US"/>
        </w:rPr>
        <w:t>Gefitinib</w:t>
      </w:r>
      <w:proofErr w:type="spellEnd"/>
      <w:r w:rsidR="00D02C26" w:rsidRPr="00C21B99">
        <w:rPr>
          <w:b/>
          <w:bCs/>
          <w:snapToGrid w:val="0"/>
          <w:szCs w:val="22"/>
          <w:lang w:eastAsia="en-US"/>
        </w:rPr>
        <w:t xml:space="preserve"> </w:t>
      </w:r>
      <w:proofErr w:type="spellStart"/>
      <w:r w:rsidR="00D02C26" w:rsidRPr="00C21B99">
        <w:rPr>
          <w:b/>
          <w:bCs/>
          <w:snapToGrid w:val="0"/>
          <w:szCs w:val="22"/>
          <w:lang w:eastAsia="en-US"/>
        </w:rPr>
        <w:t>Sandoz</w:t>
      </w:r>
      <w:proofErr w:type="spellEnd"/>
    </w:p>
    <w:p w14:paraId="1C918093" w14:textId="77777777" w:rsidR="00D02C26" w:rsidRPr="00C21B99" w:rsidRDefault="00D02C26" w:rsidP="00B8654E">
      <w:pPr>
        <w:widowControl w:val="0"/>
        <w:numPr>
          <w:ilvl w:val="12"/>
          <w:numId w:val="0"/>
        </w:numPr>
        <w:ind w:right="-29"/>
        <w:rPr>
          <w:snapToGrid w:val="0"/>
          <w:szCs w:val="22"/>
          <w:lang w:eastAsia="en-US"/>
        </w:rPr>
      </w:pPr>
    </w:p>
    <w:p w14:paraId="14FE3C14" w14:textId="77777777" w:rsidR="00B8654E" w:rsidRPr="00C21B99" w:rsidRDefault="00B8654E" w:rsidP="00D02C26">
      <w:pPr>
        <w:widowControl w:val="0"/>
        <w:numPr>
          <w:ilvl w:val="0"/>
          <w:numId w:val="42"/>
        </w:numPr>
        <w:ind w:left="567" w:right="-29" w:hanging="567"/>
        <w:rPr>
          <w:snapToGrid w:val="0"/>
          <w:szCs w:val="22"/>
          <w:lang w:eastAsia="en-US"/>
        </w:rPr>
      </w:pPr>
      <w:r w:rsidRPr="00C21B99">
        <w:rPr>
          <w:snapToGrid w:val="0"/>
          <w:szCs w:val="22"/>
          <w:lang w:eastAsia="en-US"/>
        </w:rPr>
        <w:t>Šį vaistą laikykite vaikams nepastebimoje ir nepasiekiamoje vietoje.</w:t>
      </w:r>
    </w:p>
    <w:p w14:paraId="78539956" w14:textId="77777777" w:rsidR="00DF12E6" w:rsidRDefault="00B8654E" w:rsidP="00D02C26">
      <w:pPr>
        <w:widowControl w:val="0"/>
        <w:numPr>
          <w:ilvl w:val="0"/>
          <w:numId w:val="42"/>
        </w:numPr>
        <w:ind w:left="567" w:right="-29" w:hanging="567"/>
        <w:rPr>
          <w:snapToGrid w:val="0"/>
          <w:szCs w:val="22"/>
          <w:lang w:eastAsia="en-US"/>
        </w:rPr>
      </w:pPr>
      <w:r w:rsidRPr="00C21B99">
        <w:rPr>
          <w:snapToGrid w:val="0"/>
          <w:szCs w:val="22"/>
          <w:lang w:eastAsia="en-US"/>
        </w:rPr>
        <w:t>Ant dėžutės</w:t>
      </w:r>
      <w:r w:rsidR="00D02C26" w:rsidRPr="00C21B99">
        <w:rPr>
          <w:snapToGrid w:val="0"/>
          <w:szCs w:val="22"/>
          <w:lang w:eastAsia="en-US"/>
        </w:rPr>
        <w:t xml:space="preserve"> ir</w:t>
      </w:r>
      <w:r w:rsidRPr="00C21B99">
        <w:rPr>
          <w:snapToGrid w:val="0"/>
          <w:szCs w:val="22"/>
          <w:lang w:eastAsia="en-US"/>
        </w:rPr>
        <w:t xml:space="preserve"> lizdinės plokštelės po „</w:t>
      </w:r>
      <w:r w:rsidR="00D02C26" w:rsidRPr="00C21B99">
        <w:rPr>
          <w:snapToGrid w:val="0"/>
          <w:szCs w:val="22"/>
          <w:lang w:eastAsia="en-US"/>
        </w:rPr>
        <w:t>EXP</w:t>
      </w:r>
      <w:r w:rsidRPr="00C21B99">
        <w:rPr>
          <w:snapToGrid w:val="0"/>
          <w:szCs w:val="22"/>
          <w:lang w:eastAsia="en-US"/>
        </w:rPr>
        <w:t>“ nurodytam tinkamumo laikui</w:t>
      </w:r>
      <w:r w:rsidR="00C21B99">
        <w:rPr>
          <w:snapToGrid w:val="0"/>
          <w:szCs w:val="22"/>
          <w:lang w:eastAsia="en-US"/>
        </w:rPr>
        <w:t xml:space="preserve"> </w:t>
      </w:r>
      <w:r w:rsidRPr="00C21B99">
        <w:rPr>
          <w:snapToGrid w:val="0"/>
          <w:szCs w:val="22"/>
          <w:lang w:eastAsia="en-US"/>
        </w:rPr>
        <w:t>pasibaigus, šio vaisto vartoti negalima. Vaistas tinka</w:t>
      </w:r>
      <w:r w:rsidR="00DF12E6">
        <w:rPr>
          <w:snapToGrid w:val="0"/>
          <w:szCs w:val="22"/>
          <w:lang w:eastAsia="en-US"/>
        </w:rPr>
        <w:t>mas</w:t>
      </w:r>
      <w:r w:rsidRPr="00C21B99">
        <w:rPr>
          <w:snapToGrid w:val="0"/>
          <w:szCs w:val="22"/>
          <w:lang w:eastAsia="en-US"/>
        </w:rPr>
        <w:t xml:space="preserve"> vartoti iki paskutinės nurodyto mėnesio dienos.</w:t>
      </w:r>
      <w:r w:rsidR="00E35A3C">
        <w:rPr>
          <w:snapToGrid w:val="0"/>
          <w:szCs w:val="22"/>
          <w:lang w:eastAsia="en-US"/>
        </w:rPr>
        <w:t xml:space="preserve"> </w:t>
      </w:r>
    </w:p>
    <w:p w14:paraId="3A2E82C9" w14:textId="77777777" w:rsidR="00B8654E" w:rsidRPr="00DF12E6" w:rsidRDefault="00E35A3C" w:rsidP="00DF12E6">
      <w:pPr>
        <w:widowControl w:val="0"/>
        <w:numPr>
          <w:ilvl w:val="0"/>
          <w:numId w:val="42"/>
        </w:numPr>
        <w:ind w:left="567" w:right="-29" w:hanging="567"/>
        <w:rPr>
          <w:snapToGrid w:val="0"/>
          <w:szCs w:val="22"/>
          <w:lang w:eastAsia="en-US"/>
        </w:rPr>
      </w:pPr>
      <w:r w:rsidRPr="00AC2CD5">
        <w:t>Šio vaisto laikymui specialių temperatū</w:t>
      </w:r>
      <w:r>
        <w:t>ros sąlygų nereikalaujama.</w:t>
      </w:r>
      <w:r w:rsidR="00DF12E6">
        <w:rPr>
          <w:snapToGrid w:val="0"/>
          <w:szCs w:val="22"/>
          <w:lang w:eastAsia="en-US"/>
        </w:rPr>
        <w:t xml:space="preserve"> </w:t>
      </w:r>
      <w:r w:rsidR="00B8654E" w:rsidRPr="00DF12E6">
        <w:rPr>
          <w:snapToGrid w:val="0"/>
          <w:szCs w:val="22"/>
          <w:lang w:eastAsia="en-US"/>
        </w:rPr>
        <w:t xml:space="preserve">Laikyti gamintojo pakuotėje, kad </w:t>
      </w:r>
      <w:r w:rsidR="00DF12E6">
        <w:rPr>
          <w:snapToGrid w:val="0"/>
          <w:szCs w:val="22"/>
          <w:lang w:eastAsia="en-US"/>
        </w:rPr>
        <w:t>vaistas</w:t>
      </w:r>
      <w:r w:rsidR="00B8654E" w:rsidRPr="00DF12E6">
        <w:rPr>
          <w:snapToGrid w:val="0"/>
          <w:szCs w:val="22"/>
          <w:lang w:eastAsia="en-US"/>
        </w:rPr>
        <w:t xml:space="preserve"> būtų apsaugotas nuo drėgmės.</w:t>
      </w:r>
    </w:p>
    <w:p w14:paraId="255C2D51" w14:textId="77777777" w:rsidR="00E858A2" w:rsidRPr="00C21B99" w:rsidRDefault="00B8654E" w:rsidP="00D02C26">
      <w:pPr>
        <w:widowControl w:val="0"/>
        <w:numPr>
          <w:ilvl w:val="0"/>
          <w:numId w:val="42"/>
        </w:numPr>
        <w:ind w:left="567" w:right="-29" w:hanging="567"/>
        <w:rPr>
          <w:snapToGrid w:val="0"/>
          <w:szCs w:val="22"/>
          <w:lang w:eastAsia="en-US"/>
        </w:rPr>
      </w:pPr>
      <w:r w:rsidRPr="00C21B99">
        <w:rPr>
          <w:snapToGrid w:val="0"/>
          <w:szCs w:val="22"/>
          <w:lang w:eastAsia="en-US"/>
        </w:rPr>
        <w:t>Vaistų negalima išmesti į kanalizaciją arba su buitinėmis atliekomis. Kaip išmesti nereikalingus</w:t>
      </w:r>
      <w:r w:rsidR="00D02C26" w:rsidRPr="00C21B99">
        <w:rPr>
          <w:snapToGrid w:val="0"/>
          <w:szCs w:val="22"/>
          <w:lang w:eastAsia="en-US"/>
        </w:rPr>
        <w:t xml:space="preserve"> </w:t>
      </w:r>
      <w:r w:rsidRPr="00C21B99">
        <w:rPr>
          <w:snapToGrid w:val="0"/>
          <w:szCs w:val="22"/>
          <w:lang w:eastAsia="en-US"/>
        </w:rPr>
        <w:t>vaistus, klauskite vaistininko. Šios priemonės padės apsaugoti aplinką.</w:t>
      </w:r>
    </w:p>
    <w:p w14:paraId="5C433D2A" w14:textId="77777777" w:rsidR="00CF4C82" w:rsidRPr="00C21B99" w:rsidRDefault="00CF4C82" w:rsidP="00CF4C82">
      <w:pPr>
        <w:pStyle w:val="Default"/>
        <w:rPr>
          <w:sz w:val="22"/>
          <w:szCs w:val="22"/>
          <w:lang w:val="lt-LT"/>
        </w:rPr>
      </w:pPr>
    </w:p>
    <w:p w14:paraId="1A8E4BB4" w14:textId="77777777" w:rsidR="0049365C" w:rsidRPr="00C21B99" w:rsidRDefault="0049365C" w:rsidP="00CF4C82">
      <w:pPr>
        <w:pStyle w:val="Default"/>
        <w:rPr>
          <w:bCs/>
          <w:sz w:val="22"/>
          <w:szCs w:val="22"/>
          <w:lang w:val="lt-LT"/>
        </w:rPr>
      </w:pPr>
    </w:p>
    <w:p w14:paraId="5FFAEAE4" w14:textId="77777777" w:rsidR="00CF4C82" w:rsidRPr="00C21B99" w:rsidRDefault="00CF4C82" w:rsidP="00CF4C82">
      <w:pPr>
        <w:pStyle w:val="Default"/>
        <w:rPr>
          <w:sz w:val="22"/>
          <w:szCs w:val="22"/>
          <w:lang w:val="lt-LT"/>
        </w:rPr>
      </w:pPr>
      <w:r w:rsidRPr="00C21B99">
        <w:rPr>
          <w:b/>
          <w:bCs/>
          <w:sz w:val="22"/>
          <w:szCs w:val="22"/>
          <w:lang w:val="lt-LT"/>
        </w:rPr>
        <w:t>6.</w:t>
      </w:r>
      <w:r w:rsidR="0049365C" w:rsidRPr="00C21B99">
        <w:rPr>
          <w:b/>
          <w:bCs/>
          <w:sz w:val="22"/>
          <w:szCs w:val="22"/>
          <w:lang w:val="lt-LT"/>
        </w:rPr>
        <w:tab/>
      </w:r>
      <w:r w:rsidRPr="00C21B99">
        <w:rPr>
          <w:b/>
          <w:bCs/>
          <w:sz w:val="22"/>
          <w:szCs w:val="22"/>
          <w:lang w:val="lt-LT"/>
        </w:rPr>
        <w:t xml:space="preserve">Pakuotės turinys ir kita informacija </w:t>
      </w:r>
    </w:p>
    <w:p w14:paraId="38121701" w14:textId="77777777" w:rsidR="0049365C" w:rsidRPr="00C21B99" w:rsidRDefault="0049365C" w:rsidP="00CF4C82">
      <w:pPr>
        <w:pStyle w:val="Default"/>
        <w:rPr>
          <w:bCs/>
          <w:sz w:val="22"/>
          <w:szCs w:val="22"/>
          <w:lang w:val="lt-LT"/>
        </w:rPr>
      </w:pPr>
    </w:p>
    <w:p w14:paraId="2909439A" w14:textId="77777777" w:rsidR="00CF4C82" w:rsidRPr="00C21B99" w:rsidRDefault="007559A7" w:rsidP="00CF4C82">
      <w:pPr>
        <w:pStyle w:val="Default"/>
        <w:rPr>
          <w:sz w:val="22"/>
          <w:szCs w:val="22"/>
          <w:lang w:val="lt-LT"/>
        </w:rPr>
      </w:pPr>
      <w:proofErr w:type="spellStart"/>
      <w:r w:rsidRPr="00C21B99">
        <w:rPr>
          <w:b/>
          <w:bCs/>
          <w:sz w:val="22"/>
          <w:szCs w:val="22"/>
          <w:lang w:val="lt-LT"/>
        </w:rPr>
        <w:t>Gefitinib</w:t>
      </w:r>
      <w:proofErr w:type="spellEnd"/>
      <w:r w:rsidRPr="00C21B99">
        <w:rPr>
          <w:b/>
          <w:bCs/>
          <w:sz w:val="22"/>
          <w:szCs w:val="22"/>
          <w:lang w:val="lt-LT"/>
        </w:rPr>
        <w:t xml:space="preserve"> </w:t>
      </w:r>
      <w:proofErr w:type="spellStart"/>
      <w:r w:rsidRPr="00C21B99">
        <w:rPr>
          <w:b/>
          <w:bCs/>
          <w:sz w:val="22"/>
          <w:szCs w:val="22"/>
          <w:lang w:val="lt-LT"/>
        </w:rPr>
        <w:t>Sandoz</w:t>
      </w:r>
      <w:proofErr w:type="spellEnd"/>
      <w:r w:rsidR="00CF4C82" w:rsidRPr="00C21B99">
        <w:rPr>
          <w:b/>
          <w:bCs/>
          <w:sz w:val="22"/>
          <w:szCs w:val="22"/>
          <w:lang w:val="lt-LT"/>
        </w:rPr>
        <w:t xml:space="preserve"> sudėtis </w:t>
      </w:r>
    </w:p>
    <w:p w14:paraId="6373344C" w14:textId="77777777" w:rsidR="00CF4C82" w:rsidRPr="00C21B99" w:rsidRDefault="00CF4C82" w:rsidP="00D02C26">
      <w:pPr>
        <w:pStyle w:val="Default"/>
        <w:numPr>
          <w:ilvl w:val="0"/>
          <w:numId w:val="43"/>
        </w:numPr>
        <w:ind w:left="567" w:hanging="567"/>
        <w:rPr>
          <w:sz w:val="22"/>
          <w:szCs w:val="22"/>
          <w:lang w:val="lt-LT"/>
        </w:rPr>
      </w:pPr>
      <w:r w:rsidRPr="00C21B99">
        <w:rPr>
          <w:sz w:val="22"/>
          <w:szCs w:val="22"/>
          <w:lang w:val="lt-LT"/>
        </w:rPr>
        <w:t xml:space="preserve">Veiklioji medžiaga yra </w:t>
      </w:r>
      <w:proofErr w:type="spellStart"/>
      <w:r w:rsidR="00D02C26" w:rsidRPr="00C21B99">
        <w:rPr>
          <w:sz w:val="22"/>
          <w:szCs w:val="22"/>
          <w:lang w:val="lt-LT"/>
        </w:rPr>
        <w:t>gefitinibas</w:t>
      </w:r>
      <w:proofErr w:type="spellEnd"/>
      <w:r w:rsidRPr="00C21B99">
        <w:rPr>
          <w:sz w:val="22"/>
          <w:szCs w:val="22"/>
          <w:lang w:val="lt-LT"/>
        </w:rPr>
        <w:t xml:space="preserve">. Kiekvienoje </w:t>
      </w:r>
      <w:r w:rsidR="00E35A3C">
        <w:rPr>
          <w:sz w:val="22"/>
          <w:szCs w:val="22"/>
          <w:lang w:val="lt-LT"/>
        </w:rPr>
        <w:t xml:space="preserve">plėvele dengtoje </w:t>
      </w:r>
      <w:r w:rsidRPr="00C21B99">
        <w:rPr>
          <w:sz w:val="22"/>
          <w:szCs w:val="22"/>
          <w:lang w:val="lt-LT"/>
        </w:rPr>
        <w:t>tabletėje yra 25</w:t>
      </w:r>
      <w:r w:rsidR="00D02C26" w:rsidRPr="00C21B99">
        <w:rPr>
          <w:sz w:val="22"/>
          <w:szCs w:val="22"/>
          <w:lang w:val="lt-LT"/>
        </w:rPr>
        <w:t>0 </w:t>
      </w:r>
      <w:r w:rsidRPr="00C21B99">
        <w:rPr>
          <w:sz w:val="22"/>
          <w:szCs w:val="22"/>
          <w:lang w:val="lt-LT"/>
        </w:rPr>
        <w:t xml:space="preserve">mg </w:t>
      </w:r>
      <w:proofErr w:type="spellStart"/>
      <w:r w:rsidR="00D02C26" w:rsidRPr="00C21B99">
        <w:rPr>
          <w:sz w:val="22"/>
          <w:szCs w:val="22"/>
          <w:lang w:val="lt-LT"/>
        </w:rPr>
        <w:t>gefitinibo</w:t>
      </w:r>
      <w:proofErr w:type="spellEnd"/>
      <w:r w:rsidRPr="00C21B99">
        <w:rPr>
          <w:sz w:val="22"/>
          <w:szCs w:val="22"/>
          <w:lang w:val="lt-LT"/>
        </w:rPr>
        <w:t xml:space="preserve">. </w:t>
      </w:r>
    </w:p>
    <w:p w14:paraId="55AA4124" w14:textId="77777777" w:rsidR="00CF4C82" w:rsidRPr="00C21B99" w:rsidRDefault="00CF4C82" w:rsidP="007559A7">
      <w:pPr>
        <w:pStyle w:val="Default"/>
        <w:numPr>
          <w:ilvl w:val="0"/>
          <w:numId w:val="43"/>
        </w:numPr>
        <w:ind w:left="567" w:hanging="567"/>
        <w:rPr>
          <w:sz w:val="22"/>
          <w:szCs w:val="22"/>
          <w:lang w:val="lt-LT"/>
        </w:rPr>
      </w:pPr>
      <w:r w:rsidRPr="00C21B99">
        <w:rPr>
          <w:sz w:val="22"/>
          <w:szCs w:val="22"/>
          <w:lang w:val="lt-LT"/>
        </w:rPr>
        <w:t xml:space="preserve">Pagalbinės medžiagos yra laktozė </w:t>
      </w:r>
      <w:proofErr w:type="spellStart"/>
      <w:r w:rsidRPr="00C21B99">
        <w:rPr>
          <w:sz w:val="22"/>
          <w:szCs w:val="22"/>
          <w:lang w:val="lt-LT"/>
        </w:rPr>
        <w:t>monohidratas</w:t>
      </w:r>
      <w:proofErr w:type="spellEnd"/>
      <w:r w:rsidRPr="00C21B99">
        <w:rPr>
          <w:sz w:val="22"/>
          <w:szCs w:val="22"/>
          <w:lang w:val="lt-LT"/>
        </w:rPr>
        <w:t xml:space="preserve">, </w:t>
      </w:r>
      <w:proofErr w:type="spellStart"/>
      <w:r w:rsidR="00D02C26" w:rsidRPr="00C21B99">
        <w:rPr>
          <w:sz w:val="22"/>
          <w:szCs w:val="22"/>
          <w:lang w:val="lt-LT"/>
        </w:rPr>
        <w:t>mikrokristalinė</w:t>
      </w:r>
      <w:proofErr w:type="spellEnd"/>
      <w:r w:rsidR="00D02C26" w:rsidRPr="00C21B99">
        <w:rPr>
          <w:sz w:val="22"/>
          <w:szCs w:val="22"/>
          <w:lang w:val="lt-LT"/>
        </w:rPr>
        <w:t xml:space="preserve"> celiuliozė (E460), </w:t>
      </w:r>
      <w:proofErr w:type="spellStart"/>
      <w:r w:rsidR="00D02C26" w:rsidRPr="00C21B99">
        <w:rPr>
          <w:sz w:val="22"/>
          <w:szCs w:val="22"/>
          <w:lang w:val="lt-LT"/>
        </w:rPr>
        <w:t>kroskarmeliozės</w:t>
      </w:r>
      <w:proofErr w:type="spellEnd"/>
      <w:r w:rsidR="00D02C26" w:rsidRPr="00C21B99">
        <w:rPr>
          <w:sz w:val="22"/>
          <w:szCs w:val="22"/>
          <w:lang w:val="lt-LT"/>
        </w:rPr>
        <w:t xml:space="preserve"> natrio druska (E468), </w:t>
      </w:r>
      <w:proofErr w:type="spellStart"/>
      <w:r w:rsidR="00D02C26" w:rsidRPr="00C21B99">
        <w:rPr>
          <w:sz w:val="22"/>
          <w:szCs w:val="22"/>
          <w:lang w:val="lt-LT"/>
        </w:rPr>
        <w:t>povidonas</w:t>
      </w:r>
      <w:proofErr w:type="spellEnd"/>
      <w:r w:rsidR="00D02C26" w:rsidRPr="00C21B99">
        <w:rPr>
          <w:sz w:val="22"/>
          <w:szCs w:val="22"/>
          <w:lang w:val="lt-LT"/>
        </w:rPr>
        <w:t xml:space="preserve"> K30 (E1201), magnio </w:t>
      </w:r>
      <w:proofErr w:type="spellStart"/>
      <w:r w:rsidR="00D02C26" w:rsidRPr="00C21B99">
        <w:rPr>
          <w:sz w:val="22"/>
          <w:szCs w:val="22"/>
          <w:lang w:val="lt-LT"/>
        </w:rPr>
        <w:t>stearatas</w:t>
      </w:r>
      <w:proofErr w:type="spellEnd"/>
      <w:r w:rsidR="00D02C26" w:rsidRPr="00C21B99">
        <w:rPr>
          <w:sz w:val="22"/>
          <w:szCs w:val="22"/>
          <w:lang w:val="lt-LT"/>
        </w:rPr>
        <w:t xml:space="preserve"> (E470b), natrio </w:t>
      </w:r>
      <w:proofErr w:type="spellStart"/>
      <w:r w:rsidR="00D02C26" w:rsidRPr="00C21B99">
        <w:rPr>
          <w:sz w:val="22"/>
          <w:szCs w:val="22"/>
          <w:lang w:val="lt-LT"/>
        </w:rPr>
        <w:t>laurilsulfatas</w:t>
      </w:r>
      <w:proofErr w:type="spellEnd"/>
      <w:r w:rsidR="00D02C26" w:rsidRPr="00C21B99">
        <w:rPr>
          <w:sz w:val="22"/>
          <w:szCs w:val="22"/>
          <w:lang w:val="lt-LT"/>
        </w:rPr>
        <w:t>,</w:t>
      </w:r>
      <w:r w:rsidR="007559A7" w:rsidRPr="00C21B99">
        <w:rPr>
          <w:sz w:val="22"/>
          <w:szCs w:val="22"/>
          <w:lang w:val="lt-LT"/>
        </w:rPr>
        <w:t xml:space="preserve"> </w:t>
      </w:r>
      <w:proofErr w:type="spellStart"/>
      <w:r w:rsidR="007559A7" w:rsidRPr="00C21B99">
        <w:rPr>
          <w:sz w:val="22"/>
          <w:szCs w:val="22"/>
          <w:lang w:val="lt-LT"/>
        </w:rPr>
        <w:t>p</w:t>
      </w:r>
      <w:r w:rsidR="00D02C26" w:rsidRPr="00C21B99">
        <w:rPr>
          <w:sz w:val="22"/>
          <w:szCs w:val="22"/>
          <w:lang w:val="lt-LT"/>
        </w:rPr>
        <w:t>olivinilo</w:t>
      </w:r>
      <w:proofErr w:type="spellEnd"/>
      <w:r w:rsidR="00D02C26" w:rsidRPr="00C21B99">
        <w:rPr>
          <w:sz w:val="22"/>
          <w:szCs w:val="22"/>
          <w:lang w:val="lt-LT"/>
        </w:rPr>
        <w:t xml:space="preserve"> alkoholis (E1203)</w:t>
      </w:r>
      <w:r w:rsidR="007559A7" w:rsidRPr="00C21B99">
        <w:rPr>
          <w:sz w:val="22"/>
          <w:szCs w:val="22"/>
          <w:lang w:val="lt-LT"/>
        </w:rPr>
        <w:t xml:space="preserve">, </w:t>
      </w:r>
      <w:proofErr w:type="spellStart"/>
      <w:r w:rsidR="007559A7" w:rsidRPr="00C21B99">
        <w:rPr>
          <w:sz w:val="22"/>
          <w:szCs w:val="22"/>
          <w:lang w:val="lt-LT"/>
        </w:rPr>
        <w:t>m</w:t>
      </w:r>
      <w:r w:rsidR="00D02C26" w:rsidRPr="00C21B99">
        <w:rPr>
          <w:sz w:val="22"/>
          <w:szCs w:val="22"/>
          <w:lang w:val="lt-LT"/>
        </w:rPr>
        <w:t>akrogolis</w:t>
      </w:r>
      <w:proofErr w:type="spellEnd"/>
      <w:r w:rsidR="00D02C26" w:rsidRPr="00C21B99">
        <w:rPr>
          <w:sz w:val="22"/>
          <w:szCs w:val="22"/>
          <w:lang w:val="lt-LT"/>
        </w:rPr>
        <w:t xml:space="preserve"> 3350 (E1521)</w:t>
      </w:r>
      <w:r w:rsidR="007559A7" w:rsidRPr="00C21B99">
        <w:rPr>
          <w:sz w:val="22"/>
          <w:szCs w:val="22"/>
          <w:lang w:val="lt-LT"/>
        </w:rPr>
        <w:t>, t</w:t>
      </w:r>
      <w:r w:rsidR="00D02C26" w:rsidRPr="00C21B99">
        <w:rPr>
          <w:sz w:val="22"/>
          <w:szCs w:val="22"/>
          <w:lang w:val="lt-LT"/>
        </w:rPr>
        <w:t>alkas (E553b)</w:t>
      </w:r>
      <w:r w:rsidR="007559A7" w:rsidRPr="00C21B99">
        <w:rPr>
          <w:sz w:val="22"/>
          <w:szCs w:val="22"/>
          <w:lang w:val="lt-LT"/>
        </w:rPr>
        <w:t>, t</w:t>
      </w:r>
      <w:r w:rsidR="00D02C26" w:rsidRPr="00C21B99">
        <w:rPr>
          <w:sz w:val="22"/>
          <w:szCs w:val="22"/>
          <w:lang w:val="lt-LT"/>
        </w:rPr>
        <w:t>itano dioksidas (E17</w:t>
      </w:r>
      <w:r w:rsidR="00DF12E6">
        <w:rPr>
          <w:sz w:val="22"/>
          <w:szCs w:val="22"/>
          <w:lang w:val="lt-LT"/>
        </w:rPr>
        <w:t>1</w:t>
      </w:r>
      <w:r w:rsidR="00D02C26" w:rsidRPr="00C21B99">
        <w:rPr>
          <w:sz w:val="22"/>
          <w:szCs w:val="22"/>
          <w:lang w:val="lt-LT"/>
        </w:rPr>
        <w:t>)</w:t>
      </w:r>
      <w:r w:rsidR="007559A7" w:rsidRPr="00C21B99">
        <w:rPr>
          <w:sz w:val="22"/>
          <w:szCs w:val="22"/>
          <w:lang w:val="lt-LT"/>
        </w:rPr>
        <w:t>, r</w:t>
      </w:r>
      <w:r w:rsidR="00D02C26" w:rsidRPr="00C21B99">
        <w:rPr>
          <w:sz w:val="22"/>
          <w:szCs w:val="22"/>
          <w:lang w:val="lt-LT"/>
        </w:rPr>
        <w:t>audonas</w:t>
      </w:r>
      <w:r w:rsidR="00DF12E6">
        <w:rPr>
          <w:sz w:val="22"/>
          <w:szCs w:val="22"/>
          <w:lang w:val="lt-LT"/>
        </w:rPr>
        <w:t>is</w:t>
      </w:r>
      <w:r w:rsidR="00D02C26" w:rsidRPr="00C21B99">
        <w:rPr>
          <w:sz w:val="22"/>
          <w:szCs w:val="22"/>
          <w:lang w:val="lt-LT"/>
        </w:rPr>
        <w:t xml:space="preserve"> geležies oksidas (E172)</w:t>
      </w:r>
      <w:r w:rsidR="00DF12E6">
        <w:rPr>
          <w:sz w:val="22"/>
          <w:szCs w:val="22"/>
          <w:lang w:val="lt-LT"/>
        </w:rPr>
        <w:t xml:space="preserve"> ir geltonasis</w:t>
      </w:r>
      <w:r w:rsidR="00DF12E6" w:rsidRPr="00DF12E6">
        <w:rPr>
          <w:sz w:val="22"/>
          <w:szCs w:val="22"/>
          <w:lang w:val="lt-LT"/>
        </w:rPr>
        <w:t xml:space="preserve"> geležies oksidas (E172)</w:t>
      </w:r>
      <w:r w:rsidR="007559A7" w:rsidRPr="00C21B99">
        <w:rPr>
          <w:sz w:val="22"/>
          <w:szCs w:val="22"/>
          <w:lang w:val="lt-LT"/>
        </w:rPr>
        <w:t>.</w:t>
      </w:r>
    </w:p>
    <w:p w14:paraId="7F91F3BE" w14:textId="77777777" w:rsidR="007559A7" w:rsidRPr="00C21B99" w:rsidRDefault="007559A7" w:rsidP="00CF4C82">
      <w:pPr>
        <w:pStyle w:val="Default"/>
        <w:rPr>
          <w:b/>
          <w:bCs/>
          <w:sz w:val="22"/>
          <w:szCs w:val="22"/>
          <w:lang w:val="lt-LT"/>
        </w:rPr>
      </w:pPr>
    </w:p>
    <w:p w14:paraId="1D40AEEB" w14:textId="77777777" w:rsidR="00CF4C82" w:rsidRPr="00C21B99" w:rsidRDefault="007559A7" w:rsidP="00CF4C82">
      <w:pPr>
        <w:pStyle w:val="Default"/>
        <w:rPr>
          <w:sz w:val="22"/>
          <w:szCs w:val="22"/>
          <w:lang w:val="lt-LT"/>
        </w:rPr>
      </w:pPr>
      <w:proofErr w:type="spellStart"/>
      <w:r w:rsidRPr="00C21B99">
        <w:rPr>
          <w:b/>
          <w:bCs/>
          <w:sz w:val="22"/>
          <w:szCs w:val="22"/>
          <w:lang w:val="lt-LT"/>
        </w:rPr>
        <w:t>Gefitinib</w:t>
      </w:r>
      <w:proofErr w:type="spellEnd"/>
      <w:r w:rsidRPr="00C21B99">
        <w:rPr>
          <w:b/>
          <w:bCs/>
          <w:sz w:val="22"/>
          <w:szCs w:val="22"/>
          <w:lang w:val="lt-LT"/>
        </w:rPr>
        <w:t xml:space="preserve"> </w:t>
      </w:r>
      <w:proofErr w:type="spellStart"/>
      <w:r w:rsidRPr="00C21B99">
        <w:rPr>
          <w:b/>
          <w:bCs/>
          <w:sz w:val="22"/>
          <w:szCs w:val="22"/>
          <w:lang w:val="lt-LT"/>
        </w:rPr>
        <w:t>Sandoz</w:t>
      </w:r>
      <w:proofErr w:type="spellEnd"/>
      <w:r w:rsidR="00CF4C82" w:rsidRPr="00C21B99">
        <w:rPr>
          <w:b/>
          <w:bCs/>
          <w:sz w:val="22"/>
          <w:szCs w:val="22"/>
          <w:lang w:val="lt-LT"/>
        </w:rPr>
        <w:t xml:space="preserve"> išvaizda ir kiekis pakuotėje </w:t>
      </w:r>
    </w:p>
    <w:p w14:paraId="5583409E" w14:textId="77777777" w:rsidR="00CF4C82" w:rsidRDefault="007559A7" w:rsidP="00CF4C82">
      <w:pPr>
        <w:pStyle w:val="Default"/>
        <w:rPr>
          <w:sz w:val="22"/>
          <w:szCs w:val="22"/>
          <w:lang w:val="lt-LT"/>
        </w:rPr>
      </w:pPr>
      <w:proofErr w:type="spellStart"/>
      <w:r w:rsidRPr="00C21B99">
        <w:rPr>
          <w:sz w:val="22"/>
          <w:szCs w:val="22"/>
          <w:lang w:val="lt-LT"/>
        </w:rPr>
        <w:t>Gefiti</w:t>
      </w:r>
      <w:r w:rsidR="00994FD2">
        <w:rPr>
          <w:sz w:val="22"/>
          <w:szCs w:val="22"/>
          <w:lang w:val="lt-LT"/>
        </w:rPr>
        <w:t>nib</w:t>
      </w:r>
      <w:proofErr w:type="spellEnd"/>
      <w:r w:rsidR="00994FD2">
        <w:rPr>
          <w:sz w:val="22"/>
          <w:szCs w:val="22"/>
          <w:lang w:val="lt-LT"/>
        </w:rPr>
        <w:t xml:space="preserve"> </w:t>
      </w:r>
      <w:proofErr w:type="spellStart"/>
      <w:r w:rsidR="00994FD2">
        <w:rPr>
          <w:sz w:val="22"/>
          <w:szCs w:val="22"/>
          <w:lang w:val="lt-LT"/>
        </w:rPr>
        <w:t>Sandoz</w:t>
      </w:r>
      <w:proofErr w:type="spellEnd"/>
      <w:r w:rsidR="00994FD2">
        <w:rPr>
          <w:sz w:val="22"/>
          <w:szCs w:val="22"/>
          <w:lang w:val="lt-LT"/>
        </w:rPr>
        <w:t xml:space="preserve"> yra rudos, apvalios</w:t>
      </w:r>
      <w:r w:rsidR="00E32056">
        <w:rPr>
          <w:sz w:val="22"/>
          <w:szCs w:val="22"/>
          <w:lang w:val="lt-LT"/>
        </w:rPr>
        <w:t>,</w:t>
      </w:r>
      <w:r w:rsidR="00994FD2">
        <w:rPr>
          <w:sz w:val="22"/>
          <w:szCs w:val="22"/>
          <w:lang w:val="lt-LT"/>
        </w:rPr>
        <w:t xml:space="preserve"> </w:t>
      </w:r>
      <w:r w:rsidR="00E32056" w:rsidRPr="00C21B99">
        <w:rPr>
          <w:sz w:val="22"/>
          <w:szCs w:val="22"/>
          <w:lang w:val="lt-LT"/>
        </w:rPr>
        <w:t>11,1</w:t>
      </w:r>
      <w:r w:rsidR="00E32056">
        <w:rPr>
          <w:sz w:val="22"/>
          <w:szCs w:val="22"/>
          <w:lang w:val="lt-LT"/>
        </w:rPr>
        <w:t> </w:t>
      </w:r>
      <w:r w:rsidR="00E32056" w:rsidRPr="00C21B99">
        <w:rPr>
          <w:sz w:val="22"/>
          <w:szCs w:val="22"/>
          <w:lang w:val="lt-LT"/>
        </w:rPr>
        <w:t>mm</w:t>
      </w:r>
      <w:r w:rsidR="00E32056">
        <w:rPr>
          <w:sz w:val="22"/>
          <w:szCs w:val="22"/>
          <w:lang w:val="lt-LT"/>
        </w:rPr>
        <w:t xml:space="preserve"> skersmens </w:t>
      </w:r>
      <w:r w:rsidR="00DF12E6">
        <w:rPr>
          <w:sz w:val="22"/>
          <w:szCs w:val="22"/>
          <w:lang w:val="lt-LT"/>
        </w:rPr>
        <w:t xml:space="preserve">plėvele dengtos </w:t>
      </w:r>
      <w:r w:rsidRPr="00C21B99">
        <w:rPr>
          <w:sz w:val="22"/>
          <w:szCs w:val="22"/>
          <w:lang w:val="lt-LT"/>
        </w:rPr>
        <w:t>tabletės, kurių vienoje pusėje įspausta“250“, kita pusė lygi.</w:t>
      </w:r>
    </w:p>
    <w:p w14:paraId="2752BFAC" w14:textId="77777777" w:rsidR="00E35A3C" w:rsidRPr="00C21B99" w:rsidRDefault="00E35A3C" w:rsidP="00E35A3C">
      <w:pPr>
        <w:widowControl w:val="0"/>
        <w:rPr>
          <w:snapToGrid w:val="0"/>
          <w:szCs w:val="22"/>
          <w:lang w:eastAsia="en-US"/>
        </w:rPr>
      </w:pPr>
      <w:proofErr w:type="spellStart"/>
      <w:r w:rsidRPr="00C21B99">
        <w:rPr>
          <w:szCs w:val="22"/>
          <w:lang w:eastAsia="en-US"/>
        </w:rPr>
        <w:t>Gefitinib</w:t>
      </w:r>
      <w:proofErr w:type="spellEnd"/>
      <w:r w:rsidRPr="00C21B99">
        <w:rPr>
          <w:szCs w:val="22"/>
          <w:lang w:eastAsia="en-US"/>
        </w:rPr>
        <w:t xml:space="preserve"> </w:t>
      </w:r>
      <w:proofErr w:type="spellStart"/>
      <w:r w:rsidRPr="00C21B99">
        <w:rPr>
          <w:szCs w:val="22"/>
          <w:lang w:eastAsia="en-US"/>
        </w:rPr>
        <w:t>Sandoz</w:t>
      </w:r>
      <w:proofErr w:type="spellEnd"/>
      <w:r w:rsidRPr="00C21B99">
        <w:rPr>
          <w:szCs w:val="22"/>
          <w:lang w:eastAsia="en-US"/>
        </w:rPr>
        <w:t xml:space="preserve"> 250 mg plėvele dengtos tabletės</w:t>
      </w:r>
      <w:r w:rsidRPr="00C21B99">
        <w:rPr>
          <w:snapToGrid w:val="0"/>
          <w:szCs w:val="22"/>
          <w:lang w:eastAsia="en-US"/>
        </w:rPr>
        <w:t xml:space="preserve"> </w:t>
      </w:r>
      <w:r w:rsidR="00994FD2">
        <w:rPr>
          <w:snapToGrid w:val="0"/>
          <w:szCs w:val="22"/>
          <w:lang w:eastAsia="en-US"/>
        </w:rPr>
        <w:t>yra supakuotos į perforuot</w:t>
      </w:r>
      <w:r w:rsidR="00DF12E6">
        <w:rPr>
          <w:snapToGrid w:val="0"/>
          <w:szCs w:val="22"/>
          <w:lang w:eastAsia="en-US"/>
        </w:rPr>
        <w:t>as</w:t>
      </w:r>
      <w:r w:rsidRPr="00C21B99">
        <w:rPr>
          <w:snapToGrid w:val="0"/>
          <w:szCs w:val="22"/>
          <w:lang w:eastAsia="en-US"/>
        </w:rPr>
        <w:t xml:space="preserve"> </w:t>
      </w:r>
      <w:proofErr w:type="spellStart"/>
      <w:r w:rsidR="00DF12E6">
        <w:rPr>
          <w:snapToGrid w:val="0"/>
          <w:szCs w:val="22"/>
          <w:lang w:eastAsia="en-US"/>
        </w:rPr>
        <w:t>dalomąsias</w:t>
      </w:r>
      <w:proofErr w:type="spellEnd"/>
      <w:r w:rsidR="00994FD2">
        <w:rPr>
          <w:snapToGrid w:val="0"/>
          <w:szCs w:val="22"/>
          <w:lang w:eastAsia="en-US"/>
        </w:rPr>
        <w:t xml:space="preserve"> lizdin</w:t>
      </w:r>
      <w:r w:rsidR="00DF12E6">
        <w:rPr>
          <w:snapToGrid w:val="0"/>
          <w:szCs w:val="22"/>
          <w:lang w:eastAsia="en-US"/>
        </w:rPr>
        <w:t>es</w:t>
      </w:r>
      <w:r>
        <w:rPr>
          <w:snapToGrid w:val="0"/>
          <w:szCs w:val="22"/>
          <w:lang w:eastAsia="en-US"/>
        </w:rPr>
        <w:t xml:space="preserve"> </w:t>
      </w:r>
      <w:r w:rsidR="00994FD2">
        <w:rPr>
          <w:snapToGrid w:val="0"/>
          <w:szCs w:val="22"/>
          <w:lang w:eastAsia="en-US"/>
        </w:rPr>
        <w:t>plokštel</w:t>
      </w:r>
      <w:r w:rsidR="00DF12E6">
        <w:rPr>
          <w:snapToGrid w:val="0"/>
          <w:szCs w:val="22"/>
          <w:lang w:eastAsia="en-US"/>
        </w:rPr>
        <w:t>es</w:t>
      </w:r>
      <w:r>
        <w:rPr>
          <w:snapToGrid w:val="0"/>
          <w:szCs w:val="22"/>
          <w:lang w:eastAsia="en-US"/>
        </w:rPr>
        <w:t xml:space="preserve"> ar</w:t>
      </w:r>
      <w:r w:rsidR="00E32056">
        <w:rPr>
          <w:snapToGrid w:val="0"/>
          <w:szCs w:val="22"/>
          <w:lang w:eastAsia="en-US"/>
        </w:rPr>
        <w:t>ba</w:t>
      </w:r>
      <w:r>
        <w:rPr>
          <w:snapToGrid w:val="0"/>
          <w:szCs w:val="22"/>
          <w:lang w:eastAsia="en-US"/>
        </w:rPr>
        <w:t xml:space="preserve"> į</w:t>
      </w:r>
      <w:r w:rsidR="004418F7">
        <w:rPr>
          <w:snapToGrid w:val="0"/>
          <w:szCs w:val="22"/>
          <w:lang w:eastAsia="en-US"/>
        </w:rPr>
        <w:t xml:space="preserve"> neperforuot</w:t>
      </w:r>
      <w:r w:rsidR="00DF12E6">
        <w:rPr>
          <w:snapToGrid w:val="0"/>
          <w:szCs w:val="22"/>
          <w:lang w:eastAsia="en-US"/>
        </w:rPr>
        <w:t>as</w:t>
      </w:r>
      <w:r w:rsidR="004418F7">
        <w:rPr>
          <w:snapToGrid w:val="0"/>
          <w:szCs w:val="22"/>
          <w:lang w:eastAsia="en-US"/>
        </w:rPr>
        <w:t xml:space="preserve"> lizdin</w:t>
      </w:r>
      <w:r w:rsidR="00DF12E6">
        <w:rPr>
          <w:snapToGrid w:val="0"/>
          <w:szCs w:val="22"/>
          <w:lang w:eastAsia="en-US"/>
        </w:rPr>
        <w:t>es</w:t>
      </w:r>
      <w:r w:rsidR="004418F7">
        <w:rPr>
          <w:snapToGrid w:val="0"/>
          <w:szCs w:val="22"/>
          <w:lang w:eastAsia="en-US"/>
        </w:rPr>
        <w:t xml:space="preserve"> plokštel</w:t>
      </w:r>
      <w:r w:rsidR="00DF12E6">
        <w:rPr>
          <w:snapToGrid w:val="0"/>
          <w:szCs w:val="22"/>
          <w:lang w:eastAsia="en-US"/>
        </w:rPr>
        <w:t>es</w:t>
      </w:r>
      <w:r>
        <w:rPr>
          <w:snapToGrid w:val="0"/>
          <w:szCs w:val="22"/>
          <w:lang w:eastAsia="en-US"/>
        </w:rPr>
        <w:t>.</w:t>
      </w:r>
    </w:p>
    <w:p w14:paraId="2C8FEDE5" w14:textId="77777777" w:rsidR="00E35A3C" w:rsidRDefault="00E35A3C" w:rsidP="00E35A3C">
      <w:pPr>
        <w:widowControl w:val="0"/>
        <w:rPr>
          <w:snapToGrid w:val="0"/>
          <w:szCs w:val="22"/>
          <w:lang w:eastAsia="en-US"/>
        </w:rPr>
      </w:pPr>
      <w:r>
        <w:rPr>
          <w:snapToGrid w:val="0"/>
          <w:szCs w:val="22"/>
          <w:lang w:eastAsia="en-US"/>
        </w:rPr>
        <w:t>Pakuotės dydžiai</w:t>
      </w:r>
      <w:r w:rsidRPr="00C21B99">
        <w:rPr>
          <w:snapToGrid w:val="0"/>
          <w:szCs w:val="22"/>
          <w:lang w:eastAsia="en-US"/>
        </w:rPr>
        <w:t>: 30</w:t>
      </w:r>
      <w:r>
        <w:rPr>
          <w:snapToGrid w:val="0"/>
          <w:szCs w:val="22"/>
          <w:lang w:eastAsia="en-US"/>
        </w:rPr>
        <w:t>, 30x1, 60x1, 90x1, 100x1</w:t>
      </w:r>
      <w:r w:rsidR="00DF12E6">
        <w:rPr>
          <w:snapToGrid w:val="0"/>
          <w:szCs w:val="22"/>
          <w:lang w:eastAsia="en-US"/>
        </w:rPr>
        <w:t xml:space="preserve"> arba</w:t>
      </w:r>
      <w:r>
        <w:rPr>
          <w:snapToGrid w:val="0"/>
          <w:szCs w:val="22"/>
          <w:lang w:eastAsia="en-US"/>
        </w:rPr>
        <w:t xml:space="preserve"> 120x1</w:t>
      </w:r>
      <w:r w:rsidR="00DF12E6">
        <w:rPr>
          <w:snapToGrid w:val="0"/>
          <w:szCs w:val="22"/>
          <w:lang w:eastAsia="en-US"/>
        </w:rPr>
        <w:t xml:space="preserve"> </w:t>
      </w:r>
      <w:r w:rsidRPr="00C21B99">
        <w:rPr>
          <w:snapToGrid w:val="0"/>
          <w:szCs w:val="22"/>
          <w:lang w:eastAsia="en-US"/>
        </w:rPr>
        <w:t xml:space="preserve">plėvele dengtų tablečių. </w:t>
      </w:r>
    </w:p>
    <w:p w14:paraId="28A63DD0" w14:textId="77777777" w:rsidR="00E35A3C" w:rsidRDefault="00E35A3C" w:rsidP="00E35A3C">
      <w:pPr>
        <w:widowControl w:val="0"/>
        <w:rPr>
          <w:snapToGrid w:val="0"/>
          <w:szCs w:val="22"/>
          <w:lang w:eastAsia="en-US"/>
        </w:rPr>
      </w:pPr>
    </w:p>
    <w:p w14:paraId="0C9E2351" w14:textId="77777777" w:rsidR="006262BD" w:rsidRPr="006262BD" w:rsidRDefault="006262BD" w:rsidP="006262BD">
      <w:pPr>
        <w:widowControl w:val="0"/>
        <w:rPr>
          <w:snapToGrid w:val="0"/>
          <w:szCs w:val="22"/>
          <w:lang w:eastAsia="en-US"/>
        </w:rPr>
      </w:pPr>
      <w:r w:rsidRPr="006262BD">
        <w:rPr>
          <w:snapToGrid w:val="0"/>
          <w:szCs w:val="22"/>
          <w:lang w:eastAsia="en-US"/>
        </w:rPr>
        <w:t>Sudėtinė</w:t>
      </w:r>
      <w:r>
        <w:rPr>
          <w:snapToGrid w:val="0"/>
          <w:szCs w:val="22"/>
          <w:lang w:eastAsia="en-US"/>
        </w:rPr>
        <w:t>je</w:t>
      </w:r>
      <w:r w:rsidRPr="006262BD">
        <w:rPr>
          <w:snapToGrid w:val="0"/>
          <w:szCs w:val="22"/>
          <w:lang w:eastAsia="en-US"/>
        </w:rPr>
        <w:t xml:space="preserve"> pakuotė</w:t>
      </w:r>
      <w:r>
        <w:rPr>
          <w:snapToGrid w:val="0"/>
          <w:szCs w:val="22"/>
          <w:lang w:eastAsia="en-US"/>
        </w:rPr>
        <w:t>je yra</w:t>
      </w:r>
      <w:r w:rsidRPr="006262BD">
        <w:rPr>
          <w:snapToGrid w:val="0"/>
          <w:szCs w:val="22"/>
          <w:lang w:eastAsia="en-US"/>
        </w:rPr>
        <w:t xml:space="preserve"> 60 x 1 (2 pakuotės po 30 x 1) plėvele dengtų tablečių</w:t>
      </w:r>
    </w:p>
    <w:p w14:paraId="29BD8A3B" w14:textId="77777777" w:rsidR="006262BD" w:rsidRDefault="006262BD" w:rsidP="006262BD">
      <w:pPr>
        <w:widowControl w:val="0"/>
        <w:rPr>
          <w:snapToGrid w:val="0"/>
          <w:szCs w:val="22"/>
          <w:lang w:eastAsia="en-US"/>
        </w:rPr>
      </w:pPr>
      <w:r w:rsidRPr="006262BD">
        <w:rPr>
          <w:snapToGrid w:val="0"/>
          <w:szCs w:val="22"/>
          <w:lang w:eastAsia="en-US"/>
        </w:rPr>
        <w:t>Sudėtinė</w:t>
      </w:r>
      <w:r>
        <w:rPr>
          <w:snapToGrid w:val="0"/>
          <w:szCs w:val="22"/>
          <w:lang w:eastAsia="en-US"/>
        </w:rPr>
        <w:t>je</w:t>
      </w:r>
      <w:r w:rsidRPr="006262BD">
        <w:rPr>
          <w:snapToGrid w:val="0"/>
          <w:szCs w:val="22"/>
          <w:lang w:eastAsia="en-US"/>
        </w:rPr>
        <w:t xml:space="preserve"> pakuotė</w:t>
      </w:r>
      <w:r>
        <w:rPr>
          <w:snapToGrid w:val="0"/>
          <w:szCs w:val="22"/>
          <w:lang w:eastAsia="en-US"/>
        </w:rPr>
        <w:t>je yra</w:t>
      </w:r>
      <w:r w:rsidRPr="006262BD">
        <w:rPr>
          <w:snapToGrid w:val="0"/>
          <w:szCs w:val="22"/>
          <w:lang w:eastAsia="en-US"/>
        </w:rPr>
        <w:t xml:space="preserve"> 90 x 1 (3 pakuotės po 30 x 1) plėvele dengtų tablečių</w:t>
      </w:r>
    </w:p>
    <w:p w14:paraId="676CCEED" w14:textId="77777777" w:rsidR="006262BD" w:rsidRPr="00C21B99" w:rsidRDefault="006262BD" w:rsidP="00E35A3C">
      <w:pPr>
        <w:widowControl w:val="0"/>
        <w:rPr>
          <w:snapToGrid w:val="0"/>
          <w:szCs w:val="22"/>
          <w:lang w:eastAsia="en-US"/>
        </w:rPr>
      </w:pPr>
    </w:p>
    <w:p w14:paraId="544B3D9A" w14:textId="77777777" w:rsidR="00E35A3C" w:rsidRPr="00C21B99" w:rsidRDefault="00E35A3C" w:rsidP="00E35A3C">
      <w:pPr>
        <w:widowControl w:val="0"/>
        <w:rPr>
          <w:snapToGrid w:val="0"/>
          <w:szCs w:val="22"/>
          <w:lang w:eastAsia="en-US"/>
        </w:rPr>
      </w:pPr>
      <w:r w:rsidRPr="00C21B99">
        <w:rPr>
          <w:snapToGrid w:val="0"/>
          <w:szCs w:val="22"/>
          <w:lang w:eastAsia="en-US"/>
        </w:rPr>
        <w:t>Gali būti tiekiamos ne visų dydžių pakuotės.</w:t>
      </w:r>
    </w:p>
    <w:p w14:paraId="65871F2D" w14:textId="77777777" w:rsidR="00CF4C82" w:rsidRPr="00C21B99" w:rsidRDefault="00CF4C82" w:rsidP="00CF4C82">
      <w:pPr>
        <w:pStyle w:val="Default"/>
        <w:rPr>
          <w:sz w:val="22"/>
          <w:szCs w:val="22"/>
          <w:lang w:val="lt-LT"/>
        </w:rPr>
      </w:pPr>
    </w:p>
    <w:p w14:paraId="0BC3E036" w14:textId="77777777" w:rsidR="00CF4C82" w:rsidRPr="00C21B99" w:rsidRDefault="00CF4C82" w:rsidP="00CF4C82">
      <w:pPr>
        <w:pStyle w:val="Default"/>
        <w:rPr>
          <w:sz w:val="22"/>
          <w:szCs w:val="22"/>
          <w:lang w:val="lt-LT"/>
        </w:rPr>
      </w:pPr>
      <w:r w:rsidRPr="00C21B99">
        <w:rPr>
          <w:b/>
          <w:bCs/>
          <w:sz w:val="22"/>
          <w:szCs w:val="22"/>
          <w:lang w:val="lt-LT"/>
        </w:rPr>
        <w:t xml:space="preserve">Registruotojas </w:t>
      </w:r>
      <w:r w:rsidR="00DF12E6">
        <w:rPr>
          <w:b/>
          <w:bCs/>
          <w:sz w:val="22"/>
          <w:szCs w:val="22"/>
          <w:lang w:val="lt-LT"/>
        </w:rPr>
        <w:t>ir gamintojas</w:t>
      </w:r>
    </w:p>
    <w:p w14:paraId="747D2971" w14:textId="77777777" w:rsidR="00DF12E6" w:rsidRDefault="00DF12E6" w:rsidP="00D87EAB">
      <w:pPr>
        <w:widowControl w:val="0"/>
        <w:rPr>
          <w:snapToGrid w:val="0"/>
          <w:szCs w:val="22"/>
          <w:lang w:eastAsia="en-US"/>
        </w:rPr>
      </w:pPr>
    </w:p>
    <w:p w14:paraId="00ABCC3D" w14:textId="77777777" w:rsidR="00DF12E6" w:rsidRPr="006675D7" w:rsidRDefault="00DF12E6" w:rsidP="00D87EAB">
      <w:pPr>
        <w:widowControl w:val="0"/>
        <w:rPr>
          <w:i/>
          <w:snapToGrid w:val="0"/>
          <w:szCs w:val="22"/>
          <w:lang w:eastAsia="en-US"/>
        </w:rPr>
      </w:pPr>
      <w:r w:rsidRPr="006675D7">
        <w:rPr>
          <w:i/>
          <w:snapToGrid w:val="0"/>
          <w:szCs w:val="22"/>
          <w:lang w:eastAsia="en-US"/>
        </w:rPr>
        <w:t>Registruotojas</w:t>
      </w:r>
    </w:p>
    <w:p w14:paraId="59C7011F" w14:textId="77777777" w:rsidR="00D87EAB" w:rsidRPr="00C21B99" w:rsidRDefault="00D87EAB" w:rsidP="00D87EAB">
      <w:pPr>
        <w:widowControl w:val="0"/>
        <w:rPr>
          <w:snapToGrid w:val="0"/>
          <w:szCs w:val="22"/>
          <w:lang w:eastAsia="en-US"/>
        </w:rPr>
      </w:pPr>
      <w:proofErr w:type="spellStart"/>
      <w:r w:rsidRPr="00C21B99">
        <w:rPr>
          <w:snapToGrid w:val="0"/>
          <w:szCs w:val="22"/>
          <w:lang w:eastAsia="en-US"/>
        </w:rPr>
        <w:t>Sandoz</w:t>
      </w:r>
      <w:proofErr w:type="spellEnd"/>
      <w:r w:rsidRPr="00C21B99">
        <w:rPr>
          <w:snapToGrid w:val="0"/>
          <w:szCs w:val="22"/>
          <w:lang w:eastAsia="en-US"/>
        </w:rPr>
        <w:t xml:space="preserve"> </w:t>
      </w:r>
      <w:proofErr w:type="spellStart"/>
      <w:r w:rsidRPr="00C21B99">
        <w:rPr>
          <w:snapToGrid w:val="0"/>
          <w:szCs w:val="22"/>
          <w:lang w:eastAsia="en-US"/>
        </w:rPr>
        <w:t>d.d</w:t>
      </w:r>
      <w:proofErr w:type="spellEnd"/>
      <w:r w:rsidRPr="00C21B99">
        <w:rPr>
          <w:snapToGrid w:val="0"/>
          <w:szCs w:val="22"/>
          <w:lang w:eastAsia="en-US"/>
        </w:rPr>
        <w:t>.</w:t>
      </w:r>
    </w:p>
    <w:p w14:paraId="4282EE9C" w14:textId="77777777" w:rsidR="00D87EAB" w:rsidRPr="00C21B99" w:rsidRDefault="00D87EAB" w:rsidP="00D87EAB">
      <w:pPr>
        <w:widowControl w:val="0"/>
        <w:rPr>
          <w:snapToGrid w:val="0"/>
          <w:szCs w:val="22"/>
          <w:lang w:eastAsia="en-US"/>
        </w:rPr>
      </w:pPr>
      <w:proofErr w:type="spellStart"/>
      <w:r w:rsidRPr="00C21B99">
        <w:rPr>
          <w:snapToGrid w:val="0"/>
          <w:szCs w:val="22"/>
          <w:lang w:eastAsia="en-US"/>
        </w:rPr>
        <w:t>Verovškova</w:t>
      </w:r>
      <w:proofErr w:type="spellEnd"/>
      <w:r w:rsidRPr="00C21B99">
        <w:rPr>
          <w:snapToGrid w:val="0"/>
          <w:szCs w:val="22"/>
          <w:lang w:eastAsia="en-US"/>
        </w:rPr>
        <w:t xml:space="preserve"> 57</w:t>
      </w:r>
    </w:p>
    <w:p w14:paraId="3408AEA4" w14:textId="77777777" w:rsidR="00D87EAB" w:rsidRPr="00C21B99" w:rsidRDefault="00D87EAB" w:rsidP="00D87EAB">
      <w:pPr>
        <w:widowControl w:val="0"/>
        <w:rPr>
          <w:snapToGrid w:val="0"/>
          <w:szCs w:val="22"/>
          <w:lang w:eastAsia="en-US"/>
        </w:rPr>
      </w:pPr>
      <w:r w:rsidRPr="00C21B99">
        <w:rPr>
          <w:snapToGrid w:val="0"/>
          <w:szCs w:val="22"/>
          <w:lang w:eastAsia="en-US"/>
        </w:rPr>
        <w:t xml:space="preserve">SI-1000 </w:t>
      </w:r>
      <w:proofErr w:type="spellStart"/>
      <w:r w:rsidRPr="00C21B99">
        <w:rPr>
          <w:snapToGrid w:val="0"/>
          <w:szCs w:val="22"/>
          <w:lang w:eastAsia="en-US"/>
        </w:rPr>
        <w:t>Ljubljana</w:t>
      </w:r>
      <w:proofErr w:type="spellEnd"/>
    </w:p>
    <w:p w14:paraId="4C20867F" w14:textId="77777777" w:rsidR="00D87EAB" w:rsidRPr="00C21B99" w:rsidRDefault="00D87EAB" w:rsidP="00D87EAB">
      <w:pPr>
        <w:widowControl w:val="0"/>
        <w:rPr>
          <w:snapToGrid w:val="0"/>
          <w:szCs w:val="22"/>
          <w:lang w:eastAsia="en-US"/>
        </w:rPr>
      </w:pPr>
      <w:r w:rsidRPr="00C21B99">
        <w:rPr>
          <w:snapToGrid w:val="0"/>
          <w:szCs w:val="22"/>
          <w:lang w:eastAsia="en-US"/>
        </w:rPr>
        <w:t>Slovėnija</w:t>
      </w:r>
    </w:p>
    <w:p w14:paraId="16D48377" w14:textId="77777777" w:rsidR="00D87EAB" w:rsidRPr="00C21B99" w:rsidRDefault="00D87EAB" w:rsidP="00D87EAB">
      <w:pPr>
        <w:widowControl w:val="0"/>
        <w:rPr>
          <w:szCs w:val="22"/>
          <w:lang w:eastAsia="sl-SI"/>
        </w:rPr>
      </w:pPr>
    </w:p>
    <w:p w14:paraId="71C43116" w14:textId="77777777" w:rsidR="00D87EAB" w:rsidRPr="006675D7" w:rsidRDefault="00D87EAB" w:rsidP="00D87EAB">
      <w:pPr>
        <w:widowControl w:val="0"/>
        <w:rPr>
          <w:i/>
          <w:szCs w:val="22"/>
          <w:lang w:eastAsia="sl-SI"/>
        </w:rPr>
      </w:pPr>
      <w:r w:rsidRPr="006675D7">
        <w:rPr>
          <w:i/>
          <w:szCs w:val="22"/>
          <w:lang w:eastAsia="sl-SI"/>
        </w:rPr>
        <w:t>Gamintoja</w:t>
      </w:r>
      <w:r w:rsidR="00DF12E6" w:rsidRPr="006675D7">
        <w:rPr>
          <w:i/>
          <w:szCs w:val="22"/>
          <w:lang w:eastAsia="sl-SI"/>
        </w:rPr>
        <w:t>s</w:t>
      </w:r>
    </w:p>
    <w:p w14:paraId="0E9C166D" w14:textId="77777777" w:rsidR="00DA71F0" w:rsidRPr="00C21B99" w:rsidRDefault="00DA71F0" w:rsidP="00DA71F0">
      <w:pPr>
        <w:widowControl w:val="0"/>
        <w:tabs>
          <w:tab w:val="left" w:pos="567"/>
        </w:tabs>
        <w:rPr>
          <w:snapToGrid w:val="0"/>
          <w:szCs w:val="22"/>
          <w:lang w:eastAsia="en-US"/>
        </w:rPr>
      </w:pPr>
      <w:proofErr w:type="spellStart"/>
      <w:r w:rsidRPr="00C21B99">
        <w:rPr>
          <w:snapToGrid w:val="0"/>
          <w:szCs w:val="22"/>
          <w:lang w:eastAsia="en-US"/>
        </w:rPr>
        <w:t>Remedica</w:t>
      </w:r>
      <w:proofErr w:type="spellEnd"/>
      <w:r w:rsidRPr="00C21B99">
        <w:rPr>
          <w:snapToGrid w:val="0"/>
          <w:szCs w:val="22"/>
          <w:lang w:eastAsia="en-US"/>
        </w:rPr>
        <w:t xml:space="preserve"> Ltd.</w:t>
      </w:r>
    </w:p>
    <w:p w14:paraId="151509C6" w14:textId="77777777" w:rsidR="00DA71F0" w:rsidRPr="00C21B99" w:rsidRDefault="00DA71F0" w:rsidP="00DA71F0">
      <w:pPr>
        <w:widowControl w:val="0"/>
        <w:tabs>
          <w:tab w:val="left" w:pos="567"/>
        </w:tabs>
        <w:rPr>
          <w:snapToGrid w:val="0"/>
          <w:szCs w:val="22"/>
          <w:lang w:eastAsia="en-US"/>
        </w:rPr>
      </w:pPr>
      <w:proofErr w:type="spellStart"/>
      <w:r w:rsidRPr="00C21B99">
        <w:rPr>
          <w:snapToGrid w:val="0"/>
          <w:szCs w:val="22"/>
          <w:lang w:eastAsia="en-US"/>
        </w:rPr>
        <w:t>Aharnon</w:t>
      </w:r>
      <w:proofErr w:type="spellEnd"/>
      <w:r w:rsidRPr="00C21B99">
        <w:rPr>
          <w:snapToGrid w:val="0"/>
          <w:szCs w:val="22"/>
          <w:lang w:eastAsia="en-US"/>
        </w:rPr>
        <w:t xml:space="preserve"> </w:t>
      </w:r>
      <w:proofErr w:type="spellStart"/>
      <w:r w:rsidRPr="00C21B99">
        <w:rPr>
          <w:snapToGrid w:val="0"/>
          <w:szCs w:val="22"/>
          <w:lang w:eastAsia="en-US"/>
        </w:rPr>
        <w:t>Street</w:t>
      </w:r>
      <w:proofErr w:type="spellEnd"/>
      <w:r w:rsidRPr="00C21B99">
        <w:rPr>
          <w:snapToGrid w:val="0"/>
          <w:szCs w:val="22"/>
          <w:lang w:eastAsia="en-US"/>
        </w:rPr>
        <w:t xml:space="preserve">, </w:t>
      </w:r>
      <w:proofErr w:type="spellStart"/>
      <w:r w:rsidRPr="00C21B99">
        <w:rPr>
          <w:snapToGrid w:val="0"/>
          <w:szCs w:val="22"/>
          <w:lang w:eastAsia="en-US"/>
        </w:rPr>
        <w:t>Limassol</w:t>
      </w:r>
      <w:proofErr w:type="spellEnd"/>
      <w:r w:rsidRPr="00C21B99">
        <w:rPr>
          <w:snapToGrid w:val="0"/>
          <w:szCs w:val="22"/>
          <w:lang w:eastAsia="en-US"/>
        </w:rPr>
        <w:t xml:space="preserve"> </w:t>
      </w:r>
      <w:proofErr w:type="spellStart"/>
      <w:r w:rsidRPr="00C21B99">
        <w:rPr>
          <w:snapToGrid w:val="0"/>
          <w:szCs w:val="22"/>
          <w:lang w:eastAsia="en-US"/>
        </w:rPr>
        <w:t>Industrial</w:t>
      </w:r>
      <w:proofErr w:type="spellEnd"/>
      <w:r w:rsidRPr="00C21B99">
        <w:rPr>
          <w:snapToGrid w:val="0"/>
          <w:szCs w:val="22"/>
          <w:lang w:eastAsia="en-US"/>
        </w:rPr>
        <w:t xml:space="preserve"> </w:t>
      </w:r>
      <w:proofErr w:type="spellStart"/>
      <w:r w:rsidRPr="00C21B99">
        <w:rPr>
          <w:snapToGrid w:val="0"/>
          <w:szCs w:val="22"/>
          <w:lang w:eastAsia="en-US"/>
        </w:rPr>
        <w:t>Estate</w:t>
      </w:r>
      <w:proofErr w:type="spellEnd"/>
    </w:p>
    <w:p w14:paraId="6324B0EB" w14:textId="77777777" w:rsidR="00DA71F0" w:rsidRPr="00C21B99" w:rsidRDefault="00DA71F0" w:rsidP="00DA71F0">
      <w:pPr>
        <w:widowControl w:val="0"/>
        <w:tabs>
          <w:tab w:val="left" w:pos="567"/>
        </w:tabs>
        <w:rPr>
          <w:snapToGrid w:val="0"/>
          <w:szCs w:val="22"/>
          <w:lang w:eastAsia="en-US"/>
        </w:rPr>
      </w:pPr>
      <w:r w:rsidRPr="00C21B99">
        <w:rPr>
          <w:snapToGrid w:val="0"/>
          <w:szCs w:val="22"/>
          <w:lang w:eastAsia="en-US"/>
        </w:rPr>
        <w:t xml:space="preserve">3056 </w:t>
      </w:r>
      <w:proofErr w:type="spellStart"/>
      <w:r w:rsidRPr="00C21B99">
        <w:rPr>
          <w:snapToGrid w:val="0"/>
          <w:szCs w:val="22"/>
          <w:lang w:eastAsia="en-US"/>
        </w:rPr>
        <w:t>Limassol</w:t>
      </w:r>
      <w:proofErr w:type="spellEnd"/>
    </w:p>
    <w:p w14:paraId="11A405DC" w14:textId="77777777" w:rsidR="00DA71F0" w:rsidRPr="00C21B99" w:rsidRDefault="00DA71F0" w:rsidP="00DA71F0">
      <w:pPr>
        <w:widowControl w:val="0"/>
        <w:tabs>
          <w:tab w:val="left" w:pos="567"/>
        </w:tabs>
        <w:rPr>
          <w:snapToGrid w:val="0"/>
          <w:szCs w:val="22"/>
          <w:lang w:eastAsia="en-US"/>
        </w:rPr>
      </w:pPr>
      <w:r w:rsidRPr="00C21B99">
        <w:rPr>
          <w:snapToGrid w:val="0"/>
          <w:szCs w:val="22"/>
          <w:lang w:eastAsia="en-US"/>
        </w:rPr>
        <w:t>Kipras</w:t>
      </w:r>
    </w:p>
    <w:p w14:paraId="5C817E45" w14:textId="77777777" w:rsidR="00DA71F0" w:rsidRDefault="00DA71F0" w:rsidP="00DA71F0">
      <w:pPr>
        <w:widowControl w:val="0"/>
        <w:tabs>
          <w:tab w:val="left" w:pos="567"/>
        </w:tabs>
        <w:rPr>
          <w:snapToGrid w:val="0"/>
          <w:szCs w:val="22"/>
          <w:lang w:eastAsia="en-US"/>
        </w:rPr>
      </w:pPr>
    </w:p>
    <w:p w14:paraId="6ED6037E" w14:textId="77777777" w:rsidR="00DF12E6" w:rsidRDefault="00DF12E6" w:rsidP="00DA71F0">
      <w:pPr>
        <w:widowControl w:val="0"/>
        <w:tabs>
          <w:tab w:val="left" w:pos="567"/>
        </w:tabs>
        <w:rPr>
          <w:snapToGrid w:val="0"/>
          <w:szCs w:val="22"/>
          <w:lang w:eastAsia="en-US"/>
        </w:rPr>
      </w:pPr>
      <w:r>
        <w:rPr>
          <w:snapToGrid w:val="0"/>
          <w:szCs w:val="22"/>
          <w:lang w:eastAsia="en-US"/>
        </w:rPr>
        <w:t>arba</w:t>
      </w:r>
    </w:p>
    <w:p w14:paraId="2350DE3A" w14:textId="77777777" w:rsidR="00DF12E6" w:rsidRPr="00C21B99" w:rsidRDefault="00DF12E6" w:rsidP="00DA71F0">
      <w:pPr>
        <w:widowControl w:val="0"/>
        <w:tabs>
          <w:tab w:val="left" w:pos="567"/>
        </w:tabs>
        <w:rPr>
          <w:snapToGrid w:val="0"/>
          <w:szCs w:val="22"/>
          <w:lang w:eastAsia="en-US"/>
        </w:rPr>
      </w:pPr>
    </w:p>
    <w:p w14:paraId="706A2ECF" w14:textId="77777777" w:rsidR="00DA71F0" w:rsidRPr="00C21B99" w:rsidRDefault="00DA71F0" w:rsidP="00DA71F0">
      <w:pPr>
        <w:widowControl w:val="0"/>
        <w:tabs>
          <w:tab w:val="left" w:pos="567"/>
        </w:tabs>
        <w:jc w:val="both"/>
        <w:rPr>
          <w:snapToGrid w:val="0"/>
          <w:szCs w:val="22"/>
          <w:lang w:eastAsia="en-US"/>
        </w:rPr>
      </w:pPr>
      <w:proofErr w:type="spellStart"/>
      <w:r w:rsidRPr="00C21B99">
        <w:rPr>
          <w:snapToGrid w:val="0"/>
          <w:szCs w:val="22"/>
          <w:lang w:eastAsia="en-US"/>
        </w:rPr>
        <w:t>Lek</w:t>
      </w:r>
      <w:proofErr w:type="spellEnd"/>
      <w:r w:rsidRPr="00C21B99">
        <w:rPr>
          <w:snapToGrid w:val="0"/>
          <w:szCs w:val="22"/>
          <w:lang w:eastAsia="en-US"/>
        </w:rPr>
        <w:t xml:space="preserve"> </w:t>
      </w:r>
      <w:proofErr w:type="spellStart"/>
      <w:r w:rsidRPr="00C21B99">
        <w:rPr>
          <w:snapToGrid w:val="0"/>
          <w:szCs w:val="22"/>
          <w:lang w:eastAsia="en-US"/>
        </w:rPr>
        <w:t>Pharmaceutical</w:t>
      </w:r>
      <w:proofErr w:type="spellEnd"/>
      <w:r w:rsidRPr="00C21B99">
        <w:rPr>
          <w:snapToGrid w:val="0"/>
          <w:szCs w:val="22"/>
          <w:lang w:eastAsia="en-US"/>
        </w:rPr>
        <w:t xml:space="preserve"> Ltd.</w:t>
      </w:r>
    </w:p>
    <w:p w14:paraId="3492AFF0" w14:textId="77777777" w:rsidR="00DA71F0" w:rsidRPr="00C21B99" w:rsidRDefault="00DA71F0" w:rsidP="00DA71F0">
      <w:pPr>
        <w:widowControl w:val="0"/>
        <w:tabs>
          <w:tab w:val="left" w:pos="567"/>
        </w:tabs>
        <w:jc w:val="both"/>
        <w:rPr>
          <w:snapToGrid w:val="0"/>
          <w:szCs w:val="22"/>
          <w:lang w:eastAsia="en-US"/>
        </w:rPr>
      </w:pPr>
      <w:proofErr w:type="spellStart"/>
      <w:r w:rsidRPr="00C21B99">
        <w:rPr>
          <w:snapToGrid w:val="0"/>
          <w:szCs w:val="22"/>
          <w:lang w:eastAsia="en-US"/>
        </w:rPr>
        <w:t>Verovškova</w:t>
      </w:r>
      <w:proofErr w:type="spellEnd"/>
      <w:r w:rsidRPr="00C21B99">
        <w:rPr>
          <w:snapToGrid w:val="0"/>
          <w:szCs w:val="22"/>
          <w:lang w:eastAsia="en-US"/>
        </w:rPr>
        <w:t xml:space="preserve"> </w:t>
      </w:r>
      <w:proofErr w:type="spellStart"/>
      <w:r w:rsidRPr="00C21B99">
        <w:rPr>
          <w:snapToGrid w:val="0"/>
          <w:szCs w:val="22"/>
          <w:lang w:eastAsia="en-US"/>
        </w:rPr>
        <w:t>ulica</w:t>
      </w:r>
      <w:proofErr w:type="spellEnd"/>
      <w:r w:rsidRPr="00C21B99">
        <w:rPr>
          <w:snapToGrid w:val="0"/>
          <w:szCs w:val="22"/>
          <w:lang w:eastAsia="en-US"/>
        </w:rPr>
        <w:t xml:space="preserve"> 57</w:t>
      </w:r>
    </w:p>
    <w:p w14:paraId="7A746406" w14:textId="77777777" w:rsidR="00DA71F0" w:rsidRPr="00C21B99" w:rsidRDefault="00DA71F0" w:rsidP="00DA71F0">
      <w:pPr>
        <w:widowControl w:val="0"/>
        <w:tabs>
          <w:tab w:val="left" w:pos="567"/>
        </w:tabs>
        <w:jc w:val="both"/>
        <w:rPr>
          <w:snapToGrid w:val="0"/>
          <w:szCs w:val="22"/>
          <w:lang w:eastAsia="en-US"/>
        </w:rPr>
      </w:pPr>
      <w:r w:rsidRPr="00C21B99">
        <w:rPr>
          <w:snapToGrid w:val="0"/>
          <w:szCs w:val="22"/>
          <w:lang w:eastAsia="en-US"/>
        </w:rPr>
        <w:t xml:space="preserve">1526 </w:t>
      </w:r>
      <w:proofErr w:type="spellStart"/>
      <w:r w:rsidRPr="00C21B99">
        <w:rPr>
          <w:snapToGrid w:val="0"/>
          <w:szCs w:val="22"/>
          <w:lang w:eastAsia="en-US"/>
        </w:rPr>
        <w:t>Ljubljana</w:t>
      </w:r>
      <w:proofErr w:type="spellEnd"/>
      <w:r w:rsidRPr="00C21B99">
        <w:rPr>
          <w:snapToGrid w:val="0"/>
          <w:szCs w:val="22"/>
          <w:lang w:eastAsia="en-US"/>
        </w:rPr>
        <w:t xml:space="preserve"> </w:t>
      </w:r>
    </w:p>
    <w:p w14:paraId="5E2E3237" w14:textId="77777777" w:rsidR="00DA71F0" w:rsidRPr="00C21B99" w:rsidRDefault="00DA71F0" w:rsidP="00DA71F0">
      <w:pPr>
        <w:widowControl w:val="0"/>
        <w:rPr>
          <w:szCs w:val="22"/>
          <w:lang w:eastAsia="sl-SI"/>
        </w:rPr>
      </w:pPr>
      <w:r w:rsidRPr="00C21B99">
        <w:rPr>
          <w:snapToGrid w:val="0"/>
          <w:szCs w:val="22"/>
          <w:lang w:eastAsia="en-US"/>
        </w:rPr>
        <w:t>Slovėnija</w:t>
      </w:r>
    </w:p>
    <w:p w14:paraId="2D494185" w14:textId="77777777" w:rsidR="00D87EAB" w:rsidRPr="00C21B99" w:rsidRDefault="00D87EAB" w:rsidP="00D87EAB">
      <w:pPr>
        <w:widowControl w:val="0"/>
        <w:numPr>
          <w:ilvl w:val="12"/>
          <w:numId w:val="0"/>
        </w:numPr>
        <w:ind w:right="-2"/>
        <w:rPr>
          <w:snapToGrid w:val="0"/>
          <w:szCs w:val="22"/>
          <w:lang w:eastAsia="en-US"/>
        </w:rPr>
      </w:pPr>
    </w:p>
    <w:p w14:paraId="6E63677A" w14:textId="77777777" w:rsidR="00D87EAB" w:rsidRPr="00C21B99" w:rsidRDefault="00D87EAB" w:rsidP="00D87EAB">
      <w:pPr>
        <w:rPr>
          <w:szCs w:val="22"/>
        </w:rPr>
      </w:pPr>
      <w:r w:rsidRPr="00C21B99">
        <w:rPr>
          <w:szCs w:val="22"/>
        </w:rPr>
        <w:t>Jeigu apie šį vaistą norite sužinoti daugiau, kreipkitės į vietinį registruotojo atstovą.</w:t>
      </w:r>
    </w:p>
    <w:p w14:paraId="76859D31" w14:textId="77777777" w:rsidR="00D87EAB" w:rsidRPr="00C21B99" w:rsidRDefault="00D87EAB" w:rsidP="00D87EAB">
      <w:pPr>
        <w:rPr>
          <w:szCs w:val="22"/>
        </w:rPr>
      </w:pPr>
      <w:r w:rsidRPr="00C21B99">
        <w:rPr>
          <w:szCs w:val="22"/>
        </w:rPr>
        <w:t> </w:t>
      </w:r>
    </w:p>
    <w:p w14:paraId="7EEC53F6" w14:textId="77777777" w:rsidR="00D87EAB" w:rsidRPr="00C21B99" w:rsidRDefault="00D87EAB" w:rsidP="00D87EAB">
      <w:pPr>
        <w:rPr>
          <w:szCs w:val="22"/>
        </w:rPr>
      </w:pPr>
      <w:proofErr w:type="spellStart"/>
      <w:r w:rsidRPr="00C21B99">
        <w:rPr>
          <w:bCs/>
          <w:szCs w:val="22"/>
        </w:rPr>
        <w:t>Sandoz</w:t>
      </w:r>
      <w:proofErr w:type="spellEnd"/>
      <w:r w:rsidRPr="00C21B99">
        <w:rPr>
          <w:bCs/>
          <w:szCs w:val="22"/>
        </w:rPr>
        <w:t xml:space="preserve"> </w:t>
      </w:r>
      <w:proofErr w:type="spellStart"/>
      <w:r w:rsidRPr="00C21B99">
        <w:rPr>
          <w:bCs/>
          <w:szCs w:val="22"/>
        </w:rPr>
        <w:t>Pharmaceuticals</w:t>
      </w:r>
      <w:proofErr w:type="spellEnd"/>
      <w:r w:rsidRPr="00C21B99">
        <w:rPr>
          <w:bCs/>
          <w:szCs w:val="22"/>
        </w:rPr>
        <w:t xml:space="preserve"> </w:t>
      </w:r>
      <w:proofErr w:type="spellStart"/>
      <w:r w:rsidRPr="00C21B99">
        <w:rPr>
          <w:bCs/>
          <w:szCs w:val="22"/>
        </w:rPr>
        <w:t>d.d</w:t>
      </w:r>
      <w:proofErr w:type="spellEnd"/>
      <w:r w:rsidRPr="00C21B99">
        <w:rPr>
          <w:bCs/>
          <w:szCs w:val="22"/>
        </w:rPr>
        <w:t>. filialas</w:t>
      </w:r>
    </w:p>
    <w:p w14:paraId="2CD1AF1A" w14:textId="77777777" w:rsidR="00D87EAB" w:rsidRPr="00C21B99" w:rsidRDefault="00D87EAB" w:rsidP="00D87EAB">
      <w:pPr>
        <w:rPr>
          <w:szCs w:val="22"/>
        </w:rPr>
      </w:pPr>
      <w:r w:rsidRPr="00C21B99">
        <w:rPr>
          <w:bCs/>
          <w:szCs w:val="22"/>
        </w:rPr>
        <w:t>Tel.: +370 5 2636037</w:t>
      </w:r>
    </w:p>
    <w:p w14:paraId="1D9702EF" w14:textId="77777777" w:rsidR="00D87EAB" w:rsidRPr="00C21B99" w:rsidRDefault="00D87EAB" w:rsidP="00D87EAB">
      <w:pPr>
        <w:widowControl w:val="0"/>
        <w:numPr>
          <w:ilvl w:val="12"/>
          <w:numId w:val="0"/>
        </w:numPr>
        <w:tabs>
          <w:tab w:val="left" w:pos="567"/>
        </w:tabs>
        <w:ind w:right="-2"/>
        <w:rPr>
          <w:snapToGrid w:val="0"/>
          <w:szCs w:val="22"/>
          <w:lang w:eastAsia="en-US"/>
        </w:rPr>
      </w:pPr>
    </w:p>
    <w:p w14:paraId="455852AE" w14:textId="77777777" w:rsidR="00D87EAB" w:rsidRDefault="00D87EAB" w:rsidP="00D87EAB">
      <w:pPr>
        <w:widowControl w:val="0"/>
        <w:numPr>
          <w:ilvl w:val="12"/>
          <w:numId w:val="0"/>
        </w:numPr>
        <w:tabs>
          <w:tab w:val="left" w:pos="567"/>
        </w:tabs>
        <w:ind w:right="-2"/>
        <w:rPr>
          <w:snapToGrid w:val="0"/>
          <w:szCs w:val="22"/>
          <w:lang w:eastAsia="en-US"/>
        </w:rPr>
      </w:pPr>
      <w:r w:rsidRPr="00C21B99">
        <w:rPr>
          <w:b/>
          <w:snapToGrid w:val="0"/>
          <w:szCs w:val="22"/>
          <w:lang w:eastAsia="en-US"/>
        </w:rPr>
        <w:t>Šis vaistas EEE valstybėse narėse registruotas tokiais pavadinimais</w:t>
      </w:r>
      <w:r w:rsidRPr="00C21B99">
        <w:rPr>
          <w:snapToGrid w:val="0"/>
          <w:szCs w:val="22"/>
          <w:lang w:eastAsia="en-US"/>
        </w:rPr>
        <w:t>:</w:t>
      </w:r>
    </w:p>
    <w:p w14:paraId="6868BE77" w14:textId="77777777" w:rsidR="00D427D8" w:rsidRDefault="00D427D8" w:rsidP="00E3315E">
      <w:pPr>
        <w:widowControl w:val="0"/>
        <w:numPr>
          <w:ilvl w:val="12"/>
          <w:numId w:val="0"/>
        </w:numPr>
        <w:tabs>
          <w:tab w:val="left" w:pos="567"/>
        </w:tabs>
        <w:ind w:right="-2"/>
        <w:rPr>
          <w:snapToGrid w:val="0"/>
          <w:szCs w:val="22"/>
          <w:lang w:eastAsia="en-US"/>
        </w:rPr>
      </w:pPr>
    </w:p>
    <w:tbl>
      <w:tblPr>
        <w:tblStyle w:val="Lentelstinklelis"/>
        <w:tblW w:w="0" w:type="auto"/>
        <w:tblLook w:val="04A0" w:firstRow="1" w:lastRow="0" w:firstColumn="1" w:lastColumn="0" w:noHBand="0" w:noVBand="1"/>
      </w:tblPr>
      <w:tblGrid>
        <w:gridCol w:w="4530"/>
        <w:gridCol w:w="4530"/>
      </w:tblGrid>
      <w:tr w:rsidR="00D427D8" w14:paraId="7174FAED" w14:textId="77777777" w:rsidTr="00D427D8">
        <w:tc>
          <w:tcPr>
            <w:tcW w:w="4530" w:type="dxa"/>
          </w:tcPr>
          <w:p w14:paraId="155FD298" w14:textId="77777777" w:rsidR="00D427D8" w:rsidRDefault="00D427D8" w:rsidP="00D87EAB">
            <w:pPr>
              <w:widowControl w:val="0"/>
              <w:numPr>
                <w:ilvl w:val="12"/>
                <w:numId w:val="0"/>
              </w:numPr>
              <w:tabs>
                <w:tab w:val="left" w:pos="567"/>
              </w:tabs>
              <w:ind w:right="-2"/>
              <w:rPr>
                <w:snapToGrid w:val="0"/>
                <w:szCs w:val="22"/>
                <w:lang w:eastAsia="en-US"/>
              </w:rPr>
            </w:pPr>
            <w:r w:rsidRPr="00D427D8">
              <w:rPr>
                <w:snapToGrid w:val="0"/>
                <w:szCs w:val="22"/>
                <w:lang w:eastAsia="en-US"/>
              </w:rPr>
              <w:t>Nyderlandai</w:t>
            </w:r>
            <w:r>
              <w:rPr>
                <w:snapToGrid w:val="0"/>
                <w:szCs w:val="22"/>
                <w:lang w:eastAsia="en-US"/>
              </w:rPr>
              <w:t xml:space="preserve">, </w:t>
            </w:r>
            <w:r w:rsidRPr="00D427D8">
              <w:rPr>
                <w:snapToGrid w:val="0"/>
                <w:szCs w:val="22"/>
                <w:lang w:eastAsia="en-US"/>
              </w:rPr>
              <w:t>Austrija</w:t>
            </w:r>
            <w:r>
              <w:rPr>
                <w:snapToGrid w:val="0"/>
                <w:szCs w:val="22"/>
                <w:lang w:eastAsia="en-US"/>
              </w:rPr>
              <w:t>, Belgija, Čekija, Estija, Ispanija, Italija, Jungtinė Karalystė, Kroatija, Kipras, Latvija, Lenkija, Lietuva, Prancūzija, Rumunija, Slovakija, Vengrija</w:t>
            </w:r>
          </w:p>
        </w:tc>
        <w:tc>
          <w:tcPr>
            <w:tcW w:w="4530" w:type="dxa"/>
          </w:tcPr>
          <w:p w14:paraId="181ED242" w14:textId="77777777" w:rsidR="00D427D8" w:rsidRDefault="00D427D8" w:rsidP="00D87EAB">
            <w:pPr>
              <w:widowControl w:val="0"/>
              <w:numPr>
                <w:ilvl w:val="12"/>
                <w:numId w:val="0"/>
              </w:numPr>
              <w:tabs>
                <w:tab w:val="left" w:pos="567"/>
              </w:tabs>
              <w:ind w:right="-2"/>
              <w:rPr>
                <w:snapToGrid w:val="0"/>
                <w:szCs w:val="22"/>
                <w:lang w:eastAsia="en-US"/>
              </w:rPr>
            </w:pPr>
            <w:proofErr w:type="spellStart"/>
            <w:r w:rsidRPr="00D427D8">
              <w:rPr>
                <w:snapToGrid w:val="0"/>
                <w:szCs w:val="22"/>
                <w:lang w:eastAsia="en-US"/>
              </w:rPr>
              <w:t>Gefitinib</w:t>
            </w:r>
            <w:proofErr w:type="spellEnd"/>
            <w:r w:rsidRPr="00D427D8">
              <w:rPr>
                <w:snapToGrid w:val="0"/>
                <w:szCs w:val="22"/>
                <w:lang w:eastAsia="en-US"/>
              </w:rPr>
              <w:t xml:space="preserve"> </w:t>
            </w:r>
            <w:proofErr w:type="spellStart"/>
            <w:r w:rsidRPr="00D427D8">
              <w:rPr>
                <w:snapToGrid w:val="0"/>
                <w:szCs w:val="22"/>
                <w:lang w:eastAsia="en-US"/>
              </w:rPr>
              <w:t>Sandoz</w:t>
            </w:r>
            <w:proofErr w:type="spellEnd"/>
          </w:p>
        </w:tc>
      </w:tr>
      <w:tr w:rsidR="00D427D8" w14:paraId="0194878D" w14:textId="77777777" w:rsidTr="00D427D8">
        <w:tc>
          <w:tcPr>
            <w:tcW w:w="4530" w:type="dxa"/>
          </w:tcPr>
          <w:p w14:paraId="2FCB44D8" w14:textId="77777777" w:rsidR="00D427D8" w:rsidRDefault="00D427D8" w:rsidP="00D87EAB">
            <w:pPr>
              <w:widowControl w:val="0"/>
              <w:numPr>
                <w:ilvl w:val="12"/>
                <w:numId w:val="0"/>
              </w:numPr>
              <w:tabs>
                <w:tab w:val="left" w:pos="567"/>
              </w:tabs>
              <w:ind w:right="-2"/>
              <w:rPr>
                <w:snapToGrid w:val="0"/>
                <w:szCs w:val="22"/>
                <w:lang w:eastAsia="en-US"/>
              </w:rPr>
            </w:pPr>
            <w:r>
              <w:rPr>
                <w:snapToGrid w:val="0"/>
                <w:szCs w:val="22"/>
                <w:lang w:eastAsia="en-US"/>
              </w:rPr>
              <w:t>Bulgarija</w:t>
            </w:r>
          </w:p>
        </w:tc>
        <w:tc>
          <w:tcPr>
            <w:tcW w:w="4530" w:type="dxa"/>
          </w:tcPr>
          <w:p w14:paraId="241CD7EE" w14:textId="77777777" w:rsidR="00D427D8" w:rsidRDefault="00D427D8" w:rsidP="00D87EAB">
            <w:pPr>
              <w:widowControl w:val="0"/>
              <w:numPr>
                <w:ilvl w:val="12"/>
                <w:numId w:val="0"/>
              </w:numPr>
              <w:tabs>
                <w:tab w:val="left" w:pos="567"/>
              </w:tabs>
              <w:ind w:right="-2"/>
              <w:rPr>
                <w:snapToGrid w:val="0"/>
                <w:szCs w:val="22"/>
                <w:lang w:eastAsia="en-US"/>
              </w:rPr>
            </w:pPr>
            <w:proofErr w:type="spellStart"/>
            <w:r w:rsidRPr="00D427D8">
              <w:rPr>
                <w:snapToGrid w:val="0"/>
                <w:szCs w:val="22"/>
                <w:lang w:eastAsia="en-US"/>
              </w:rPr>
              <w:t>Гефитиниб</w:t>
            </w:r>
            <w:proofErr w:type="spellEnd"/>
            <w:r w:rsidRPr="00D427D8">
              <w:rPr>
                <w:snapToGrid w:val="0"/>
                <w:szCs w:val="22"/>
                <w:lang w:eastAsia="en-US"/>
              </w:rPr>
              <w:t xml:space="preserve"> </w:t>
            </w:r>
            <w:proofErr w:type="spellStart"/>
            <w:r w:rsidRPr="00D427D8">
              <w:rPr>
                <w:snapToGrid w:val="0"/>
                <w:szCs w:val="22"/>
                <w:lang w:eastAsia="en-US"/>
              </w:rPr>
              <w:t>Сандоз</w:t>
            </w:r>
            <w:proofErr w:type="spellEnd"/>
          </w:p>
        </w:tc>
      </w:tr>
      <w:tr w:rsidR="00D427D8" w14:paraId="4D803B4A" w14:textId="77777777" w:rsidTr="00D427D8">
        <w:tc>
          <w:tcPr>
            <w:tcW w:w="4530" w:type="dxa"/>
          </w:tcPr>
          <w:p w14:paraId="3A20E7A4" w14:textId="77777777" w:rsidR="00D427D8" w:rsidRDefault="00D427D8" w:rsidP="00D87EAB">
            <w:pPr>
              <w:widowControl w:val="0"/>
              <w:numPr>
                <w:ilvl w:val="12"/>
                <w:numId w:val="0"/>
              </w:numPr>
              <w:tabs>
                <w:tab w:val="left" w:pos="567"/>
              </w:tabs>
              <w:ind w:right="-2"/>
              <w:rPr>
                <w:snapToGrid w:val="0"/>
                <w:szCs w:val="22"/>
                <w:lang w:eastAsia="en-US"/>
              </w:rPr>
            </w:pPr>
            <w:r>
              <w:rPr>
                <w:snapToGrid w:val="0"/>
                <w:szCs w:val="22"/>
                <w:lang w:eastAsia="en-US"/>
              </w:rPr>
              <w:t>Vokietija</w:t>
            </w:r>
          </w:p>
        </w:tc>
        <w:tc>
          <w:tcPr>
            <w:tcW w:w="4530" w:type="dxa"/>
          </w:tcPr>
          <w:p w14:paraId="1B6359FF" w14:textId="77777777" w:rsidR="00D427D8" w:rsidRPr="00D427D8" w:rsidRDefault="00D427D8" w:rsidP="00D87EAB">
            <w:pPr>
              <w:widowControl w:val="0"/>
              <w:numPr>
                <w:ilvl w:val="12"/>
                <w:numId w:val="0"/>
              </w:numPr>
              <w:tabs>
                <w:tab w:val="left" w:pos="567"/>
              </w:tabs>
              <w:ind w:right="-2"/>
              <w:rPr>
                <w:snapToGrid w:val="0"/>
                <w:szCs w:val="22"/>
                <w:lang w:eastAsia="en-US"/>
              </w:rPr>
            </w:pPr>
            <w:proofErr w:type="spellStart"/>
            <w:r w:rsidRPr="00D427D8">
              <w:rPr>
                <w:snapToGrid w:val="0"/>
                <w:szCs w:val="22"/>
                <w:lang w:eastAsia="en-US"/>
              </w:rPr>
              <w:t>Gefitinib</w:t>
            </w:r>
            <w:proofErr w:type="spellEnd"/>
            <w:r w:rsidRPr="00D427D8">
              <w:rPr>
                <w:snapToGrid w:val="0"/>
                <w:szCs w:val="22"/>
                <w:lang w:eastAsia="en-US"/>
              </w:rPr>
              <w:t xml:space="preserve"> HEXAL</w:t>
            </w:r>
          </w:p>
        </w:tc>
      </w:tr>
    </w:tbl>
    <w:p w14:paraId="4B6F73CD" w14:textId="77777777" w:rsidR="00D87EAB" w:rsidRPr="00C21B99" w:rsidRDefault="00D87EAB" w:rsidP="00D87EAB">
      <w:pPr>
        <w:numPr>
          <w:ilvl w:val="12"/>
          <w:numId w:val="0"/>
        </w:numPr>
        <w:rPr>
          <w:b/>
          <w:bCs/>
          <w:szCs w:val="22"/>
        </w:rPr>
      </w:pPr>
    </w:p>
    <w:p w14:paraId="0DBA6B39" w14:textId="7F9CB5C9" w:rsidR="00D87EAB" w:rsidRPr="00C21B99" w:rsidRDefault="00D87EAB" w:rsidP="00D87EAB">
      <w:pPr>
        <w:numPr>
          <w:ilvl w:val="12"/>
          <w:numId w:val="0"/>
        </w:numPr>
        <w:rPr>
          <w:b/>
          <w:bCs/>
          <w:szCs w:val="22"/>
        </w:rPr>
      </w:pPr>
      <w:r w:rsidRPr="00C21B99">
        <w:rPr>
          <w:b/>
          <w:bCs/>
          <w:szCs w:val="22"/>
        </w:rPr>
        <w:t>Šis pakuotės lapelis paskutinį kartą peržiūrėtas</w:t>
      </w:r>
      <w:r w:rsidR="00F67197">
        <w:rPr>
          <w:b/>
          <w:bCs/>
          <w:szCs w:val="22"/>
        </w:rPr>
        <w:t xml:space="preserve"> 2023-07-06</w:t>
      </w:r>
      <w:r w:rsidR="001550EB">
        <w:rPr>
          <w:b/>
          <w:bCs/>
          <w:szCs w:val="22"/>
        </w:rPr>
        <w:t>.</w:t>
      </w:r>
    </w:p>
    <w:p w14:paraId="43B024D3" w14:textId="77777777" w:rsidR="00D87EAB" w:rsidRPr="00C21B99" w:rsidRDefault="00D87EAB" w:rsidP="00D87EAB">
      <w:pPr>
        <w:widowControl w:val="0"/>
        <w:tabs>
          <w:tab w:val="left" w:pos="567"/>
        </w:tabs>
        <w:ind w:left="567" w:hanging="567"/>
        <w:rPr>
          <w:snapToGrid w:val="0"/>
          <w:szCs w:val="22"/>
          <w:lang w:eastAsia="en-US"/>
        </w:rPr>
      </w:pPr>
    </w:p>
    <w:p w14:paraId="5781988E" w14:textId="77777777" w:rsidR="00D87EAB" w:rsidRPr="00C21B99" w:rsidRDefault="00D87EAB" w:rsidP="00D87EAB">
      <w:pPr>
        <w:widowControl w:val="0"/>
        <w:numPr>
          <w:ilvl w:val="12"/>
          <w:numId w:val="0"/>
        </w:numPr>
        <w:tabs>
          <w:tab w:val="left" w:pos="567"/>
        </w:tabs>
        <w:ind w:right="-2"/>
        <w:rPr>
          <w:i/>
          <w:snapToGrid w:val="0"/>
          <w:szCs w:val="22"/>
          <w:lang w:eastAsia="en-US"/>
        </w:rPr>
      </w:pPr>
    </w:p>
    <w:p w14:paraId="21C65AA0" w14:textId="77777777" w:rsidR="00D87EAB" w:rsidRDefault="00D87EAB" w:rsidP="00E3315E">
      <w:pPr>
        <w:widowControl w:val="0"/>
        <w:numPr>
          <w:ilvl w:val="12"/>
          <w:numId w:val="0"/>
        </w:numPr>
        <w:tabs>
          <w:tab w:val="left" w:pos="567"/>
        </w:tabs>
        <w:ind w:right="-2"/>
        <w:rPr>
          <w:snapToGrid w:val="0"/>
          <w:szCs w:val="22"/>
          <w:lang w:eastAsia="en-US"/>
        </w:rPr>
      </w:pPr>
      <w:r w:rsidRPr="00C21B99">
        <w:rPr>
          <w:snapToGrid w:val="0"/>
          <w:szCs w:val="22"/>
          <w:lang w:eastAsia="en-US"/>
        </w:rPr>
        <w:t>Išsami informacija apie šį vaistą pateikiama Valstybinės vaistų kontrolės tarnybos prie Lietuvos Respublikos sveikatos apsaugos ministerijos tinklalapyje</w:t>
      </w:r>
      <w:r w:rsidRPr="00C21B99">
        <w:rPr>
          <w:i/>
          <w:snapToGrid w:val="0"/>
          <w:szCs w:val="22"/>
          <w:lang w:eastAsia="en-US"/>
        </w:rPr>
        <w:t xml:space="preserve"> </w:t>
      </w:r>
      <w:hyperlink r:id="rId11" w:history="1">
        <w:r w:rsidRPr="00C21B99">
          <w:rPr>
            <w:rFonts w:eastAsia="SimSun"/>
            <w:snapToGrid w:val="0"/>
            <w:color w:val="0000FF"/>
            <w:szCs w:val="22"/>
            <w:u w:val="single"/>
            <w:lang w:eastAsia="en-US"/>
          </w:rPr>
          <w:t>http://www.vvkt.lt/</w:t>
        </w:r>
      </w:hyperlink>
      <w:r w:rsidRPr="00C21B99">
        <w:rPr>
          <w:snapToGrid w:val="0"/>
          <w:szCs w:val="22"/>
          <w:lang w:eastAsia="en-US"/>
        </w:rPr>
        <w:t>.</w:t>
      </w:r>
    </w:p>
    <w:p w14:paraId="518F7A33" w14:textId="77777777" w:rsidR="00F20A79" w:rsidRDefault="00F20A79" w:rsidP="00E3315E">
      <w:pPr>
        <w:widowControl w:val="0"/>
        <w:numPr>
          <w:ilvl w:val="12"/>
          <w:numId w:val="0"/>
        </w:numPr>
        <w:tabs>
          <w:tab w:val="left" w:pos="567"/>
        </w:tabs>
        <w:ind w:right="-2"/>
        <w:rPr>
          <w:snapToGrid w:val="0"/>
          <w:szCs w:val="22"/>
          <w:lang w:eastAsia="en-US"/>
        </w:rPr>
      </w:pPr>
      <w:bookmarkStart w:id="1" w:name="_GoBack"/>
      <w:bookmarkEnd w:id="1"/>
    </w:p>
    <w:p w14:paraId="084FDAB6" w14:textId="77777777" w:rsidR="00F20A79" w:rsidRPr="00C21B99" w:rsidRDefault="00F20A79" w:rsidP="00C479E0">
      <w:pPr>
        <w:widowControl w:val="0"/>
        <w:numPr>
          <w:ilvl w:val="12"/>
          <w:numId w:val="0"/>
        </w:numPr>
        <w:tabs>
          <w:tab w:val="left" w:pos="567"/>
        </w:tabs>
        <w:ind w:right="-2"/>
        <w:rPr>
          <w:snapToGrid w:val="0"/>
          <w:szCs w:val="22"/>
          <w:lang w:eastAsia="en-US"/>
        </w:rPr>
      </w:pPr>
    </w:p>
    <w:sectPr w:rsidR="00F20A79" w:rsidRPr="00C21B99" w:rsidSect="006675D7">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4C8B8" w14:textId="77777777" w:rsidR="00135B76" w:rsidRDefault="00135B76">
      <w:r>
        <w:separator/>
      </w:r>
    </w:p>
  </w:endnote>
  <w:endnote w:type="continuationSeparator" w:id="0">
    <w:p w14:paraId="3D827375" w14:textId="77777777" w:rsidR="00135B76" w:rsidRDefault="00135B76">
      <w:r>
        <w:continuationSeparator/>
      </w:r>
    </w:p>
  </w:endnote>
  <w:endnote w:type="continuationNotice" w:id="1">
    <w:p w14:paraId="5F64A23E" w14:textId="77777777" w:rsidR="00135B76" w:rsidRDefault="00135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CG Times"/>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3B0F" w14:textId="77777777" w:rsidR="00135B76" w:rsidRDefault="00135B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223F" w14:textId="5FC629D9" w:rsidR="00135B76" w:rsidRDefault="00135B76">
    <w:pPr>
      <w:pStyle w:val="Porat"/>
      <w:jc w:val="center"/>
    </w:pPr>
    <w:r>
      <w:rPr>
        <w:noProof/>
      </w:rPr>
      <w:fldChar w:fldCharType="begin"/>
    </w:r>
    <w:r>
      <w:rPr>
        <w:noProof/>
      </w:rPr>
      <w:instrText>PAGE   \* MERGEFORMAT</w:instrText>
    </w:r>
    <w:r>
      <w:rPr>
        <w:noProof/>
      </w:rPr>
      <w:fldChar w:fldCharType="separate"/>
    </w:r>
    <w:r w:rsidR="00EE64E8">
      <w:rPr>
        <w:noProof/>
      </w:rPr>
      <w:t>31</w:t>
    </w:r>
    <w:r>
      <w:rPr>
        <w:noProof/>
      </w:rPr>
      <w:fldChar w:fldCharType="end"/>
    </w:r>
  </w:p>
  <w:p w14:paraId="54F385DB" w14:textId="77777777" w:rsidR="00135B76" w:rsidRDefault="00135B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9F3D" w14:textId="77777777" w:rsidR="00135B76" w:rsidRDefault="00135B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39764" w14:textId="77777777" w:rsidR="00135B76" w:rsidRDefault="00135B76">
      <w:r>
        <w:separator/>
      </w:r>
    </w:p>
  </w:footnote>
  <w:footnote w:type="continuationSeparator" w:id="0">
    <w:p w14:paraId="1FB32FDA" w14:textId="77777777" w:rsidR="00135B76" w:rsidRDefault="00135B76">
      <w:r>
        <w:continuationSeparator/>
      </w:r>
    </w:p>
  </w:footnote>
  <w:footnote w:type="continuationNotice" w:id="1">
    <w:p w14:paraId="761DD7F6" w14:textId="77777777" w:rsidR="00135B76" w:rsidRDefault="00135B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5047D" w14:textId="77777777" w:rsidR="00135B76" w:rsidRDefault="00135B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2A34" w14:textId="77777777" w:rsidR="00135B76" w:rsidRDefault="00135B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4B71" w14:textId="77777777" w:rsidR="00135B76" w:rsidRDefault="00135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92617D7"/>
    <w:multiLevelType w:val="hybridMultilevel"/>
    <w:tmpl w:val="B27E144A"/>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F78F9"/>
    <w:multiLevelType w:val="hybridMultilevel"/>
    <w:tmpl w:val="52482E30"/>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F698E"/>
    <w:multiLevelType w:val="hybridMultilevel"/>
    <w:tmpl w:val="847ABD16"/>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5D7C7F"/>
    <w:multiLevelType w:val="hybridMultilevel"/>
    <w:tmpl w:val="E5627D1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9717F"/>
    <w:multiLevelType w:val="hybridMultilevel"/>
    <w:tmpl w:val="C6E6238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BDC"/>
    <w:multiLevelType w:val="hybridMultilevel"/>
    <w:tmpl w:val="3570545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D2C54"/>
    <w:multiLevelType w:val="hybridMultilevel"/>
    <w:tmpl w:val="98B025B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7B1E0A"/>
    <w:multiLevelType w:val="hybridMultilevel"/>
    <w:tmpl w:val="5CBE6E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78680D"/>
    <w:multiLevelType w:val="hybridMultilevel"/>
    <w:tmpl w:val="EDFED392"/>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C275EE"/>
    <w:multiLevelType w:val="hybridMultilevel"/>
    <w:tmpl w:val="14DEC82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A81D35"/>
    <w:multiLevelType w:val="hybridMultilevel"/>
    <w:tmpl w:val="4B009B8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CA34AA"/>
    <w:multiLevelType w:val="hybridMultilevel"/>
    <w:tmpl w:val="A754B374"/>
    <w:lvl w:ilvl="0" w:tplc="59CEAA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D1109D"/>
    <w:multiLevelType w:val="hybridMultilevel"/>
    <w:tmpl w:val="0AE2F92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F7432A"/>
    <w:multiLevelType w:val="hybridMultilevel"/>
    <w:tmpl w:val="C3F05B7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3A2CA7"/>
    <w:multiLevelType w:val="hybridMultilevel"/>
    <w:tmpl w:val="5C3496C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851E0E"/>
    <w:multiLevelType w:val="hybridMultilevel"/>
    <w:tmpl w:val="55A406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E447CE"/>
    <w:multiLevelType w:val="hybridMultilevel"/>
    <w:tmpl w:val="FBD0146C"/>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C048B0"/>
    <w:multiLevelType w:val="hybridMultilevel"/>
    <w:tmpl w:val="85BC0CCC"/>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B37264"/>
    <w:multiLevelType w:val="hybridMultilevel"/>
    <w:tmpl w:val="CFE63C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BB654A"/>
    <w:multiLevelType w:val="hybridMultilevel"/>
    <w:tmpl w:val="0C42AA62"/>
    <w:lvl w:ilvl="0" w:tplc="F19CA2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115205"/>
    <w:multiLevelType w:val="hybridMultilevel"/>
    <w:tmpl w:val="B1EEA1B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B1F2BD6"/>
    <w:multiLevelType w:val="hybridMultilevel"/>
    <w:tmpl w:val="FDD2FA9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5005C7"/>
    <w:multiLevelType w:val="hybridMultilevel"/>
    <w:tmpl w:val="AEE4EC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11D7F4F"/>
    <w:multiLevelType w:val="hybridMultilevel"/>
    <w:tmpl w:val="8244D3A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A41830"/>
    <w:multiLevelType w:val="hybridMultilevel"/>
    <w:tmpl w:val="523089BC"/>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76B6096"/>
    <w:multiLevelType w:val="hybridMultilevel"/>
    <w:tmpl w:val="5962915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912C62"/>
    <w:multiLevelType w:val="hybridMultilevel"/>
    <w:tmpl w:val="DC648C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C275A3"/>
    <w:multiLevelType w:val="hybridMultilevel"/>
    <w:tmpl w:val="0F14B3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9D0C6D"/>
    <w:multiLevelType w:val="hybridMultilevel"/>
    <w:tmpl w:val="B98834A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C64275D"/>
    <w:multiLevelType w:val="hybridMultilevel"/>
    <w:tmpl w:val="C3ECDE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4B7000"/>
    <w:multiLevelType w:val="hybridMultilevel"/>
    <w:tmpl w:val="EE500D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C01028"/>
    <w:multiLevelType w:val="hybridMultilevel"/>
    <w:tmpl w:val="00F4F7E4"/>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EB1834"/>
    <w:multiLevelType w:val="hybridMultilevel"/>
    <w:tmpl w:val="5D5AA68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513D2E"/>
    <w:multiLevelType w:val="hybridMultilevel"/>
    <w:tmpl w:val="85881FE2"/>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81625E"/>
    <w:multiLevelType w:val="hybridMultilevel"/>
    <w:tmpl w:val="00307970"/>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E51DD1"/>
    <w:multiLevelType w:val="hybridMultilevel"/>
    <w:tmpl w:val="21200940"/>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C94F00"/>
    <w:multiLevelType w:val="hybridMultilevel"/>
    <w:tmpl w:val="EF0C4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F122D7"/>
    <w:multiLevelType w:val="hybridMultilevel"/>
    <w:tmpl w:val="79C4BC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410E52"/>
    <w:multiLevelType w:val="hybridMultilevel"/>
    <w:tmpl w:val="FEBC1A50"/>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AA6340"/>
    <w:multiLevelType w:val="hybridMultilevel"/>
    <w:tmpl w:val="DA101992"/>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1A1E08"/>
    <w:multiLevelType w:val="hybridMultilevel"/>
    <w:tmpl w:val="8CE8299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3809C4"/>
    <w:multiLevelType w:val="hybridMultilevel"/>
    <w:tmpl w:val="A2A6566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28"/>
  </w:num>
  <w:num w:numId="4">
    <w:abstractNumId w:val="24"/>
  </w:num>
  <w:num w:numId="5">
    <w:abstractNumId w:val="22"/>
  </w:num>
  <w:num w:numId="6">
    <w:abstractNumId w:val="31"/>
  </w:num>
  <w:num w:numId="7">
    <w:abstractNumId w:val="17"/>
  </w:num>
  <w:num w:numId="8">
    <w:abstractNumId w:val="14"/>
  </w:num>
  <w:num w:numId="9">
    <w:abstractNumId w:val="30"/>
  </w:num>
  <w:num w:numId="10">
    <w:abstractNumId w:val="20"/>
  </w:num>
  <w:num w:numId="11">
    <w:abstractNumId w:val="4"/>
  </w:num>
  <w:num w:numId="12">
    <w:abstractNumId w:val="12"/>
  </w:num>
  <w:num w:numId="13">
    <w:abstractNumId w:val="15"/>
  </w:num>
  <w:num w:numId="14">
    <w:abstractNumId w:val="25"/>
  </w:num>
  <w:num w:numId="15">
    <w:abstractNumId w:val="27"/>
  </w:num>
  <w:num w:numId="16">
    <w:abstractNumId w:val="34"/>
  </w:num>
  <w:num w:numId="17">
    <w:abstractNumId w:val="11"/>
  </w:num>
  <w:num w:numId="18">
    <w:abstractNumId w:val="43"/>
  </w:num>
  <w:num w:numId="19">
    <w:abstractNumId w:val="42"/>
  </w:num>
  <w:num w:numId="20">
    <w:abstractNumId w:val="29"/>
  </w:num>
  <w:num w:numId="21">
    <w:abstractNumId w:val="13"/>
  </w:num>
  <w:num w:numId="22">
    <w:abstractNumId w:val="8"/>
  </w:num>
  <w:num w:numId="23">
    <w:abstractNumId w:val="16"/>
  </w:num>
  <w:num w:numId="24">
    <w:abstractNumId w:val="39"/>
  </w:num>
  <w:num w:numId="25">
    <w:abstractNumId w:val="7"/>
  </w:num>
  <w:num w:numId="26">
    <w:abstractNumId w:val="23"/>
  </w:num>
  <w:num w:numId="27">
    <w:abstractNumId w:val="10"/>
  </w:num>
  <w:num w:numId="28">
    <w:abstractNumId w:val="38"/>
  </w:num>
  <w:num w:numId="29">
    <w:abstractNumId w:val="21"/>
  </w:num>
  <w:num w:numId="30">
    <w:abstractNumId w:val="6"/>
  </w:num>
  <w:num w:numId="31">
    <w:abstractNumId w:val="37"/>
  </w:num>
  <w:num w:numId="32">
    <w:abstractNumId w:val="36"/>
  </w:num>
  <w:num w:numId="33">
    <w:abstractNumId w:val="40"/>
  </w:num>
  <w:num w:numId="34">
    <w:abstractNumId w:val="1"/>
  </w:num>
  <w:num w:numId="35">
    <w:abstractNumId w:val="19"/>
  </w:num>
  <w:num w:numId="36">
    <w:abstractNumId w:val="3"/>
  </w:num>
  <w:num w:numId="37">
    <w:abstractNumId w:val="41"/>
  </w:num>
  <w:num w:numId="38">
    <w:abstractNumId w:val="33"/>
  </w:num>
  <w:num w:numId="39">
    <w:abstractNumId w:val="18"/>
  </w:num>
  <w:num w:numId="40">
    <w:abstractNumId w:val="35"/>
  </w:num>
  <w:num w:numId="41">
    <w:abstractNumId w:val="26"/>
  </w:num>
  <w:num w:numId="42">
    <w:abstractNumId w:val="9"/>
  </w:num>
  <w:num w:numId="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3539"/>
    <w:rsid w:val="0000450A"/>
    <w:rsid w:val="00005D24"/>
    <w:rsid w:val="000065EE"/>
    <w:rsid w:val="00007B09"/>
    <w:rsid w:val="00010BBF"/>
    <w:rsid w:val="00010EE3"/>
    <w:rsid w:val="00014F3E"/>
    <w:rsid w:val="000201A3"/>
    <w:rsid w:val="000202F7"/>
    <w:rsid w:val="00020587"/>
    <w:rsid w:val="000206DD"/>
    <w:rsid w:val="0002186A"/>
    <w:rsid w:val="0002271F"/>
    <w:rsid w:val="00022764"/>
    <w:rsid w:val="00027D1D"/>
    <w:rsid w:val="00031230"/>
    <w:rsid w:val="00031D12"/>
    <w:rsid w:val="00034887"/>
    <w:rsid w:val="000356A9"/>
    <w:rsid w:val="00036999"/>
    <w:rsid w:val="00036F3D"/>
    <w:rsid w:val="0004001D"/>
    <w:rsid w:val="00040FEC"/>
    <w:rsid w:val="00043AD4"/>
    <w:rsid w:val="00047366"/>
    <w:rsid w:val="00050024"/>
    <w:rsid w:val="00050617"/>
    <w:rsid w:val="00050723"/>
    <w:rsid w:val="00051078"/>
    <w:rsid w:val="00053885"/>
    <w:rsid w:val="00060C2D"/>
    <w:rsid w:val="00060CF2"/>
    <w:rsid w:val="000627B9"/>
    <w:rsid w:val="000632B6"/>
    <w:rsid w:val="000649BC"/>
    <w:rsid w:val="00064A0E"/>
    <w:rsid w:val="00064C5E"/>
    <w:rsid w:val="00065B13"/>
    <w:rsid w:val="0007114A"/>
    <w:rsid w:val="00072DD1"/>
    <w:rsid w:val="000736E6"/>
    <w:rsid w:val="00074830"/>
    <w:rsid w:val="00074CC7"/>
    <w:rsid w:val="00075AD2"/>
    <w:rsid w:val="00082668"/>
    <w:rsid w:val="00086CAD"/>
    <w:rsid w:val="0008715D"/>
    <w:rsid w:val="000875C9"/>
    <w:rsid w:val="00087FF1"/>
    <w:rsid w:val="00092043"/>
    <w:rsid w:val="00092044"/>
    <w:rsid w:val="00092A50"/>
    <w:rsid w:val="0009306F"/>
    <w:rsid w:val="00093B00"/>
    <w:rsid w:val="00093E10"/>
    <w:rsid w:val="00094177"/>
    <w:rsid w:val="000A023B"/>
    <w:rsid w:val="000A0F22"/>
    <w:rsid w:val="000A1077"/>
    <w:rsid w:val="000A32A2"/>
    <w:rsid w:val="000A5D21"/>
    <w:rsid w:val="000A6612"/>
    <w:rsid w:val="000B10D8"/>
    <w:rsid w:val="000B11D4"/>
    <w:rsid w:val="000B3C69"/>
    <w:rsid w:val="000B4BA7"/>
    <w:rsid w:val="000B5A98"/>
    <w:rsid w:val="000B6056"/>
    <w:rsid w:val="000C67AB"/>
    <w:rsid w:val="000C6D02"/>
    <w:rsid w:val="000C6FCA"/>
    <w:rsid w:val="000D0A3D"/>
    <w:rsid w:val="000D1CAB"/>
    <w:rsid w:val="000D1F09"/>
    <w:rsid w:val="000F4586"/>
    <w:rsid w:val="000F4777"/>
    <w:rsid w:val="001008D2"/>
    <w:rsid w:val="00102B14"/>
    <w:rsid w:val="00105047"/>
    <w:rsid w:val="00106F5A"/>
    <w:rsid w:val="00107C7E"/>
    <w:rsid w:val="00111EF0"/>
    <w:rsid w:val="001120C8"/>
    <w:rsid w:val="00112EFF"/>
    <w:rsid w:val="00113BD6"/>
    <w:rsid w:val="0011707B"/>
    <w:rsid w:val="00120A94"/>
    <w:rsid w:val="00121726"/>
    <w:rsid w:val="00122DA9"/>
    <w:rsid w:val="00124023"/>
    <w:rsid w:val="00130CD3"/>
    <w:rsid w:val="00130E7A"/>
    <w:rsid w:val="00131733"/>
    <w:rsid w:val="0013218B"/>
    <w:rsid w:val="00135936"/>
    <w:rsid w:val="00135B76"/>
    <w:rsid w:val="00140809"/>
    <w:rsid w:val="00143AE9"/>
    <w:rsid w:val="001440CC"/>
    <w:rsid w:val="00144ECC"/>
    <w:rsid w:val="0014582F"/>
    <w:rsid w:val="001520AF"/>
    <w:rsid w:val="00154CC1"/>
    <w:rsid w:val="001550EB"/>
    <w:rsid w:val="0015664A"/>
    <w:rsid w:val="0015687C"/>
    <w:rsid w:val="00162F23"/>
    <w:rsid w:val="00164AD7"/>
    <w:rsid w:val="00164AE7"/>
    <w:rsid w:val="00165314"/>
    <w:rsid w:val="00165FF2"/>
    <w:rsid w:val="00170560"/>
    <w:rsid w:val="0017135E"/>
    <w:rsid w:val="00171FA7"/>
    <w:rsid w:val="00172144"/>
    <w:rsid w:val="001748DA"/>
    <w:rsid w:val="001758CD"/>
    <w:rsid w:val="00176C5A"/>
    <w:rsid w:val="001807AB"/>
    <w:rsid w:val="001811A6"/>
    <w:rsid w:val="001813F2"/>
    <w:rsid w:val="00182089"/>
    <w:rsid w:val="001827CA"/>
    <w:rsid w:val="00185A1E"/>
    <w:rsid w:val="001860D5"/>
    <w:rsid w:val="0018629D"/>
    <w:rsid w:val="0018692C"/>
    <w:rsid w:val="00186F0F"/>
    <w:rsid w:val="001871B8"/>
    <w:rsid w:val="001879E7"/>
    <w:rsid w:val="00190E4A"/>
    <w:rsid w:val="0019155B"/>
    <w:rsid w:val="00192448"/>
    <w:rsid w:val="001A0367"/>
    <w:rsid w:val="001A0378"/>
    <w:rsid w:val="001A1640"/>
    <w:rsid w:val="001A2939"/>
    <w:rsid w:val="001A3565"/>
    <w:rsid w:val="001A4DDF"/>
    <w:rsid w:val="001A5724"/>
    <w:rsid w:val="001A58A0"/>
    <w:rsid w:val="001A786A"/>
    <w:rsid w:val="001A7E3B"/>
    <w:rsid w:val="001B02FB"/>
    <w:rsid w:val="001B0E27"/>
    <w:rsid w:val="001B13A6"/>
    <w:rsid w:val="001B1CE7"/>
    <w:rsid w:val="001B2891"/>
    <w:rsid w:val="001B33BD"/>
    <w:rsid w:val="001B6FFB"/>
    <w:rsid w:val="001C2BCE"/>
    <w:rsid w:val="001C6908"/>
    <w:rsid w:val="001C7238"/>
    <w:rsid w:val="001D01E6"/>
    <w:rsid w:val="001D0454"/>
    <w:rsid w:val="001D06E6"/>
    <w:rsid w:val="001D2A50"/>
    <w:rsid w:val="001D2AFE"/>
    <w:rsid w:val="001D2DBA"/>
    <w:rsid w:val="001D2E37"/>
    <w:rsid w:val="001D7DF0"/>
    <w:rsid w:val="001E0A93"/>
    <w:rsid w:val="001E2D0A"/>
    <w:rsid w:val="001E31D6"/>
    <w:rsid w:val="001E55B5"/>
    <w:rsid w:val="001E5809"/>
    <w:rsid w:val="001E6536"/>
    <w:rsid w:val="001F050A"/>
    <w:rsid w:val="001F2253"/>
    <w:rsid w:val="001F30DC"/>
    <w:rsid w:val="001F4A7C"/>
    <w:rsid w:val="001F557B"/>
    <w:rsid w:val="001F5DAA"/>
    <w:rsid w:val="001F7387"/>
    <w:rsid w:val="00200370"/>
    <w:rsid w:val="00201557"/>
    <w:rsid w:val="00203B91"/>
    <w:rsid w:val="00204D23"/>
    <w:rsid w:val="002050EA"/>
    <w:rsid w:val="002110CA"/>
    <w:rsid w:val="002118A7"/>
    <w:rsid w:val="00211DDF"/>
    <w:rsid w:val="00212673"/>
    <w:rsid w:val="00212A9B"/>
    <w:rsid w:val="002154C0"/>
    <w:rsid w:val="00215AB6"/>
    <w:rsid w:val="0021625A"/>
    <w:rsid w:val="00216298"/>
    <w:rsid w:val="0022061B"/>
    <w:rsid w:val="00222037"/>
    <w:rsid w:val="00222C54"/>
    <w:rsid w:val="00223465"/>
    <w:rsid w:val="002275E1"/>
    <w:rsid w:val="002304A2"/>
    <w:rsid w:val="0023259A"/>
    <w:rsid w:val="0023469D"/>
    <w:rsid w:val="0023627C"/>
    <w:rsid w:val="002404BD"/>
    <w:rsid w:val="00243490"/>
    <w:rsid w:val="002434A3"/>
    <w:rsid w:val="00244CB2"/>
    <w:rsid w:val="002504A3"/>
    <w:rsid w:val="0025064B"/>
    <w:rsid w:val="002509C6"/>
    <w:rsid w:val="00251329"/>
    <w:rsid w:val="0025209C"/>
    <w:rsid w:val="002550EB"/>
    <w:rsid w:val="0026619E"/>
    <w:rsid w:val="002705D1"/>
    <w:rsid w:val="00271E1A"/>
    <w:rsid w:val="00273C2C"/>
    <w:rsid w:val="00275568"/>
    <w:rsid w:val="00275D36"/>
    <w:rsid w:val="00281B5D"/>
    <w:rsid w:val="00282D13"/>
    <w:rsid w:val="00282DCB"/>
    <w:rsid w:val="00284064"/>
    <w:rsid w:val="00285D29"/>
    <w:rsid w:val="00286B13"/>
    <w:rsid w:val="00287434"/>
    <w:rsid w:val="002878D2"/>
    <w:rsid w:val="002907E4"/>
    <w:rsid w:val="00291388"/>
    <w:rsid w:val="002922D7"/>
    <w:rsid w:val="00294451"/>
    <w:rsid w:val="0029510A"/>
    <w:rsid w:val="00295CD9"/>
    <w:rsid w:val="00296D95"/>
    <w:rsid w:val="00297465"/>
    <w:rsid w:val="002A0D19"/>
    <w:rsid w:val="002A1023"/>
    <w:rsid w:val="002A17B6"/>
    <w:rsid w:val="002A3D59"/>
    <w:rsid w:val="002A4DAC"/>
    <w:rsid w:val="002A5988"/>
    <w:rsid w:val="002A7807"/>
    <w:rsid w:val="002B2211"/>
    <w:rsid w:val="002B349F"/>
    <w:rsid w:val="002B48CE"/>
    <w:rsid w:val="002B4D1E"/>
    <w:rsid w:val="002B5FB1"/>
    <w:rsid w:val="002B75CE"/>
    <w:rsid w:val="002B7E6A"/>
    <w:rsid w:val="002B7EA5"/>
    <w:rsid w:val="002C13CE"/>
    <w:rsid w:val="002C2923"/>
    <w:rsid w:val="002C78BF"/>
    <w:rsid w:val="002D1788"/>
    <w:rsid w:val="002D3193"/>
    <w:rsid w:val="002D3B8F"/>
    <w:rsid w:val="002D3C95"/>
    <w:rsid w:val="002D5195"/>
    <w:rsid w:val="002D57F7"/>
    <w:rsid w:val="002D699D"/>
    <w:rsid w:val="002D715E"/>
    <w:rsid w:val="002D7C5C"/>
    <w:rsid w:val="002E5756"/>
    <w:rsid w:val="002E5FA7"/>
    <w:rsid w:val="002E7478"/>
    <w:rsid w:val="002F0F85"/>
    <w:rsid w:val="002F24FF"/>
    <w:rsid w:val="002F2852"/>
    <w:rsid w:val="002F4260"/>
    <w:rsid w:val="00301659"/>
    <w:rsid w:val="00304145"/>
    <w:rsid w:val="00304441"/>
    <w:rsid w:val="00307A1D"/>
    <w:rsid w:val="0031021D"/>
    <w:rsid w:val="00316120"/>
    <w:rsid w:val="00316C53"/>
    <w:rsid w:val="00321207"/>
    <w:rsid w:val="00321E01"/>
    <w:rsid w:val="00324119"/>
    <w:rsid w:val="003242D3"/>
    <w:rsid w:val="0032486E"/>
    <w:rsid w:val="00327590"/>
    <w:rsid w:val="00330ABA"/>
    <w:rsid w:val="003322F9"/>
    <w:rsid w:val="00332E52"/>
    <w:rsid w:val="0033708C"/>
    <w:rsid w:val="0034077A"/>
    <w:rsid w:val="00342718"/>
    <w:rsid w:val="00343FAA"/>
    <w:rsid w:val="003453DA"/>
    <w:rsid w:val="0034573F"/>
    <w:rsid w:val="00346E76"/>
    <w:rsid w:val="003505CF"/>
    <w:rsid w:val="0035165D"/>
    <w:rsid w:val="003530FD"/>
    <w:rsid w:val="003557FA"/>
    <w:rsid w:val="00355F2F"/>
    <w:rsid w:val="00357274"/>
    <w:rsid w:val="003610F7"/>
    <w:rsid w:val="00363D1C"/>
    <w:rsid w:val="0036570E"/>
    <w:rsid w:val="003663E1"/>
    <w:rsid w:val="0036692A"/>
    <w:rsid w:val="00370671"/>
    <w:rsid w:val="00372786"/>
    <w:rsid w:val="00375CCB"/>
    <w:rsid w:val="00377DD0"/>
    <w:rsid w:val="003804CC"/>
    <w:rsid w:val="00383502"/>
    <w:rsid w:val="00385500"/>
    <w:rsid w:val="00387006"/>
    <w:rsid w:val="00390DE4"/>
    <w:rsid w:val="00391251"/>
    <w:rsid w:val="0039133E"/>
    <w:rsid w:val="0039380B"/>
    <w:rsid w:val="003A0BB0"/>
    <w:rsid w:val="003A1F7F"/>
    <w:rsid w:val="003A4886"/>
    <w:rsid w:val="003A4A27"/>
    <w:rsid w:val="003A5D66"/>
    <w:rsid w:val="003A5EF7"/>
    <w:rsid w:val="003B1534"/>
    <w:rsid w:val="003B16D6"/>
    <w:rsid w:val="003B32FF"/>
    <w:rsid w:val="003B4611"/>
    <w:rsid w:val="003C4380"/>
    <w:rsid w:val="003C49A6"/>
    <w:rsid w:val="003C5CAF"/>
    <w:rsid w:val="003C6414"/>
    <w:rsid w:val="003D0171"/>
    <w:rsid w:val="003D1CA3"/>
    <w:rsid w:val="003D2025"/>
    <w:rsid w:val="003D6E4F"/>
    <w:rsid w:val="003E0129"/>
    <w:rsid w:val="003E2670"/>
    <w:rsid w:val="003E4DC5"/>
    <w:rsid w:val="003E623C"/>
    <w:rsid w:val="003E649D"/>
    <w:rsid w:val="003E7708"/>
    <w:rsid w:val="003F17F0"/>
    <w:rsid w:val="003F1834"/>
    <w:rsid w:val="003F1FC9"/>
    <w:rsid w:val="003F32C1"/>
    <w:rsid w:val="003F4ADD"/>
    <w:rsid w:val="003F5FF2"/>
    <w:rsid w:val="003F6E3B"/>
    <w:rsid w:val="003F7D24"/>
    <w:rsid w:val="0040083C"/>
    <w:rsid w:val="0040101A"/>
    <w:rsid w:val="0040202C"/>
    <w:rsid w:val="00404ECF"/>
    <w:rsid w:val="00404F36"/>
    <w:rsid w:val="0041144A"/>
    <w:rsid w:val="0041220F"/>
    <w:rsid w:val="00413AB7"/>
    <w:rsid w:val="00414942"/>
    <w:rsid w:val="00416943"/>
    <w:rsid w:val="00420295"/>
    <w:rsid w:val="004202B7"/>
    <w:rsid w:val="00422E7E"/>
    <w:rsid w:val="00423D38"/>
    <w:rsid w:val="004240B6"/>
    <w:rsid w:val="00424736"/>
    <w:rsid w:val="004304D5"/>
    <w:rsid w:val="00431749"/>
    <w:rsid w:val="00431F55"/>
    <w:rsid w:val="0043201E"/>
    <w:rsid w:val="004340BA"/>
    <w:rsid w:val="00434C43"/>
    <w:rsid w:val="00440989"/>
    <w:rsid w:val="004418F7"/>
    <w:rsid w:val="004424F6"/>
    <w:rsid w:val="00443C18"/>
    <w:rsid w:val="00445223"/>
    <w:rsid w:val="0044570C"/>
    <w:rsid w:val="00446238"/>
    <w:rsid w:val="00450BAE"/>
    <w:rsid w:val="004525B2"/>
    <w:rsid w:val="00455A76"/>
    <w:rsid w:val="00456FF6"/>
    <w:rsid w:val="004573B7"/>
    <w:rsid w:val="00460374"/>
    <w:rsid w:val="004625A5"/>
    <w:rsid w:val="004635C7"/>
    <w:rsid w:val="00463630"/>
    <w:rsid w:val="004648D5"/>
    <w:rsid w:val="00465120"/>
    <w:rsid w:val="00465755"/>
    <w:rsid w:val="00467D85"/>
    <w:rsid w:val="004724AE"/>
    <w:rsid w:val="00474BA0"/>
    <w:rsid w:val="0047578D"/>
    <w:rsid w:val="0047610F"/>
    <w:rsid w:val="00476291"/>
    <w:rsid w:val="00476745"/>
    <w:rsid w:val="00477B31"/>
    <w:rsid w:val="00480E3A"/>
    <w:rsid w:val="004831F5"/>
    <w:rsid w:val="00484BCC"/>
    <w:rsid w:val="00487DC6"/>
    <w:rsid w:val="00491086"/>
    <w:rsid w:val="00492019"/>
    <w:rsid w:val="0049365C"/>
    <w:rsid w:val="00496F76"/>
    <w:rsid w:val="004A005F"/>
    <w:rsid w:val="004A0501"/>
    <w:rsid w:val="004A25BF"/>
    <w:rsid w:val="004A595D"/>
    <w:rsid w:val="004B21A8"/>
    <w:rsid w:val="004B36A8"/>
    <w:rsid w:val="004B3AC6"/>
    <w:rsid w:val="004B6BDE"/>
    <w:rsid w:val="004B7517"/>
    <w:rsid w:val="004B7B10"/>
    <w:rsid w:val="004C0A14"/>
    <w:rsid w:val="004C3AC3"/>
    <w:rsid w:val="004C3FBB"/>
    <w:rsid w:val="004C55CC"/>
    <w:rsid w:val="004C6FE1"/>
    <w:rsid w:val="004C71CA"/>
    <w:rsid w:val="004D0E6A"/>
    <w:rsid w:val="004D15ED"/>
    <w:rsid w:val="004D1F24"/>
    <w:rsid w:val="004D243B"/>
    <w:rsid w:val="004D601F"/>
    <w:rsid w:val="004D757A"/>
    <w:rsid w:val="004D7BD5"/>
    <w:rsid w:val="004E0754"/>
    <w:rsid w:val="004E1399"/>
    <w:rsid w:val="004E1602"/>
    <w:rsid w:val="004E1A2A"/>
    <w:rsid w:val="004E222C"/>
    <w:rsid w:val="004E36DF"/>
    <w:rsid w:val="004E3C6D"/>
    <w:rsid w:val="004E3F2F"/>
    <w:rsid w:val="004E400B"/>
    <w:rsid w:val="004E4222"/>
    <w:rsid w:val="004E4DD3"/>
    <w:rsid w:val="004E52F9"/>
    <w:rsid w:val="004E5AA5"/>
    <w:rsid w:val="004E67AB"/>
    <w:rsid w:val="004E6E8A"/>
    <w:rsid w:val="004E789A"/>
    <w:rsid w:val="004F1087"/>
    <w:rsid w:val="004F111A"/>
    <w:rsid w:val="004F2215"/>
    <w:rsid w:val="004F39C6"/>
    <w:rsid w:val="004F41B7"/>
    <w:rsid w:val="004F5087"/>
    <w:rsid w:val="004F5C3D"/>
    <w:rsid w:val="004F68EF"/>
    <w:rsid w:val="00503CCC"/>
    <w:rsid w:val="005054CC"/>
    <w:rsid w:val="0051029C"/>
    <w:rsid w:val="00513804"/>
    <w:rsid w:val="00520094"/>
    <w:rsid w:val="0052011B"/>
    <w:rsid w:val="005205FD"/>
    <w:rsid w:val="00521359"/>
    <w:rsid w:val="00522877"/>
    <w:rsid w:val="0052527B"/>
    <w:rsid w:val="00530BE3"/>
    <w:rsid w:val="00530C44"/>
    <w:rsid w:val="0053301D"/>
    <w:rsid w:val="00533B34"/>
    <w:rsid w:val="005343DD"/>
    <w:rsid w:val="00534E24"/>
    <w:rsid w:val="00534E48"/>
    <w:rsid w:val="00535CB2"/>
    <w:rsid w:val="00537864"/>
    <w:rsid w:val="005408F6"/>
    <w:rsid w:val="005431CE"/>
    <w:rsid w:val="00543C57"/>
    <w:rsid w:val="0054553A"/>
    <w:rsid w:val="00545A83"/>
    <w:rsid w:val="005472D4"/>
    <w:rsid w:val="0055011A"/>
    <w:rsid w:val="00551962"/>
    <w:rsid w:val="005520F2"/>
    <w:rsid w:val="00552713"/>
    <w:rsid w:val="0055422F"/>
    <w:rsid w:val="00554C64"/>
    <w:rsid w:val="0055574D"/>
    <w:rsid w:val="00555856"/>
    <w:rsid w:val="00555FFF"/>
    <w:rsid w:val="00556696"/>
    <w:rsid w:val="00556F9A"/>
    <w:rsid w:val="005573B3"/>
    <w:rsid w:val="00557D52"/>
    <w:rsid w:val="00561C33"/>
    <w:rsid w:val="00565402"/>
    <w:rsid w:val="005656FF"/>
    <w:rsid w:val="00565914"/>
    <w:rsid w:val="00565E57"/>
    <w:rsid w:val="00567882"/>
    <w:rsid w:val="00573827"/>
    <w:rsid w:val="00573C09"/>
    <w:rsid w:val="00574858"/>
    <w:rsid w:val="00576888"/>
    <w:rsid w:val="00577915"/>
    <w:rsid w:val="005803A2"/>
    <w:rsid w:val="00581AE4"/>
    <w:rsid w:val="005841B8"/>
    <w:rsid w:val="00585D1B"/>
    <w:rsid w:val="00587826"/>
    <w:rsid w:val="00590B39"/>
    <w:rsid w:val="00590C9E"/>
    <w:rsid w:val="00593133"/>
    <w:rsid w:val="00593752"/>
    <w:rsid w:val="005953C4"/>
    <w:rsid w:val="00597522"/>
    <w:rsid w:val="005A0525"/>
    <w:rsid w:val="005A1526"/>
    <w:rsid w:val="005A249E"/>
    <w:rsid w:val="005A26DF"/>
    <w:rsid w:val="005A2A36"/>
    <w:rsid w:val="005A4AD6"/>
    <w:rsid w:val="005A6ABF"/>
    <w:rsid w:val="005A7CA9"/>
    <w:rsid w:val="005A7D74"/>
    <w:rsid w:val="005B4901"/>
    <w:rsid w:val="005B53A1"/>
    <w:rsid w:val="005B5F04"/>
    <w:rsid w:val="005B6AED"/>
    <w:rsid w:val="005B7E18"/>
    <w:rsid w:val="005C1D30"/>
    <w:rsid w:val="005C20C0"/>
    <w:rsid w:val="005C49EC"/>
    <w:rsid w:val="005C5BA2"/>
    <w:rsid w:val="005C7003"/>
    <w:rsid w:val="005D00D8"/>
    <w:rsid w:val="005D1094"/>
    <w:rsid w:val="005D2D9B"/>
    <w:rsid w:val="005D66A8"/>
    <w:rsid w:val="005E5A71"/>
    <w:rsid w:val="005F0700"/>
    <w:rsid w:val="005F1143"/>
    <w:rsid w:val="005F1715"/>
    <w:rsid w:val="005F1C5B"/>
    <w:rsid w:val="005F3463"/>
    <w:rsid w:val="005F3B9C"/>
    <w:rsid w:val="006003B8"/>
    <w:rsid w:val="006038E2"/>
    <w:rsid w:val="0060609D"/>
    <w:rsid w:val="00607E22"/>
    <w:rsid w:val="0061325C"/>
    <w:rsid w:val="00614E81"/>
    <w:rsid w:val="00615F4C"/>
    <w:rsid w:val="006170DA"/>
    <w:rsid w:val="00617B04"/>
    <w:rsid w:val="00621909"/>
    <w:rsid w:val="00621E11"/>
    <w:rsid w:val="006243E6"/>
    <w:rsid w:val="00624A6C"/>
    <w:rsid w:val="006262BD"/>
    <w:rsid w:val="00630210"/>
    <w:rsid w:val="006302D3"/>
    <w:rsid w:val="006335FE"/>
    <w:rsid w:val="0063511F"/>
    <w:rsid w:val="00637E34"/>
    <w:rsid w:val="00637F14"/>
    <w:rsid w:val="006408F2"/>
    <w:rsid w:val="00640AB9"/>
    <w:rsid w:val="00642420"/>
    <w:rsid w:val="00642DAB"/>
    <w:rsid w:val="00650E48"/>
    <w:rsid w:val="006519FD"/>
    <w:rsid w:val="006555D0"/>
    <w:rsid w:val="0065570E"/>
    <w:rsid w:val="00655903"/>
    <w:rsid w:val="00655F1D"/>
    <w:rsid w:val="00655F29"/>
    <w:rsid w:val="0065737D"/>
    <w:rsid w:val="006600DC"/>
    <w:rsid w:val="00660AD3"/>
    <w:rsid w:val="0066193F"/>
    <w:rsid w:val="006625D1"/>
    <w:rsid w:val="0066285E"/>
    <w:rsid w:val="0066405B"/>
    <w:rsid w:val="006659F2"/>
    <w:rsid w:val="006675D7"/>
    <w:rsid w:val="006677A3"/>
    <w:rsid w:val="00667F9F"/>
    <w:rsid w:val="00673194"/>
    <w:rsid w:val="006742D7"/>
    <w:rsid w:val="006757EB"/>
    <w:rsid w:val="00680EBC"/>
    <w:rsid w:val="00680FA5"/>
    <w:rsid w:val="00680FB2"/>
    <w:rsid w:val="00681C62"/>
    <w:rsid w:val="00683714"/>
    <w:rsid w:val="00683D43"/>
    <w:rsid w:val="006854DB"/>
    <w:rsid w:val="00687E51"/>
    <w:rsid w:val="0069182E"/>
    <w:rsid w:val="00691A22"/>
    <w:rsid w:val="00693136"/>
    <w:rsid w:val="006939FA"/>
    <w:rsid w:val="00695548"/>
    <w:rsid w:val="006A32D5"/>
    <w:rsid w:val="006A4610"/>
    <w:rsid w:val="006A51B3"/>
    <w:rsid w:val="006A5656"/>
    <w:rsid w:val="006A73EA"/>
    <w:rsid w:val="006B0923"/>
    <w:rsid w:val="006B0F5E"/>
    <w:rsid w:val="006B2F09"/>
    <w:rsid w:val="006B5912"/>
    <w:rsid w:val="006C28F9"/>
    <w:rsid w:val="006C400B"/>
    <w:rsid w:val="006C4D7E"/>
    <w:rsid w:val="006C5364"/>
    <w:rsid w:val="006D06EB"/>
    <w:rsid w:val="006D15AA"/>
    <w:rsid w:val="006D4C3C"/>
    <w:rsid w:val="006D67A3"/>
    <w:rsid w:val="006D6B75"/>
    <w:rsid w:val="006E0DFA"/>
    <w:rsid w:val="006E2897"/>
    <w:rsid w:val="006E43FB"/>
    <w:rsid w:val="006E49AD"/>
    <w:rsid w:val="006E4C21"/>
    <w:rsid w:val="006E5478"/>
    <w:rsid w:val="006E5507"/>
    <w:rsid w:val="006E6067"/>
    <w:rsid w:val="006E6BE9"/>
    <w:rsid w:val="006E6D3B"/>
    <w:rsid w:val="006F13DF"/>
    <w:rsid w:val="006F36EC"/>
    <w:rsid w:val="006F5774"/>
    <w:rsid w:val="006F659B"/>
    <w:rsid w:val="006F6C97"/>
    <w:rsid w:val="006F7943"/>
    <w:rsid w:val="00702744"/>
    <w:rsid w:val="00703EBC"/>
    <w:rsid w:val="00704D51"/>
    <w:rsid w:val="00707C8A"/>
    <w:rsid w:val="00711CF5"/>
    <w:rsid w:val="007124A0"/>
    <w:rsid w:val="007124C4"/>
    <w:rsid w:val="00712A55"/>
    <w:rsid w:val="00714530"/>
    <w:rsid w:val="007148A0"/>
    <w:rsid w:val="00715307"/>
    <w:rsid w:val="007165C1"/>
    <w:rsid w:val="00716BE8"/>
    <w:rsid w:val="00717276"/>
    <w:rsid w:val="00720B51"/>
    <w:rsid w:val="0072150F"/>
    <w:rsid w:val="00722761"/>
    <w:rsid w:val="00723C14"/>
    <w:rsid w:val="00727C15"/>
    <w:rsid w:val="00732B5E"/>
    <w:rsid w:val="00740078"/>
    <w:rsid w:val="0074523C"/>
    <w:rsid w:val="00746A7B"/>
    <w:rsid w:val="00746B2B"/>
    <w:rsid w:val="00750EB5"/>
    <w:rsid w:val="0075361B"/>
    <w:rsid w:val="0075447E"/>
    <w:rsid w:val="007559A7"/>
    <w:rsid w:val="0076049B"/>
    <w:rsid w:val="00763414"/>
    <w:rsid w:val="0076512C"/>
    <w:rsid w:val="0076519A"/>
    <w:rsid w:val="00765565"/>
    <w:rsid w:val="007658CE"/>
    <w:rsid w:val="007663BF"/>
    <w:rsid w:val="00766E62"/>
    <w:rsid w:val="00771232"/>
    <w:rsid w:val="00775743"/>
    <w:rsid w:val="00776C05"/>
    <w:rsid w:val="00777C3B"/>
    <w:rsid w:val="0078135B"/>
    <w:rsid w:val="00781E17"/>
    <w:rsid w:val="00786F8A"/>
    <w:rsid w:val="0078763D"/>
    <w:rsid w:val="00790870"/>
    <w:rsid w:val="00790BC0"/>
    <w:rsid w:val="00795E52"/>
    <w:rsid w:val="00797202"/>
    <w:rsid w:val="00797654"/>
    <w:rsid w:val="007A0512"/>
    <w:rsid w:val="007A1BA0"/>
    <w:rsid w:val="007A2643"/>
    <w:rsid w:val="007A5906"/>
    <w:rsid w:val="007A7622"/>
    <w:rsid w:val="007B05D5"/>
    <w:rsid w:val="007B15C7"/>
    <w:rsid w:val="007B22BE"/>
    <w:rsid w:val="007B2A4C"/>
    <w:rsid w:val="007B30E8"/>
    <w:rsid w:val="007B5476"/>
    <w:rsid w:val="007B5911"/>
    <w:rsid w:val="007B5D70"/>
    <w:rsid w:val="007C087B"/>
    <w:rsid w:val="007C228E"/>
    <w:rsid w:val="007C2414"/>
    <w:rsid w:val="007C3433"/>
    <w:rsid w:val="007C3669"/>
    <w:rsid w:val="007C4479"/>
    <w:rsid w:val="007C6907"/>
    <w:rsid w:val="007C6F9E"/>
    <w:rsid w:val="007C728D"/>
    <w:rsid w:val="007D402B"/>
    <w:rsid w:val="007D408A"/>
    <w:rsid w:val="007D460C"/>
    <w:rsid w:val="007D60F9"/>
    <w:rsid w:val="007D77DB"/>
    <w:rsid w:val="007E0F2D"/>
    <w:rsid w:val="007E15A1"/>
    <w:rsid w:val="007E43D4"/>
    <w:rsid w:val="007E537D"/>
    <w:rsid w:val="007E6167"/>
    <w:rsid w:val="007E79F6"/>
    <w:rsid w:val="007F08A9"/>
    <w:rsid w:val="007F1B37"/>
    <w:rsid w:val="007F21B3"/>
    <w:rsid w:val="007F2364"/>
    <w:rsid w:val="007F275F"/>
    <w:rsid w:val="007F3A03"/>
    <w:rsid w:val="007F71BF"/>
    <w:rsid w:val="007F7408"/>
    <w:rsid w:val="00802AF8"/>
    <w:rsid w:val="00802F5A"/>
    <w:rsid w:val="00804330"/>
    <w:rsid w:val="00805214"/>
    <w:rsid w:val="008056A6"/>
    <w:rsid w:val="00806318"/>
    <w:rsid w:val="00806E2E"/>
    <w:rsid w:val="00807911"/>
    <w:rsid w:val="00813A90"/>
    <w:rsid w:val="0081449A"/>
    <w:rsid w:val="0081687F"/>
    <w:rsid w:val="00817569"/>
    <w:rsid w:val="008222E9"/>
    <w:rsid w:val="00823923"/>
    <w:rsid w:val="00823C24"/>
    <w:rsid w:val="00824646"/>
    <w:rsid w:val="00825296"/>
    <w:rsid w:val="008266B8"/>
    <w:rsid w:val="00835ABF"/>
    <w:rsid w:val="00835EAA"/>
    <w:rsid w:val="00843131"/>
    <w:rsid w:val="008431FB"/>
    <w:rsid w:val="00843E63"/>
    <w:rsid w:val="00844C68"/>
    <w:rsid w:val="00845B52"/>
    <w:rsid w:val="00846938"/>
    <w:rsid w:val="00846A54"/>
    <w:rsid w:val="008516FE"/>
    <w:rsid w:val="00853A1E"/>
    <w:rsid w:val="00855CA9"/>
    <w:rsid w:val="0085650A"/>
    <w:rsid w:val="00856BA4"/>
    <w:rsid w:val="00856F41"/>
    <w:rsid w:val="008663AF"/>
    <w:rsid w:val="0087080F"/>
    <w:rsid w:val="00870C75"/>
    <w:rsid w:val="0088092B"/>
    <w:rsid w:val="00880AAF"/>
    <w:rsid w:val="008811A2"/>
    <w:rsid w:val="00882AEC"/>
    <w:rsid w:val="00883FA7"/>
    <w:rsid w:val="00893067"/>
    <w:rsid w:val="008938E9"/>
    <w:rsid w:val="00895F57"/>
    <w:rsid w:val="00897CC7"/>
    <w:rsid w:val="008A386E"/>
    <w:rsid w:val="008A4B56"/>
    <w:rsid w:val="008A5057"/>
    <w:rsid w:val="008A7105"/>
    <w:rsid w:val="008B1F1F"/>
    <w:rsid w:val="008B3A0B"/>
    <w:rsid w:val="008B4523"/>
    <w:rsid w:val="008B5BB4"/>
    <w:rsid w:val="008B6339"/>
    <w:rsid w:val="008B69C5"/>
    <w:rsid w:val="008C102A"/>
    <w:rsid w:val="008C54D6"/>
    <w:rsid w:val="008D1343"/>
    <w:rsid w:val="008D1DE1"/>
    <w:rsid w:val="008D455D"/>
    <w:rsid w:val="008D57D4"/>
    <w:rsid w:val="008D75ED"/>
    <w:rsid w:val="008D77F5"/>
    <w:rsid w:val="008E113C"/>
    <w:rsid w:val="008E310A"/>
    <w:rsid w:val="008E315B"/>
    <w:rsid w:val="008E4125"/>
    <w:rsid w:val="008E4D2B"/>
    <w:rsid w:val="008E6377"/>
    <w:rsid w:val="008E66E6"/>
    <w:rsid w:val="008F095B"/>
    <w:rsid w:val="008F117D"/>
    <w:rsid w:val="008F3262"/>
    <w:rsid w:val="008F648F"/>
    <w:rsid w:val="008F780C"/>
    <w:rsid w:val="00902620"/>
    <w:rsid w:val="00903D49"/>
    <w:rsid w:val="00907AF4"/>
    <w:rsid w:val="00907BDA"/>
    <w:rsid w:val="00910DC2"/>
    <w:rsid w:val="0091272C"/>
    <w:rsid w:val="0091353A"/>
    <w:rsid w:val="009142F9"/>
    <w:rsid w:val="00915AC3"/>
    <w:rsid w:val="009174B2"/>
    <w:rsid w:val="009208BD"/>
    <w:rsid w:val="00921783"/>
    <w:rsid w:val="00921980"/>
    <w:rsid w:val="00921F71"/>
    <w:rsid w:val="0092327C"/>
    <w:rsid w:val="00923418"/>
    <w:rsid w:val="00923ED5"/>
    <w:rsid w:val="00923EFD"/>
    <w:rsid w:val="0092757F"/>
    <w:rsid w:val="009276EB"/>
    <w:rsid w:val="0093160C"/>
    <w:rsid w:val="00931B4B"/>
    <w:rsid w:val="00933CCC"/>
    <w:rsid w:val="00934671"/>
    <w:rsid w:val="00934A53"/>
    <w:rsid w:val="00940EF9"/>
    <w:rsid w:val="009437F8"/>
    <w:rsid w:val="00951C3E"/>
    <w:rsid w:val="009539E3"/>
    <w:rsid w:val="0095451E"/>
    <w:rsid w:val="00955FE0"/>
    <w:rsid w:val="0095732B"/>
    <w:rsid w:val="00960D49"/>
    <w:rsid w:val="009637B9"/>
    <w:rsid w:val="00965DCD"/>
    <w:rsid w:val="00967179"/>
    <w:rsid w:val="00967D8A"/>
    <w:rsid w:val="009705E4"/>
    <w:rsid w:val="0097454C"/>
    <w:rsid w:val="00975134"/>
    <w:rsid w:val="009763A8"/>
    <w:rsid w:val="00977430"/>
    <w:rsid w:val="00977B15"/>
    <w:rsid w:val="00986AD7"/>
    <w:rsid w:val="00987F3E"/>
    <w:rsid w:val="00990E51"/>
    <w:rsid w:val="00991F7E"/>
    <w:rsid w:val="009934A0"/>
    <w:rsid w:val="00994AC4"/>
    <w:rsid w:val="00994FD2"/>
    <w:rsid w:val="00995210"/>
    <w:rsid w:val="009958CC"/>
    <w:rsid w:val="009A1672"/>
    <w:rsid w:val="009A493C"/>
    <w:rsid w:val="009A52AA"/>
    <w:rsid w:val="009A574E"/>
    <w:rsid w:val="009A7E82"/>
    <w:rsid w:val="009B2529"/>
    <w:rsid w:val="009B2548"/>
    <w:rsid w:val="009B5E0F"/>
    <w:rsid w:val="009B68AD"/>
    <w:rsid w:val="009D17B2"/>
    <w:rsid w:val="009D1D6E"/>
    <w:rsid w:val="009D2004"/>
    <w:rsid w:val="009D231E"/>
    <w:rsid w:val="009D3E34"/>
    <w:rsid w:val="009D3F40"/>
    <w:rsid w:val="009D41D1"/>
    <w:rsid w:val="009D56A3"/>
    <w:rsid w:val="009D5CB9"/>
    <w:rsid w:val="009D73B8"/>
    <w:rsid w:val="009D76C3"/>
    <w:rsid w:val="009D7935"/>
    <w:rsid w:val="009E13E7"/>
    <w:rsid w:val="009E27C4"/>
    <w:rsid w:val="009E2EF0"/>
    <w:rsid w:val="009E30D8"/>
    <w:rsid w:val="009E3DCA"/>
    <w:rsid w:val="009E44DB"/>
    <w:rsid w:val="009E4923"/>
    <w:rsid w:val="009E7853"/>
    <w:rsid w:val="009F023B"/>
    <w:rsid w:val="009F09AB"/>
    <w:rsid w:val="009F203D"/>
    <w:rsid w:val="009F4CA1"/>
    <w:rsid w:val="009F53BD"/>
    <w:rsid w:val="009F6731"/>
    <w:rsid w:val="009F6953"/>
    <w:rsid w:val="009F6D1D"/>
    <w:rsid w:val="009F77B1"/>
    <w:rsid w:val="00A00038"/>
    <w:rsid w:val="00A00FFC"/>
    <w:rsid w:val="00A04AE0"/>
    <w:rsid w:val="00A053B6"/>
    <w:rsid w:val="00A079EB"/>
    <w:rsid w:val="00A07FD0"/>
    <w:rsid w:val="00A1013E"/>
    <w:rsid w:val="00A13D23"/>
    <w:rsid w:val="00A155EC"/>
    <w:rsid w:val="00A17048"/>
    <w:rsid w:val="00A17C88"/>
    <w:rsid w:val="00A2036B"/>
    <w:rsid w:val="00A203D3"/>
    <w:rsid w:val="00A22DDA"/>
    <w:rsid w:val="00A24529"/>
    <w:rsid w:val="00A24B4B"/>
    <w:rsid w:val="00A2750D"/>
    <w:rsid w:val="00A27B81"/>
    <w:rsid w:val="00A31334"/>
    <w:rsid w:val="00A321A9"/>
    <w:rsid w:val="00A34088"/>
    <w:rsid w:val="00A34F9D"/>
    <w:rsid w:val="00A35586"/>
    <w:rsid w:val="00A37B81"/>
    <w:rsid w:val="00A37D0C"/>
    <w:rsid w:val="00A45433"/>
    <w:rsid w:val="00A459BB"/>
    <w:rsid w:val="00A45C73"/>
    <w:rsid w:val="00A47510"/>
    <w:rsid w:val="00A47BB2"/>
    <w:rsid w:val="00A54979"/>
    <w:rsid w:val="00A56BDF"/>
    <w:rsid w:val="00A575C8"/>
    <w:rsid w:val="00A60B6D"/>
    <w:rsid w:val="00A67785"/>
    <w:rsid w:val="00A70866"/>
    <w:rsid w:val="00A7144C"/>
    <w:rsid w:val="00A75CA6"/>
    <w:rsid w:val="00A76CB9"/>
    <w:rsid w:val="00A874D1"/>
    <w:rsid w:val="00A9297B"/>
    <w:rsid w:val="00A951BF"/>
    <w:rsid w:val="00AA1240"/>
    <w:rsid w:val="00AA19F6"/>
    <w:rsid w:val="00AA446C"/>
    <w:rsid w:val="00AA471C"/>
    <w:rsid w:val="00AA5005"/>
    <w:rsid w:val="00AA575D"/>
    <w:rsid w:val="00AA6656"/>
    <w:rsid w:val="00AB05F0"/>
    <w:rsid w:val="00AB0CAB"/>
    <w:rsid w:val="00AB1524"/>
    <w:rsid w:val="00AB19CD"/>
    <w:rsid w:val="00AB1B13"/>
    <w:rsid w:val="00AB2A72"/>
    <w:rsid w:val="00AB35D8"/>
    <w:rsid w:val="00AB36E7"/>
    <w:rsid w:val="00AB5246"/>
    <w:rsid w:val="00AB6060"/>
    <w:rsid w:val="00AB7D65"/>
    <w:rsid w:val="00AC11E4"/>
    <w:rsid w:val="00AC145B"/>
    <w:rsid w:val="00AC52A2"/>
    <w:rsid w:val="00AC55C2"/>
    <w:rsid w:val="00AC5C7D"/>
    <w:rsid w:val="00AC7965"/>
    <w:rsid w:val="00AD2419"/>
    <w:rsid w:val="00AD33A0"/>
    <w:rsid w:val="00AD464E"/>
    <w:rsid w:val="00AE2D17"/>
    <w:rsid w:val="00AE301E"/>
    <w:rsid w:val="00AF2BE0"/>
    <w:rsid w:val="00AF35F0"/>
    <w:rsid w:val="00AF43F4"/>
    <w:rsid w:val="00AF4AC1"/>
    <w:rsid w:val="00B00669"/>
    <w:rsid w:val="00B033A2"/>
    <w:rsid w:val="00B07794"/>
    <w:rsid w:val="00B12066"/>
    <w:rsid w:val="00B12A5D"/>
    <w:rsid w:val="00B13352"/>
    <w:rsid w:val="00B154DB"/>
    <w:rsid w:val="00B15906"/>
    <w:rsid w:val="00B20320"/>
    <w:rsid w:val="00B217D2"/>
    <w:rsid w:val="00B22789"/>
    <w:rsid w:val="00B22B13"/>
    <w:rsid w:val="00B2392C"/>
    <w:rsid w:val="00B23ED9"/>
    <w:rsid w:val="00B245AD"/>
    <w:rsid w:val="00B32AB1"/>
    <w:rsid w:val="00B3762D"/>
    <w:rsid w:val="00B37A77"/>
    <w:rsid w:val="00B37FA6"/>
    <w:rsid w:val="00B43275"/>
    <w:rsid w:val="00B44531"/>
    <w:rsid w:val="00B44684"/>
    <w:rsid w:val="00B47946"/>
    <w:rsid w:val="00B5226F"/>
    <w:rsid w:val="00B52E69"/>
    <w:rsid w:val="00B53FBE"/>
    <w:rsid w:val="00B54021"/>
    <w:rsid w:val="00B545DA"/>
    <w:rsid w:val="00B55878"/>
    <w:rsid w:val="00B5727F"/>
    <w:rsid w:val="00B613CC"/>
    <w:rsid w:val="00B614AC"/>
    <w:rsid w:val="00B617B8"/>
    <w:rsid w:val="00B61CE5"/>
    <w:rsid w:val="00B62088"/>
    <w:rsid w:val="00B62DCF"/>
    <w:rsid w:val="00B6319A"/>
    <w:rsid w:val="00B670C2"/>
    <w:rsid w:val="00B67545"/>
    <w:rsid w:val="00B6764C"/>
    <w:rsid w:val="00B708B8"/>
    <w:rsid w:val="00B721B1"/>
    <w:rsid w:val="00B72510"/>
    <w:rsid w:val="00B73924"/>
    <w:rsid w:val="00B73BEE"/>
    <w:rsid w:val="00B741E8"/>
    <w:rsid w:val="00B7522B"/>
    <w:rsid w:val="00B820B8"/>
    <w:rsid w:val="00B8654E"/>
    <w:rsid w:val="00B91044"/>
    <w:rsid w:val="00B93219"/>
    <w:rsid w:val="00B93CC5"/>
    <w:rsid w:val="00B94959"/>
    <w:rsid w:val="00B95FD5"/>
    <w:rsid w:val="00B96632"/>
    <w:rsid w:val="00BA4FFA"/>
    <w:rsid w:val="00BA5BF9"/>
    <w:rsid w:val="00BA7FBC"/>
    <w:rsid w:val="00BB074F"/>
    <w:rsid w:val="00BB1741"/>
    <w:rsid w:val="00BB392C"/>
    <w:rsid w:val="00BB3F96"/>
    <w:rsid w:val="00BB5389"/>
    <w:rsid w:val="00BB5D73"/>
    <w:rsid w:val="00BB6A60"/>
    <w:rsid w:val="00BB70CE"/>
    <w:rsid w:val="00BC137E"/>
    <w:rsid w:val="00BC27A7"/>
    <w:rsid w:val="00BC309B"/>
    <w:rsid w:val="00BC3D21"/>
    <w:rsid w:val="00BC4160"/>
    <w:rsid w:val="00BC495B"/>
    <w:rsid w:val="00BC785E"/>
    <w:rsid w:val="00BD3022"/>
    <w:rsid w:val="00BD309F"/>
    <w:rsid w:val="00BD3A0E"/>
    <w:rsid w:val="00BD5C5D"/>
    <w:rsid w:val="00BE1D01"/>
    <w:rsid w:val="00BE2CA7"/>
    <w:rsid w:val="00BE5253"/>
    <w:rsid w:val="00BE54F8"/>
    <w:rsid w:val="00BE55B8"/>
    <w:rsid w:val="00BF2B49"/>
    <w:rsid w:val="00BF5237"/>
    <w:rsid w:val="00BF56F6"/>
    <w:rsid w:val="00C03600"/>
    <w:rsid w:val="00C05035"/>
    <w:rsid w:val="00C06017"/>
    <w:rsid w:val="00C138FE"/>
    <w:rsid w:val="00C1408C"/>
    <w:rsid w:val="00C175E9"/>
    <w:rsid w:val="00C20498"/>
    <w:rsid w:val="00C206C7"/>
    <w:rsid w:val="00C21B99"/>
    <w:rsid w:val="00C21C32"/>
    <w:rsid w:val="00C2247F"/>
    <w:rsid w:val="00C225E3"/>
    <w:rsid w:val="00C2278F"/>
    <w:rsid w:val="00C26FC0"/>
    <w:rsid w:val="00C31879"/>
    <w:rsid w:val="00C31C76"/>
    <w:rsid w:val="00C3531F"/>
    <w:rsid w:val="00C41370"/>
    <w:rsid w:val="00C44259"/>
    <w:rsid w:val="00C479E0"/>
    <w:rsid w:val="00C52004"/>
    <w:rsid w:val="00C52009"/>
    <w:rsid w:val="00C52394"/>
    <w:rsid w:val="00C52EE2"/>
    <w:rsid w:val="00C53735"/>
    <w:rsid w:val="00C578E1"/>
    <w:rsid w:val="00C60345"/>
    <w:rsid w:val="00C61729"/>
    <w:rsid w:val="00C6233B"/>
    <w:rsid w:val="00C64170"/>
    <w:rsid w:val="00C64C93"/>
    <w:rsid w:val="00C64EC3"/>
    <w:rsid w:val="00C657D4"/>
    <w:rsid w:val="00C65B4B"/>
    <w:rsid w:val="00C730D9"/>
    <w:rsid w:val="00C75F30"/>
    <w:rsid w:val="00C8058A"/>
    <w:rsid w:val="00C80655"/>
    <w:rsid w:val="00C82181"/>
    <w:rsid w:val="00C821C5"/>
    <w:rsid w:val="00C8381F"/>
    <w:rsid w:val="00C8545D"/>
    <w:rsid w:val="00C87570"/>
    <w:rsid w:val="00C907E1"/>
    <w:rsid w:val="00C91B53"/>
    <w:rsid w:val="00C91CCA"/>
    <w:rsid w:val="00C94DF6"/>
    <w:rsid w:val="00C952C4"/>
    <w:rsid w:val="00C97A71"/>
    <w:rsid w:val="00CA08A3"/>
    <w:rsid w:val="00CA3DA3"/>
    <w:rsid w:val="00CA45A4"/>
    <w:rsid w:val="00CA4690"/>
    <w:rsid w:val="00CA47A3"/>
    <w:rsid w:val="00CA61B6"/>
    <w:rsid w:val="00CA71D7"/>
    <w:rsid w:val="00CB0203"/>
    <w:rsid w:val="00CB0AD7"/>
    <w:rsid w:val="00CB108C"/>
    <w:rsid w:val="00CB2127"/>
    <w:rsid w:val="00CB674E"/>
    <w:rsid w:val="00CC23B4"/>
    <w:rsid w:val="00CC3C1B"/>
    <w:rsid w:val="00CC4552"/>
    <w:rsid w:val="00CC4C5A"/>
    <w:rsid w:val="00CC5DFE"/>
    <w:rsid w:val="00CC63AA"/>
    <w:rsid w:val="00CC7FD7"/>
    <w:rsid w:val="00CD24D5"/>
    <w:rsid w:val="00CD4791"/>
    <w:rsid w:val="00CD5FD4"/>
    <w:rsid w:val="00CD64DA"/>
    <w:rsid w:val="00CE246F"/>
    <w:rsid w:val="00CE2A9B"/>
    <w:rsid w:val="00CE3487"/>
    <w:rsid w:val="00CE41E4"/>
    <w:rsid w:val="00CE78F8"/>
    <w:rsid w:val="00CE7C19"/>
    <w:rsid w:val="00CE7CF3"/>
    <w:rsid w:val="00CF0687"/>
    <w:rsid w:val="00CF09E7"/>
    <w:rsid w:val="00CF0B74"/>
    <w:rsid w:val="00CF36E8"/>
    <w:rsid w:val="00CF36F4"/>
    <w:rsid w:val="00CF3F89"/>
    <w:rsid w:val="00CF4452"/>
    <w:rsid w:val="00CF4C82"/>
    <w:rsid w:val="00CF734C"/>
    <w:rsid w:val="00D02C26"/>
    <w:rsid w:val="00D02E6D"/>
    <w:rsid w:val="00D03C73"/>
    <w:rsid w:val="00D04214"/>
    <w:rsid w:val="00D07D17"/>
    <w:rsid w:val="00D1271A"/>
    <w:rsid w:val="00D12995"/>
    <w:rsid w:val="00D13114"/>
    <w:rsid w:val="00D14829"/>
    <w:rsid w:val="00D14F17"/>
    <w:rsid w:val="00D15104"/>
    <w:rsid w:val="00D15350"/>
    <w:rsid w:val="00D1684C"/>
    <w:rsid w:val="00D2014E"/>
    <w:rsid w:val="00D20435"/>
    <w:rsid w:val="00D233A7"/>
    <w:rsid w:val="00D23643"/>
    <w:rsid w:val="00D247BF"/>
    <w:rsid w:val="00D24CBC"/>
    <w:rsid w:val="00D25243"/>
    <w:rsid w:val="00D26CC7"/>
    <w:rsid w:val="00D30815"/>
    <w:rsid w:val="00D31C72"/>
    <w:rsid w:val="00D3301E"/>
    <w:rsid w:val="00D337F5"/>
    <w:rsid w:val="00D34B1F"/>
    <w:rsid w:val="00D3677C"/>
    <w:rsid w:val="00D401C0"/>
    <w:rsid w:val="00D427D8"/>
    <w:rsid w:val="00D4289F"/>
    <w:rsid w:val="00D44208"/>
    <w:rsid w:val="00D454EB"/>
    <w:rsid w:val="00D45F6B"/>
    <w:rsid w:val="00D46B66"/>
    <w:rsid w:val="00D4736C"/>
    <w:rsid w:val="00D47C8C"/>
    <w:rsid w:val="00D50B74"/>
    <w:rsid w:val="00D51D46"/>
    <w:rsid w:val="00D56AD5"/>
    <w:rsid w:val="00D5745A"/>
    <w:rsid w:val="00D57EED"/>
    <w:rsid w:val="00D60B81"/>
    <w:rsid w:val="00D621AE"/>
    <w:rsid w:val="00D624D7"/>
    <w:rsid w:val="00D63BEE"/>
    <w:rsid w:val="00D66D0F"/>
    <w:rsid w:val="00D67D28"/>
    <w:rsid w:val="00D717EE"/>
    <w:rsid w:val="00D7398D"/>
    <w:rsid w:val="00D74B69"/>
    <w:rsid w:val="00D77092"/>
    <w:rsid w:val="00D77FB6"/>
    <w:rsid w:val="00D80164"/>
    <w:rsid w:val="00D81EEB"/>
    <w:rsid w:val="00D823D2"/>
    <w:rsid w:val="00D83219"/>
    <w:rsid w:val="00D83FBC"/>
    <w:rsid w:val="00D84518"/>
    <w:rsid w:val="00D84CA7"/>
    <w:rsid w:val="00D85A8E"/>
    <w:rsid w:val="00D86444"/>
    <w:rsid w:val="00D8719B"/>
    <w:rsid w:val="00D87EAB"/>
    <w:rsid w:val="00D9049F"/>
    <w:rsid w:val="00D905AF"/>
    <w:rsid w:val="00D90BFF"/>
    <w:rsid w:val="00D92C24"/>
    <w:rsid w:val="00D93B35"/>
    <w:rsid w:val="00D95B62"/>
    <w:rsid w:val="00D97AAB"/>
    <w:rsid w:val="00DA1638"/>
    <w:rsid w:val="00DA1D62"/>
    <w:rsid w:val="00DA3788"/>
    <w:rsid w:val="00DA458E"/>
    <w:rsid w:val="00DA5659"/>
    <w:rsid w:val="00DA5954"/>
    <w:rsid w:val="00DA6410"/>
    <w:rsid w:val="00DA682E"/>
    <w:rsid w:val="00DA6DCC"/>
    <w:rsid w:val="00DA71F0"/>
    <w:rsid w:val="00DB1C7E"/>
    <w:rsid w:val="00DB1F2D"/>
    <w:rsid w:val="00DB1F87"/>
    <w:rsid w:val="00DB2729"/>
    <w:rsid w:val="00DB537E"/>
    <w:rsid w:val="00DB6316"/>
    <w:rsid w:val="00DB6B9E"/>
    <w:rsid w:val="00DC00A9"/>
    <w:rsid w:val="00DC0300"/>
    <w:rsid w:val="00DC1DA8"/>
    <w:rsid w:val="00DC5D6A"/>
    <w:rsid w:val="00DC5E3C"/>
    <w:rsid w:val="00DC69C6"/>
    <w:rsid w:val="00DD0300"/>
    <w:rsid w:val="00DD11F3"/>
    <w:rsid w:val="00DD57CE"/>
    <w:rsid w:val="00DD5A35"/>
    <w:rsid w:val="00DD7C8B"/>
    <w:rsid w:val="00DE097C"/>
    <w:rsid w:val="00DF08D8"/>
    <w:rsid w:val="00DF12E6"/>
    <w:rsid w:val="00DF3BBD"/>
    <w:rsid w:val="00DF4FAD"/>
    <w:rsid w:val="00DF588B"/>
    <w:rsid w:val="00DF63C5"/>
    <w:rsid w:val="00E03CAC"/>
    <w:rsid w:val="00E05B6F"/>
    <w:rsid w:val="00E0663E"/>
    <w:rsid w:val="00E072F5"/>
    <w:rsid w:val="00E07736"/>
    <w:rsid w:val="00E07BC2"/>
    <w:rsid w:val="00E07C2B"/>
    <w:rsid w:val="00E07FA5"/>
    <w:rsid w:val="00E15811"/>
    <w:rsid w:val="00E178BE"/>
    <w:rsid w:val="00E21AC3"/>
    <w:rsid w:val="00E21CF9"/>
    <w:rsid w:val="00E23098"/>
    <w:rsid w:val="00E23375"/>
    <w:rsid w:val="00E2471B"/>
    <w:rsid w:val="00E25671"/>
    <w:rsid w:val="00E272FF"/>
    <w:rsid w:val="00E30951"/>
    <w:rsid w:val="00E313E9"/>
    <w:rsid w:val="00E3150E"/>
    <w:rsid w:val="00E32056"/>
    <w:rsid w:val="00E3315E"/>
    <w:rsid w:val="00E34863"/>
    <w:rsid w:val="00E349AB"/>
    <w:rsid w:val="00E35A3C"/>
    <w:rsid w:val="00E37716"/>
    <w:rsid w:val="00E47E38"/>
    <w:rsid w:val="00E50A7D"/>
    <w:rsid w:val="00E51765"/>
    <w:rsid w:val="00E52970"/>
    <w:rsid w:val="00E52B3C"/>
    <w:rsid w:val="00E5381C"/>
    <w:rsid w:val="00E56D88"/>
    <w:rsid w:val="00E572A8"/>
    <w:rsid w:val="00E572C4"/>
    <w:rsid w:val="00E60AD8"/>
    <w:rsid w:val="00E6302A"/>
    <w:rsid w:val="00E63647"/>
    <w:rsid w:val="00E652EA"/>
    <w:rsid w:val="00E7778C"/>
    <w:rsid w:val="00E80D11"/>
    <w:rsid w:val="00E80EBB"/>
    <w:rsid w:val="00E83F04"/>
    <w:rsid w:val="00E840FE"/>
    <w:rsid w:val="00E858A2"/>
    <w:rsid w:val="00E858FA"/>
    <w:rsid w:val="00E8592F"/>
    <w:rsid w:val="00E87A20"/>
    <w:rsid w:val="00E91C35"/>
    <w:rsid w:val="00E92488"/>
    <w:rsid w:val="00E92C99"/>
    <w:rsid w:val="00E938FA"/>
    <w:rsid w:val="00E95A1E"/>
    <w:rsid w:val="00EA1E3B"/>
    <w:rsid w:val="00EA2E5C"/>
    <w:rsid w:val="00EA5159"/>
    <w:rsid w:val="00EA5F70"/>
    <w:rsid w:val="00EB056D"/>
    <w:rsid w:val="00EB0EA0"/>
    <w:rsid w:val="00EB257A"/>
    <w:rsid w:val="00EB2960"/>
    <w:rsid w:val="00EB3AFF"/>
    <w:rsid w:val="00EB673A"/>
    <w:rsid w:val="00EB6D1D"/>
    <w:rsid w:val="00EB708A"/>
    <w:rsid w:val="00EB743E"/>
    <w:rsid w:val="00EB7D16"/>
    <w:rsid w:val="00EC00C0"/>
    <w:rsid w:val="00EC061F"/>
    <w:rsid w:val="00EC2F32"/>
    <w:rsid w:val="00EC3120"/>
    <w:rsid w:val="00EC4168"/>
    <w:rsid w:val="00EC54EC"/>
    <w:rsid w:val="00ED529C"/>
    <w:rsid w:val="00ED552D"/>
    <w:rsid w:val="00ED749A"/>
    <w:rsid w:val="00EE1A21"/>
    <w:rsid w:val="00EE33EF"/>
    <w:rsid w:val="00EE3819"/>
    <w:rsid w:val="00EE404D"/>
    <w:rsid w:val="00EE53AB"/>
    <w:rsid w:val="00EE64E8"/>
    <w:rsid w:val="00EF08E0"/>
    <w:rsid w:val="00EF2C36"/>
    <w:rsid w:val="00EF2C5D"/>
    <w:rsid w:val="00EF481F"/>
    <w:rsid w:val="00EF620B"/>
    <w:rsid w:val="00F0003B"/>
    <w:rsid w:val="00F01C1A"/>
    <w:rsid w:val="00F05444"/>
    <w:rsid w:val="00F05691"/>
    <w:rsid w:val="00F059F5"/>
    <w:rsid w:val="00F0640B"/>
    <w:rsid w:val="00F07A60"/>
    <w:rsid w:val="00F122B5"/>
    <w:rsid w:val="00F12F1E"/>
    <w:rsid w:val="00F13017"/>
    <w:rsid w:val="00F138E5"/>
    <w:rsid w:val="00F15194"/>
    <w:rsid w:val="00F15F1E"/>
    <w:rsid w:val="00F20A79"/>
    <w:rsid w:val="00F24B2F"/>
    <w:rsid w:val="00F24E5D"/>
    <w:rsid w:val="00F25E2C"/>
    <w:rsid w:val="00F26037"/>
    <w:rsid w:val="00F26866"/>
    <w:rsid w:val="00F3047D"/>
    <w:rsid w:val="00F33A82"/>
    <w:rsid w:val="00F33F6C"/>
    <w:rsid w:val="00F35514"/>
    <w:rsid w:val="00F3615F"/>
    <w:rsid w:val="00F41563"/>
    <w:rsid w:val="00F4170E"/>
    <w:rsid w:val="00F42775"/>
    <w:rsid w:val="00F42A4D"/>
    <w:rsid w:val="00F43E9A"/>
    <w:rsid w:val="00F50BF5"/>
    <w:rsid w:val="00F50D00"/>
    <w:rsid w:val="00F53A37"/>
    <w:rsid w:val="00F54D35"/>
    <w:rsid w:val="00F57CC0"/>
    <w:rsid w:val="00F62CAF"/>
    <w:rsid w:val="00F64822"/>
    <w:rsid w:val="00F65559"/>
    <w:rsid w:val="00F65F47"/>
    <w:rsid w:val="00F66542"/>
    <w:rsid w:val="00F67197"/>
    <w:rsid w:val="00F67ABB"/>
    <w:rsid w:val="00F70490"/>
    <w:rsid w:val="00F7118B"/>
    <w:rsid w:val="00F726C0"/>
    <w:rsid w:val="00F7357C"/>
    <w:rsid w:val="00F73A57"/>
    <w:rsid w:val="00F7516B"/>
    <w:rsid w:val="00F802BC"/>
    <w:rsid w:val="00F843F9"/>
    <w:rsid w:val="00F84C8C"/>
    <w:rsid w:val="00F85DAE"/>
    <w:rsid w:val="00F86F6D"/>
    <w:rsid w:val="00F87377"/>
    <w:rsid w:val="00F90C0D"/>
    <w:rsid w:val="00F91723"/>
    <w:rsid w:val="00F95760"/>
    <w:rsid w:val="00F95C62"/>
    <w:rsid w:val="00F96434"/>
    <w:rsid w:val="00FA05D8"/>
    <w:rsid w:val="00FA14B5"/>
    <w:rsid w:val="00FA218D"/>
    <w:rsid w:val="00FA3B38"/>
    <w:rsid w:val="00FA56A0"/>
    <w:rsid w:val="00FB05B8"/>
    <w:rsid w:val="00FB1B28"/>
    <w:rsid w:val="00FB1E9C"/>
    <w:rsid w:val="00FB2FF5"/>
    <w:rsid w:val="00FB6514"/>
    <w:rsid w:val="00FB68FC"/>
    <w:rsid w:val="00FB6CC4"/>
    <w:rsid w:val="00FC0FBD"/>
    <w:rsid w:val="00FC1CBF"/>
    <w:rsid w:val="00FC526C"/>
    <w:rsid w:val="00FC7429"/>
    <w:rsid w:val="00FD3D8D"/>
    <w:rsid w:val="00FD501D"/>
    <w:rsid w:val="00FD5317"/>
    <w:rsid w:val="00FD5AD0"/>
    <w:rsid w:val="00FD658C"/>
    <w:rsid w:val="00FF0E82"/>
    <w:rsid w:val="00FF526E"/>
    <w:rsid w:val="00FF720E"/>
    <w:rsid w:val="00FF7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EA0486"/>
  <w15:docId w15:val="{58B14521-5058-4781-8B34-21B6B427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46C"/>
    <w:rPr>
      <w:sz w:val="22"/>
    </w:rPr>
  </w:style>
  <w:style w:type="paragraph" w:styleId="Antrat1">
    <w:name w:val="heading 1"/>
    <w:basedOn w:val="prastasis"/>
    <w:next w:val="prastasis"/>
    <w:link w:val="Antrat1Diagrama"/>
    <w:uiPriority w:val="99"/>
    <w:qFormat/>
    <w:rsid w:val="00E87A20"/>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6D06EB"/>
    <w:pPr>
      <w:keepNext/>
      <w:tabs>
        <w:tab w:val="left" w:pos="540"/>
      </w:tabs>
      <w:outlineLvl w:val="1"/>
    </w:pPr>
    <w:rPr>
      <w:rFonts w:ascii="Cambria" w:hAnsi="Cambria"/>
      <w:b/>
      <w:i/>
      <w:snapToGrid w:val="0"/>
      <w:sz w:val="28"/>
      <w:lang w:val="en-GB"/>
    </w:rPr>
  </w:style>
  <w:style w:type="paragraph" w:styleId="Antrat3">
    <w:name w:val="heading 3"/>
    <w:basedOn w:val="prastasis"/>
    <w:next w:val="prastasis"/>
    <w:link w:val="Antrat3Diagrama"/>
    <w:uiPriority w:val="99"/>
    <w:qFormat/>
    <w:rsid w:val="00E87A20"/>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FB6CC4"/>
    <w:pPr>
      <w:keepNext/>
      <w:jc w:val="both"/>
      <w:outlineLvl w:val="3"/>
    </w:pPr>
    <w:rPr>
      <w:u w:val="single"/>
    </w:rPr>
  </w:style>
  <w:style w:type="paragraph" w:styleId="Antrat5">
    <w:name w:val="heading 5"/>
    <w:basedOn w:val="prastasis"/>
    <w:next w:val="prastasis"/>
    <w:link w:val="Antrat5Diagrama"/>
    <w:uiPriority w:val="99"/>
    <w:qFormat/>
    <w:rsid w:val="00FB6CC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71E1A"/>
    <w:pPr>
      <w:spacing w:before="240" w:after="60"/>
      <w:outlineLvl w:val="5"/>
    </w:pPr>
    <w:rPr>
      <w:b/>
      <w:bCs/>
      <w:szCs w:val="22"/>
    </w:rPr>
  </w:style>
  <w:style w:type="paragraph" w:styleId="Antrat7">
    <w:name w:val="heading 7"/>
    <w:basedOn w:val="prastasis"/>
    <w:next w:val="prastasis"/>
    <w:link w:val="Antrat7Diagrama"/>
    <w:uiPriority w:val="99"/>
    <w:qFormat/>
    <w:rsid w:val="00491086"/>
    <w:pPr>
      <w:keepNext/>
      <w:tabs>
        <w:tab w:val="left" w:pos="-720"/>
        <w:tab w:val="left" w:pos="567"/>
        <w:tab w:val="left" w:pos="4536"/>
      </w:tabs>
      <w:suppressAutoHyphens/>
      <w:spacing w:line="260" w:lineRule="exact"/>
      <w:jc w:val="both"/>
      <w:outlineLvl w:val="6"/>
    </w:pPr>
    <w:rPr>
      <w:i/>
      <w:lang w:val="cs-CZ"/>
    </w:rPr>
  </w:style>
  <w:style w:type="paragraph" w:styleId="Antrat8">
    <w:name w:val="heading 8"/>
    <w:basedOn w:val="prastasis"/>
    <w:next w:val="prastasis"/>
    <w:link w:val="Antrat8Diagrama"/>
    <w:uiPriority w:val="99"/>
    <w:qFormat/>
    <w:rsid w:val="00271E1A"/>
    <w:pPr>
      <w:spacing w:before="240" w:after="60"/>
      <w:outlineLvl w:val="7"/>
    </w:pPr>
    <w:rPr>
      <w:i/>
      <w:iCs/>
      <w:sz w:val="24"/>
      <w:szCs w:val="24"/>
    </w:rPr>
  </w:style>
  <w:style w:type="paragraph" w:styleId="Antrat9">
    <w:name w:val="heading 9"/>
    <w:basedOn w:val="prastasis"/>
    <w:next w:val="prastasis"/>
    <w:link w:val="Antrat9Diagrama"/>
    <w:uiPriority w:val="99"/>
    <w:qFormat/>
    <w:rsid w:val="00491086"/>
    <w:pPr>
      <w:keepNext/>
      <w:tabs>
        <w:tab w:val="left" w:pos="567"/>
      </w:tabs>
      <w:spacing w:line="260" w:lineRule="exac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FB6CC4"/>
    <w:pPr>
      <w:spacing w:after="120"/>
    </w:pPr>
  </w:style>
  <w:style w:type="character" w:customStyle="1" w:styleId="PagrindinistekstasDiagrama">
    <w:name w:val="Pagrindinis tekstas Diagrama"/>
    <w:link w:val="Pagrindinistekstas"/>
    <w:uiPriority w:val="99"/>
    <w:rsid w:val="0015687C"/>
    <w:rPr>
      <w:sz w:val="22"/>
      <w:lang w:val="lt-LT" w:eastAsia="lt-LT" w:bidi="ar-SA"/>
    </w:rPr>
  </w:style>
  <w:style w:type="paragraph" w:styleId="Porat">
    <w:name w:val="footer"/>
    <w:basedOn w:val="prastasis"/>
    <w:link w:val="PoratDiagrama"/>
    <w:uiPriority w:val="99"/>
    <w:rsid w:val="00FB6CC4"/>
    <w:pPr>
      <w:tabs>
        <w:tab w:val="center" w:pos="4153"/>
        <w:tab w:val="right" w:pos="8306"/>
      </w:tabs>
    </w:pPr>
  </w:style>
  <w:style w:type="character" w:styleId="Puslapionumeris">
    <w:name w:val="page number"/>
    <w:basedOn w:val="Numatytasispastraiposriftas"/>
    <w:uiPriority w:val="99"/>
    <w:rsid w:val="00FB6CC4"/>
  </w:style>
  <w:style w:type="paragraph" w:styleId="Pavadinimas">
    <w:name w:val="Title"/>
    <w:basedOn w:val="prastasis"/>
    <w:link w:val="PavadinimasDiagrama"/>
    <w:autoRedefine/>
    <w:uiPriority w:val="99"/>
    <w:qFormat/>
    <w:rsid w:val="00FB6CC4"/>
    <w:pPr>
      <w:jc w:val="center"/>
      <w:outlineLvl w:val="0"/>
    </w:pPr>
    <w:rPr>
      <w:b/>
      <w:kern w:val="28"/>
    </w:rPr>
  </w:style>
  <w:style w:type="character" w:styleId="Hipersaitas">
    <w:name w:val="Hyperlink"/>
    <w:uiPriority w:val="99"/>
    <w:rsid w:val="00FB6CC4"/>
    <w:rPr>
      <w:color w:val="0000FF"/>
      <w:u w:val="single"/>
    </w:rPr>
  </w:style>
  <w:style w:type="paragraph" w:styleId="Paantrat">
    <w:name w:val="Subtitle"/>
    <w:basedOn w:val="prastasis"/>
    <w:link w:val="PaantratDiagrama"/>
    <w:qFormat/>
    <w:rsid w:val="00FB6CC4"/>
    <w:pPr>
      <w:autoSpaceDE w:val="0"/>
      <w:autoSpaceDN w:val="0"/>
      <w:adjustRightInd w:val="0"/>
      <w:jc w:val="center"/>
    </w:pPr>
    <w:rPr>
      <w:rFonts w:ascii="TimesNewRoman,Bold" w:hAnsi="TimesNewRoman,Bold"/>
      <w:b/>
      <w:color w:val="000000"/>
    </w:rPr>
  </w:style>
  <w:style w:type="character" w:styleId="Perirtashipersaitas">
    <w:name w:val="FollowedHyperlink"/>
    <w:uiPriority w:val="99"/>
    <w:rsid w:val="00FB6CC4"/>
    <w:rPr>
      <w:color w:val="800080"/>
      <w:u w:val="single"/>
    </w:rPr>
  </w:style>
  <w:style w:type="paragraph" w:styleId="Antrats">
    <w:name w:val="header"/>
    <w:basedOn w:val="prastasis"/>
    <w:link w:val="AntratsDiagrama"/>
    <w:uiPriority w:val="99"/>
    <w:rsid w:val="00FB6CC4"/>
    <w:pPr>
      <w:tabs>
        <w:tab w:val="center" w:pos="4153"/>
        <w:tab w:val="right" w:pos="8306"/>
      </w:tabs>
    </w:pPr>
    <w:rPr>
      <w:sz w:val="24"/>
      <w:szCs w:val="24"/>
    </w:rPr>
  </w:style>
  <w:style w:type="paragraph" w:customStyle="1" w:styleId="BT-EMEASMCA">
    <w:name w:val="BT- EMEA_SMCA"/>
    <w:basedOn w:val="prastasis"/>
    <w:rsid w:val="00FB6CC4"/>
    <w:pPr>
      <w:tabs>
        <w:tab w:val="num" w:pos="567"/>
      </w:tabs>
      <w:ind w:left="567" w:hanging="567"/>
    </w:pPr>
  </w:style>
  <w:style w:type="paragraph" w:customStyle="1" w:styleId="PI-3EMEASMCA">
    <w:name w:val="PI-3 EMEA_SMCA"/>
    <w:basedOn w:val="prastasis"/>
    <w:autoRedefine/>
    <w:rsid w:val="00FB6CC4"/>
    <w:pPr>
      <w:spacing w:line="220" w:lineRule="exact"/>
    </w:pPr>
    <w:rPr>
      <w:b/>
      <w:bCs/>
      <w:szCs w:val="22"/>
      <w:lang w:eastAsia="en-US"/>
    </w:rPr>
  </w:style>
  <w:style w:type="paragraph" w:customStyle="1" w:styleId="PI-1EMEASMCA">
    <w:name w:val="PI-1 EMEA_SMCA"/>
    <w:basedOn w:val="Antrat2"/>
    <w:autoRedefine/>
    <w:rsid w:val="00FB6CC4"/>
    <w:pPr>
      <w:tabs>
        <w:tab w:val="left" w:pos="567"/>
      </w:tabs>
    </w:pPr>
    <w:rPr>
      <w:szCs w:val="22"/>
      <w:lang w:eastAsia="en-US"/>
    </w:rPr>
  </w:style>
  <w:style w:type="paragraph" w:customStyle="1" w:styleId="PI-2EMEASMCA">
    <w:name w:val="PI-2 EMEA_SMCA"/>
    <w:basedOn w:val="prastasis"/>
    <w:autoRedefine/>
    <w:rsid w:val="00FB6CC4"/>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BTEMEASMCA"/>
    <w:uiPriority w:val="99"/>
    <w:rsid w:val="00AA471C"/>
    <w:rPr>
      <w:sz w:val="22"/>
      <w:lang w:eastAsia="en-US"/>
    </w:rPr>
  </w:style>
  <w:style w:type="paragraph" w:customStyle="1" w:styleId="TTEMEASMCA">
    <w:name w:val="TT EMEA_SMCA"/>
    <w:basedOn w:val="prastasis"/>
    <w:link w:val="TTEMEASMCAChar"/>
    <w:autoRedefine/>
    <w:rsid w:val="00FB6CC4"/>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lang w:val="en-US" w:eastAsia="en-US" w:bidi="ar-SA"/>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FB6CC4"/>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rsid w:val="00FB6CC4"/>
    <w:rPr>
      <w:u w:val="single"/>
    </w:rPr>
  </w:style>
  <w:style w:type="table" w:styleId="Lentelstinklelis">
    <w:name w:val="Table Grid"/>
    <w:basedOn w:val="prastojilentel"/>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bidi="ar-SA"/>
    </w:rPr>
  </w:style>
  <w:style w:type="paragraph" w:styleId="prastasiniatinklio">
    <w:name w:val="Normal (Web)"/>
    <w:basedOn w:val="prastasis"/>
    <w:rsid w:val="00746A7B"/>
    <w:pPr>
      <w:spacing w:before="100" w:after="100"/>
    </w:pPr>
    <w:rPr>
      <w:lang w:val="en-US"/>
    </w:rPr>
  </w:style>
  <w:style w:type="paragraph" w:styleId="Pagrindinistekstas2">
    <w:name w:val="Body Text 2"/>
    <w:basedOn w:val="prastasis"/>
    <w:link w:val="Pagrindinistekstas2Diagrama"/>
    <w:uiPriority w:val="99"/>
    <w:rsid w:val="00271E1A"/>
    <w:pPr>
      <w:spacing w:after="120" w:line="480" w:lineRule="auto"/>
    </w:pPr>
  </w:style>
  <w:style w:type="paragraph" w:styleId="Pagrindiniotekstotrauka2">
    <w:name w:val="Body Text Indent 2"/>
    <w:basedOn w:val="prastasis"/>
    <w:link w:val="Pagrindiniotekstotrauka2Diagrama"/>
    <w:uiPriority w:val="99"/>
    <w:rsid w:val="00271E1A"/>
    <w:pPr>
      <w:spacing w:after="120" w:line="480" w:lineRule="auto"/>
      <w:ind w:left="283"/>
    </w:pPr>
  </w:style>
  <w:style w:type="paragraph" w:styleId="Pagrindinistekstas3">
    <w:name w:val="Body Text 3"/>
    <w:basedOn w:val="prastasis"/>
    <w:link w:val="Pagrindinistekstas3Diagrama"/>
    <w:uiPriority w:val="99"/>
    <w:rsid w:val="00271E1A"/>
    <w:pPr>
      <w:spacing w:after="120"/>
    </w:pPr>
    <w:rPr>
      <w:sz w:val="16"/>
      <w:szCs w:val="16"/>
    </w:rPr>
  </w:style>
  <w:style w:type="paragraph" w:customStyle="1" w:styleId="BTbEMEASMCA">
    <w:name w:val="BT(b) EMEA_SMCA"/>
    <w:basedOn w:val="prastasis"/>
    <w:autoRedefine/>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uiPriority w:val="99"/>
    <w:rsid w:val="00491086"/>
    <w:pPr>
      <w:spacing w:before="120" w:after="120"/>
      <w:jc w:val="both"/>
    </w:pPr>
    <w:rPr>
      <w:lang w:val="en-US" w:eastAsia="en-US"/>
    </w:rPr>
  </w:style>
  <w:style w:type="paragraph" w:customStyle="1" w:styleId="AHeader1">
    <w:name w:val="AHeader 1"/>
    <w:basedOn w:val="prastasis"/>
    <w:uiPriority w:val="99"/>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491086"/>
    <w:pPr>
      <w:numPr>
        <w:ilvl w:val="1"/>
      </w:numPr>
      <w:tabs>
        <w:tab w:val="num" w:pos="360"/>
        <w:tab w:val="num" w:pos="720"/>
      </w:tabs>
      <w:ind w:left="360" w:hanging="360"/>
    </w:pPr>
    <w:rPr>
      <w:sz w:val="22"/>
    </w:rPr>
  </w:style>
  <w:style w:type="paragraph" w:customStyle="1" w:styleId="AHeader3">
    <w:name w:val="AHeader 3"/>
    <w:basedOn w:val="AHeader2"/>
    <w:uiPriority w:val="99"/>
    <w:rsid w:val="00491086"/>
    <w:pPr>
      <w:numPr>
        <w:ilvl w:val="2"/>
      </w:numPr>
      <w:tabs>
        <w:tab w:val="num" w:pos="360"/>
      </w:tabs>
      <w:ind w:left="360" w:hanging="360"/>
    </w:pPr>
  </w:style>
  <w:style w:type="paragraph" w:customStyle="1" w:styleId="AHeader2abc">
    <w:name w:val="AHeader 2 abc"/>
    <w:basedOn w:val="AHeader3"/>
    <w:uiPriority w:val="99"/>
    <w:rsid w:val="00491086"/>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491086"/>
    <w:pPr>
      <w:numPr>
        <w:ilvl w:val="4"/>
      </w:numPr>
      <w:tabs>
        <w:tab w:val="num" w:pos="360"/>
      </w:tabs>
      <w:ind w:left="360" w:hanging="360"/>
    </w:pPr>
  </w:style>
  <w:style w:type="character" w:styleId="Grietas">
    <w:name w:val="Strong"/>
    <w:uiPriority w:val="99"/>
    <w:qFormat/>
    <w:rsid w:val="00491086"/>
    <w:rPr>
      <w:b/>
      <w:bCs/>
    </w:rPr>
  </w:style>
  <w:style w:type="paragraph" w:styleId="Komentarotekstas">
    <w:name w:val="annotation text"/>
    <w:basedOn w:val="prastasis"/>
    <w:link w:val="KomentarotekstasDiagrama"/>
    <w:uiPriority w:val="99"/>
    <w:rsid w:val="003B16D6"/>
    <w:rPr>
      <w:b/>
      <w:bCs/>
      <w:sz w:val="20"/>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uiPriority w:val="99"/>
    <w:rsid w:val="003B16D6"/>
  </w:style>
  <w:style w:type="paragraph" w:customStyle="1" w:styleId="Default">
    <w:name w:val="Default"/>
    <w:rsid w:val="00AA446C"/>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uiPriority w:val="99"/>
    <w:locked/>
    <w:rsid w:val="0002186A"/>
    <w:rPr>
      <w:sz w:val="22"/>
      <w:u w:val="single"/>
      <w:lang w:val="lt-LT" w:eastAsia="lt-LT"/>
    </w:rPr>
  </w:style>
  <w:style w:type="character" w:customStyle="1" w:styleId="Antrat5Diagrama">
    <w:name w:val="Antraštė 5 Diagrama"/>
    <w:link w:val="Antrat5"/>
    <w:uiPriority w:val="99"/>
    <w:locked/>
    <w:rsid w:val="0002186A"/>
    <w:rPr>
      <w:b/>
      <w:bCs/>
      <w:i/>
      <w:iCs/>
      <w:sz w:val="26"/>
      <w:szCs w:val="26"/>
      <w:lang w:val="lt-LT" w:eastAsia="lt-LT"/>
    </w:rPr>
  </w:style>
  <w:style w:type="character" w:customStyle="1" w:styleId="Antrat6Diagrama">
    <w:name w:val="Antraštė 6 Diagrama"/>
    <w:link w:val="Antrat6"/>
    <w:uiPriority w:val="99"/>
    <w:locked/>
    <w:rsid w:val="0002186A"/>
    <w:rPr>
      <w:b/>
      <w:bCs/>
      <w:sz w:val="22"/>
      <w:szCs w:val="22"/>
      <w:lang w:val="lt-LT" w:eastAsia="lt-LT"/>
    </w:rPr>
  </w:style>
  <w:style w:type="character" w:customStyle="1" w:styleId="Antrat7Diagrama">
    <w:name w:val="Antraštė 7 Diagrama"/>
    <w:link w:val="Antrat7"/>
    <w:uiPriority w:val="99"/>
    <w:locked/>
    <w:rsid w:val="0002186A"/>
    <w:rPr>
      <w:i/>
      <w:sz w:val="22"/>
      <w:lang w:val="cs-CZ"/>
    </w:rPr>
  </w:style>
  <w:style w:type="character" w:customStyle="1" w:styleId="Antrat8Diagrama">
    <w:name w:val="Antraštė 8 Diagrama"/>
    <w:link w:val="Antrat8"/>
    <w:uiPriority w:val="99"/>
    <w:locked/>
    <w:rsid w:val="0002186A"/>
    <w:rPr>
      <w:i/>
      <w:iCs/>
      <w:sz w:val="24"/>
      <w:szCs w:val="24"/>
      <w:lang w:val="lt-LT"/>
    </w:rPr>
  </w:style>
  <w:style w:type="character" w:customStyle="1" w:styleId="Antrat9Diagrama">
    <w:name w:val="Antraštė 9 Diagrama"/>
    <w:link w:val="Antrat9"/>
    <w:uiPriority w:val="99"/>
    <w:locked/>
    <w:rsid w:val="0002186A"/>
    <w:rPr>
      <w:b/>
      <w:i/>
      <w:sz w:val="22"/>
      <w:lang w:val="cs-CZ"/>
    </w:rPr>
  </w:style>
  <w:style w:type="character" w:customStyle="1" w:styleId="PoratDiagrama">
    <w:name w:val="Poraštė Diagrama"/>
    <w:link w:val="Porat"/>
    <w:uiPriority w:val="99"/>
    <w:locked/>
    <w:rsid w:val="0002186A"/>
    <w:rPr>
      <w:sz w:val="22"/>
      <w:lang w:val="lt-LT" w:eastAsia="lt-LT"/>
    </w:rPr>
  </w:style>
  <w:style w:type="character" w:customStyle="1" w:styleId="CommentTextChar">
    <w:name w:val="Comment Text Char"/>
    <w:uiPriority w:val="99"/>
    <w:locked/>
    <w:rsid w:val="00AA446C"/>
    <w:rPr>
      <w:b/>
      <w:lang w:val="lt-LT" w:eastAsia="en-US"/>
    </w:rPr>
  </w:style>
  <w:style w:type="character" w:customStyle="1" w:styleId="PaantratDiagrama">
    <w:name w:val="Paantraštė Diagrama"/>
    <w:link w:val="Paantrat"/>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val="lt-LT"/>
    </w:rPr>
  </w:style>
  <w:style w:type="character" w:customStyle="1" w:styleId="DebesliotekstasDiagrama">
    <w:name w:val="Debesėlio tekstas Diagrama"/>
    <w:link w:val="Debesliotekstas"/>
    <w:uiPriority w:val="99"/>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uiPriority w:val="99"/>
    <w:locked/>
    <w:rsid w:val="0002186A"/>
    <w:rPr>
      <w:sz w:val="22"/>
      <w:lang w:val="lt-LT" w:eastAsia="lt-LT"/>
    </w:rPr>
  </w:style>
  <w:style w:type="character" w:customStyle="1" w:styleId="Pagrindiniotekstotrauka2Diagrama">
    <w:name w:val="Pagrindinio teksto įtrauka 2 Diagrama"/>
    <w:link w:val="Pagrindiniotekstotrauka2"/>
    <w:uiPriority w:val="99"/>
    <w:locked/>
    <w:rsid w:val="0002186A"/>
    <w:rPr>
      <w:sz w:val="22"/>
      <w:lang w:val="lt-LT" w:eastAsia="lt-LT"/>
    </w:rPr>
  </w:style>
  <w:style w:type="character" w:customStyle="1" w:styleId="Pagrindinistekstas3Diagrama">
    <w:name w:val="Pagrindinis tekstas 3 Diagrama"/>
    <w:link w:val="Pagrindinistekstas3"/>
    <w:uiPriority w:val="99"/>
    <w:locked/>
    <w:rsid w:val="0002186A"/>
    <w:rPr>
      <w:sz w:val="16"/>
      <w:szCs w:val="16"/>
      <w:lang w:val="lt-LT"/>
    </w:rPr>
  </w:style>
  <w:style w:type="character" w:customStyle="1" w:styleId="KomentarotekstasDiagrama">
    <w:name w:val="Komentaro tekstas Diagrama"/>
    <w:link w:val="Komentarotekstas"/>
    <w:uiPriority w:val="99"/>
    <w:locked/>
    <w:rsid w:val="0002186A"/>
    <w:rPr>
      <w:b/>
      <w:bCs/>
      <w:lang w:val="lt-LT"/>
    </w:rPr>
  </w:style>
  <w:style w:type="character" w:customStyle="1" w:styleId="KomentarotemaDiagrama">
    <w:name w:val="Komentaro tema Diagrama"/>
    <w:link w:val="Komentarotema"/>
    <w:uiPriority w:val="99"/>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uiPriority w:val="99"/>
    <w:rsid w:val="0002186A"/>
    <w:rPr>
      <w:rFonts w:cs="Times New Roman"/>
      <w:sz w:val="16"/>
    </w:rPr>
  </w:style>
  <w:style w:type="character" w:customStyle="1" w:styleId="Antrat1Diagrama">
    <w:name w:val="Antraštė 1 Diagrama"/>
    <w:link w:val="Antrat1"/>
    <w:uiPriority w:val="99"/>
    <w:rsid w:val="00E87A20"/>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uiPriority w:val="99"/>
    <w:rsid w:val="00E87A20"/>
    <w:rPr>
      <w:rFonts w:ascii="Arial" w:hAnsi="Arial" w:cs="Arial"/>
      <w:b/>
      <w:bCs/>
      <w:sz w:val="26"/>
      <w:szCs w:val="26"/>
      <w:lang w:val="lt-LT"/>
    </w:rPr>
  </w:style>
  <w:style w:type="numbering" w:customStyle="1" w:styleId="NoList1">
    <w:name w:val="No List1"/>
    <w:next w:val="Sraonra"/>
    <w:semiHidden/>
    <w:rsid w:val="00E87A20"/>
  </w:style>
  <w:style w:type="character" w:customStyle="1" w:styleId="PavadinimasDiagrama">
    <w:name w:val="Pavadinimas Diagrama"/>
    <w:link w:val="Pavadinimas"/>
    <w:uiPriority w:val="99"/>
    <w:locked/>
    <w:rsid w:val="00E87A20"/>
    <w:rPr>
      <w:b/>
      <w:kern w:val="28"/>
      <w:sz w:val="22"/>
      <w:lang w:val="lt-LT" w:eastAsia="lt-LT"/>
    </w:rPr>
  </w:style>
  <w:style w:type="paragraph" w:customStyle="1" w:styleId="BTEMEASMCA">
    <w:name w:val="BT EMEA_SMCA"/>
    <w:basedOn w:val="prastasis"/>
    <w:link w:val="BTEMEASMCAChar"/>
    <w:autoRedefine/>
    <w:uiPriority w:val="99"/>
    <w:rsid w:val="00AA446C"/>
    <w:rPr>
      <w:lang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uiPriority w:val="99"/>
    <w:locked/>
    <w:rsid w:val="00AA446C"/>
    <w:rPr>
      <w:rFonts w:ascii="Times New Roman" w:eastAsia="SimSun" w:hAnsi="Times New Roman"/>
      <w:b/>
      <w:caps/>
      <w:sz w:val="20"/>
      <w:lang w:val="en-US"/>
    </w:rPr>
  </w:style>
  <w:style w:type="character" w:customStyle="1" w:styleId="Antrat2Diagrama">
    <w:name w:val="Antraštė 2 Diagrama"/>
    <w:link w:val="Antrat2"/>
    <w:uiPriority w:val="99"/>
    <w:locked/>
    <w:rsid w:val="00F84C8C"/>
    <w:rPr>
      <w:rFonts w:ascii="Cambria" w:hAnsi="Cambria"/>
      <w:b/>
      <w:i/>
      <w:snapToGrid w:val="0"/>
      <w:sz w:val="28"/>
      <w:lang w:val="en-GB"/>
    </w:rPr>
  </w:style>
  <w:style w:type="character" w:customStyle="1" w:styleId="Heading3Char">
    <w:name w:val="Heading 3 Char"/>
    <w:uiPriority w:val="99"/>
    <w:locked/>
    <w:rsid w:val="00AA446C"/>
    <w:rPr>
      <w:rFonts w:ascii="Cambria" w:hAnsi="Cambria"/>
      <w:b/>
      <w:snapToGrid w:val="0"/>
      <w:sz w:val="26"/>
      <w:lang w:val="en-GB"/>
    </w:rPr>
  </w:style>
  <w:style w:type="character" w:customStyle="1" w:styleId="Heading4Char">
    <w:name w:val="Heading 4 Char"/>
    <w:uiPriority w:val="99"/>
    <w:locked/>
    <w:rsid w:val="00AA446C"/>
    <w:rPr>
      <w:rFonts w:ascii="Calibri" w:hAnsi="Calibri"/>
      <w:b/>
      <w:snapToGrid w:val="0"/>
      <w:sz w:val="28"/>
      <w:lang w:val="en-GB"/>
    </w:rPr>
  </w:style>
  <w:style w:type="character" w:customStyle="1" w:styleId="Heading5Char">
    <w:name w:val="Heading 5 Char"/>
    <w:uiPriority w:val="99"/>
    <w:locked/>
    <w:rsid w:val="00AA446C"/>
    <w:rPr>
      <w:rFonts w:ascii="Times New Roman" w:eastAsia="SimSun" w:hAnsi="Times New Roman"/>
      <w:noProof/>
      <w:sz w:val="20"/>
      <w:lang w:val="en-GB"/>
    </w:rPr>
  </w:style>
  <w:style w:type="character" w:customStyle="1" w:styleId="Heading6Char">
    <w:name w:val="Heading 6 Char"/>
    <w:uiPriority w:val="99"/>
    <w:locked/>
    <w:rsid w:val="00AA446C"/>
    <w:rPr>
      <w:rFonts w:ascii="Times New Roman" w:eastAsia="SimSun" w:hAnsi="Times New Roman"/>
      <w:i/>
      <w:sz w:val="20"/>
      <w:lang w:val="en-GB"/>
    </w:rPr>
  </w:style>
  <w:style w:type="character" w:customStyle="1" w:styleId="Heading7Char">
    <w:name w:val="Heading 7 Char"/>
    <w:uiPriority w:val="99"/>
    <w:locked/>
    <w:rsid w:val="00AA446C"/>
    <w:rPr>
      <w:rFonts w:ascii="Times New Roman" w:eastAsia="SimSun" w:hAnsi="Times New Roman"/>
      <w:i/>
      <w:sz w:val="20"/>
      <w:lang w:val="en-GB"/>
    </w:rPr>
  </w:style>
  <w:style w:type="character" w:customStyle="1" w:styleId="Heading8Char">
    <w:name w:val="Heading 8 Char"/>
    <w:uiPriority w:val="99"/>
    <w:locked/>
    <w:rsid w:val="00AA446C"/>
    <w:rPr>
      <w:rFonts w:ascii="Times New Roman" w:eastAsia="SimSun" w:hAnsi="Times New Roman"/>
      <w:b/>
      <w:i/>
      <w:sz w:val="20"/>
      <w:lang w:val="en-GB"/>
    </w:rPr>
  </w:style>
  <w:style w:type="character" w:customStyle="1" w:styleId="Heading9Char">
    <w:name w:val="Heading 9 Char"/>
    <w:uiPriority w:val="99"/>
    <w:locked/>
    <w:rsid w:val="00AA446C"/>
    <w:rPr>
      <w:rFonts w:ascii="Times New Roman" w:eastAsia="SimSun" w:hAnsi="Times New Roman"/>
      <w:b/>
      <w:i/>
      <w:sz w:val="20"/>
      <w:lang w:val="en-GB"/>
    </w:rPr>
  </w:style>
  <w:style w:type="character" w:customStyle="1" w:styleId="FooterChar">
    <w:name w:val="Footer Char"/>
    <w:uiPriority w:val="99"/>
    <w:locked/>
    <w:rsid w:val="00AA446C"/>
    <w:rPr>
      <w:rFonts w:ascii="Times New Roman" w:hAnsi="Times New Roman"/>
      <w:snapToGrid w:val="0"/>
      <w:sz w:val="20"/>
      <w:lang w:val="en-GB"/>
    </w:rPr>
  </w:style>
  <w:style w:type="character" w:customStyle="1" w:styleId="HeaderChar">
    <w:name w:val="Header Char"/>
    <w:rsid w:val="00AA446C"/>
    <w:rPr>
      <w:snapToGrid w:val="0"/>
      <w:sz w:val="22"/>
      <w:lang w:val="en-GB" w:eastAsia="en-US"/>
    </w:rPr>
  </w:style>
  <w:style w:type="paragraph" w:customStyle="1" w:styleId="BodytextAgency">
    <w:name w:val="Body text (Agency)"/>
    <w:basedOn w:val="prastasis"/>
    <w:link w:val="BodytextAgencyChar"/>
    <w:uiPriority w:val="99"/>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AA446C"/>
    <w:rPr>
      <w:rFonts w:ascii="Verdana" w:eastAsia="Calibri" w:hAnsi="Verdana"/>
      <w:sz w:val="18"/>
      <w:szCs w:val="22"/>
      <w:lang w:val="en-GB"/>
    </w:rPr>
  </w:style>
  <w:style w:type="paragraph" w:customStyle="1" w:styleId="TabletextrowsAgency">
    <w:name w:val="Table text rows (Agency)"/>
    <w:basedOn w:val="prastasis"/>
    <w:uiPriority w:val="99"/>
    <w:rsid w:val="009637B9"/>
    <w:pPr>
      <w:spacing w:line="280" w:lineRule="exact"/>
    </w:pPr>
    <w:rPr>
      <w:rFonts w:ascii="Verdana" w:eastAsia="Calibri" w:hAnsi="Verdana"/>
      <w:sz w:val="18"/>
      <w:lang w:val="en-GB" w:eastAsia="en-US"/>
    </w:rPr>
  </w:style>
  <w:style w:type="character" w:customStyle="1" w:styleId="tw4winError">
    <w:name w:val="tw4winError"/>
    <w:uiPriority w:val="99"/>
    <w:rsid w:val="009637B9"/>
    <w:rPr>
      <w:rFonts w:ascii="Courier New" w:hAnsi="Courier New"/>
      <w:color w:val="00FF00"/>
      <w:sz w:val="40"/>
    </w:rPr>
  </w:style>
  <w:style w:type="character" w:customStyle="1" w:styleId="tw4winTerm">
    <w:name w:val="tw4winTerm"/>
    <w:uiPriority w:val="99"/>
    <w:rsid w:val="009637B9"/>
    <w:rPr>
      <w:color w:val="0000FF"/>
    </w:rPr>
  </w:style>
  <w:style w:type="character" w:customStyle="1" w:styleId="tw4winPopup">
    <w:name w:val="tw4winPopup"/>
    <w:uiPriority w:val="99"/>
    <w:rsid w:val="009637B9"/>
    <w:rPr>
      <w:rFonts w:ascii="Courier New" w:hAnsi="Courier New"/>
      <w:noProof/>
      <w:color w:val="008000"/>
    </w:rPr>
  </w:style>
  <w:style w:type="character" w:customStyle="1" w:styleId="tw4winJump">
    <w:name w:val="tw4winJump"/>
    <w:uiPriority w:val="99"/>
    <w:rsid w:val="009637B9"/>
    <w:rPr>
      <w:rFonts w:ascii="Courier New" w:hAnsi="Courier New"/>
      <w:noProof/>
      <w:color w:val="008080"/>
    </w:rPr>
  </w:style>
  <w:style w:type="character" w:customStyle="1" w:styleId="tw4winExternal">
    <w:name w:val="tw4winExternal"/>
    <w:uiPriority w:val="99"/>
    <w:rsid w:val="009637B9"/>
    <w:rPr>
      <w:rFonts w:ascii="Courier New" w:hAnsi="Courier New"/>
      <w:noProof/>
      <w:color w:val="808080"/>
    </w:rPr>
  </w:style>
  <w:style w:type="character" w:customStyle="1" w:styleId="tw4winInternal">
    <w:name w:val="tw4winInternal"/>
    <w:uiPriority w:val="99"/>
    <w:rsid w:val="009637B9"/>
    <w:rPr>
      <w:rFonts w:ascii="Courier New" w:hAnsi="Courier New"/>
      <w:noProof/>
      <w:color w:val="FF0000"/>
    </w:rPr>
  </w:style>
  <w:style w:type="character" w:customStyle="1" w:styleId="DONOTTRANSLATE">
    <w:name w:val="DO_NOT_TRANSLATE"/>
    <w:uiPriority w:val="99"/>
    <w:rsid w:val="009637B9"/>
    <w:rPr>
      <w:rFonts w:ascii="Courier New" w:hAnsi="Courier New"/>
      <w:noProof/>
      <w:color w:val="800000"/>
    </w:rPr>
  </w:style>
  <w:style w:type="character" w:customStyle="1" w:styleId="BalloonTextChar">
    <w:name w:val="Balloon Text Char"/>
    <w:uiPriority w:val="99"/>
    <w:locked/>
    <w:rsid w:val="00AA446C"/>
    <w:rPr>
      <w:rFonts w:ascii="Tahoma" w:hAnsi="Tahoma"/>
      <w:snapToGrid w:val="0"/>
      <w:sz w:val="16"/>
      <w:lang w:val="en-GB"/>
    </w:rPr>
  </w:style>
  <w:style w:type="character" w:customStyle="1" w:styleId="CommentSubjectChar">
    <w:name w:val="Comment Subject Char"/>
    <w:uiPriority w:val="99"/>
    <w:locked/>
    <w:rsid w:val="00AA446C"/>
    <w:rPr>
      <w:rFonts w:ascii="Times New Roman" w:hAnsi="Times New Roman"/>
      <w:b/>
      <w:snapToGrid w:val="0"/>
      <w:sz w:val="20"/>
      <w:lang w:val="en-GB"/>
    </w:rPr>
  </w:style>
  <w:style w:type="paragraph" w:styleId="Pataisymai">
    <w:name w:val="Revision"/>
    <w:hidden/>
    <w:uiPriority w:val="99"/>
    <w:semiHidden/>
    <w:rsid w:val="00AA446C"/>
    <w:rPr>
      <w:rFonts w:eastAsia="Calibri"/>
      <w:sz w:val="22"/>
      <w:lang w:val="en-GB" w:eastAsia="en-US"/>
    </w:rPr>
  </w:style>
  <w:style w:type="character" w:customStyle="1" w:styleId="tw4winMark">
    <w:name w:val="tw4winMark"/>
    <w:uiPriority w:val="99"/>
    <w:rsid w:val="009637B9"/>
    <w:rPr>
      <w:rFonts w:ascii="Courier New" w:hAnsi="Courier New"/>
      <w:vanish/>
      <w:color w:val="800080"/>
      <w:sz w:val="24"/>
      <w:vertAlign w:val="subscript"/>
    </w:rPr>
  </w:style>
  <w:style w:type="character" w:customStyle="1" w:styleId="HeaderChar1">
    <w:name w:val="Header Char1"/>
    <w:uiPriority w:val="99"/>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9637B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locked/>
    <w:rsid w:val="009637B9"/>
    <w:rPr>
      <w:rFonts w:ascii="Tahoma" w:eastAsia="SimSun" w:hAnsi="Tahoma"/>
      <w:lang w:val="en-GB" w:eastAsia="zh-CN" w:bidi="ar-SA"/>
    </w:rPr>
  </w:style>
  <w:style w:type="paragraph" w:styleId="Pagrindiniotekstotrauka">
    <w:name w:val="Body Text Indent"/>
    <w:basedOn w:val="prastasis"/>
    <w:link w:val="PagrindiniotekstotraukaDiagrama"/>
    <w:uiPriority w:val="99"/>
    <w:rsid w:val="009637B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uiPriority w:val="99"/>
    <w:locked/>
    <w:rsid w:val="009637B9"/>
    <w:rPr>
      <w:rFonts w:eastAsia="SimSun"/>
      <w:lang w:val="en-GB" w:eastAsia="en-GB" w:bidi="ar-SA"/>
    </w:rPr>
  </w:style>
  <w:style w:type="character" w:customStyle="1" w:styleId="BodyText3Char">
    <w:name w:val="Body Text 3 Char"/>
    <w:uiPriority w:val="99"/>
    <w:locked/>
    <w:rsid w:val="00AA446C"/>
    <w:rPr>
      <w:rFonts w:ascii="Times New Roman" w:eastAsia="SimSun" w:hAnsi="Times New Roman"/>
      <w:color w:val="0000FF"/>
      <w:lang w:val="en-GB" w:eastAsia="en-GB"/>
    </w:rPr>
  </w:style>
  <w:style w:type="character" w:customStyle="1" w:styleId="BodyTextIndent2Char">
    <w:name w:val="Body Text Indent 2 Char"/>
    <w:uiPriority w:val="99"/>
    <w:locked/>
    <w:rsid w:val="00AA446C"/>
    <w:rPr>
      <w:rFonts w:ascii="Times New Roman" w:eastAsia="SimSun" w:hAnsi="Times New Roman"/>
      <w:b/>
      <w:color w:val="0000FF"/>
      <w:lang w:val="en-GB"/>
    </w:rPr>
  </w:style>
  <w:style w:type="character" w:customStyle="1" w:styleId="BodyTextChar">
    <w:name w:val="Body Text Char"/>
    <w:uiPriority w:val="99"/>
    <w:locked/>
    <w:rsid w:val="00AA446C"/>
    <w:rPr>
      <w:rFonts w:ascii="Times New Roman" w:eastAsia="SimSun" w:hAnsi="Times New Roman"/>
      <w:i/>
      <w:color w:val="008000"/>
      <w:sz w:val="20"/>
      <w:lang w:val="en-GB"/>
    </w:rPr>
  </w:style>
  <w:style w:type="character" w:customStyle="1" w:styleId="BodyText2Char">
    <w:name w:val="Body Text 2 Char"/>
    <w:uiPriority w:val="99"/>
    <w:locked/>
    <w:rsid w:val="00AA446C"/>
    <w:rPr>
      <w:rFonts w:ascii="Times New Roman" w:eastAsia="SimSun" w:hAnsi="Times New Roman"/>
      <w:b/>
      <w:color w:val="0000FF"/>
      <w:u w:val="single"/>
      <w:lang w:val="en-GB"/>
    </w:rPr>
  </w:style>
  <w:style w:type="paragraph" w:styleId="Pagrindiniotekstotrauka3">
    <w:name w:val="Body Text Indent 3"/>
    <w:basedOn w:val="prastasis"/>
    <w:link w:val="Pagrindiniotekstotrauka3Diagrama"/>
    <w:uiPriority w:val="99"/>
    <w:rsid w:val="009637B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uiPriority w:val="99"/>
    <w:locked/>
    <w:rsid w:val="009637B9"/>
    <w:rPr>
      <w:rFonts w:eastAsia="SimSun"/>
      <w:szCs w:val="21"/>
      <w:lang w:val="en-GB" w:eastAsia="lt-LT" w:bidi="ar-SA"/>
    </w:rPr>
  </w:style>
  <w:style w:type="character" w:customStyle="1" w:styleId="BodytextAgencyChar">
    <w:name w:val="Body text (Agency) Char"/>
    <w:link w:val="BodytextAgency"/>
    <w:uiPriority w:val="99"/>
    <w:locked/>
    <w:rsid w:val="009637B9"/>
    <w:rPr>
      <w:rFonts w:ascii="Verdana" w:eastAsia="Calibri" w:hAnsi="Verdana"/>
      <w:sz w:val="18"/>
      <w:lang w:val="en-GB" w:eastAsia="lt-LT" w:bidi="ar-SA"/>
    </w:rPr>
  </w:style>
  <w:style w:type="table" w:customStyle="1" w:styleId="TablegridAgencyblack">
    <w:name w:val="Table grid (Agency) black"/>
    <w:uiPriority w:val="99"/>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637B9"/>
    <w:pPr>
      <w:keepNext/>
    </w:pPr>
    <w:rPr>
      <w:rFonts w:eastAsia="SimSun" w:cs="Verdana"/>
      <w:b/>
      <w:szCs w:val="18"/>
      <w:lang w:eastAsia="en-GB"/>
    </w:rPr>
  </w:style>
  <w:style w:type="character" w:customStyle="1" w:styleId="NormalAgencyChar">
    <w:name w:val="Normal (Agency) Char"/>
    <w:link w:val="NormalAgency"/>
    <w:uiPriority w:val="99"/>
    <w:locked/>
    <w:rsid w:val="009637B9"/>
    <w:rPr>
      <w:rFonts w:ascii="Verdana" w:eastAsia="Calibri" w:hAnsi="Verdana"/>
      <w:sz w:val="18"/>
      <w:szCs w:val="22"/>
      <w:lang w:val="en-GB"/>
    </w:rPr>
  </w:style>
  <w:style w:type="paragraph" w:styleId="Paprastasistekstas">
    <w:name w:val="Plain Text"/>
    <w:basedOn w:val="prastasis"/>
    <w:link w:val="PaprastasistekstasDiagrama"/>
    <w:uiPriority w:val="99"/>
    <w:rsid w:val="009637B9"/>
    <w:rPr>
      <w:rFonts w:ascii="Courier New" w:eastAsia="SimSun" w:hAnsi="Courier New"/>
      <w:sz w:val="20"/>
      <w:lang w:val="en-US"/>
    </w:rPr>
  </w:style>
  <w:style w:type="character" w:customStyle="1" w:styleId="PaprastasistekstasDiagrama">
    <w:name w:val="Paprastasis tekstas Diagrama"/>
    <w:link w:val="Paprastasistekstas"/>
    <w:uiPriority w:val="99"/>
    <w:locked/>
    <w:rsid w:val="009637B9"/>
    <w:rPr>
      <w:rFonts w:ascii="Courier New" w:eastAsia="SimSun" w:hAnsi="Courier New"/>
      <w:lang w:val="en-US" w:eastAsia="lt-LT" w:bidi="ar-SA"/>
    </w:rPr>
  </w:style>
  <w:style w:type="character" w:customStyle="1" w:styleId="TitleChar">
    <w:name w:val="Title Char"/>
    <w:uiPriority w:val="99"/>
    <w:locked/>
    <w:rsid w:val="00AA446C"/>
    <w:rPr>
      <w:rFonts w:ascii="Times New Roman" w:eastAsia="SimSun" w:hAnsi="Times New Roman"/>
      <w:b/>
      <w:sz w:val="20"/>
      <w:lang w:val="en-GB"/>
    </w:rPr>
  </w:style>
  <w:style w:type="paragraph" w:styleId="Dokumentoinaostekstas">
    <w:name w:val="endnote text"/>
    <w:basedOn w:val="prastasis"/>
    <w:link w:val="DokumentoinaostekstasDiagrama"/>
    <w:uiPriority w:val="99"/>
    <w:rsid w:val="009637B9"/>
    <w:pPr>
      <w:tabs>
        <w:tab w:val="left" w:pos="567"/>
      </w:tabs>
    </w:pPr>
    <w:rPr>
      <w:rFonts w:eastAsia="SimSun"/>
      <w:sz w:val="20"/>
      <w:lang w:val="en-GB"/>
    </w:rPr>
  </w:style>
  <w:style w:type="character" w:customStyle="1" w:styleId="DokumentoinaostekstasDiagrama">
    <w:name w:val="Dokumento išnašos tekstas Diagrama"/>
    <w:link w:val="Dokumentoinaostekstas"/>
    <w:uiPriority w:val="99"/>
    <w:locked/>
    <w:rsid w:val="009637B9"/>
    <w:rPr>
      <w:rFonts w:eastAsia="SimSun"/>
      <w:lang w:val="en-GB" w:eastAsia="lt-LT" w:bidi="ar-SA"/>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883FA7"/>
    <w:rPr>
      <w:sz w:val="24"/>
      <w:szCs w:val="24"/>
      <w:lang w:val="en-GB" w:eastAsia="en-GB"/>
    </w:rPr>
  </w:style>
  <w:style w:type="paragraph" w:customStyle="1" w:styleId="leipa">
    <w:name w:val="leipa"/>
    <w:basedOn w:val="prastasis"/>
    <w:rsid w:val="00883FA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uiPriority w:val="99"/>
    <w:locked/>
    <w:rsid w:val="00AA446C"/>
    <w:rPr>
      <w:rFonts w:ascii="Calibri" w:hAnsi="Calibri" w:cs="Times New Roman"/>
      <w:sz w:val="21"/>
      <w:szCs w:val="21"/>
    </w:rPr>
  </w:style>
  <w:style w:type="paragraph" w:styleId="Sraopastraipa">
    <w:name w:val="List Paragraph"/>
    <w:basedOn w:val="prastasis"/>
    <w:uiPriority w:val="34"/>
    <w:qFormat/>
    <w:rsid w:val="00883FA7"/>
    <w:pPr>
      <w:ind w:left="720"/>
      <w:contextualSpacing/>
    </w:pPr>
    <w:rPr>
      <w:sz w:val="24"/>
      <w:szCs w:val="24"/>
      <w:lang w:val="en-GB" w:eastAsia="en-GB"/>
    </w:rPr>
  </w:style>
  <w:style w:type="paragraph" w:customStyle="1" w:styleId="Text">
    <w:name w:val="Text"/>
    <w:basedOn w:val="prastasis"/>
    <w:rsid w:val="00883FA7"/>
    <w:pPr>
      <w:spacing w:before="120"/>
      <w:jc w:val="both"/>
    </w:pPr>
    <w:rPr>
      <w:sz w:val="24"/>
      <w:lang w:val="en-US" w:eastAsia="en-US"/>
    </w:rPr>
  </w:style>
  <w:style w:type="paragraph" w:customStyle="1" w:styleId="Authors">
    <w:name w:val="Authors"/>
    <w:basedOn w:val="prastasis"/>
    <w:rsid w:val="00883FA7"/>
    <w:pPr>
      <w:keepNext/>
      <w:tabs>
        <w:tab w:val="left" w:pos="2268"/>
      </w:tabs>
      <w:spacing w:before="240"/>
    </w:pPr>
    <w:rPr>
      <w:rFonts w:ascii="Arial" w:hAnsi="Arial"/>
      <w:lang w:val="en-US" w:eastAsia="en-US"/>
    </w:rPr>
  </w:style>
  <w:style w:type="paragraph" w:customStyle="1" w:styleId="Listlevel1">
    <w:name w:val="List level 1"/>
    <w:basedOn w:val="prastasis"/>
    <w:rsid w:val="00883FA7"/>
    <w:pPr>
      <w:spacing w:before="40" w:after="20"/>
      <w:ind w:left="425" w:hanging="425"/>
    </w:pPr>
    <w:rPr>
      <w:sz w:val="24"/>
      <w:lang w:val="en-US" w:eastAsia="en-US"/>
    </w:rPr>
  </w:style>
  <w:style w:type="paragraph" w:styleId="Turinys6">
    <w:name w:val="toc 6"/>
    <w:basedOn w:val="prastasis"/>
    <w:semiHidden/>
    <w:rsid w:val="00883FA7"/>
    <w:pPr>
      <w:tabs>
        <w:tab w:val="right" w:leader="dot" w:pos="9061"/>
      </w:tabs>
      <w:spacing w:after="72"/>
      <w:ind w:left="992" w:right="227" w:hanging="992"/>
    </w:pPr>
    <w:rPr>
      <w:sz w:val="24"/>
      <w:lang w:val="en-US" w:eastAsia="en-US"/>
    </w:rPr>
  </w:style>
  <w:style w:type="paragraph" w:styleId="Turinys7">
    <w:name w:val="toc 7"/>
    <w:basedOn w:val="prastasis"/>
    <w:semiHidden/>
    <w:rsid w:val="00883FA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83FA7"/>
    <w:pPr>
      <w:keepLines/>
      <w:spacing w:before="120"/>
      <w:jc w:val="both"/>
    </w:pPr>
    <w:rPr>
      <w:i/>
      <w:color w:val="0000FF"/>
      <w:sz w:val="24"/>
      <w:lang w:val="en-US" w:eastAsia="en-US"/>
    </w:rPr>
  </w:style>
  <w:style w:type="paragraph" w:customStyle="1" w:styleId="Compound">
    <w:name w:val="Compound"/>
    <w:basedOn w:val="prastasis"/>
    <w:rsid w:val="00883FA7"/>
    <w:pPr>
      <w:keepNext/>
      <w:spacing w:before="720"/>
      <w:jc w:val="center"/>
    </w:pPr>
    <w:rPr>
      <w:rFonts w:ascii="Arial" w:hAnsi="Arial"/>
      <w:sz w:val="32"/>
      <w:lang w:val="en-US" w:eastAsia="en-US"/>
    </w:rPr>
  </w:style>
  <w:style w:type="paragraph" w:customStyle="1" w:styleId="Dedicatednumber">
    <w:name w:val="Dedicatednumber"/>
    <w:basedOn w:val="prastasis"/>
    <w:rsid w:val="00883FA7"/>
    <w:pPr>
      <w:keepNext/>
      <w:spacing w:before="720"/>
      <w:jc w:val="center"/>
    </w:pPr>
    <w:rPr>
      <w:rFonts w:ascii="Arial" w:hAnsi="Arial"/>
      <w:sz w:val="28"/>
      <w:lang w:val="en-US" w:eastAsia="en-US"/>
    </w:rPr>
  </w:style>
  <w:style w:type="paragraph" w:customStyle="1" w:styleId="Department">
    <w:name w:val="Department"/>
    <w:basedOn w:val="prastasis"/>
    <w:rsid w:val="00883FA7"/>
    <w:pPr>
      <w:keepNext/>
      <w:spacing w:before="360"/>
      <w:jc w:val="center"/>
    </w:pPr>
    <w:rPr>
      <w:rFonts w:ascii="Arial" w:hAnsi="Arial"/>
      <w:sz w:val="28"/>
      <w:lang w:val="en-US" w:eastAsia="en-US"/>
    </w:rPr>
  </w:style>
  <w:style w:type="paragraph" w:customStyle="1" w:styleId="Docstatus">
    <w:name w:val="Docstatus"/>
    <w:basedOn w:val="prastasis"/>
    <w:rsid w:val="00883FA7"/>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uiPriority w:val="99"/>
    <w:locked/>
    <w:rsid w:val="00AA446C"/>
    <w:rPr>
      <w:rFonts w:cs="Times New Roman"/>
      <w:sz w:val="24"/>
      <w:lang w:val="en-US" w:eastAsia="en-US"/>
    </w:rPr>
  </w:style>
  <w:style w:type="paragraph" w:customStyle="1" w:styleId="Non-proportional">
    <w:name w:val="Non-proportional"/>
    <w:basedOn w:val="prastasis"/>
    <w:rsid w:val="00883FA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83FA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83FA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883FA7"/>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883FA7"/>
    <w:pPr>
      <w:spacing w:before="120" w:after="120"/>
    </w:pPr>
    <w:rPr>
      <w:b/>
      <w:sz w:val="24"/>
      <w:lang w:val="en-US" w:eastAsia="en-US"/>
    </w:rPr>
  </w:style>
  <w:style w:type="paragraph" w:customStyle="1" w:styleId="TextIndent">
    <w:name w:val="Text Indent"/>
    <w:basedOn w:val="prastasis"/>
    <w:rsid w:val="00883FA7"/>
    <w:pPr>
      <w:ind w:left="851"/>
    </w:pPr>
    <w:rPr>
      <w:sz w:val="24"/>
      <w:lang w:val="en-US" w:eastAsia="en-US"/>
    </w:rPr>
  </w:style>
  <w:style w:type="paragraph" w:customStyle="1" w:styleId="ParagraphIndent">
    <w:name w:val="Paragraph Indent"/>
    <w:basedOn w:val="prastasis"/>
    <w:rsid w:val="00883FA7"/>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bidi="ar-SA"/>
    </w:rPr>
  </w:style>
  <w:style w:type="paragraph" w:customStyle="1" w:styleId="Heading11">
    <w:name w:val="Heading 11"/>
    <w:basedOn w:val="prastasis"/>
    <w:next w:val="prastasis"/>
    <w:rsid w:val="00883FA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 w:type="numbering" w:customStyle="1" w:styleId="NoList3">
    <w:name w:val="No List3"/>
    <w:next w:val="Sraonra"/>
    <w:uiPriority w:val="99"/>
    <w:semiHidden/>
    <w:unhideWhenUsed/>
    <w:rsid w:val="00185A1E"/>
  </w:style>
  <w:style w:type="paragraph" w:customStyle="1" w:styleId="BTbeEMEASMCA">
    <w:name w:val="BT(be) EMEA_SMCA"/>
    <w:basedOn w:val="BTEMEASMCA"/>
    <w:autoRedefine/>
    <w:rsid w:val="00185A1E"/>
    <w:pPr>
      <w:jc w:val="center"/>
    </w:pPr>
    <w:rPr>
      <w:b/>
      <w:noProof/>
      <w:szCs w:val="22"/>
    </w:rPr>
  </w:style>
  <w:style w:type="paragraph" w:customStyle="1" w:styleId="BTeEMEASMCA">
    <w:name w:val="BT(e) EMEA_SMCA"/>
    <w:basedOn w:val="BTEMEASMCA"/>
    <w:autoRedefine/>
    <w:rsid w:val="00185A1E"/>
    <w:pPr>
      <w:jc w:val="center"/>
    </w:pPr>
    <w:rPr>
      <w:noProof/>
      <w:szCs w:val="22"/>
    </w:rPr>
  </w:style>
  <w:style w:type="paragraph" w:customStyle="1" w:styleId="ammlistepuces1">
    <w:name w:val="ammlistepuces1"/>
    <w:basedOn w:val="prastasis"/>
    <w:rsid w:val="00185A1E"/>
    <w:pPr>
      <w:spacing w:before="100" w:beforeAutospacing="1" w:after="100" w:afterAutospacing="1"/>
    </w:pPr>
    <w:rPr>
      <w:rFonts w:ascii="Arial" w:hAnsi="Arial" w:cs="Arial"/>
      <w:sz w:val="24"/>
      <w:szCs w:val="24"/>
    </w:rPr>
  </w:style>
  <w:style w:type="character" w:customStyle="1" w:styleId="alt-edited">
    <w:name w:val="alt-edited"/>
    <w:rsid w:val="00185A1E"/>
  </w:style>
  <w:style w:type="numbering" w:customStyle="1" w:styleId="NoList4">
    <w:name w:val="No List4"/>
    <w:next w:val="Sraonra"/>
    <w:uiPriority w:val="99"/>
    <w:semiHidden/>
    <w:unhideWhenUsed/>
    <w:rsid w:val="007A0512"/>
  </w:style>
  <w:style w:type="paragraph" w:customStyle="1" w:styleId="Naslov1">
    <w:name w:val="Naslov1"/>
    <w:basedOn w:val="Antrat1"/>
    <w:rsid w:val="007A0512"/>
    <w:pPr>
      <w:spacing w:before="0" w:after="0"/>
    </w:pPr>
    <w:rPr>
      <w:rFonts w:ascii="Times New Roman" w:hAnsi="Times New Roman"/>
      <w:bCs w:val="0"/>
      <w:kern w:val="0"/>
      <w:sz w:val="22"/>
      <w:szCs w:val="20"/>
      <w:u w:val="single"/>
      <w:lang w:val="sl-SI" w:eastAsia="sl-SI"/>
    </w:rPr>
  </w:style>
  <w:style w:type="numbering" w:customStyle="1" w:styleId="Brezseznama1">
    <w:name w:val="Brez seznama1"/>
    <w:next w:val="Sraonra"/>
    <w:uiPriority w:val="99"/>
    <w:semiHidden/>
    <w:unhideWhenUsed/>
    <w:rsid w:val="007A0512"/>
  </w:style>
  <w:style w:type="paragraph" w:styleId="Betarp">
    <w:name w:val="No Spacing"/>
    <w:uiPriority w:val="1"/>
    <w:qFormat/>
    <w:rsid w:val="00AA446C"/>
    <w:rPr>
      <w:sz w:val="22"/>
    </w:rPr>
  </w:style>
  <w:style w:type="character" w:customStyle="1" w:styleId="CharChar220">
    <w:name w:val="Char Char22"/>
    <w:locked/>
    <w:rsid w:val="00D87EAB"/>
    <w:rPr>
      <w:b/>
      <w:sz w:val="22"/>
      <w:lang w:val="lt-LT" w:eastAsia="lt-LT"/>
    </w:rPr>
  </w:style>
  <w:style w:type="character" w:customStyle="1" w:styleId="CharChar0">
    <w:name w:val="Char Char"/>
    <w:rsid w:val="00D87EAB"/>
    <w:rPr>
      <w:sz w:val="22"/>
      <w:lang w:val="lt-LT" w:eastAsia="lt-LT" w:bidi="ar-SA"/>
    </w:rPr>
  </w:style>
  <w:style w:type="character" w:customStyle="1" w:styleId="CharChar110">
    <w:name w:val="Char Char11"/>
    <w:locked/>
    <w:rsid w:val="00D87EAB"/>
    <w:rPr>
      <w:rFonts w:ascii="Arial" w:hAnsi="Arial"/>
      <w:b/>
      <w:kern w:val="28"/>
      <w:sz w:val="28"/>
      <w:lang w:val="lt-LT" w:eastAsia="en-US" w:bidi="ar-SA"/>
    </w:rPr>
  </w:style>
  <w:style w:type="character" w:customStyle="1" w:styleId="CharChar100">
    <w:name w:val="Char Char10"/>
    <w:semiHidden/>
    <w:locked/>
    <w:rsid w:val="00D87EAB"/>
    <w:rPr>
      <w:rFonts w:ascii="Arial" w:hAnsi="Arial"/>
      <w:b/>
      <w:i/>
      <w:sz w:val="22"/>
      <w:lang w:val="lt-LT" w:eastAsia="en-US" w:bidi="ar-SA"/>
    </w:rPr>
  </w:style>
  <w:style w:type="paragraph" w:customStyle="1" w:styleId="Sraopastraipa1">
    <w:name w:val="Sąrašo pastraipa1"/>
    <w:basedOn w:val="prastasis"/>
    <w:qFormat/>
    <w:rsid w:val="00D87EAB"/>
    <w:pPr>
      <w:tabs>
        <w:tab w:val="left" w:pos="567"/>
      </w:tabs>
      <w:spacing w:line="260" w:lineRule="exact"/>
      <w:ind w:left="1296"/>
    </w:pPr>
    <w:rPr>
      <w:lang w:val="en-GB" w:eastAsia="en-US"/>
    </w:rPr>
  </w:style>
  <w:style w:type="table" w:customStyle="1" w:styleId="TableGrid2">
    <w:name w:val="Table Grid2"/>
    <w:basedOn w:val="prastojilentel"/>
    <w:next w:val="Lentelstinklelis"/>
    <w:uiPriority w:val="59"/>
    <w:rsid w:val="00B23ED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DB6316"/>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47845203">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69290283">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150293631">
      <w:bodyDiv w:val="1"/>
      <w:marLeft w:val="0"/>
      <w:marRight w:val="0"/>
      <w:marTop w:val="0"/>
      <w:marBottom w:val="0"/>
      <w:divBdr>
        <w:top w:val="none" w:sz="0" w:space="0" w:color="auto"/>
        <w:left w:val="none" w:sz="0" w:space="0" w:color="auto"/>
        <w:bottom w:val="none" w:sz="0" w:space="0" w:color="auto"/>
        <w:right w:val="none" w:sz="0" w:space="0" w:color="auto"/>
      </w:divBdr>
    </w:div>
    <w:div w:id="1228295923">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473786254">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16440478">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A1213-99BF-45A8-960B-E0F18545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8057</Words>
  <Characters>55054</Characters>
  <Application>Microsoft Office Word</Application>
  <DocSecurity>0</DocSecurity>
  <Lines>458</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62986</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3</cp:revision>
  <cp:lastPrinted>2018-06-21T11:51:00Z</cp:lastPrinted>
  <dcterms:created xsi:type="dcterms:W3CDTF">2023-08-16T08:12:00Z</dcterms:created>
  <dcterms:modified xsi:type="dcterms:W3CDTF">2023-08-16T08:13:00Z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2021-01-05T13:15:48Z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ed524c0b-b901-4b22-b665-52b864cdac2e</vt:lpwstr>
  </property>
  <property fmtid="{D5CDD505-2E9C-101B-9397-08002B2CF9AE}" pid="8" name="MSIP_Label_4929bff8-5b33-42aa-95d2-28f72e792cb0_ContentBits">
    <vt:lpwstr>0</vt:lpwstr>
  </property>
</Properties>
</file>