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AA0A" w14:textId="77777777" w:rsidR="003451F2" w:rsidRPr="006543CF" w:rsidRDefault="003451F2" w:rsidP="00CE6E5F">
      <w:pPr>
        <w:pStyle w:val="Text"/>
        <w:spacing w:before="0" w:after="0"/>
        <w:jc w:val="left"/>
        <w:rPr>
          <w:b/>
          <w:bCs/>
          <w:sz w:val="22"/>
          <w:szCs w:val="22"/>
          <w:lang w:val="lt-LT"/>
        </w:rPr>
      </w:pPr>
    </w:p>
    <w:p w14:paraId="21AE2298" w14:textId="77777777" w:rsidR="003451F2" w:rsidRPr="00E773DA" w:rsidRDefault="003451F2" w:rsidP="00CE6E5F">
      <w:pPr>
        <w:pStyle w:val="Text"/>
        <w:spacing w:before="0" w:after="0"/>
        <w:jc w:val="left"/>
        <w:rPr>
          <w:b/>
          <w:bCs/>
          <w:sz w:val="22"/>
          <w:szCs w:val="22"/>
          <w:lang w:val="lt-LT"/>
        </w:rPr>
      </w:pPr>
    </w:p>
    <w:p w14:paraId="3071D658" w14:textId="77777777" w:rsidR="003451F2" w:rsidRPr="00E773DA" w:rsidRDefault="003451F2" w:rsidP="00CE6E5F">
      <w:pPr>
        <w:pStyle w:val="Text"/>
        <w:spacing w:before="0" w:after="0"/>
        <w:jc w:val="left"/>
        <w:rPr>
          <w:b/>
          <w:bCs/>
          <w:sz w:val="22"/>
          <w:szCs w:val="22"/>
          <w:lang w:val="lt-LT"/>
        </w:rPr>
      </w:pPr>
    </w:p>
    <w:p w14:paraId="1A38BF7E" w14:textId="77777777" w:rsidR="003451F2" w:rsidRPr="00E773DA" w:rsidRDefault="003451F2" w:rsidP="00CE6E5F">
      <w:pPr>
        <w:pStyle w:val="Text"/>
        <w:spacing w:before="0" w:after="0"/>
        <w:jc w:val="left"/>
        <w:rPr>
          <w:b/>
          <w:bCs/>
          <w:sz w:val="22"/>
          <w:szCs w:val="22"/>
          <w:lang w:val="lt-LT"/>
        </w:rPr>
      </w:pPr>
    </w:p>
    <w:p w14:paraId="0E17103B" w14:textId="77777777" w:rsidR="003451F2" w:rsidRPr="00E773DA" w:rsidRDefault="003451F2" w:rsidP="00CE6E5F">
      <w:pPr>
        <w:pStyle w:val="Text"/>
        <w:spacing w:before="0" w:after="0"/>
        <w:jc w:val="left"/>
        <w:rPr>
          <w:b/>
          <w:bCs/>
          <w:sz w:val="22"/>
          <w:szCs w:val="22"/>
          <w:lang w:val="lt-LT"/>
        </w:rPr>
      </w:pPr>
    </w:p>
    <w:p w14:paraId="25D6578A" w14:textId="77777777" w:rsidR="003451F2" w:rsidRPr="00E773DA" w:rsidRDefault="003451F2" w:rsidP="00CE6E5F">
      <w:pPr>
        <w:pStyle w:val="Text"/>
        <w:spacing w:before="0" w:after="0"/>
        <w:jc w:val="left"/>
        <w:rPr>
          <w:b/>
          <w:bCs/>
          <w:sz w:val="22"/>
          <w:szCs w:val="22"/>
          <w:lang w:val="lt-LT"/>
        </w:rPr>
      </w:pPr>
    </w:p>
    <w:p w14:paraId="2AE91423" w14:textId="77777777" w:rsidR="003451F2" w:rsidRPr="00E773DA" w:rsidRDefault="003451F2" w:rsidP="00CE6E5F">
      <w:pPr>
        <w:pStyle w:val="Text"/>
        <w:spacing w:before="0" w:after="0"/>
        <w:jc w:val="left"/>
        <w:rPr>
          <w:b/>
          <w:bCs/>
          <w:sz w:val="22"/>
          <w:szCs w:val="22"/>
          <w:lang w:val="lt-LT"/>
        </w:rPr>
      </w:pPr>
    </w:p>
    <w:p w14:paraId="4AB655BC" w14:textId="77777777" w:rsidR="003451F2" w:rsidRPr="00E773DA" w:rsidRDefault="003451F2" w:rsidP="00CE6E5F">
      <w:pPr>
        <w:pStyle w:val="Text"/>
        <w:spacing w:before="0" w:after="0"/>
        <w:jc w:val="left"/>
        <w:rPr>
          <w:b/>
          <w:bCs/>
          <w:sz w:val="22"/>
          <w:szCs w:val="22"/>
          <w:lang w:val="lt-LT"/>
        </w:rPr>
      </w:pPr>
    </w:p>
    <w:p w14:paraId="5003F107" w14:textId="77777777" w:rsidR="003451F2" w:rsidRPr="00E773DA" w:rsidRDefault="003451F2" w:rsidP="00CE6E5F">
      <w:pPr>
        <w:pStyle w:val="Text"/>
        <w:spacing w:before="0" w:after="0"/>
        <w:jc w:val="left"/>
        <w:rPr>
          <w:b/>
          <w:bCs/>
          <w:sz w:val="22"/>
          <w:szCs w:val="22"/>
          <w:lang w:val="lt-LT"/>
        </w:rPr>
      </w:pPr>
    </w:p>
    <w:p w14:paraId="42426A51" w14:textId="77777777" w:rsidR="003451F2" w:rsidRPr="00E773DA" w:rsidRDefault="003451F2" w:rsidP="00CE6E5F">
      <w:pPr>
        <w:pStyle w:val="Text"/>
        <w:spacing w:before="0" w:after="0"/>
        <w:jc w:val="left"/>
        <w:rPr>
          <w:b/>
          <w:bCs/>
          <w:sz w:val="22"/>
          <w:szCs w:val="22"/>
          <w:lang w:val="lt-LT"/>
        </w:rPr>
      </w:pPr>
    </w:p>
    <w:p w14:paraId="08F577ED" w14:textId="77777777" w:rsidR="003451F2" w:rsidRPr="00E773DA" w:rsidRDefault="003451F2" w:rsidP="00CE6E5F">
      <w:pPr>
        <w:pStyle w:val="Text"/>
        <w:spacing w:before="0" w:after="0"/>
        <w:jc w:val="left"/>
        <w:rPr>
          <w:b/>
          <w:bCs/>
          <w:sz w:val="22"/>
          <w:szCs w:val="22"/>
          <w:lang w:val="lt-LT"/>
        </w:rPr>
      </w:pPr>
    </w:p>
    <w:p w14:paraId="4C06720C" w14:textId="77777777" w:rsidR="003451F2" w:rsidRPr="00E773DA" w:rsidRDefault="003451F2" w:rsidP="00CE6E5F">
      <w:pPr>
        <w:pStyle w:val="Text"/>
        <w:spacing w:before="0" w:after="0"/>
        <w:jc w:val="left"/>
        <w:rPr>
          <w:b/>
          <w:bCs/>
          <w:sz w:val="22"/>
          <w:szCs w:val="22"/>
          <w:lang w:val="lt-LT"/>
        </w:rPr>
      </w:pPr>
    </w:p>
    <w:p w14:paraId="2E5223FB" w14:textId="77777777" w:rsidR="003451F2" w:rsidRPr="00E773DA" w:rsidRDefault="003451F2" w:rsidP="00CE6E5F">
      <w:pPr>
        <w:pStyle w:val="Text"/>
        <w:spacing w:before="0" w:after="0"/>
        <w:jc w:val="left"/>
        <w:rPr>
          <w:b/>
          <w:bCs/>
          <w:sz w:val="22"/>
          <w:szCs w:val="22"/>
          <w:lang w:val="lt-LT"/>
        </w:rPr>
      </w:pPr>
    </w:p>
    <w:p w14:paraId="203B240F" w14:textId="77777777" w:rsidR="003451F2" w:rsidRPr="00E773DA" w:rsidRDefault="003451F2" w:rsidP="00CE6E5F">
      <w:pPr>
        <w:pStyle w:val="Text"/>
        <w:spacing w:before="0" w:after="0"/>
        <w:jc w:val="left"/>
        <w:rPr>
          <w:b/>
          <w:bCs/>
          <w:sz w:val="22"/>
          <w:szCs w:val="22"/>
          <w:lang w:val="lt-LT"/>
        </w:rPr>
      </w:pPr>
    </w:p>
    <w:p w14:paraId="17E31F0E" w14:textId="77777777" w:rsidR="003451F2" w:rsidRPr="00E773DA" w:rsidRDefault="003451F2" w:rsidP="00CE6E5F">
      <w:pPr>
        <w:pStyle w:val="Text"/>
        <w:spacing w:before="0" w:after="0"/>
        <w:jc w:val="left"/>
        <w:rPr>
          <w:b/>
          <w:bCs/>
          <w:sz w:val="22"/>
          <w:szCs w:val="22"/>
          <w:lang w:val="lt-LT"/>
        </w:rPr>
      </w:pPr>
    </w:p>
    <w:p w14:paraId="7F2B1A1F" w14:textId="77777777" w:rsidR="003451F2" w:rsidRPr="00E773DA" w:rsidRDefault="003451F2" w:rsidP="00E457A0">
      <w:pPr>
        <w:pStyle w:val="Text"/>
        <w:spacing w:before="0" w:after="0"/>
        <w:jc w:val="left"/>
        <w:rPr>
          <w:b/>
          <w:bCs/>
          <w:sz w:val="22"/>
          <w:szCs w:val="22"/>
          <w:lang w:val="lt-LT"/>
        </w:rPr>
      </w:pPr>
    </w:p>
    <w:p w14:paraId="339626C0" w14:textId="77777777" w:rsidR="00E457A0" w:rsidRPr="00E773DA" w:rsidRDefault="00E457A0" w:rsidP="00E457A0">
      <w:pPr>
        <w:pStyle w:val="Text"/>
        <w:spacing w:before="0" w:after="0"/>
        <w:jc w:val="left"/>
        <w:rPr>
          <w:b/>
          <w:bCs/>
          <w:sz w:val="22"/>
          <w:szCs w:val="22"/>
          <w:lang w:val="lt-LT"/>
        </w:rPr>
      </w:pPr>
    </w:p>
    <w:p w14:paraId="22596799" w14:textId="77777777" w:rsidR="00E457A0" w:rsidRPr="00E773DA" w:rsidRDefault="00E457A0" w:rsidP="00E457A0">
      <w:pPr>
        <w:pStyle w:val="Text"/>
        <w:spacing w:before="0" w:after="0"/>
        <w:jc w:val="left"/>
        <w:rPr>
          <w:b/>
          <w:bCs/>
          <w:sz w:val="22"/>
          <w:szCs w:val="22"/>
          <w:lang w:val="lt-LT"/>
        </w:rPr>
      </w:pPr>
    </w:p>
    <w:p w14:paraId="5AE815DF" w14:textId="77777777" w:rsidR="00E457A0" w:rsidRPr="00E773DA" w:rsidRDefault="00E457A0" w:rsidP="00E457A0">
      <w:pPr>
        <w:pStyle w:val="Text"/>
        <w:spacing w:before="0" w:after="0"/>
        <w:jc w:val="left"/>
        <w:rPr>
          <w:b/>
          <w:bCs/>
          <w:sz w:val="22"/>
          <w:szCs w:val="22"/>
          <w:lang w:val="lt-LT"/>
        </w:rPr>
      </w:pPr>
    </w:p>
    <w:p w14:paraId="149BFC2F" w14:textId="77777777" w:rsidR="00E457A0" w:rsidRPr="00E773DA" w:rsidRDefault="00E457A0" w:rsidP="00E457A0">
      <w:pPr>
        <w:pStyle w:val="Text"/>
        <w:spacing w:before="0" w:after="0"/>
        <w:jc w:val="left"/>
        <w:rPr>
          <w:b/>
          <w:bCs/>
          <w:sz w:val="22"/>
          <w:szCs w:val="22"/>
          <w:lang w:val="lt-LT"/>
        </w:rPr>
      </w:pPr>
    </w:p>
    <w:p w14:paraId="3F264754" w14:textId="77777777" w:rsidR="00E457A0" w:rsidRPr="00E773DA" w:rsidRDefault="00E457A0" w:rsidP="00E457A0">
      <w:pPr>
        <w:pStyle w:val="Text"/>
        <w:spacing w:before="0" w:after="0"/>
        <w:jc w:val="left"/>
        <w:rPr>
          <w:b/>
          <w:bCs/>
          <w:sz w:val="22"/>
          <w:szCs w:val="22"/>
          <w:lang w:val="lt-LT"/>
        </w:rPr>
      </w:pPr>
    </w:p>
    <w:p w14:paraId="3A8B3A75" w14:textId="77777777" w:rsidR="00E457A0" w:rsidRPr="00E773DA" w:rsidRDefault="00E457A0" w:rsidP="00E457A0">
      <w:pPr>
        <w:pStyle w:val="Text"/>
        <w:spacing w:before="0" w:after="0"/>
        <w:jc w:val="left"/>
        <w:rPr>
          <w:b/>
          <w:bCs/>
          <w:sz w:val="22"/>
          <w:szCs w:val="22"/>
          <w:lang w:val="lt-LT"/>
        </w:rPr>
      </w:pPr>
    </w:p>
    <w:p w14:paraId="0A4E6549" w14:textId="77777777" w:rsidR="00E457A0" w:rsidRPr="00E773DA" w:rsidRDefault="00E457A0" w:rsidP="00CE6E5F">
      <w:pPr>
        <w:pStyle w:val="Text"/>
        <w:spacing w:before="0" w:after="0"/>
        <w:jc w:val="left"/>
        <w:rPr>
          <w:b/>
          <w:bCs/>
          <w:sz w:val="22"/>
          <w:szCs w:val="22"/>
          <w:lang w:val="lt-LT"/>
        </w:rPr>
      </w:pPr>
    </w:p>
    <w:p w14:paraId="7C905FA2" w14:textId="77777777" w:rsidR="003451F2" w:rsidRPr="00E773DA" w:rsidRDefault="003451F2" w:rsidP="00CE6E5F">
      <w:pPr>
        <w:pStyle w:val="Text"/>
        <w:spacing w:before="0" w:after="0"/>
        <w:jc w:val="center"/>
        <w:rPr>
          <w:b/>
          <w:bCs/>
          <w:sz w:val="22"/>
          <w:szCs w:val="22"/>
          <w:lang w:val="lt-LT"/>
        </w:rPr>
      </w:pPr>
      <w:r w:rsidRPr="00E773DA">
        <w:rPr>
          <w:b/>
          <w:bCs/>
          <w:sz w:val="22"/>
          <w:szCs w:val="22"/>
          <w:lang w:val="lt-LT"/>
        </w:rPr>
        <w:t>I PRIEDAS</w:t>
      </w:r>
    </w:p>
    <w:p w14:paraId="49B1B9F2" w14:textId="77777777" w:rsidR="003451F2" w:rsidRPr="00E773DA" w:rsidRDefault="003451F2" w:rsidP="00CE6E5F">
      <w:pPr>
        <w:pStyle w:val="Text"/>
        <w:spacing w:before="0" w:after="0"/>
        <w:jc w:val="center"/>
        <w:rPr>
          <w:b/>
          <w:bCs/>
          <w:sz w:val="22"/>
          <w:szCs w:val="22"/>
          <w:lang w:val="lt-LT"/>
        </w:rPr>
      </w:pPr>
    </w:p>
    <w:p w14:paraId="42374890" w14:textId="77777777" w:rsidR="003451F2" w:rsidRPr="00E773DA" w:rsidRDefault="003451F2" w:rsidP="00CE6E5F">
      <w:pPr>
        <w:pStyle w:val="Text"/>
        <w:spacing w:before="0" w:after="0"/>
        <w:jc w:val="center"/>
        <w:rPr>
          <w:b/>
          <w:bCs/>
          <w:sz w:val="22"/>
          <w:szCs w:val="22"/>
          <w:lang w:val="lt-LT"/>
        </w:rPr>
      </w:pPr>
      <w:r w:rsidRPr="00E773DA">
        <w:rPr>
          <w:b/>
          <w:bCs/>
          <w:sz w:val="22"/>
          <w:szCs w:val="22"/>
          <w:lang w:val="lt-LT"/>
        </w:rPr>
        <w:t>PREPARATO CHARAKTERISTIKŲ SANTRAUKA</w:t>
      </w:r>
    </w:p>
    <w:p w14:paraId="5DE7995F" w14:textId="77777777" w:rsidR="00942394" w:rsidRPr="000F2C9C" w:rsidRDefault="003451F2" w:rsidP="00E457A0">
      <w:pPr>
        <w:pStyle w:val="Text"/>
        <w:spacing w:before="0" w:after="0"/>
        <w:jc w:val="left"/>
        <w:rPr>
          <w:b/>
          <w:color w:val="auto"/>
          <w:sz w:val="22"/>
          <w:szCs w:val="22"/>
          <w:lang w:val="lt-LT"/>
        </w:rPr>
      </w:pPr>
      <w:r w:rsidRPr="000F2C9C">
        <w:rPr>
          <w:b/>
          <w:bCs/>
          <w:color w:val="auto"/>
          <w:sz w:val="22"/>
          <w:szCs w:val="22"/>
          <w:lang w:val="lt-LT"/>
        </w:rPr>
        <w:br w:type="page"/>
      </w:r>
    </w:p>
    <w:p w14:paraId="3CF81B15" w14:textId="77777777" w:rsidR="00942394" w:rsidRPr="00CE6E5F" w:rsidRDefault="00942394" w:rsidP="00E457A0">
      <w:pPr>
        <w:pStyle w:val="Text"/>
        <w:spacing w:before="0" w:after="0"/>
        <w:jc w:val="left"/>
        <w:rPr>
          <w:b/>
          <w:color w:val="auto"/>
          <w:sz w:val="22"/>
          <w:szCs w:val="22"/>
          <w:lang w:val="lt-LT"/>
        </w:rPr>
      </w:pPr>
    </w:p>
    <w:p w14:paraId="1533C268" w14:textId="77777777" w:rsidR="00FD7C97" w:rsidRPr="00CE6E5F" w:rsidRDefault="00942394" w:rsidP="00316E67">
      <w:pPr>
        <w:pStyle w:val="Antrat1"/>
      </w:pPr>
      <w:r w:rsidRPr="00CE6E5F">
        <w:t>1.</w:t>
      </w:r>
      <w:r w:rsidRPr="00CE6E5F">
        <w:tab/>
      </w:r>
      <w:r w:rsidR="009A0D63" w:rsidRPr="00CE6E5F">
        <w:t>VAISTINIO PREPARATO PAVADINIMAS</w:t>
      </w:r>
    </w:p>
    <w:p w14:paraId="7DB5D815" w14:textId="77777777" w:rsidR="00942394" w:rsidRPr="00CE6E5F" w:rsidRDefault="00942394" w:rsidP="00E457A0">
      <w:pPr>
        <w:pStyle w:val="Default"/>
        <w:rPr>
          <w:sz w:val="22"/>
          <w:szCs w:val="22"/>
          <w:lang w:val="lt-LT"/>
        </w:rPr>
      </w:pPr>
    </w:p>
    <w:p w14:paraId="442FA8B2" w14:textId="77777777" w:rsidR="00FD7C97" w:rsidRPr="00CE6E5F" w:rsidRDefault="00242227" w:rsidP="00E457A0">
      <w:pPr>
        <w:pStyle w:val="Default"/>
        <w:rPr>
          <w:sz w:val="22"/>
          <w:szCs w:val="22"/>
          <w:lang w:val="lt-LT"/>
        </w:rPr>
      </w:pPr>
      <w:proofErr w:type="spellStart"/>
      <w:r>
        <w:rPr>
          <w:sz w:val="22"/>
          <w:szCs w:val="22"/>
          <w:lang w:val="lt-LT"/>
        </w:rPr>
        <w:t>cutaquig</w:t>
      </w:r>
      <w:proofErr w:type="spellEnd"/>
      <w:r w:rsidR="003625B0" w:rsidRPr="00CE6E5F">
        <w:rPr>
          <w:sz w:val="22"/>
          <w:szCs w:val="22"/>
          <w:lang w:val="lt-LT"/>
        </w:rPr>
        <w:t xml:space="preserve"> 165 mg/ml injekcinis tirpalas</w:t>
      </w:r>
    </w:p>
    <w:p w14:paraId="7367934C" w14:textId="77777777" w:rsidR="00942394" w:rsidRPr="00CE6E5F" w:rsidRDefault="00942394" w:rsidP="00E457A0">
      <w:pPr>
        <w:pStyle w:val="Default"/>
        <w:rPr>
          <w:sz w:val="22"/>
          <w:szCs w:val="22"/>
          <w:lang w:val="lt-LT"/>
        </w:rPr>
      </w:pPr>
    </w:p>
    <w:p w14:paraId="678AB442" w14:textId="77777777" w:rsidR="00942394" w:rsidRPr="00CE6E5F" w:rsidRDefault="00942394" w:rsidP="00E457A0">
      <w:pPr>
        <w:pStyle w:val="Default"/>
        <w:rPr>
          <w:sz w:val="22"/>
          <w:szCs w:val="22"/>
          <w:lang w:val="lt-LT"/>
        </w:rPr>
      </w:pPr>
    </w:p>
    <w:p w14:paraId="4F322650" w14:textId="77777777" w:rsidR="00FD7C97" w:rsidRPr="00CE6E5F" w:rsidRDefault="00942394" w:rsidP="00E457A0">
      <w:pPr>
        <w:pStyle w:val="Antrat1"/>
        <w:rPr>
          <w:caps/>
        </w:rPr>
      </w:pPr>
      <w:r w:rsidRPr="00CE6E5F">
        <w:t>2</w:t>
      </w:r>
      <w:r w:rsidR="009A0D63" w:rsidRPr="00CE6E5F">
        <w:t>.</w:t>
      </w:r>
      <w:r w:rsidR="009A0D63" w:rsidRPr="00CE6E5F">
        <w:tab/>
        <w:t>KOKYBINĖ IR KIEKYBINĖ SUDĖTIS</w:t>
      </w:r>
    </w:p>
    <w:p w14:paraId="51F498D6" w14:textId="77777777" w:rsidR="00942394" w:rsidRPr="00CE6E5F" w:rsidRDefault="00942394" w:rsidP="00E457A0">
      <w:pPr>
        <w:pStyle w:val="Default"/>
        <w:rPr>
          <w:sz w:val="22"/>
          <w:szCs w:val="22"/>
          <w:lang w:val="lt-LT"/>
        </w:rPr>
      </w:pPr>
    </w:p>
    <w:p w14:paraId="2F98386A" w14:textId="77777777" w:rsidR="00FD7C97" w:rsidRPr="00CE6E5F" w:rsidRDefault="004C15E6" w:rsidP="00E457A0">
      <w:pPr>
        <w:pStyle w:val="Default"/>
        <w:rPr>
          <w:sz w:val="22"/>
          <w:szCs w:val="22"/>
          <w:lang w:val="lt-LT"/>
        </w:rPr>
      </w:pPr>
      <w:r w:rsidRPr="00CE6E5F">
        <w:rPr>
          <w:sz w:val="22"/>
          <w:szCs w:val="22"/>
          <w:lang w:val="lt-LT"/>
        </w:rPr>
        <w:t>Žmogaus no</w:t>
      </w:r>
      <w:r w:rsidR="009A0D63" w:rsidRPr="00CE6E5F">
        <w:rPr>
          <w:sz w:val="22"/>
          <w:szCs w:val="22"/>
          <w:lang w:val="lt-LT"/>
        </w:rPr>
        <w:t>rmalusis imunoglobulinas (</w:t>
      </w:r>
      <w:proofErr w:type="spellStart"/>
      <w:r w:rsidR="00CA00D3">
        <w:rPr>
          <w:sz w:val="22"/>
          <w:szCs w:val="22"/>
          <w:lang w:val="lt-LT"/>
        </w:rPr>
        <w:t>s.c.</w:t>
      </w:r>
      <w:r w:rsidR="009A0D63" w:rsidRPr="00CE6E5F">
        <w:rPr>
          <w:sz w:val="22"/>
          <w:szCs w:val="22"/>
          <w:lang w:val="lt-LT"/>
        </w:rPr>
        <w:t>Ig</w:t>
      </w:r>
      <w:proofErr w:type="spellEnd"/>
      <w:r w:rsidR="009A0D63" w:rsidRPr="00CE6E5F">
        <w:rPr>
          <w:sz w:val="22"/>
          <w:szCs w:val="22"/>
          <w:lang w:val="lt-LT"/>
        </w:rPr>
        <w:t>)</w:t>
      </w:r>
    </w:p>
    <w:p w14:paraId="7DB8F8D8" w14:textId="77777777" w:rsidR="004C15E6" w:rsidRPr="00CE6E5F" w:rsidRDefault="004C15E6" w:rsidP="00E457A0">
      <w:pPr>
        <w:pStyle w:val="Default"/>
        <w:rPr>
          <w:sz w:val="22"/>
          <w:szCs w:val="22"/>
          <w:lang w:val="lt-LT"/>
        </w:rPr>
      </w:pPr>
    </w:p>
    <w:p w14:paraId="3C2F7B78" w14:textId="1AB1C840" w:rsidR="00FD7C97" w:rsidRPr="00CE6E5F" w:rsidRDefault="00FD7C97" w:rsidP="00E457A0">
      <w:pPr>
        <w:pStyle w:val="Default"/>
        <w:rPr>
          <w:sz w:val="22"/>
          <w:szCs w:val="22"/>
          <w:lang w:val="lt-LT"/>
        </w:rPr>
      </w:pPr>
      <w:r w:rsidRPr="00CE6E5F">
        <w:rPr>
          <w:sz w:val="22"/>
          <w:szCs w:val="22"/>
          <w:lang w:val="lt-LT"/>
        </w:rPr>
        <w:t xml:space="preserve">Viename mililitre </w:t>
      </w:r>
      <w:r w:rsidR="00534140">
        <w:rPr>
          <w:sz w:val="22"/>
          <w:szCs w:val="22"/>
          <w:lang w:val="lt-LT"/>
        </w:rPr>
        <w:t xml:space="preserve">injekcinio tirpalo </w:t>
      </w:r>
      <w:r w:rsidRPr="00CE6E5F">
        <w:rPr>
          <w:sz w:val="22"/>
          <w:szCs w:val="22"/>
          <w:lang w:val="lt-LT"/>
        </w:rPr>
        <w:t xml:space="preserve">yra: </w:t>
      </w:r>
    </w:p>
    <w:p w14:paraId="04A06DF5" w14:textId="77777777" w:rsidR="00FD7C97" w:rsidRPr="00CE6E5F" w:rsidRDefault="00FD7C97" w:rsidP="00E457A0">
      <w:pPr>
        <w:pStyle w:val="Default"/>
        <w:rPr>
          <w:sz w:val="22"/>
          <w:szCs w:val="22"/>
          <w:lang w:val="lt-LT"/>
        </w:rPr>
      </w:pPr>
      <w:r w:rsidRPr="00CE6E5F">
        <w:rPr>
          <w:sz w:val="22"/>
          <w:szCs w:val="22"/>
          <w:lang w:val="lt-LT"/>
        </w:rPr>
        <w:t>Žmogaus normaliojo im</w:t>
      </w:r>
      <w:r w:rsidR="009A0D63" w:rsidRPr="00CE6E5F">
        <w:rPr>
          <w:sz w:val="22"/>
          <w:szCs w:val="22"/>
          <w:lang w:val="lt-LT"/>
        </w:rPr>
        <w:t>unoglobulino……………………………..165 mg</w:t>
      </w:r>
    </w:p>
    <w:p w14:paraId="19A70ECC" w14:textId="77777777" w:rsidR="00FD7C97" w:rsidRPr="00CE6E5F" w:rsidRDefault="009A0D63" w:rsidP="00E457A0">
      <w:pPr>
        <w:pStyle w:val="Default"/>
        <w:rPr>
          <w:sz w:val="22"/>
          <w:szCs w:val="22"/>
          <w:lang w:val="lt-LT"/>
        </w:rPr>
      </w:pPr>
      <w:r w:rsidRPr="00CE6E5F">
        <w:rPr>
          <w:sz w:val="22"/>
          <w:szCs w:val="22"/>
          <w:lang w:val="lt-LT"/>
        </w:rPr>
        <w:t>(</w:t>
      </w:r>
      <w:proofErr w:type="spellStart"/>
      <w:r w:rsidRPr="00CE6E5F">
        <w:rPr>
          <w:sz w:val="22"/>
          <w:szCs w:val="22"/>
          <w:lang w:val="lt-LT"/>
        </w:rPr>
        <w:t>IgG</w:t>
      </w:r>
      <w:proofErr w:type="spellEnd"/>
      <w:r w:rsidRPr="00CE6E5F">
        <w:rPr>
          <w:sz w:val="22"/>
          <w:szCs w:val="22"/>
          <w:lang w:val="lt-LT"/>
        </w:rPr>
        <w:t xml:space="preserve"> grynumas mažiausiai 95 %)</w:t>
      </w:r>
    </w:p>
    <w:p w14:paraId="38EF63D4" w14:textId="77777777" w:rsidR="004C15E6" w:rsidRPr="00CE6E5F" w:rsidRDefault="004C15E6" w:rsidP="00E457A0">
      <w:pPr>
        <w:pStyle w:val="Default"/>
        <w:rPr>
          <w:sz w:val="22"/>
          <w:szCs w:val="22"/>
          <w:lang w:val="lt-LT"/>
        </w:rPr>
      </w:pPr>
    </w:p>
    <w:p w14:paraId="52D58CF0" w14:textId="6B2FAAF8" w:rsidR="00D1635F" w:rsidRPr="00CE6E5F" w:rsidRDefault="00D1635F" w:rsidP="00E457A0">
      <w:pPr>
        <w:pStyle w:val="Default"/>
        <w:rPr>
          <w:sz w:val="22"/>
          <w:szCs w:val="22"/>
          <w:lang w:val="lt-LT"/>
        </w:rPr>
      </w:pPr>
      <w:r w:rsidRPr="00CE6E5F">
        <w:rPr>
          <w:sz w:val="22"/>
          <w:szCs w:val="22"/>
          <w:lang w:val="lt-LT"/>
        </w:rPr>
        <w:t>Kiekviename 6 ml flakone yra 1 g žmogaus normaliojo imunoglobulino.</w:t>
      </w:r>
    </w:p>
    <w:p w14:paraId="658CB39E" w14:textId="1EBED419" w:rsidR="00D1635F" w:rsidRPr="00CE6E5F" w:rsidRDefault="00D1635F" w:rsidP="00E457A0">
      <w:pPr>
        <w:pStyle w:val="Default"/>
        <w:rPr>
          <w:sz w:val="22"/>
          <w:szCs w:val="22"/>
          <w:lang w:val="lt-LT"/>
        </w:rPr>
      </w:pPr>
      <w:r w:rsidRPr="00CE6E5F">
        <w:rPr>
          <w:sz w:val="22"/>
          <w:szCs w:val="22"/>
          <w:lang w:val="lt-LT"/>
        </w:rPr>
        <w:t>Kiekviename 10 ml flakone yra 1,65 g žmogaus normaliojo imunoglobulino.</w:t>
      </w:r>
    </w:p>
    <w:p w14:paraId="61D3ABD5" w14:textId="19DB7B0E" w:rsidR="00D1635F" w:rsidRPr="00CE6E5F" w:rsidRDefault="00D1635F" w:rsidP="00316E67">
      <w:pPr>
        <w:pStyle w:val="Default"/>
        <w:rPr>
          <w:sz w:val="22"/>
          <w:szCs w:val="22"/>
          <w:lang w:val="lt-LT"/>
        </w:rPr>
      </w:pPr>
      <w:r w:rsidRPr="00CE6E5F">
        <w:rPr>
          <w:sz w:val="22"/>
          <w:szCs w:val="22"/>
          <w:lang w:val="lt-LT"/>
        </w:rPr>
        <w:t>Kiekviename 12 ml flakone yra 2 g žmogaus normaliojo imunoglobulino.</w:t>
      </w:r>
    </w:p>
    <w:p w14:paraId="1073F8C0" w14:textId="140C95DD" w:rsidR="00D1635F" w:rsidRPr="00CE6E5F" w:rsidRDefault="00D1635F" w:rsidP="00316E67">
      <w:pPr>
        <w:pStyle w:val="Default"/>
        <w:rPr>
          <w:sz w:val="22"/>
          <w:szCs w:val="22"/>
          <w:lang w:val="lt-LT"/>
        </w:rPr>
      </w:pPr>
      <w:r w:rsidRPr="00CE6E5F">
        <w:rPr>
          <w:sz w:val="22"/>
          <w:szCs w:val="22"/>
          <w:lang w:val="lt-LT"/>
        </w:rPr>
        <w:t>Kiekviename 20 ml flakone yra 3,3 g žmogaus normaliojo imunoglobulino.</w:t>
      </w:r>
    </w:p>
    <w:p w14:paraId="4C1AA694" w14:textId="41DE0797" w:rsidR="00D1635F" w:rsidRPr="00CE6E5F" w:rsidRDefault="00D1635F" w:rsidP="00BE3B67">
      <w:pPr>
        <w:pStyle w:val="Default"/>
        <w:rPr>
          <w:sz w:val="22"/>
          <w:szCs w:val="22"/>
          <w:lang w:val="lt-LT"/>
        </w:rPr>
      </w:pPr>
      <w:r w:rsidRPr="00CE6E5F">
        <w:rPr>
          <w:sz w:val="22"/>
          <w:szCs w:val="22"/>
          <w:lang w:val="lt-LT"/>
        </w:rPr>
        <w:t>Kiekviename 24 ml flakone yra 4 g žmogaus normaliojo imunoglobulino.</w:t>
      </w:r>
    </w:p>
    <w:p w14:paraId="35756AE3" w14:textId="7DD6108E" w:rsidR="00D1635F" w:rsidRPr="00CE6E5F" w:rsidRDefault="00D1635F" w:rsidP="00BE3B67">
      <w:pPr>
        <w:pStyle w:val="Default"/>
        <w:rPr>
          <w:sz w:val="22"/>
          <w:szCs w:val="22"/>
          <w:lang w:val="lt-LT"/>
        </w:rPr>
      </w:pPr>
      <w:r w:rsidRPr="00CE6E5F">
        <w:rPr>
          <w:sz w:val="22"/>
          <w:szCs w:val="22"/>
          <w:lang w:val="lt-LT"/>
        </w:rPr>
        <w:t>Kiekviename 48 ml flakone yra 8 g žmogaus normaliojo imunoglobulino.</w:t>
      </w:r>
    </w:p>
    <w:p w14:paraId="74924840" w14:textId="77777777" w:rsidR="00D1635F" w:rsidRPr="00CE6E5F" w:rsidRDefault="00D1635F" w:rsidP="00BE3B67">
      <w:pPr>
        <w:pStyle w:val="Default"/>
        <w:rPr>
          <w:sz w:val="22"/>
          <w:szCs w:val="22"/>
          <w:lang w:val="lt-LT"/>
        </w:rPr>
      </w:pPr>
    </w:p>
    <w:p w14:paraId="2AEAAB86" w14:textId="77777777" w:rsidR="00D1635F" w:rsidRPr="00CE6E5F" w:rsidRDefault="00D1635F" w:rsidP="00BE3B67">
      <w:pPr>
        <w:pStyle w:val="Default"/>
        <w:rPr>
          <w:sz w:val="22"/>
          <w:szCs w:val="22"/>
          <w:lang w:val="lt-LT"/>
        </w:rPr>
      </w:pPr>
      <w:proofErr w:type="spellStart"/>
      <w:r w:rsidRPr="00CE6E5F">
        <w:rPr>
          <w:sz w:val="22"/>
          <w:szCs w:val="22"/>
          <w:lang w:val="lt-LT"/>
        </w:rPr>
        <w:t>IgG</w:t>
      </w:r>
      <w:proofErr w:type="spellEnd"/>
      <w:r w:rsidRPr="00CE6E5F">
        <w:rPr>
          <w:sz w:val="22"/>
          <w:szCs w:val="22"/>
          <w:lang w:val="lt-LT"/>
        </w:rPr>
        <w:t xml:space="preserve"> poklasių pasiskirstymas (apytikrės reikšmės):</w:t>
      </w:r>
    </w:p>
    <w:p w14:paraId="07C2F94B" w14:textId="77777777" w:rsidR="00D1635F" w:rsidRPr="00CE6E5F" w:rsidRDefault="00D1635F" w:rsidP="00BE3B67">
      <w:pPr>
        <w:pStyle w:val="Default"/>
        <w:rPr>
          <w:sz w:val="22"/>
          <w:szCs w:val="22"/>
          <w:lang w:val="lt-LT"/>
        </w:rPr>
      </w:pPr>
    </w:p>
    <w:p w14:paraId="5DE25BE8" w14:textId="77777777" w:rsidR="00D1635F" w:rsidRPr="00CE6E5F" w:rsidRDefault="00D1635F" w:rsidP="00BE3B67">
      <w:pPr>
        <w:pStyle w:val="Default"/>
        <w:rPr>
          <w:sz w:val="22"/>
          <w:szCs w:val="22"/>
          <w:lang w:val="lt-LT"/>
        </w:rPr>
      </w:pPr>
      <w:r w:rsidRPr="00CE6E5F">
        <w:rPr>
          <w:sz w:val="22"/>
          <w:szCs w:val="22"/>
          <w:lang w:val="lt-LT"/>
        </w:rPr>
        <w:t>IgG</w:t>
      </w:r>
      <w:r w:rsidRPr="00CE6E5F">
        <w:rPr>
          <w:sz w:val="22"/>
          <w:szCs w:val="22"/>
          <w:vertAlign w:val="subscript"/>
          <w:lang w:val="lt-LT"/>
        </w:rPr>
        <w:t xml:space="preserve">1 </w:t>
      </w:r>
      <w:r w:rsidRPr="00CE6E5F">
        <w:rPr>
          <w:sz w:val="22"/>
          <w:szCs w:val="22"/>
          <w:lang w:val="lt-LT"/>
        </w:rPr>
        <w:t>………..  71 %</w:t>
      </w:r>
    </w:p>
    <w:p w14:paraId="4FECACD2" w14:textId="77777777" w:rsidR="00D1635F" w:rsidRPr="00CE6E5F" w:rsidRDefault="00D1635F" w:rsidP="00BE3B67">
      <w:pPr>
        <w:pStyle w:val="Default"/>
        <w:rPr>
          <w:sz w:val="22"/>
          <w:szCs w:val="22"/>
          <w:lang w:val="lt-LT"/>
        </w:rPr>
      </w:pPr>
      <w:r w:rsidRPr="00CE6E5F">
        <w:rPr>
          <w:sz w:val="22"/>
          <w:szCs w:val="22"/>
          <w:lang w:val="lt-LT"/>
        </w:rPr>
        <w:t>IgG</w:t>
      </w:r>
      <w:r w:rsidRPr="00CE6E5F">
        <w:rPr>
          <w:sz w:val="22"/>
          <w:szCs w:val="22"/>
          <w:vertAlign w:val="subscript"/>
          <w:lang w:val="lt-LT"/>
        </w:rPr>
        <w:t xml:space="preserve">2 </w:t>
      </w:r>
      <w:r w:rsidRPr="00CE6E5F">
        <w:rPr>
          <w:sz w:val="22"/>
          <w:szCs w:val="22"/>
          <w:lang w:val="lt-LT"/>
        </w:rPr>
        <w:t>………..  25 %</w:t>
      </w:r>
    </w:p>
    <w:p w14:paraId="45AED073" w14:textId="77777777" w:rsidR="00D1635F" w:rsidRPr="00CE6E5F" w:rsidRDefault="00D1635F" w:rsidP="00BE3B67">
      <w:pPr>
        <w:pStyle w:val="Default"/>
        <w:rPr>
          <w:sz w:val="22"/>
          <w:szCs w:val="22"/>
          <w:lang w:val="lt-LT"/>
        </w:rPr>
      </w:pPr>
      <w:r w:rsidRPr="00CE6E5F">
        <w:rPr>
          <w:sz w:val="22"/>
          <w:szCs w:val="22"/>
          <w:lang w:val="lt-LT"/>
        </w:rPr>
        <w:t>IgG</w:t>
      </w:r>
      <w:r w:rsidRPr="00CE6E5F">
        <w:rPr>
          <w:sz w:val="22"/>
          <w:szCs w:val="22"/>
          <w:vertAlign w:val="subscript"/>
          <w:lang w:val="lt-LT"/>
        </w:rPr>
        <w:t>3</w:t>
      </w:r>
      <w:r w:rsidRPr="00CE6E5F">
        <w:rPr>
          <w:sz w:val="22"/>
          <w:szCs w:val="22"/>
          <w:lang w:val="lt-LT"/>
        </w:rPr>
        <w:t xml:space="preserve"> ………..  3 %</w:t>
      </w:r>
    </w:p>
    <w:p w14:paraId="5E7FB5A6" w14:textId="77777777" w:rsidR="00D1635F" w:rsidRPr="00CE6E5F" w:rsidRDefault="00D1635F" w:rsidP="00BE3B67">
      <w:pPr>
        <w:pStyle w:val="Default"/>
        <w:rPr>
          <w:sz w:val="22"/>
          <w:szCs w:val="22"/>
          <w:lang w:val="lt-LT"/>
        </w:rPr>
      </w:pPr>
      <w:r w:rsidRPr="00CE6E5F">
        <w:rPr>
          <w:sz w:val="22"/>
          <w:szCs w:val="22"/>
          <w:lang w:val="lt-LT"/>
        </w:rPr>
        <w:t>IgG</w:t>
      </w:r>
      <w:r w:rsidRPr="00CE6E5F">
        <w:rPr>
          <w:sz w:val="22"/>
          <w:szCs w:val="22"/>
          <w:vertAlign w:val="subscript"/>
          <w:lang w:val="lt-LT"/>
        </w:rPr>
        <w:t>4</w:t>
      </w:r>
      <w:r w:rsidRPr="00CE6E5F">
        <w:rPr>
          <w:sz w:val="22"/>
          <w:szCs w:val="22"/>
          <w:lang w:val="lt-LT"/>
        </w:rPr>
        <w:t>………… 2 %</w:t>
      </w:r>
    </w:p>
    <w:p w14:paraId="64689465" w14:textId="77777777" w:rsidR="00D1635F" w:rsidRPr="00CE6E5F" w:rsidRDefault="00D1635F" w:rsidP="00BE3B67">
      <w:pPr>
        <w:pStyle w:val="Default"/>
        <w:rPr>
          <w:sz w:val="22"/>
          <w:szCs w:val="22"/>
          <w:lang w:val="lt-LT"/>
        </w:rPr>
      </w:pPr>
    </w:p>
    <w:p w14:paraId="1B11C088" w14:textId="4CE054C6" w:rsidR="00D1635F" w:rsidRPr="00CE6E5F" w:rsidRDefault="00D1635F" w:rsidP="00BE3B67">
      <w:pPr>
        <w:pStyle w:val="Default"/>
        <w:rPr>
          <w:sz w:val="22"/>
          <w:szCs w:val="22"/>
          <w:lang w:val="lt-LT"/>
        </w:rPr>
      </w:pPr>
      <w:r w:rsidRPr="00CE6E5F">
        <w:rPr>
          <w:sz w:val="22"/>
          <w:szCs w:val="22"/>
          <w:lang w:val="lt-LT"/>
        </w:rPr>
        <w:t xml:space="preserve">Didžiausias </w:t>
      </w:r>
      <w:proofErr w:type="spellStart"/>
      <w:r w:rsidRPr="00CE6E5F">
        <w:rPr>
          <w:sz w:val="22"/>
          <w:szCs w:val="22"/>
          <w:lang w:val="lt-LT"/>
        </w:rPr>
        <w:t>IgA</w:t>
      </w:r>
      <w:proofErr w:type="spellEnd"/>
      <w:r w:rsidRPr="00CE6E5F">
        <w:rPr>
          <w:sz w:val="22"/>
          <w:szCs w:val="22"/>
          <w:lang w:val="lt-LT"/>
        </w:rPr>
        <w:t xml:space="preserve"> kiekis yra </w:t>
      </w:r>
      <w:r w:rsidR="009D4DEF">
        <w:rPr>
          <w:sz w:val="22"/>
          <w:szCs w:val="22"/>
          <w:lang w:val="lt-LT"/>
        </w:rPr>
        <w:t>300</w:t>
      </w:r>
      <w:r w:rsidR="009D4DEF" w:rsidRPr="00CE6E5F">
        <w:rPr>
          <w:sz w:val="22"/>
          <w:szCs w:val="22"/>
          <w:lang w:val="lt-LT"/>
        </w:rPr>
        <w:t> </w:t>
      </w:r>
      <w:proofErr w:type="spellStart"/>
      <w:r w:rsidRPr="00CE6E5F">
        <w:rPr>
          <w:sz w:val="22"/>
          <w:szCs w:val="22"/>
          <w:lang w:val="lt-LT"/>
        </w:rPr>
        <w:t>mikrogramų</w:t>
      </w:r>
      <w:proofErr w:type="spellEnd"/>
      <w:r w:rsidRPr="00CE6E5F">
        <w:rPr>
          <w:sz w:val="22"/>
          <w:szCs w:val="22"/>
          <w:lang w:val="lt-LT"/>
        </w:rPr>
        <w:t>/ml.</w:t>
      </w:r>
    </w:p>
    <w:p w14:paraId="1313F315" w14:textId="77777777" w:rsidR="00B418F0" w:rsidRPr="00CE6E5F" w:rsidRDefault="00B418F0" w:rsidP="00BE3B67">
      <w:pPr>
        <w:pStyle w:val="Default"/>
        <w:rPr>
          <w:sz w:val="22"/>
          <w:szCs w:val="22"/>
          <w:lang w:val="lt-LT"/>
        </w:rPr>
      </w:pPr>
    </w:p>
    <w:p w14:paraId="7F611FA7" w14:textId="77777777" w:rsidR="00B418F0" w:rsidRPr="00CE6E5F" w:rsidRDefault="00FD7C97" w:rsidP="00BE3B67">
      <w:pPr>
        <w:pStyle w:val="Default"/>
        <w:rPr>
          <w:sz w:val="22"/>
          <w:szCs w:val="22"/>
          <w:lang w:val="lt-LT"/>
        </w:rPr>
      </w:pPr>
      <w:r w:rsidRPr="00CE6E5F">
        <w:rPr>
          <w:sz w:val="22"/>
          <w:szCs w:val="22"/>
          <w:lang w:val="lt-LT"/>
        </w:rPr>
        <w:t>Pagamintas iš žmonių donorų plazmos.</w:t>
      </w:r>
    </w:p>
    <w:p w14:paraId="4C083E42" w14:textId="77777777" w:rsidR="00B418F0" w:rsidRPr="00CE6E5F" w:rsidRDefault="00B418F0" w:rsidP="00BE3B67">
      <w:pPr>
        <w:pStyle w:val="Default"/>
        <w:rPr>
          <w:sz w:val="22"/>
          <w:szCs w:val="22"/>
          <w:lang w:val="lt-LT"/>
        </w:rPr>
      </w:pPr>
    </w:p>
    <w:p w14:paraId="734935BA" w14:textId="18461C96" w:rsidR="00B418F0" w:rsidRPr="00CE6E5F" w:rsidRDefault="00B418F0" w:rsidP="00BE3B67">
      <w:pPr>
        <w:pStyle w:val="Default"/>
        <w:rPr>
          <w:sz w:val="22"/>
          <w:szCs w:val="22"/>
          <w:lang w:val="lt-LT"/>
        </w:rPr>
      </w:pPr>
      <w:r w:rsidRPr="00CE6E5F">
        <w:rPr>
          <w:sz w:val="22"/>
          <w:szCs w:val="22"/>
          <w:u w:val="single"/>
          <w:lang w:val="lt-LT"/>
        </w:rPr>
        <w:t>Pagalbinė medžiaga, kurios poveikis žinomas</w:t>
      </w:r>
    </w:p>
    <w:p w14:paraId="5A9F12E9" w14:textId="74616C54" w:rsidR="00B418F0" w:rsidRPr="00CE6E5F" w:rsidRDefault="00CA00D3" w:rsidP="00BE3B67">
      <w:pPr>
        <w:autoSpaceDE w:val="0"/>
        <w:autoSpaceDN w:val="0"/>
        <w:adjustRightInd w:val="0"/>
        <w:rPr>
          <w:rFonts w:cs="Times New Roman"/>
          <w:color w:val="000000"/>
        </w:rPr>
      </w:pPr>
      <w:r>
        <w:rPr>
          <w:rFonts w:cs="Times New Roman"/>
          <w:color w:val="000000"/>
        </w:rPr>
        <w:t>Kiek</w:t>
      </w:r>
      <w:r w:rsidRPr="00CE6E5F">
        <w:rPr>
          <w:rFonts w:cs="Times New Roman"/>
          <w:color w:val="000000"/>
        </w:rPr>
        <w:t xml:space="preserve">viename </w:t>
      </w:r>
      <w:r w:rsidR="00B418F0" w:rsidRPr="00CE6E5F">
        <w:rPr>
          <w:rFonts w:cs="Times New Roman"/>
          <w:color w:val="000000"/>
        </w:rPr>
        <w:t>šio vaistinio preparato 48 ml flakone yra 33,1 mg</w:t>
      </w:r>
      <w:r w:rsidR="00EA450B">
        <w:rPr>
          <w:rFonts w:cs="Times New Roman"/>
          <w:color w:val="000000"/>
        </w:rPr>
        <w:t xml:space="preserve"> natrio</w:t>
      </w:r>
      <w:r w:rsidR="00B418F0" w:rsidRPr="00CE6E5F">
        <w:rPr>
          <w:rFonts w:cs="Times New Roman"/>
          <w:color w:val="000000"/>
        </w:rPr>
        <w:t xml:space="preserve">, o </w:t>
      </w:r>
      <w:r>
        <w:rPr>
          <w:rFonts w:cs="Times New Roman"/>
          <w:color w:val="000000"/>
        </w:rPr>
        <w:t>kiek</w:t>
      </w:r>
      <w:r w:rsidR="00B418F0" w:rsidRPr="00CE6E5F">
        <w:rPr>
          <w:rFonts w:cs="Times New Roman"/>
          <w:color w:val="000000"/>
        </w:rPr>
        <w:t xml:space="preserve">viename </w:t>
      </w:r>
      <w:r w:rsidR="009A0D63" w:rsidRPr="00CE6E5F">
        <w:rPr>
          <w:rFonts w:cs="Times New Roman"/>
          <w:color w:val="000000"/>
        </w:rPr>
        <w:t>20 ml flakone – 13,8 mg natrio</w:t>
      </w:r>
      <w:r w:rsidR="00C749AA">
        <w:rPr>
          <w:rFonts w:cs="Times New Roman"/>
          <w:color w:val="000000"/>
        </w:rPr>
        <w:t xml:space="preserve"> (žiūrėti </w:t>
      </w:r>
      <w:r w:rsidR="00C749AA" w:rsidRPr="007B403D">
        <w:rPr>
          <w:color w:val="000000"/>
        </w:rPr>
        <w:t>4.4 skyri</w:t>
      </w:r>
      <w:r w:rsidR="00C749AA">
        <w:rPr>
          <w:rFonts w:cs="Times New Roman"/>
          <w:color w:val="000000"/>
        </w:rPr>
        <w:t>ų)</w:t>
      </w:r>
      <w:r w:rsidR="009A0D63" w:rsidRPr="00CE6E5F">
        <w:rPr>
          <w:rFonts w:cs="Times New Roman"/>
          <w:color w:val="000000"/>
        </w:rPr>
        <w:t>.</w:t>
      </w:r>
    </w:p>
    <w:p w14:paraId="23A555AE" w14:textId="77777777" w:rsidR="00FD7C97" w:rsidRPr="00CE6E5F" w:rsidRDefault="00FD7C97" w:rsidP="00EA2079">
      <w:pPr>
        <w:pStyle w:val="Default"/>
        <w:rPr>
          <w:sz w:val="22"/>
          <w:szCs w:val="22"/>
          <w:lang w:val="lt-LT"/>
        </w:rPr>
      </w:pPr>
    </w:p>
    <w:p w14:paraId="18D4B04E" w14:textId="77777777" w:rsidR="00FD7C97" w:rsidRPr="00CE6E5F" w:rsidRDefault="00FD7C97" w:rsidP="00EA2079">
      <w:pPr>
        <w:pStyle w:val="Default"/>
        <w:rPr>
          <w:sz w:val="22"/>
          <w:szCs w:val="22"/>
          <w:lang w:val="lt-LT"/>
        </w:rPr>
      </w:pPr>
      <w:r w:rsidRPr="00CE6E5F">
        <w:rPr>
          <w:sz w:val="22"/>
          <w:szCs w:val="22"/>
          <w:lang w:val="lt-LT"/>
        </w:rPr>
        <w:t>Visos pagalbinės med</w:t>
      </w:r>
      <w:r w:rsidR="009A0D63" w:rsidRPr="00CE6E5F">
        <w:rPr>
          <w:sz w:val="22"/>
          <w:szCs w:val="22"/>
          <w:lang w:val="lt-LT"/>
        </w:rPr>
        <w:t>žiagos išvardytos 6.1 skyriuje.</w:t>
      </w:r>
    </w:p>
    <w:p w14:paraId="327C6DBD" w14:textId="77777777" w:rsidR="00942394" w:rsidRPr="00CE6E5F" w:rsidRDefault="00942394" w:rsidP="00EA2079">
      <w:pPr>
        <w:pStyle w:val="Default"/>
        <w:rPr>
          <w:sz w:val="22"/>
          <w:szCs w:val="22"/>
          <w:lang w:val="lt-LT"/>
        </w:rPr>
      </w:pPr>
    </w:p>
    <w:p w14:paraId="6A8AB77C" w14:textId="77777777" w:rsidR="00942394" w:rsidRPr="00CE6E5F" w:rsidRDefault="00942394" w:rsidP="00EA2079">
      <w:pPr>
        <w:pStyle w:val="Default"/>
        <w:rPr>
          <w:sz w:val="22"/>
          <w:szCs w:val="22"/>
          <w:lang w:val="lt-LT"/>
        </w:rPr>
      </w:pPr>
    </w:p>
    <w:p w14:paraId="66AE095B" w14:textId="77777777" w:rsidR="00FD7C97" w:rsidRPr="00CE6E5F" w:rsidRDefault="00942394" w:rsidP="00EA2079">
      <w:pPr>
        <w:pStyle w:val="Antrat1"/>
      </w:pPr>
      <w:r w:rsidRPr="00CE6E5F">
        <w:t>3.</w:t>
      </w:r>
      <w:r w:rsidRPr="00CE6E5F">
        <w:tab/>
        <w:t>FARMACINĖ FORMA</w:t>
      </w:r>
    </w:p>
    <w:p w14:paraId="3DA9C4D2" w14:textId="77777777" w:rsidR="009A0D63" w:rsidRPr="00CE6E5F" w:rsidRDefault="009A0D63" w:rsidP="00EA2079">
      <w:pPr>
        <w:pStyle w:val="Default"/>
        <w:rPr>
          <w:sz w:val="22"/>
          <w:szCs w:val="22"/>
          <w:lang w:val="lt-LT"/>
        </w:rPr>
      </w:pPr>
    </w:p>
    <w:p w14:paraId="34F0812F" w14:textId="77777777" w:rsidR="003042D9" w:rsidRPr="00CE6E5F" w:rsidRDefault="003042D9" w:rsidP="00DE547B">
      <w:pPr>
        <w:pStyle w:val="Default"/>
        <w:rPr>
          <w:sz w:val="22"/>
          <w:szCs w:val="22"/>
          <w:lang w:val="lt-LT"/>
        </w:rPr>
      </w:pPr>
      <w:r w:rsidRPr="00CE6E5F">
        <w:rPr>
          <w:sz w:val="22"/>
          <w:szCs w:val="22"/>
          <w:lang w:val="lt-LT"/>
        </w:rPr>
        <w:t>Injekcinis tirpalas.</w:t>
      </w:r>
    </w:p>
    <w:p w14:paraId="0998BA33" w14:textId="77777777" w:rsidR="003042D9" w:rsidRPr="00CE6E5F" w:rsidRDefault="003042D9" w:rsidP="00DE547B">
      <w:pPr>
        <w:pStyle w:val="Default"/>
        <w:rPr>
          <w:sz w:val="22"/>
          <w:szCs w:val="22"/>
          <w:lang w:val="lt-LT"/>
        </w:rPr>
      </w:pPr>
      <w:r w:rsidRPr="00CE6E5F">
        <w:rPr>
          <w:sz w:val="22"/>
          <w:szCs w:val="22"/>
          <w:lang w:val="lt-LT"/>
        </w:rPr>
        <w:t xml:space="preserve">Skystas </w:t>
      </w:r>
      <w:r w:rsidR="00DF5700">
        <w:rPr>
          <w:sz w:val="22"/>
          <w:szCs w:val="22"/>
          <w:lang w:val="lt-LT"/>
        </w:rPr>
        <w:t xml:space="preserve">vaistinis </w:t>
      </w:r>
      <w:r w:rsidRPr="00CE6E5F">
        <w:rPr>
          <w:sz w:val="22"/>
          <w:szCs w:val="22"/>
          <w:lang w:val="lt-LT"/>
        </w:rPr>
        <w:t>preparatas yra skaidrus ir bespalvis.</w:t>
      </w:r>
    </w:p>
    <w:p w14:paraId="432BED00" w14:textId="77777777" w:rsidR="00952D9C" w:rsidRPr="00CE6E5F" w:rsidRDefault="00952D9C">
      <w:pPr>
        <w:pStyle w:val="Default"/>
        <w:rPr>
          <w:sz w:val="22"/>
          <w:szCs w:val="22"/>
          <w:lang w:val="lt-LT"/>
        </w:rPr>
      </w:pPr>
      <w:r w:rsidRPr="00CE6E5F">
        <w:rPr>
          <w:sz w:val="22"/>
          <w:szCs w:val="22"/>
          <w:lang w:val="lt-LT"/>
        </w:rPr>
        <w:t xml:space="preserve">Laikant skystis gali tapti šiek tiek </w:t>
      </w:r>
      <w:proofErr w:type="spellStart"/>
      <w:r w:rsidRPr="00CE6E5F">
        <w:rPr>
          <w:sz w:val="22"/>
          <w:szCs w:val="22"/>
          <w:lang w:val="lt-LT"/>
        </w:rPr>
        <w:t>opalescuojantis</w:t>
      </w:r>
      <w:proofErr w:type="spellEnd"/>
      <w:r w:rsidRPr="00CE6E5F">
        <w:rPr>
          <w:sz w:val="22"/>
          <w:szCs w:val="22"/>
          <w:lang w:val="lt-LT"/>
        </w:rPr>
        <w:t xml:space="preserve"> ir vos gelsvas.</w:t>
      </w:r>
    </w:p>
    <w:p w14:paraId="072FF4DE" w14:textId="77777777" w:rsidR="00952D9C" w:rsidRPr="00CE6E5F" w:rsidRDefault="00952D9C">
      <w:pPr>
        <w:pStyle w:val="Default"/>
        <w:rPr>
          <w:sz w:val="22"/>
          <w:szCs w:val="22"/>
          <w:lang w:val="lt-LT"/>
        </w:rPr>
      </w:pPr>
      <w:r w:rsidRPr="00CE6E5F">
        <w:rPr>
          <w:sz w:val="22"/>
          <w:szCs w:val="22"/>
          <w:lang w:val="lt-LT"/>
        </w:rPr>
        <w:t xml:space="preserve">Skysto </w:t>
      </w:r>
      <w:r w:rsidR="00DF5700">
        <w:rPr>
          <w:sz w:val="22"/>
          <w:szCs w:val="22"/>
          <w:lang w:val="lt-LT"/>
        </w:rPr>
        <w:t xml:space="preserve">vaistinio </w:t>
      </w:r>
      <w:r w:rsidRPr="00CE6E5F">
        <w:rPr>
          <w:sz w:val="22"/>
          <w:szCs w:val="22"/>
          <w:lang w:val="lt-LT"/>
        </w:rPr>
        <w:t xml:space="preserve">preparato </w:t>
      </w:r>
      <w:proofErr w:type="spellStart"/>
      <w:r w:rsidRPr="00CE6E5F">
        <w:rPr>
          <w:sz w:val="22"/>
          <w:szCs w:val="22"/>
          <w:lang w:val="lt-LT"/>
        </w:rPr>
        <w:t>osmoliališkumas</w:t>
      </w:r>
      <w:proofErr w:type="spellEnd"/>
      <w:r w:rsidRPr="00CE6E5F">
        <w:rPr>
          <w:sz w:val="22"/>
          <w:szCs w:val="22"/>
          <w:lang w:val="lt-LT"/>
        </w:rPr>
        <w:t xml:space="preserve"> yra nuo 310 iki 380 </w:t>
      </w:r>
      <w:proofErr w:type="spellStart"/>
      <w:r w:rsidRPr="00CE6E5F">
        <w:rPr>
          <w:sz w:val="22"/>
          <w:szCs w:val="22"/>
          <w:lang w:val="lt-LT"/>
        </w:rPr>
        <w:t>mosmol</w:t>
      </w:r>
      <w:proofErr w:type="spellEnd"/>
      <w:r w:rsidRPr="00CE6E5F">
        <w:rPr>
          <w:sz w:val="22"/>
          <w:szCs w:val="22"/>
          <w:lang w:val="lt-LT"/>
        </w:rPr>
        <w:t>/kg.</w:t>
      </w:r>
    </w:p>
    <w:p w14:paraId="55D19049" w14:textId="77777777" w:rsidR="00952D9C" w:rsidRPr="00CE6E5F" w:rsidRDefault="00952D9C">
      <w:pPr>
        <w:pStyle w:val="Default"/>
        <w:rPr>
          <w:sz w:val="22"/>
          <w:szCs w:val="22"/>
          <w:lang w:val="lt-LT"/>
        </w:rPr>
      </w:pPr>
      <w:r w:rsidRPr="00CE6E5F">
        <w:rPr>
          <w:sz w:val="22"/>
          <w:szCs w:val="22"/>
          <w:lang w:val="lt-LT"/>
        </w:rPr>
        <w:t>Tirpalo pH yra 5–5,5.</w:t>
      </w:r>
    </w:p>
    <w:p w14:paraId="63991DBA" w14:textId="77777777" w:rsidR="00942394" w:rsidRPr="00CE6E5F" w:rsidRDefault="00942394">
      <w:pPr>
        <w:pStyle w:val="Default"/>
        <w:rPr>
          <w:sz w:val="22"/>
          <w:szCs w:val="22"/>
          <w:lang w:val="lt-LT"/>
        </w:rPr>
      </w:pPr>
    </w:p>
    <w:p w14:paraId="04166747" w14:textId="77777777" w:rsidR="00942394" w:rsidRPr="00CE6E5F" w:rsidRDefault="00942394">
      <w:pPr>
        <w:pStyle w:val="Default"/>
        <w:rPr>
          <w:sz w:val="22"/>
          <w:szCs w:val="22"/>
          <w:lang w:val="lt-LT"/>
        </w:rPr>
      </w:pPr>
    </w:p>
    <w:p w14:paraId="6A84C830" w14:textId="77777777" w:rsidR="00FD7C97" w:rsidRPr="00CE6E5F" w:rsidRDefault="00942394">
      <w:pPr>
        <w:pStyle w:val="Antrat1"/>
      </w:pPr>
      <w:r w:rsidRPr="00CE6E5F">
        <w:t>4.</w:t>
      </w:r>
      <w:r w:rsidRPr="00CE6E5F">
        <w:tab/>
        <w:t xml:space="preserve">KLINIKINĖ INFORMACIJA </w:t>
      </w:r>
    </w:p>
    <w:p w14:paraId="0300B887" w14:textId="77777777" w:rsidR="00942394" w:rsidRPr="00CE6E5F" w:rsidRDefault="00942394" w:rsidP="00CE6E5F">
      <w:pPr>
        <w:pStyle w:val="Default"/>
        <w:keepNext/>
        <w:rPr>
          <w:sz w:val="22"/>
          <w:szCs w:val="22"/>
          <w:lang w:val="lt-LT"/>
        </w:rPr>
      </w:pPr>
    </w:p>
    <w:p w14:paraId="4DB3B369" w14:textId="77777777" w:rsidR="00FD7C97" w:rsidRPr="00CE6E5F" w:rsidRDefault="00942394" w:rsidP="00E457A0">
      <w:pPr>
        <w:pStyle w:val="Antrat2"/>
      </w:pPr>
      <w:r w:rsidRPr="00CE6E5F">
        <w:t>4.1</w:t>
      </w:r>
      <w:r w:rsidRPr="00CE6E5F">
        <w:tab/>
        <w:t xml:space="preserve">Terapinės indikacijos </w:t>
      </w:r>
    </w:p>
    <w:p w14:paraId="01F6AEF9" w14:textId="77777777" w:rsidR="00FD7C97" w:rsidRPr="00CE6E5F" w:rsidRDefault="00FD7C97" w:rsidP="00CE6E5F">
      <w:pPr>
        <w:pStyle w:val="Default"/>
        <w:keepNext/>
        <w:rPr>
          <w:sz w:val="22"/>
          <w:szCs w:val="22"/>
          <w:u w:val="single"/>
          <w:lang w:val="lt-LT"/>
        </w:rPr>
      </w:pPr>
    </w:p>
    <w:p w14:paraId="6FA3392E" w14:textId="77777777" w:rsidR="00694FD5" w:rsidRPr="00CE6E5F" w:rsidRDefault="00694FD5" w:rsidP="00CE6E5F">
      <w:pPr>
        <w:pStyle w:val="Antrat3"/>
      </w:pPr>
      <w:r w:rsidRPr="00CE6E5F">
        <w:t>Pak</w:t>
      </w:r>
      <w:r w:rsidR="00723E6B">
        <w:t>eičiamoji</w:t>
      </w:r>
      <w:r w:rsidRPr="00CE6E5F">
        <w:t xml:space="preserve"> terapija suaugusiesiems, vaikams ir paaugliams (0–18 metų) esant: </w:t>
      </w:r>
    </w:p>
    <w:p w14:paraId="1B4F0A14" w14:textId="77777777" w:rsidR="00207D15" w:rsidRDefault="00FD7C97" w:rsidP="00CE6E5F">
      <w:pPr>
        <w:pStyle w:val="Sraopastraipa"/>
        <w:numPr>
          <w:ilvl w:val="0"/>
          <w:numId w:val="33"/>
        </w:numPr>
      </w:pPr>
      <w:r w:rsidRPr="00CE6E5F">
        <w:t>pirmini</w:t>
      </w:r>
      <w:r w:rsidR="00723E6B">
        <w:t>o</w:t>
      </w:r>
      <w:r w:rsidRPr="00CE6E5F">
        <w:t xml:space="preserve"> imunodeficito (PID) sindromams, susijusiems su </w:t>
      </w:r>
      <w:r w:rsidR="00B85B46" w:rsidRPr="00CE6E5F">
        <w:t>sutrikusia</w:t>
      </w:r>
      <w:r w:rsidRPr="00CE6E5F">
        <w:t xml:space="preserve"> antikūnų gamyba (žr. 4.4 skyrių),</w:t>
      </w:r>
    </w:p>
    <w:p w14:paraId="5C39584C" w14:textId="67C0B559" w:rsidR="00207D15" w:rsidRPr="009B6E14" w:rsidRDefault="00207D15" w:rsidP="00207D15">
      <w:pPr>
        <w:pStyle w:val="Sraopastraipa"/>
        <w:numPr>
          <w:ilvl w:val="0"/>
          <w:numId w:val="33"/>
        </w:numPr>
      </w:pPr>
      <w:r w:rsidRPr="009B6E14">
        <w:t>antriniams imunodeficitams (AID)</w:t>
      </w:r>
      <w:r w:rsidR="00AA0DF0">
        <w:t xml:space="preserve"> </w:t>
      </w:r>
      <w:r w:rsidRPr="009B6E14">
        <w:t xml:space="preserve">pacientams, </w:t>
      </w:r>
      <w:r w:rsidR="006A1939">
        <w:t>sergantiems</w:t>
      </w:r>
      <w:r w:rsidRPr="009B6E14">
        <w:t xml:space="preserve"> sunki</w:t>
      </w:r>
      <w:r w:rsidR="006A1939">
        <w:t>omis</w:t>
      </w:r>
      <w:r w:rsidRPr="009B6E14">
        <w:t xml:space="preserve"> </w:t>
      </w:r>
      <w:r w:rsidR="00DA1C85">
        <w:t>a</w:t>
      </w:r>
      <w:r w:rsidRPr="009B6E14">
        <w:t>r pasikartojančio</w:t>
      </w:r>
      <w:r w:rsidR="006A1939">
        <w:t>mi</w:t>
      </w:r>
      <w:r w:rsidRPr="009B6E14">
        <w:t>s infekcijo</w:t>
      </w:r>
      <w:r w:rsidR="006A1939">
        <w:t>mi</w:t>
      </w:r>
      <w:r w:rsidRPr="009B6E14">
        <w:t xml:space="preserve">s, </w:t>
      </w:r>
      <w:r w:rsidR="0039545F">
        <w:t xml:space="preserve">kuriems </w:t>
      </w:r>
      <w:r w:rsidRPr="009B6E14">
        <w:t xml:space="preserve">neveiksmingas </w:t>
      </w:r>
      <w:r w:rsidR="00DA1C85">
        <w:t>anti</w:t>
      </w:r>
      <w:r w:rsidRPr="009B6E14">
        <w:t xml:space="preserve">mikrobinis gydymas ir įrodytas specifinių antikūnų </w:t>
      </w:r>
      <w:r w:rsidRPr="009B6E14">
        <w:lastRenderedPageBreak/>
        <w:t xml:space="preserve">nebuvimas </w:t>
      </w:r>
      <w:r w:rsidR="0039545F">
        <w:t>(</w:t>
      </w:r>
      <w:r w:rsidR="00E33C55">
        <w:t xml:space="preserve">angl. </w:t>
      </w:r>
      <w:proofErr w:type="spellStart"/>
      <w:r w:rsidR="00E33C55" w:rsidRPr="00540233">
        <w:rPr>
          <w:i/>
          <w:iCs/>
        </w:rPr>
        <w:t>proven</w:t>
      </w:r>
      <w:proofErr w:type="spellEnd"/>
      <w:r w:rsidR="00E33C55" w:rsidRPr="00540233">
        <w:rPr>
          <w:i/>
          <w:iCs/>
        </w:rPr>
        <w:t xml:space="preserve"> </w:t>
      </w:r>
      <w:proofErr w:type="spellStart"/>
      <w:r w:rsidR="00E33C55" w:rsidRPr="00540233">
        <w:rPr>
          <w:i/>
          <w:iCs/>
        </w:rPr>
        <w:t>specific</w:t>
      </w:r>
      <w:proofErr w:type="spellEnd"/>
      <w:r w:rsidR="00E33C55" w:rsidRPr="00540233">
        <w:rPr>
          <w:i/>
          <w:iCs/>
        </w:rPr>
        <w:t xml:space="preserve"> </w:t>
      </w:r>
      <w:proofErr w:type="spellStart"/>
      <w:r w:rsidR="00E33C55" w:rsidRPr="00540233">
        <w:rPr>
          <w:i/>
          <w:iCs/>
        </w:rPr>
        <w:t>antibody</w:t>
      </w:r>
      <w:proofErr w:type="spellEnd"/>
      <w:r w:rsidR="00E33C55" w:rsidRPr="00540233">
        <w:rPr>
          <w:i/>
          <w:iCs/>
        </w:rPr>
        <w:t xml:space="preserve"> </w:t>
      </w:r>
      <w:proofErr w:type="spellStart"/>
      <w:r w:rsidR="00E33C55" w:rsidRPr="00540233">
        <w:rPr>
          <w:i/>
          <w:iCs/>
        </w:rPr>
        <w:t>failure</w:t>
      </w:r>
      <w:proofErr w:type="spellEnd"/>
      <w:r w:rsidR="00E33C55">
        <w:t xml:space="preserve">, </w:t>
      </w:r>
      <w:r w:rsidRPr="00540233">
        <w:rPr>
          <w:i/>
          <w:iCs/>
        </w:rPr>
        <w:t>PSAF</w:t>
      </w:r>
      <w:r w:rsidRPr="009B6E14">
        <w:t xml:space="preserve">)* arba </w:t>
      </w:r>
      <w:proofErr w:type="spellStart"/>
      <w:r w:rsidRPr="009B6E14">
        <w:t>IgG</w:t>
      </w:r>
      <w:proofErr w:type="spellEnd"/>
      <w:r w:rsidRPr="009B6E14">
        <w:t xml:space="preserve"> k</w:t>
      </w:r>
      <w:r w:rsidR="005E1C0D">
        <w:t>oncentracija</w:t>
      </w:r>
      <w:r w:rsidRPr="009B6E14">
        <w:t xml:space="preserve"> serume &lt;</w:t>
      </w:r>
      <w:r w:rsidR="00382A39">
        <w:t> </w:t>
      </w:r>
      <w:r w:rsidRPr="009B6E14">
        <w:t>4</w:t>
      </w:r>
      <w:r w:rsidR="00382A39">
        <w:t> </w:t>
      </w:r>
      <w:r w:rsidRPr="009B6E14">
        <w:t>g/</w:t>
      </w:r>
      <w:r w:rsidR="00E33C55">
        <w:t>l</w:t>
      </w:r>
      <w:r w:rsidRPr="009B6E14">
        <w:t>.</w:t>
      </w:r>
    </w:p>
    <w:p w14:paraId="65B6ED6D" w14:textId="35923258" w:rsidR="00207D15" w:rsidRDefault="00207D15" w:rsidP="00540233">
      <w:pPr>
        <w:pStyle w:val="Sraopastraipa"/>
        <w:ind w:left="567"/>
      </w:pPr>
    </w:p>
    <w:p w14:paraId="530018D7" w14:textId="44A226B2" w:rsidR="00DE056D" w:rsidRPr="007B403D" w:rsidRDefault="00207D15" w:rsidP="00DE056D">
      <w:pPr>
        <w:ind w:left="567"/>
      </w:pPr>
      <w:r w:rsidRPr="009B6E14">
        <w:t>*</w:t>
      </w:r>
      <w:r w:rsidRPr="00540233">
        <w:rPr>
          <w:i/>
          <w:iCs/>
        </w:rPr>
        <w:t>PSAF</w:t>
      </w:r>
      <w:r w:rsidR="00E33C55">
        <w:t> </w:t>
      </w:r>
      <w:r w:rsidRPr="009B6E14">
        <w:t xml:space="preserve">– </w:t>
      </w:r>
      <w:r w:rsidR="00DE056D" w:rsidRPr="00DE056D">
        <w:t xml:space="preserve">nepavyksta bent 2 kartus padidinti </w:t>
      </w:r>
      <w:proofErr w:type="spellStart"/>
      <w:r w:rsidR="00DE056D" w:rsidRPr="00DE056D">
        <w:t>IgG</w:t>
      </w:r>
      <w:proofErr w:type="spellEnd"/>
      <w:r w:rsidR="00DE056D" w:rsidRPr="00DE056D">
        <w:t xml:space="preserve"> antikūnų titr</w:t>
      </w:r>
      <w:r w:rsidR="00E24E49">
        <w:t>o</w:t>
      </w:r>
      <w:r w:rsidR="00DE056D" w:rsidRPr="00DE056D">
        <w:t xml:space="preserve"> prieš </w:t>
      </w:r>
      <w:proofErr w:type="spellStart"/>
      <w:r w:rsidR="00DE056D" w:rsidRPr="00DE056D">
        <w:t>pneumokokų</w:t>
      </w:r>
      <w:proofErr w:type="spellEnd"/>
      <w:r w:rsidR="00DE056D" w:rsidRPr="00DE056D">
        <w:t xml:space="preserve"> polisacharidų ir </w:t>
      </w:r>
      <w:proofErr w:type="spellStart"/>
      <w:r w:rsidR="00DE056D" w:rsidRPr="00DE056D">
        <w:t>polipeptidinių</w:t>
      </w:r>
      <w:proofErr w:type="spellEnd"/>
      <w:r w:rsidR="00DE056D" w:rsidRPr="00DE056D">
        <w:t xml:space="preserve"> antigenų vakcinas</w:t>
      </w:r>
      <w:r w:rsidR="00DE056D">
        <w:t>.</w:t>
      </w:r>
    </w:p>
    <w:p w14:paraId="4947FCA7" w14:textId="1D004F59" w:rsidR="00EC6479" w:rsidRPr="00CE6E5F" w:rsidRDefault="00EC6479" w:rsidP="00540233">
      <w:pPr>
        <w:ind w:left="567"/>
        <w:rPr>
          <w:rFonts w:cs="Times New Roman"/>
          <w:color w:val="000000"/>
        </w:rPr>
      </w:pPr>
    </w:p>
    <w:p w14:paraId="69B47CB0" w14:textId="77777777" w:rsidR="00FD7C97" w:rsidRPr="00CE6E5F" w:rsidRDefault="00FD7C97" w:rsidP="00316E67">
      <w:pPr>
        <w:pStyle w:val="Antrat2"/>
      </w:pPr>
      <w:r w:rsidRPr="00CE6E5F">
        <w:t>4.2.</w:t>
      </w:r>
      <w:r w:rsidRPr="00CE6E5F">
        <w:tab/>
        <w:t xml:space="preserve">Dozavimas ir vartojimo metodas </w:t>
      </w:r>
    </w:p>
    <w:p w14:paraId="4C206CF7" w14:textId="77777777" w:rsidR="00EC6479" w:rsidRPr="00CE6E5F" w:rsidRDefault="00EC6479" w:rsidP="00E457A0">
      <w:pPr>
        <w:autoSpaceDE w:val="0"/>
        <w:autoSpaceDN w:val="0"/>
        <w:adjustRightInd w:val="0"/>
        <w:rPr>
          <w:rFonts w:cs="Times New Roman"/>
          <w:color w:val="000000"/>
        </w:rPr>
      </w:pPr>
    </w:p>
    <w:p w14:paraId="13011155" w14:textId="77777777" w:rsidR="00FD7C97" w:rsidRPr="00CE6E5F" w:rsidRDefault="00FD7C97" w:rsidP="00E457A0">
      <w:pPr>
        <w:pStyle w:val="Default"/>
        <w:rPr>
          <w:sz w:val="22"/>
          <w:szCs w:val="22"/>
          <w:lang w:val="lt-LT"/>
        </w:rPr>
      </w:pPr>
      <w:r w:rsidRPr="00CE6E5F">
        <w:rPr>
          <w:sz w:val="22"/>
          <w:szCs w:val="22"/>
          <w:lang w:val="lt-LT"/>
        </w:rPr>
        <w:t>Pakaitinę terapiją turi pradėti ir prižiūrėti gydytojas, turintis imunodeficito gydymo patirties.</w:t>
      </w:r>
    </w:p>
    <w:p w14:paraId="2B0295F0" w14:textId="77777777" w:rsidR="00694FD5" w:rsidRPr="00CE6E5F" w:rsidRDefault="00694FD5" w:rsidP="00E457A0">
      <w:pPr>
        <w:pStyle w:val="Default"/>
        <w:rPr>
          <w:sz w:val="22"/>
          <w:szCs w:val="22"/>
          <w:lang w:val="lt-LT"/>
        </w:rPr>
      </w:pPr>
    </w:p>
    <w:p w14:paraId="1D3EEA89" w14:textId="77777777" w:rsidR="00FD7C97" w:rsidRPr="00CE6E5F" w:rsidRDefault="00FD7C97" w:rsidP="00CE6E5F">
      <w:pPr>
        <w:pStyle w:val="Antrat3"/>
      </w:pPr>
      <w:r w:rsidRPr="00CE6E5F">
        <w:t xml:space="preserve">Dozavimas </w:t>
      </w:r>
    </w:p>
    <w:p w14:paraId="11B85527" w14:textId="77777777" w:rsidR="00FD7C97" w:rsidRPr="00CE6E5F" w:rsidRDefault="00FD7C97" w:rsidP="00E457A0">
      <w:pPr>
        <w:pStyle w:val="Default"/>
        <w:rPr>
          <w:sz w:val="22"/>
          <w:szCs w:val="22"/>
          <w:lang w:val="lt-LT"/>
        </w:rPr>
      </w:pPr>
      <w:r w:rsidRPr="00CE6E5F">
        <w:rPr>
          <w:sz w:val="22"/>
          <w:szCs w:val="22"/>
          <w:lang w:val="lt-LT"/>
        </w:rPr>
        <w:t>Dozė ir dozavimo režimas priklauso nuo indikacijos.</w:t>
      </w:r>
    </w:p>
    <w:p w14:paraId="67A7624D" w14:textId="77777777" w:rsidR="007814C1" w:rsidRPr="00CE6E5F" w:rsidRDefault="007814C1" w:rsidP="00E457A0">
      <w:pPr>
        <w:pStyle w:val="Default"/>
        <w:rPr>
          <w:i/>
          <w:iCs/>
          <w:sz w:val="22"/>
          <w:szCs w:val="22"/>
          <w:lang w:val="lt-LT"/>
        </w:rPr>
      </w:pPr>
    </w:p>
    <w:p w14:paraId="1B731976" w14:textId="77777777" w:rsidR="00FD7C97" w:rsidRPr="00CE6E5F" w:rsidRDefault="00723E6B" w:rsidP="00CE6E5F">
      <w:pPr>
        <w:pStyle w:val="Antrat4"/>
      </w:pPr>
      <w:r>
        <w:t>Pakeičiamoji</w:t>
      </w:r>
      <w:r w:rsidR="00EC6479" w:rsidRPr="00CE6E5F">
        <w:t xml:space="preserve"> terapija</w:t>
      </w:r>
    </w:p>
    <w:p w14:paraId="29A49684" w14:textId="77777777" w:rsidR="00FD7C97" w:rsidRPr="00CE6E5F" w:rsidRDefault="00FD7C97">
      <w:pPr>
        <w:pStyle w:val="Default"/>
        <w:rPr>
          <w:sz w:val="22"/>
          <w:szCs w:val="22"/>
          <w:lang w:val="lt-LT"/>
        </w:rPr>
      </w:pPr>
      <w:r w:rsidRPr="00CE6E5F">
        <w:rPr>
          <w:sz w:val="22"/>
          <w:szCs w:val="22"/>
          <w:lang w:val="lt-LT"/>
        </w:rPr>
        <w:t xml:space="preserve">Vaistinis preparatas turi būti leidžiamas po oda. </w:t>
      </w:r>
    </w:p>
    <w:p w14:paraId="2A2F06D8" w14:textId="77777777" w:rsidR="00FB3EBE" w:rsidRPr="00CE6E5F" w:rsidRDefault="00FB3EBE">
      <w:pPr>
        <w:pStyle w:val="Default"/>
        <w:rPr>
          <w:sz w:val="22"/>
          <w:szCs w:val="22"/>
          <w:lang w:val="lt-LT"/>
        </w:rPr>
      </w:pPr>
    </w:p>
    <w:p w14:paraId="3CA21C06" w14:textId="66F9F969" w:rsidR="00B80AAE" w:rsidRDefault="00723E6B" w:rsidP="00B80AAE">
      <w:pPr>
        <w:pStyle w:val="Default"/>
        <w:rPr>
          <w:sz w:val="22"/>
          <w:szCs w:val="22"/>
          <w:lang w:val="lt-LT"/>
        </w:rPr>
      </w:pPr>
      <w:r>
        <w:rPr>
          <w:sz w:val="22"/>
          <w:szCs w:val="22"/>
          <w:lang w:val="lt-LT"/>
        </w:rPr>
        <w:t>Pakeičiamosios</w:t>
      </w:r>
      <w:r w:rsidR="00FD7C97" w:rsidRPr="00CE6E5F">
        <w:rPr>
          <w:sz w:val="22"/>
          <w:szCs w:val="22"/>
          <w:lang w:val="lt-LT"/>
        </w:rPr>
        <w:t xml:space="preserve"> terapijos dozės gali būti nustatomos kiekvienam pacientui atskirai, atsižvelgiant į </w:t>
      </w:r>
      <w:proofErr w:type="spellStart"/>
      <w:r w:rsidR="00FD7C97" w:rsidRPr="00CE6E5F">
        <w:rPr>
          <w:sz w:val="22"/>
          <w:szCs w:val="22"/>
          <w:lang w:val="lt-LT"/>
        </w:rPr>
        <w:t>farmakokinetinę</w:t>
      </w:r>
      <w:proofErr w:type="spellEnd"/>
      <w:r w:rsidR="00FD7C97" w:rsidRPr="00CE6E5F">
        <w:rPr>
          <w:sz w:val="22"/>
          <w:szCs w:val="22"/>
          <w:lang w:val="lt-LT"/>
        </w:rPr>
        <w:t xml:space="preserve"> ir klinikinę reakcij</w:t>
      </w:r>
      <w:r w:rsidR="009E3135">
        <w:rPr>
          <w:sz w:val="22"/>
          <w:szCs w:val="22"/>
          <w:lang w:val="lt-LT"/>
        </w:rPr>
        <w:t>as</w:t>
      </w:r>
      <w:r w:rsidR="00FD7C97" w:rsidRPr="00CE6E5F">
        <w:rPr>
          <w:sz w:val="22"/>
          <w:szCs w:val="22"/>
          <w:lang w:val="lt-LT"/>
        </w:rPr>
        <w:t xml:space="preserve">. </w:t>
      </w:r>
    </w:p>
    <w:p w14:paraId="264A7D70" w14:textId="1EE2286F" w:rsidR="00B80AAE" w:rsidRPr="0080768A" w:rsidRDefault="009E3135" w:rsidP="00B80AAE">
      <w:pPr>
        <w:pStyle w:val="Default"/>
        <w:rPr>
          <w:sz w:val="22"/>
          <w:szCs w:val="22"/>
          <w:lang w:val="lt-LT"/>
        </w:rPr>
      </w:pPr>
      <w:proofErr w:type="spellStart"/>
      <w:r>
        <w:rPr>
          <w:sz w:val="22"/>
          <w:szCs w:val="22"/>
          <w:lang w:val="lt-LT"/>
        </w:rPr>
        <w:t>c</w:t>
      </w:r>
      <w:r w:rsidR="00B80AAE">
        <w:rPr>
          <w:sz w:val="22"/>
          <w:szCs w:val="22"/>
          <w:lang w:val="lt-LT"/>
        </w:rPr>
        <w:t>utaquig</w:t>
      </w:r>
      <w:proofErr w:type="spellEnd"/>
      <w:r w:rsidR="00B80AAE" w:rsidRPr="0080768A">
        <w:rPr>
          <w:sz w:val="22"/>
          <w:szCs w:val="22"/>
          <w:lang w:val="lt-LT"/>
        </w:rPr>
        <w:t xml:space="preserve"> galima skirti reguliariais intervalais kas dieną arba kas </w:t>
      </w:r>
      <w:r w:rsidR="006E5EAA">
        <w:rPr>
          <w:sz w:val="22"/>
          <w:szCs w:val="22"/>
          <w:lang w:val="lt-LT"/>
        </w:rPr>
        <w:t xml:space="preserve">antrą </w:t>
      </w:r>
      <w:r w:rsidR="00B80AAE" w:rsidRPr="0080768A">
        <w:rPr>
          <w:sz w:val="22"/>
          <w:szCs w:val="22"/>
          <w:lang w:val="lt-LT"/>
        </w:rPr>
        <w:t>savaitę.</w:t>
      </w:r>
    </w:p>
    <w:p w14:paraId="69264B7B" w14:textId="3EB7F181" w:rsidR="00FD7C97" w:rsidRPr="00CE6E5F" w:rsidRDefault="00FD7C97">
      <w:pPr>
        <w:pStyle w:val="Default"/>
        <w:rPr>
          <w:sz w:val="22"/>
          <w:szCs w:val="22"/>
          <w:lang w:val="lt-LT"/>
        </w:rPr>
      </w:pPr>
      <w:r w:rsidRPr="00CE6E5F">
        <w:rPr>
          <w:sz w:val="22"/>
          <w:szCs w:val="22"/>
          <w:lang w:val="lt-LT"/>
        </w:rPr>
        <w:t>Toliau pateiktos dozavimo režimo rekomendacijos.</w:t>
      </w:r>
    </w:p>
    <w:p w14:paraId="7D2AA4AB" w14:textId="77777777" w:rsidR="00FB3EBE" w:rsidRPr="00CE6E5F" w:rsidRDefault="00FB3EBE">
      <w:pPr>
        <w:pStyle w:val="Default"/>
        <w:rPr>
          <w:sz w:val="22"/>
          <w:szCs w:val="22"/>
          <w:lang w:val="lt-LT"/>
        </w:rPr>
      </w:pPr>
    </w:p>
    <w:p w14:paraId="1849498D" w14:textId="17D4B0C1" w:rsidR="006E3AD9" w:rsidRPr="009B6E14" w:rsidRDefault="006E3AD9" w:rsidP="006E3AD9">
      <w:pPr>
        <w:pStyle w:val="Default"/>
        <w:rPr>
          <w:sz w:val="22"/>
          <w:szCs w:val="22"/>
          <w:lang w:val="lt-LT"/>
        </w:rPr>
      </w:pPr>
      <w:r w:rsidRPr="009B6E14">
        <w:rPr>
          <w:i/>
          <w:iCs/>
          <w:sz w:val="22"/>
          <w:szCs w:val="22"/>
          <w:lang w:val="lt-LT"/>
        </w:rPr>
        <w:t>Pak</w:t>
      </w:r>
      <w:r>
        <w:rPr>
          <w:i/>
          <w:iCs/>
          <w:sz w:val="22"/>
          <w:szCs w:val="22"/>
          <w:lang w:val="lt-LT"/>
        </w:rPr>
        <w:t>eičiamoji</w:t>
      </w:r>
      <w:r w:rsidRPr="009B6E14">
        <w:rPr>
          <w:i/>
          <w:iCs/>
          <w:sz w:val="22"/>
          <w:szCs w:val="22"/>
          <w:lang w:val="lt-LT"/>
        </w:rPr>
        <w:t xml:space="preserve"> terapija pirminių imunodeficitų sindromų atvejais (kaip </w:t>
      </w:r>
      <w:r w:rsidR="006E5EAA">
        <w:rPr>
          <w:i/>
          <w:iCs/>
          <w:sz w:val="22"/>
          <w:szCs w:val="22"/>
          <w:lang w:val="lt-LT"/>
        </w:rPr>
        <w:t>apib</w:t>
      </w:r>
      <w:r w:rsidR="00DA1C85">
        <w:rPr>
          <w:i/>
          <w:iCs/>
          <w:sz w:val="22"/>
          <w:szCs w:val="22"/>
          <w:lang w:val="lt-LT"/>
        </w:rPr>
        <w:t>ūdin</w:t>
      </w:r>
      <w:r w:rsidR="006E5EAA">
        <w:rPr>
          <w:i/>
          <w:iCs/>
          <w:sz w:val="22"/>
          <w:szCs w:val="22"/>
          <w:lang w:val="lt-LT"/>
        </w:rPr>
        <w:t>ta</w:t>
      </w:r>
      <w:r w:rsidRPr="009B6E14">
        <w:rPr>
          <w:i/>
          <w:iCs/>
          <w:sz w:val="22"/>
          <w:szCs w:val="22"/>
          <w:lang w:val="lt-LT"/>
        </w:rPr>
        <w:t xml:space="preserve"> 4.1 skyriuje)</w:t>
      </w:r>
    </w:p>
    <w:p w14:paraId="67FC1F0B" w14:textId="6535E464" w:rsidR="00FD7C97" w:rsidRPr="007B403D" w:rsidRDefault="00FD7C97">
      <w:pPr>
        <w:pStyle w:val="Default"/>
        <w:rPr>
          <w:sz w:val="22"/>
          <w:lang w:val="lt-LT"/>
        </w:rPr>
      </w:pPr>
      <w:r w:rsidRPr="00CE6E5F">
        <w:rPr>
          <w:sz w:val="22"/>
          <w:szCs w:val="22"/>
          <w:lang w:val="lt-LT"/>
        </w:rPr>
        <w:t xml:space="preserve">Dozavimo režimas turi būti toks, kad mažiausioji </w:t>
      </w:r>
      <w:proofErr w:type="spellStart"/>
      <w:r w:rsidRPr="00CE6E5F">
        <w:rPr>
          <w:sz w:val="22"/>
          <w:szCs w:val="22"/>
          <w:lang w:val="lt-LT"/>
        </w:rPr>
        <w:t>IgG</w:t>
      </w:r>
      <w:proofErr w:type="spellEnd"/>
      <w:r w:rsidRPr="00CE6E5F">
        <w:rPr>
          <w:sz w:val="22"/>
          <w:szCs w:val="22"/>
          <w:lang w:val="lt-LT"/>
        </w:rPr>
        <w:t xml:space="preserve"> koncentracija (nustatyta prieš kitą </w:t>
      </w:r>
      <w:r w:rsidR="009E3135">
        <w:rPr>
          <w:sz w:val="22"/>
          <w:szCs w:val="22"/>
          <w:lang w:val="lt-LT"/>
        </w:rPr>
        <w:t>infuziją</w:t>
      </w:r>
      <w:r w:rsidRPr="00CE6E5F">
        <w:rPr>
          <w:sz w:val="22"/>
          <w:szCs w:val="22"/>
          <w:lang w:val="lt-LT"/>
        </w:rPr>
        <w:t xml:space="preserve">) būtų ne mažesnė kaip nuo 5 iki 6 g/l, ir būtina siekti, kad ji išliktų </w:t>
      </w:r>
      <w:proofErr w:type="spellStart"/>
      <w:r w:rsidRPr="00CE6E5F">
        <w:rPr>
          <w:sz w:val="22"/>
          <w:szCs w:val="22"/>
          <w:lang w:val="lt-LT"/>
        </w:rPr>
        <w:t>IgG</w:t>
      </w:r>
      <w:proofErr w:type="spellEnd"/>
      <w:r w:rsidRPr="00CE6E5F">
        <w:rPr>
          <w:sz w:val="22"/>
          <w:szCs w:val="22"/>
          <w:lang w:val="lt-LT"/>
        </w:rPr>
        <w:t xml:space="preserve"> koncentracijos serume </w:t>
      </w:r>
      <w:r w:rsidR="00183636">
        <w:rPr>
          <w:sz w:val="22"/>
          <w:szCs w:val="22"/>
          <w:lang w:val="lt-LT"/>
        </w:rPr>
        <w:t>amžiaus normos ribose</w:t>
      </w:r>
      <w:r w:rsidRPr="00CE6E5F">
        <w:rPr>
          <w:sz w:val="22"/>
          <w:szCs w:val="22"/>
          <w:lang w:val="lt-LT"/>
        </w:rPr>
        <w:t xml:space="preserve">. Gali prireikti įsotinamosios ne mažesnės kaip 0,2–0,5 g/kg (1,2–3,0 ml/kg) kūno svorio dozės. Šią dozę gali reikėti padalinti per kelias dienas, skiriant ne didesnę kaip 0,1–0,15 g/kg paros dozę. </w:t>
      </w:r>
    </w:p>
    <w:p w14:paraId="4E3FCAA1" w14:textId="77777777" w:rsidR="00FB3EBE" w:rsidRPr="00CE6E5F" w:rsidRDefault="00FB3EBE">
      <w:pPr>
        <w:pStyle w:val="Default"/>
        <w:rPr>
          <w:sz w:val="22"/>
          <w:szCs w:val="22"/>
          <w:lang w:val="lt-LT"/>
        </w:rPr>
      </w:pPr>
    </w:p>
    <w:p w14:paraId="004D4FF8" w14:textId="5F87C7C3" w:rsidR="00FD7C97" w:rsidRPr="00CE6E5F" w:rsidRDefault="00FD7C97">
      <w:pPr>
        <w:pStyle w:val="Default"/>
        <w:rPr>
          <w:sz w:val="22"/>
          <w:szCs w:val="22"/>
          <w:lang w:val="lt-LT"/>
        </w:rPr>
      </w:pPr>
      <w:r w:rsidRPr="00CE6E5F">
        <w:rPr>
          <w:sz w:val="22"/>
          <w:szCs w:val="22"/>
          <w:lang w:val="lt-LT"/>
        </w:rPr>
        <w:t xml:space="preserve">Pasiekus </w:t>
      </w:r>
      <w:proofErr w:type="spellStart"/>
      <w:r w:rsidRPr="00CE6E5F">
        <w:rPr>
          <w:sz w:val="22"/>
          <w:szCs w:val="22"/>
          <w:lang w:val="lt-LT"/>
        </w:rPr>
        <w:t>pusiausvyrinę</w:t>
      </w:r>
      <w:proofErr w:type="spellEnd"/>
      <w:r w:rsidRPr="00CE6E5F">
        <w:rPr>
          <w:sz w:val="22"/>
          <w:szCs w:val="22"/>
          <w:lang w:val="lt-LT"/>
        </w:rPr>
        <w:t xml:space="preserve"> </w:t>
      </w:r>
      <w:proofErr w:type="spellStart"/>
      <w:r w:rsidRPr="00CE6E5F">
        <w:rPr>
          <w:sz w:val="22"/>
          <w:szCs w:val="22"/>
          <w:lang w:val="lt-LT"/>
        </w:rPr>
        <w:t>IgG</w:t>
      </w:r>
      <w:proofErr w:type="spellEnd"/>
      <w:r w:rsidRPr="00CE6E5F">
        <w:rPr>
          <w:sz w:val="22"/>
          <w:szCs w:val="22"/>
          <w:lang w:val="lt-LT"/>
        </w:rPr>
        <w:t xml:space="preserve"> koncentraciją, kartotin</w:t>
      </w:r>
      <w:r w:rsidR="00B279B2">
        <w:rPr>
          <w:sz w:val="22"/>
          <w:szCs w:val="22"/>
          <w:lang w:val="lt-LT"/>
        </w:rPr>
        <w:t>i</w:t>
      </w:r>
      <w:r w:rsidRPr="00CE6E5F">
        <w:rPr>
          <w:sz w:val="22"/>
          <w:szCs w:val="22"/>
          <w:lang w:val="lt-LT"/>
        </w:rPr>
        <w:t xml:space="preserve">ais intervalais skiriamos palaikomosios dozės, kad būtų gauta suminė 0,4–0,8 g/kg (2,4–4,8 ml/kg) </w:t>
      </w:r>
      <w:r w:rsidR="00A14F0D">
        <w:rPr>
          <w:sz w:val="22"/>
          <w:szCs w:val="22"/>
          <w:lang w:val="lt-LT"/>
        </w:rPr>
        <w:t>kaupiamoji</w:t>
      </w:r>
      <w:r w:rsidRPr="00CE6E5F">
        <w:rPr>
          <w:sz w:val="22"/>
          <w:szCs w:val="22"/>
          <w:lang w:val="lt-LT"/>
        </w:rPr>
        <w:t xml:space="preserve"> dozė per mėnesį. Kiekvieną dozę gali tekti leisti skirtingose anatominėse srityse. </w:t>
      </w:r>
    </w:p>
    <w:p w14:paraId="31018987" w14:textId="77777777" w:rsidR="007814C1" w:rsidRPr="00CE6E5F" w:rsidRDefault="007814C1">
      <w:pPr>
        <w:pStyle w:val="Default"/>
        <w:rPr>
          <w:sz w:val="22"/>
          <w:szCs w:val="22"/>
          <w:lang w:val="lt-LT"/>
        </w:rPr>
      </w:pPr>
    </w:p>
    <w:p w14:paraId="2305CEDF" w14:textId="38F22EBB" w:rsidR="00FD7C97" w:rsidRPr="00CE6E5F" w:rsidRDefault="00FD7C97">
      <w:pPr>
        <w:pStyle w:val="Default"/>
        <w:rPr>
          <w:sz w:val="22"/>
          <w:szCs w:val="22"/>
          <w:lang w:val="lt-LT"/>
        </w:rPr>
      </w:pPr>
      <w:r w:rsidRPr="00CE6E5F">
        <w:rPr>
          <w:sz w:val="22"/>
          <w:szCs w:val="22"/>
          <w:lang w:val="lt-LT"/>
        </w:rPr>
        <w:t>Mažiausią</w:t>
      </w:r>
      <w:r w:rsidR="003C7545">
        <w:rPr>
          <w:sz w:val="22"/>
          <w:szCs w:val="22"/>
          <w:lang w:val="lt-LT"/>
        </w:rPr>
        <w:t>ją</w:t>
      </w:r>
      <w:r w:rsidRPr="00CE6E5F">
        <w:rPr>
          <w:sz w:val="22"/>
          <w:szCs w:val="22"/>
          <w:lang w:val="lt-LT"/>
        </w:rPr>
        <w:t xml:space="preserve"> koncentracij</w:t>
      </w:r>
      <w:r w:rsidR="003C7545">
        <w:rPr>
          <w:sz w:val="22"/>
          <w:szCs w:val="22"/>
          <w:lang w:val="lt-LT"/>
        </w:rPr>
        <w:t>ą</w:t>
      </w:r>
      <w:r w:rsidRPr="00CE6E5F">
        <w:rPr>
          <w:sz w:val="22"/>
          <w:szCs w:val="22"/>
          <w:lang w:val="lt-LT"/>
        </w:rPr>
        <w:t xml:space="preserve"> reikia matuoti ir vertinti atsižvelgiant į infekcijų dažnumą. Norint sumažinti infekcijų dažnį, gali prireikti padidinti dozę ir siekti didesn</w:t>
      </w:r>
      <w:r w:rsidR="003C7545">
        <w:rPr>
          <w:sz w:val="22"/>
          <w:szCs w:val="22"/>
          <w:lang w:val="lt-LT"/>
        </w:rPr>
        <w:t>ės</w:t>
      </w:r>
      <w:r w:rsidRPr="00CE6E5F">
        <w:rPr>
          <w:sz w:val="22"/>
          <w:szCs w:val="22"/>
          <w:lang w:val="lt-LT"/>
        </w:rPr>
        <w:t xml:space="preserve"> mažiausi</w:t>
      </w:r>
      <w:r w:rsidR="003C7545">
        <w:rPr>
          <w:sz w:val="22"/>
          <w:szCs w:val="22"/>
          <w:lang w:val="lt-LT"/>
        </w:rPr>
        <w:t>osios</w:t>
      </w:r>
      <w:r w:rsidRPr="00CE6E5F">
        <w:rPr>
          <w:sz w:val="22"/>
          <w:szCs w:val="22"/>
          <w:lang w:val="lt-LT"/>
        </w:rPr>
        <w:t xml:space="preserve"> koncentracij</w:t>
      </w:r>
      <w:r w:rsidR="003C7545">
        <w:rPr>
          <w:sz w:val="22"/>
          <w:szCs w:val="22"/>
          <w:lang w:val="lt-LT"/>
        </w:rPr>
        <w:t>os</w:t>
      </w:r>
      <w:r w:rsidRPr="00CE6E5F">
        <w:rPr>
          <w:sz w:val="22"/>
          <w:szCs w:val="22"/>
          <w:lang w:val="lt-LT"/>
        </w:rPr>
        <w:t>.</w:t>
      </w:r>
    </w:p>
    <w:p w14:paraId="30DE062C" w14:textId="05AEA581" w:rsidR="00A136CC" w:rsidRDefault="00A136CC">
      <w:pPr>
        <w:pStyle w:val="Default"/>
        <w:rPr>
          <w:sz w:val="22"/>
          <w:szCs w:val="22"/>
          <w:lang w:val="lt-LT"/>
        </w:rPr>
      </w:pPr>
    </w:p>
    <w:p w14:paraId="4FC4D2CA" w14:textId="19678B39" w:rsidR="00D315A9" w:rsidRPr="009B6E14" w:rsidRDefault="00D315A9" w:rsidP="00D315A9">
      <w:pPr>
        <w:pStyle w:val="Default"/>
        <w:rPr>
          <w:sz w:val="22"/>
          <w:szCs w:val="22"/>
          <w:lang w:val="lt-LT"/>
        </w:rPr>
      </w:pPr>
      <w:r w:rsidRPr="009B6E14">
        <w:rPr>
          <w:i/>
          <w:iCs/>
          <w:sz w:val="22"/>
          <w:szCs w:val="22"/>
          <w:lang w:val="lt-LT"/>
        </w:rPr>
        <w:t>Pak</w:t>
      </w:r>
      <w:r>
        <w:rPr>
          <w:i/>
          <w:iCs/>
          <w:sz w:val="22"/>
          <w:szCs w:val="22"/>
          <w:lang w:val="lt-LT"/>
        </w:rPr>
        <w:t>eičiamoji</w:t>
      </w:r>
      <w:r w:rsidRPr="009B6E14">
        <w:rPr>
          <w:i/>
          <w:iCs/>
          <w:sz w:val="22"/>
          <w:szCs w:val="22"/>
          <w:lang w:val="lt-LT"/>
        </w:rPr>
        <w:t xml:space="preserve"> terapija antrinių imunodeficitų atvejais (kaip </w:t>
      </w:r>
      <w:r w:rsidR="006E5EAA">
        <w:rPr>
          <w:i/>
          <w:iCs/>
          <w:sz w:val="22"/>
          <w:szCs w:val="22"/>
          <w:lang w:val="lt-LT"/>
        </w:rPr>
        <w:t>apib</w:t>
      </w:r>
      <w:r w:rsidR="00DA1C85">
        <w:rPr>
          <w:i/>
          <w:iCs/>
          <w:sz w:val="22"/>
          <w:szCs w:val="22"/>
          <w:lang w:val="lt-LT"/>
        </w:rPr>
        <w:t>ūdint</w:t>
      </w:r>
      <w:r w:rsidR="006E5EAA">
        <w:rPr>
          <w:i/>
          <w:iCs/>
          <w:sz w:val="22"/>
          <w:szCs w:val="22"/>
          <w:lang w:val="lt-LT"/>
        </w:rPr>
        <w:t>a</w:t>
      </w:r>
      <w:r w:rsidRPr="009B6E14">
        <w:rPr>
          <w:i/>
          <w:iCs/>
          <w:sz w:val="22"/>
          <w:szCs w:val="22"/>
          <w:lang w:val="lt-LT"/>
        </w:rPr>
        <w:t xml:space="preserve"> 4.1 skyriuje)</w:t>
      </w:r>
    </w:p>
    <w:p w14:paraId="4CD773C9" w14:textId="3DF77D59" w:rsidR="00D315A9" w:rsidRPr="009B6E14" w:rsidRDefault="00D315A9" w:rsidP="00D315A9">
      <w:pPr>
        <w:pStyle w:val="Default"/>
        <w:rPr>
          <w:sz w:val="22"/>
          <w:szCs w:val="22"/>
          <w:lang w:val="lt-LT"/>
        </w:rPr>
      </w:pPr>
      <w:bookmarkStart w:id="0" w:name="_Hlk70417687"/>
      <w:r w:rsidRPr="009B6E14">
        <w:rPr>
          <w:sz w:val="22"/>
          <w:szCs w:val="22"/>
          <w:lang w:val="lt-LT"/>
        </w:rPr>
        <w:t>Rekomenduojama dozė vartojama pasikartojančiais intervalais (maždaug kartą per savaitę), kad būtų pasiekta suminė mėnesio doz</w:t>
      </w:r>
      <w:r w:rsidR="006E5EAA">
        <w:rPr>
          <w:sz w:val="22"/>
          <w:szCs w:val="22"/>
          <w:lang w:val="lt-LT"/>
        </w:rPr>
        <w:t>ė</w:t>
      </w:r>
      <w:r w:rsidR="00392067">
        <w:rPr>
          <w:sz w:val="22"/>
          <w:szCs w:val="22"/>
          <w:lang w:val="lt-LT"/>
        </w:rPr>
        <w:t>,</w:t>
      </w:r>
      <w:r w:rsidRPr="009B6E14">
        <w:rPr>
          <w:sz w:val="22"/>
          <w:szCs w:val="22"/>
          <w:lang w:val="lt-LT"/>
        </w:rPr>
        <w:t xml:space="preserve"> maždaug 0,2</w:t>
      </w:r>
      <w:r w:rsidR="006E5EAA">
        <w:rPr>
          <w:sz w:val="22"/>
          <w:szCs w:val="22"/>
          <w:lang w:val="lt-LT"/>
        </w:rPr>
        <w:t>–</w:t>
      </w:r>
      <w:r w:rsidRPr="009B6E14">
        <w:rPr>
          <w:sz w:val="22"/>
          <w:szCs w:val="22"/>
          <w:lang w:val="lt-LT"/>
        </w:rPr>
        <w:t>0,4</w:t>
      </w:r>
      <w:r w:rsidR="00392067">
        <w:rPr>
          <w:sz w:val="22"/>
          <w:szCs w:val="22"/>
          <w:lang w:val="lt-LT"/>
        </w:rPr>
        <w:t> </w:t>
      </w:r>
      <w:r w:rsidRPr="009B6E14">
        <w:rPr>
          <w:sz w:val="22"/>
          <w:szCs w:val="22"/>
          <w:lang w:val="lt-LT"/>
        </w:rPr>
        <w:t>g/kg (1,2–2,4</w:t>
      </w:r>
      <w:r w:rsidR="00392067">
        <w:rPr>
          <w:sz w:val="22"/>
          <w:szCs w:val="22"/>
          <w:lang w:val="lt-LT"/>
        </w:rPr>
        <w:t> </w:t>
      </w:r>
      <w:r w:rsidRPr="009B6E14">
        <w:rPr>
          <w:sz w:val="22"/>
          <w:szCs w:val="22"/>
          <w:lang w:val="lt-LT"/>
        </w:rPr>
        <w:t xml:space="preserve">ml/kg). Kiekvieną </w:t>
      </w:r>
      <w:r>
        <w:rPr>
          <w:sz w:val="22"/>
          <w:szCs w:val="22"/>
          <w:lang w:val="lt-LT"/>
        </w:rPr>
        <w:t xml:space="preserve">vienkartinę </w:t>
      </w:r>
      <w:r w:rsidRPr="009B6E14">
        <w:rPr>
          <w:sz w:val="22"/>
          <w:szCs w:val="22"/>
          <w:lang w:val="lt-LT"/>
        </w:rPr>
        <w:t>dozę reikia su</w:t>
      </w:r>
      <w:r w:rsidR="003C7545">
        <w:rPr>
          <w:sz w:val="22"/>
          <w:szCs w:val="22"/>
          <w:lang w:val="lt-LT"/>
        </w:rPr>
        <w:t>leisti</w:t>
      </w:r>
      <w:r w:rsidRPr="009B6E14">
        <w:rPr>
          <w:sz w:val="22"/>
          <w:szCs w:val="22"/>
          <w:lang w:val="lt-LT"/>
        </w:rPr>
        <w:t xml:space="preserve"> į skirtingą anatominę sritį </w:t>
      </w:r>
    </w:p>
    <w:bookmarkEnd w:id="0"/>
    <w:p w14:paraId="0081CF26" w14:textId="77777777" w:rsidR="00D315A9" w:rsidRPr="009B6E14" w:rsidRDefault="00D315A9" w:rsidP="00D315A9">
      <w:pPr>
        <w:pStyle w:val="Default"/>
        <w:rPr>
          <w:sz w:val="22"/>
          <w:szCs w:val="22"/>
          <w:lang w:val="lt-LT"/>
        </w:rPr>
      </w:pPr>
    </w:p>
    <w:p w14:paraId="0EF49237" w14:textId="4D91D02E" w:rsidR="00D315A9" w:rsidRPr="00EB797A" w:rsidRDefault="00D315A9" w:rsidP="00D315A9">
      <w:pPr>
        <w:pStyle w:val="Default"/>
        <w:rPr>
          <w:sz w:val="22"/>
          <w:szCs w:val="22"/>
          <w:lang w:val="lt-LT"/>
        </w:rPr>
      </w:pPr>
      <w:r w:rsidRPr="009B6E14">
        <w:rPr>
          <w:sz w:val="22"/>
          <w:szCs w:val="22"/>
          <w:lang w:val="lt-LT"/>
        </w:rPr>
        <w:t>Mažiausi</w:t>
      </w:r>
      <w:r w:rsidR="00392067">
        <w:rPr>
          <w:sz w:val="22"/>
          <w:szCs w:val="22"/>
          <w:lang w:val="lt-LT"/>
        </w:rPr>
        <w:t>ą</w:t>
      </w:r>
      <w:r w:rsidRPr="009B6E14">
        <w:rPr>
          <w:sz w:val="22"/>
          <w:szCs w:val="22"/>
          <w:lang w:val="lt-LT"/>
        </w:rPr>
        <w:t xml:space="preserve"> </w:t>
      </w:r>
      <w:proofErr w:type="spellStart"/>
      <w:r w:rsidRPr="009B6E14">
        <w:rPr>
          <w:sz w:val="22"/>
          <w:szCs w:val="22"/>
          <w:lang w:val="lt-LT"/>
        </w:rPr>
        <w:t>IgG</w:t>
      </w:r>
      <w:proofErr w:type="spellEnd"/>
      <w:r w:rsidRPr="009B6E14">
        <w:rPr>
          <w:sz w:val="22"/>
          <w:szCs w:val="22"/>
          <w:lang w:val="lt-LT"/>
        </w:rPr>
        <w:t xml:space="preserve"> k</w:t>
      </w:r>
      <w:r w:rsidR="00392067">
        <w:rPr>
          <w:sz w:val="22"/>
          <w:szCs w:val="22"/>
          <w:lang w:val="lt-LT"/>
        </w:rPr>
        <w:t>oncentraciją</w:t>
      </w:r>
      <w:r w:rsidRPr="009B6E14">
        <w:rPr>
          <w:sz w:val="22"/>
          <w:szCs w:val="22"/>
          <w:lang w:val="lt-LT"/>
        </w:rPr>
        <w:t xml:space="preserve"> reikia matuoti ir vertinti atsižvelgiant į infekcij</w:t>
      </w:r>
      <w:r w:rsidR="00392067">
        <w:rPr>
          <w:sz w:val="22"/>
          <w:szCs w:val="22"/>
          <w:lang w:val="lt-LT"/>
        </w:rPr>
        <w:t>ų</w:t>
      </w:r>
      <w:r w:rsidRPr="009B6E14">
        <w:rPr>
          <w:sz w:val="22"/>
          <w:szCs w:val="22"/>
          <w:lang w:val="lt-LT"/>
        </w:rPr>
        <w:t xml:space="preserve"> dažn</w:t>
      </w:r>
      <w:r w:rsidR="00392067">
        <w:rPr>
          <w:sz w:val="22"/>
          <w:szCs w:val="22"/>
          <w:lang w:val="lt-LT"/>
        </w:rPr>
        <w:t>umą</w:t>
      </w:r>
      <w:r w:rsidRPr="009B6E14">
        <w:rPr>
          <w:sz w:val="22"/>
          <w:szCs w:val="22"/>
          <w:lang w:val="lt-LT"/>
        </w:rPr>
        <w:t>. Dozę reik</w:t>
      </w:r>
      <w:r>
        <w:rPr>
          <w:sz w:val="22"/>
          <w:szCs w:val="22"/>
          <w:lang w:val="lt-LT"/>
        </w:rPr>
        <w:t>ia</w:t>
      </w:r>
      <w:r w:rsidRPr="009B6E14">
        <w:rPr>
          <w:sz w:val="22"/>
          <w:szCs w:val="22"/>
          <w:lang w:val="lt-LT"/>
        </w:rPr>
        <w:t xml:space="preserve"> koreguoti pagal poreikį, kad būtų užtikrinta tinkamiausia apsauga nuo infekcijų; pacientams, kuriems pasireiškia nuolatinių infekcijų, dozę gali tekti padidinti, o pacientams, kuriems infekcijų nepasireiškia, galima svarstyti </w:t>
      </w:r>
      <w:r>
        <w:rPr>
          <w:sz w:val="22"/>
          <w:szCs w:val="22"/>
          <w:lang w:val="lt-LT"/>
        </w:rPr>
        <w:t xml:space="preserve">apie </w:t>
      </w:r>
      <w:r w:rsidRPr="009B6E14">
        <w:rPr>
          <w:sz w:val="22"/>
          <w:szCs w:val="22"/>
          <w:lang w:val="lt-LT"/>
        </w:rPr>
        <w:t>doz</w:t>
      </w:r>
      <w:r>
        <w:rPr>
          <w:sz w:val="22"/>
          <w:szCs w:val="22"/>
          <w:lang w:val="lt-LT"/>
        </w:rPr>
        <w:t>ės</w:t>
      </w:r>
      <w:r w:rsidRPr="009B6E14">
        <w:rPr>
          <w:sz w:val="22"/>
          <w:szCs w:val="22"/>
          <w:lang w:val="lt-LT"/>
        </w:rPr>
        <w:t xml:space="preserve"> </w:t>
      </w:r>
      <w:r>
        <w:rPr>
          <w:sz w:val="22"/>
          <w:szCs w:val="22"/>
          <w:lang w:val="lt-LT"/>
        </w:rPr>
        <w:t>su</w:t>
      </w:r>
      <w:r w:rsidRPr="009B6E14">
        <w:rPr>
          <w:sz w:val="22"/>
          <w:szCs w:val="22"/>
          <w:lang w:val="lt-LT"/>
        </w:rPr>
        <w:t>maži</w:t>
      </w:r>
      <w:r>
        <w:rPr>
          <w:sz w:val="22"/>
          <w:szCs w:val="22"/>
          <w:lang w:val="lt-LT"/>
        </w:rPr>
        <w:t>nimą</w:t>
      </w:r>
      <w:r w:rsidRPr="009B6E14">
        <w:rPr>
          <w:sz w:val="22"/>
          <w:szCs w:val="22"/>
          <w:lang w:val="lt-LT"/>
        </w:rPr>
        <w:t>.</w:t>
      </w:r>
      <w:r w:rsidRPr="00EB797A">
        <w:rPr>
          <w:sz w:val="22"/>
          <w:szCs w:val="22"/>
          <w:lang w:val="lt-LT"/>
        </w:rPr>
        <w:t xml:space="preserve"> </w:t>
      </w:r>
    </w:p>
    <w:p w14:paraId="180FF020" w14:textId="77777777" w:rsidR="00D315A9" w:rsidRPr="00CE6E5F" w:rsidRDefault="00D315A9">
      <w:pPr>
        <w:pStyle w:val="Default"/>
        <w:rPr>
          <w:sz w:val="22"/>
          <w:szCs w:val="22"/>
          <w:lang w:val="lt-LT"/>
        </w:rPr>
      </w:pPr>
    </w:p>
    <w:p w14:paraId="509F928F" w14:textId="77777777" w:rsidR="00FD7C97" w:rsidRPr="00CE6E5F" w:rsidRDefault="00EC6479" w:rsidP="00CE6E5F">
      <w:pPr>
        <w:pStyle w:val="Antrat4"/>
      </w:pPr>
      <w:r w:rsidRPr="00CE6E5F">
        <w:t>Vaikų populiacija</w:t>
      </w:r>
    </w:p>
    <w:p w14:paraId="14C66A38" w14:textId="0FA5FD35" w:rsidR="00FD7C97" w:rsidRPr="00CE6E5F" w:rsidRDefault="00FD7C97" w:rsidP="00E457A0">
      <w:pPr>
        <w:pStyle w:val="Default"/>
        <w:rPr>
          <w:sz w:val="22"/>
          <w:szCs w:val="22"/>
          <w:lang w:val="lt-LT"/>
        </w:rPr>
      </w:pPr>
      <w:r w:rsidRPr="00CE6E5F">
        <w:rPr>
          <w:sz w:val="22"/>
          <w:szCs w:val="22"/>
          <w:lang w:val="lt-LT"/>
        </w:rPr>
        <w:t xml:space="preserve">Dozavimas vaikams ir paaugliams (0–18 metų) nesiskiria nuo dozavimo suaugusiesiems, nes </w:t>
      </w:r>
      <w:r w:rsidR="00B52EAB">
        <w:rPr>
          <w:sz w:val="22"/>
          <w:szCs w:val="22"/>
          <w:lang w:val="lt-LT"/>
        </w:rPr>
        <w:t xml:space="preserve">dozavimas </w:t>
      </w:r>
      <w:r w:rsidRPr="00CE6E5F">
        <w:rPr>
          <w:sz w:val="22"/>
          <w:szCs w:val="22"/>
          <w:lang w:val="lt-LT"/>
        </w:rPr>
        <w:t xml:space="preserve">kiekvienos indikacijos </w:t>
      </w:r>
      <w:r w:rsidR="00B52EAB">
        <w:rPr>
          <w:sz w:val="22"/>
          <w:szCs w:val="22"/>
          <w:lang w:val="lt-LT"/>
        </w:rPr>
        <w:t>atveju</w:t>
      </w:r>
      <w:r w:rsidRPr="00CE6E5F">
        <w:rPr>
          <w:sz w:val="22"/>
          <w:szCs w:val="22"/>
          <w:lang w:val="lt-LT"/>
        </w:rPr>
        <w:t xml:space="preserve"> parenkamas pagal kūno svorį ir koreguojamas pagal klinikinius rezultatus, atsižvelgiant į </w:t>
      </w:r>
      <w:r w:rsidR="00723E6B">
        <w:rPr>
          <w:sz w:val="22"/>
          <w:szCs w:val="22"/>
          <w:lang w:val="lt-LT"/>
        </w:rPr>
        <w:t>pakeičiamosios</w:t>
      </w:r>
      <w:r w:rsidR="00723E6B" w:rsidRPr="00CE6E5F">
        <w:rPr>
          <w:sz w:val="22"/>
          <w:szCs w:val="22"/>
          <w:lang w:val="lt-LT"/>
        </w:rPr>
        <w:t xml:space="preserve"> </w:t>
      </w:r>
      <w:r w:rsidRPr="00CE6E5F">
        <w:rPr>
          <w:sz w:val="22"/>
          <w:szCs w:val="22"/>
          <w:lang w:val="lt-LT"/>
        </w:rPr>
        <w:t xml:space="preserve">terapijos indikacijas. </w:t>
      </w:r>
    </w:p>
    <w:p w14:paraId="754DBED4" w14:textId="77777777" w:rsidR="00E02AFD" w:rsidRPr="00CE6E5F" w:rsidRDefault="00E02AFD" w:rsidP="00E457A0">
      <w:pPr>
        <w:pStyle w:val="Default"/>
        <w:rPr>
          <w:sz w:val="22"/>
          <w:szCs w:val="22"/>
          <w:lang w:val="lt-LT"/>
        </w:rPr>
      </w:pPr>
    </w:p>
    <w:p w14:paraId="429EC6A6" w14:textId="5424C71E" w:rsidR="00E02AFD" w:rsidRPr="00CE6E5F" w:rsidRDefault="00EC6479" w:rsidP="00CE6E5F">
      <w:pPr>
        <w:pStyle w:val="Antrat4"/>
        <w:rPr>
          <w:i w:val="0"/>
          <w:iCs w:val="0"/>
        </w:rPr>
      </w:pPr>
      <w:r w:rsidRPr="00CE6E5F">
        <w:t>Senyvi</w:t>
      </w:r>
      <w:r w:rsidR="00E32250">
        <w:t>ems</w:t>
      </w:r>
      <w:r w:rsidRPr="00CE6E5F">
        <w:t xml:space="preserve"> pacienta</w:t>
      </w:r>
      <w:r w:rsidR="00E32250">
        <w:t>ms</w:t>
      </w:r>
    </w:p>
    <w:p w14:paraId="60379D0D" w14:textId="618FFCF0" w:rsidR="00E02AFD" w:rsidRPr="00CE6E5F" w:rsidRDefault="00E02AFD" w:rsidP="00E457A0">
      <w:pPr>
        <w:pStyle w:val="Default"/>
        <w:rPr>
          <w:sz w:val="22"/>
          <w:szCs w:val="22"/>
          <w:lang w:val="lt-LT"/>
        </w:rPr>
      </w:pPr>
      <w:r w:rsidRPr="00CE6E5F">
        <w:rPr>
          <w:sz w:val="22"/>
          <w:szCs w:val="22"/>
          <w:lang w:val="lt-LT"/>
        </w:rPr>
        <w:t xml:space="preserve">Kadangi dozė yra skiriama pagal kūno svorį ir koreguojama pagal anksčiau minėtų </w:t>
      </w:r>
      <w:r w:rsidR="00B52EAB">
        <w:rPr>
          <w:sz w:val="22"/>
          <w:szCs w:val="22"/>
          <w:lang w:val="lt-LT"/>
        </w:rPr>
        <w:t>ligų</w:t>
      </w:r>
      <w:r w:rsidRPr="00CE6E5F">
        <w:rPr>
          <w:sz w:val="22"/>
          <w:szCs w:val="22"/>
          <w:lang w:val="lt-LT"/>
        </w:rPr>
        <w:t xml:space="preserve"> klinikin</w:t>
      </w:r>
      <w:r w:rsidR="00E32250">
        <w:rPr>
          <w:sz w:val="22"/>
          <w:szCs w:val="22"/>
          <w:lang w:val="lt-LT"/>
        </w:rPr>
        <w:t>es</w:t>
      </w:r>
      <w:r w:rsidRPr="00CE6E5F">
        <w:rPr>
          <w:sz w:val="22"/>
          <w:szCs w:val="22"/>
          <w:lang w:val="lt-LT"/>
        </w:rPr>
        <w:t xml:space="preserve"> </w:t>
      </w:r>
      <w:r w:rsidR="00E32250">
        <w:rPr>
          <w:sz w:val="22"/>
          <w:szCs w:val="22"/>
          <w:lang w:val="lt-LT"/>
        </w:rPr>
        <w:t>išeitis</w:t>
      </w:r>
      <w:r w:rsidRPr="00CE6E5F">
        <w:rPr>
          <w:sz w:val="22"/>
          <w:szCs w:val="22"/>
          <w:lang w:val="lt-LT"/>
        </w:rPr>
        <w:t>, nemanoma, kad senyviems pacientams dozė tur</w:t>
      </w:r>
      <w:r w:rsidR="00313023">
        <w:rPr>
          <w:sz w:val="22"/>
          <w:szCs w:val="22"/>
          <w:lang w:val="lt-LT"/>
        </w:rPr>
        <w:t>i</w:t>
      </w:r>
      <w:r w:rsidRPr="00CE6E5F">
        <w:rPr>
          <w:sz w:val="22"/>
          <w:szCs w:val="22"/>
          <w:lang w:val="lt-LT"/>
        </w:rPr>
        <w:t xml:space="preserve"> būti kitokia nei 18–65 metų </w:t>
      </w:r>
      <w:r w:rsidR="00B52EAB">
        <w:rPr>
          <w:sz w:val="22"/>
          <w:szCs w:val="22"/>
          <w:lang w:val="lt-LT"/>
        </w:rPr>
        <w:t>pacientams</w:t>
      </w:r>
      <w:r w:rsidRPr="00CE6E5F">
        <w:rPr>
          <w:sz w:val="22"/>
          <w:szCs w:val="22"/>
          <w:lang w:val="lt-LT"/>
        </w:rPr>
        <w:t>. Klinikini</w:t>
      </w:r>
      <w:r w:rsidR="00C23D6F">
        <w:rPr>
          <w:sz w:val="22"/>
          <w:szCs w:val="22"/>
          <w:lang w:val="lt-LT"/>
        </w:rPr>
        <w:t>uose</w:t>
      </w:r>
      <w:r w:rsidRPr="00CE6E5F">
        <w:rPr>
          <w:sz w:val="22"/>
          <w:szCs w:val="22"/>
          <w:lang w:val="lt-LT"/>
        </w:rPr>
        <w:t xml:space="preserve"> tyrim</w:t>
      </w:r>
      <w:r w:rsidR="00C23D6F">
        <w:rPr>
          <w:sz w:val="22"/>
          <w:szCs w:val="22"/>
          <w:lang w:val="lt-LT"/>
        </w:rPr>
        <w:t>uose</w:t>
      </w:r>
      <w:r w:rsidRPr="00CE6E5F">
        <w:rPr>
          <w:sz w:val="22"/>
          <w:szCs w:val="22"/>
          <w:lang w:val="lt-LT"/>
        </w:rPr>
        <w:t xml:space="preserve"> </w:t>
      </w:r>
      <w:proofErr w:type="spellStart"/>
      <w:r w:rsidR="00242227">
        <w:rPr>
          <w:sz w:val="22"/>
          <w:szCs w:val="22"/>
          <w:lang w:val="lt-LT"/>
        </w:rPr>
        <w:t>c</w:t>
      </w:r>
      <w:r w:rsidRPr="00CE6E5F">
        <w:rPr>
          <w:sz w:val="22"/>
          <w:szCs w:val="22"/>
          <w:lang w:val="lt-LT"/>
        </w:rPr>
        <w:t>utaquig</w:t>
      </w:r>
      <w:proofErr w:type="spellEnd"/>
      <w:r w:rsidRPr="00CE6E5F">
        <w:rPr>
          <w:sz w:val="22"/>
          <w:szCs w:val="22"/>
          <w:lang w:val="lt-LT"/>
        </w:rPr>
        <w:t xml:space="preserve"> buvo vertinamas </w:t>
      </w:r>
      <w:r w:rsidR="00C23D6F" w:rsidRPr="00C23D6F">
        <w:rPr>
          <w:sz w:val="22"/>
          <w:szCs w:val="22"/>
          <w:lang w:val="lt-LT"/>
        </w:rPr>
        <w:t>17</w:t>
      </w:r>
      <w:r w:rsidRPr="00CE6E5F">
        <w:rPr>
          <w:sz w:val="22"/>
          <w:szCs w:val="22"/>
          <w:lang w:val="lt-LT"/>
        </w:rPr>
        <w:t> pacient</w:t>
      </w:r>
      <w:r w:rsidR="00C23D6F">
        <w:rPr>
          <w:sz w:val="22"/>
          <w:szCs w:val="22"/>
          <w:lang w:val="lt-LT"/>
        </w:rPr>
        <w:t>ų</w:t>
      </w:r>
      <w:r w:rsidRPr="00CE6E5F">
        <w:rPr>
          <w:sz w:val="22"/>
          <w:szCs w:val="22"/>
          <w:lang w:val="lt-LT"/>
        </w:rPr>
        <w:t>, vyresni</w:t>
      </w:r>
      <w:r w:rsidR="00C23D6F">
        <w:rPr>
          <w:sz w:val="22"/>
          <w:szCs w:val="22"/>
          <w:lang w:val="lt-LT"/>
        </w:rPr>
        <w:t>ų</w:t>
      </w:r>
      <w:r w:rsidRPr="00CE6E5F">
        <w:rPr>
          <w:sz w:val="22"/>
          <w:szCs w:val="22"/>
          <w:lang w:val="lt-LT"/>
        </w:rPr>
        <w:t xml:space="preserve"> </w:t>
      </w:r>
      <w:r w:rsidR="00B52EAB">
        <w:rPr>
          <w:sz w:val="22"/>
          <w:szCs w:val="22"/>
          <w:lang w:val="lt-LT"/>
        </w:rPr>
        <w:t>kaip</w:t>
      </w:r>
      <w:r w:rsidRPr="00CE6E5F">
        <w:rPr>
          <w:sz w:val="22"/>
          <w:szCs w:val="22"/>
          <w:lang w:val="lt-LT"/>
        </w:rPr>
        <w:t xml:space="preserve"> 65 metų. N</w:t>
      </w:r>
      <w:r w:rsidR="00E32250">
        <w:rPr>
          <w:sz w:val="22"/>
          <w:szCs w:val="22"/>
          <w:lang w:val="lt-LT"/>
        </w:rPr>
        <w:t>ebuvo</w:t>
      </w:r>
      <w:r w:rsidRPr="00CE6E5F">
        <w:rPr>
          <w:sz w:val="22"/>
          <w:szCs w:val="22"/>
          <w:lang w:val="lt-LT"/>
        </w:rPr>
        <w:t xml:space="preserve"> specifinių dozės reikalavimų, kad būtų pasiekta norima </w:t>
      </w:r>
      <w:proofErr w:type="spellStart"/>
      <w:r w:rsidRPr="00CE6E5F">
        <w:rPr>
          <w:sz w:val="22"/>
          <w:szCs w:val="22"/>
          <w:lang w:val="lt-LT"/>
        </w:rPr>
        <w:t>IgG</w:t>
      </w:r>
      <w:proofErr w:type="spellEnd"/>
      <w:r w:rsidRPr="00CE6E5F">
        <w:rPr>
          <w:sz w:val="22"/>
          <w:szCs w:val="22"/>
          <w:lang w:val="lt-LT"/>
        </w:rPr>
        <w:t xml:space="preserve"> koncentracija serume.</w:t>
      </w:r>
    </w:p>
    <w:p w14:paraId="5090F841" w14:textId="77777777" w:rsidR="007814C1" w:rsidRPr="00CE6E5F" w:rsidRDefault="007814C1" w:rsidP="00E457A0">
      <w:pPr>
        <w:pStyle w:val="Default"/>
        <w:rPr>
          <w:sz w:val="22"/>
          <w:szCs w:val="22"/>
          <w:lang w:val="lt-LT"/>
        </w:rPr>
      </w:pPr>
    </w:p>
    <w:p w14:paraId="6490AB1B" w14:textId="77777777" w:rsidR="00FD7C97" w:rsidRPr="00CE6E5F" w:rsidRDefault="00EC6479" w:rsidP="00CE6E5F">
      <w:pPr>
        <w:pStyle w:val="Antrat3"/>
      </w:pPr>
      <w:r w:rsidRPr="00CE6E5F">
        <w:lastRenderedPageBreak/>
        <w:t>Vartojimo metodas</w:t>
      </w:r>
    </w:p>
    <w:p w14:paraId="1D010E51" w14:textId="77777777" w:rsidR="00FD7C97" w:rsidRPr="00CE6E5F" w:rsidRDefault="00EC6479">
      <w:pPr>
        <w:pStyle w:val="Default"/>
        <w:rPr>
          <w:sz w:val="22"/>
          <w:szCs w:val="22"/>
          <w:lang w:val="lt-LT"/>
        </w:rPr>
      </w:pPr>
      <w:r w:rsidRPr="00CE6E5F">
        <w:rPr>
          <w:sz w:val="22"/>
          <w:szCs w:val="22"/>
          <w:lang w:val="lt-LT"/>
        </w:rPr>
        <w:t>Leisti tik po oda.</w:t>
      </w:r>
    </w:p>
    <w:p w14:paraId="4C8EF54B" w14:textId="77777777" w:rsidR="005E3732" w:rsidRPr="00CE6E5F" w:rsidRDefault="005E3732">
      <w:pPr>
        <w:pStyle w:val="Default"/>
        <w:rPr>
          <w:sz w:val="22"/>
          <w:szCs w:val="22"/>
          <w:lang w:val="lt-LT"/>
        </w:rPr>
      </w:pPr>
    </w:p>
    <w:p w14:paraId="23651D1B" w14:textId="6E2BB70F" w:rsidR="00FD7C97" w:rsidRPr="00CE6E5F" w:rsidRDefault="00FD7C97">
      <w:pPr>
        <w:pStyle w:val="Default"/>
        <w:rPr>
          <w:sz w:val="22"/>
          <w:szCs w:val="22"/>
          <w:lang w:val="lt-LT"/>
        </w:rPr>
      </w:pPr>
      <w:r w:rsidRPr="00CE6E5F">
        <w:rPr>
          <w:sz w:val="22"/>
          <w:szCs w:val="22"/>
          <w:lang w:val="lt-LT"/>
        </w:rPr>
        <w:t xml:space="preserve">Gydymą infuzijomis po oda namuose turi pradėti ir stebėti sveikatos priežiūros specialistas, turintis pacientų gydymo namuose patirties. Pacientui ir (arba) </w:t>
      </w:r>
      <w:r w:rsidR="00CA58E4">
        <w:rPr>
          <w:sz w:val="22"/>
          <w:szCs w:val="22"/>
          <w:lang w:val="lt-LT"/>
        </w:rPr>
        <w:t>globėjui</w:t>
      </w:r>
      <w:r w:rsidR="00F84DD7">
        <w:rPr>
          <w:sz w:val="22"/>
          <w:szCs w:val="22"/>
          <w:lang w:val="lt-LT"/>
        </w:rPr>
        <w:t xml:space="preserve"> </w:t>
      </w:r>
      <w:r w:rsidRPr="00CE6E5F">
        <w:rPr>
          <w:sz w:val="22"/>
          <w:szCs w:val="22"/>
          <w:lang w:val="lt-LT"/>
        </w:rPr>
        <w:t xml:space="preserve">būtina išaiškinti infuzijų prietaiso naudojimą, infuzijos metodus, </w:t>
      </w:r>
      <w:proofErr w:type="spellStart"/>
      <w:r w:rsidRPr="00CE6E5F">
        <w:rPr>
          <w:sz w:val="22"/>
          <w:szCs w:val="22"/>
          <w:lang w:val="lt-LT"/>
        </w:rPr>
        <w:t>aseptikos</w:t>
      </w:r>
      <w:proofErr w:type="spellEnd"/>
      <w:r w:rsidRPr="00CE6E5F">
        <w:rPr>
          <w:sz w:val="22"/>
          <w:szCs w:val="22"/>
          <w:lang w:val="lt-LT"/>
        </w:rPr>
        <w:t xml:space="preserve"> reikalavimus, kaip pildyti gydymo dienoraštį, kaip atpažinti ir kokių priemonių imtis, jei pasireiškia sunki</w:t>
      </w:r>
      <w:r w:rsidR="00075D4A">
        <w:rPr>
          <w:sz w:val="22"/>
          <w:szCs w:val="22"/>
          <w:lang w:val="lt-LT"/>
        </w:rPr>
        <w:t>ų</w:t>
      </w:r>
      <w:r w:rsidRPr="00CE6E5F">
        <w:rPr>
          <w:sz w:val="22"/>
          <w:szCs w:val="22"/>
          <w:lang w:val="lt-LT"/>
        </w:rPr>
        <w:t xml:space="preserve"> nepageidaujam</w:t>
      </w:r>
      <w:r w:rsidR="00075D4A">
        <w:rPr>
          <w:sz w:val="22"/>
          <w:szCs w:val="22"/>
          <w:lang w:val="lt-LT"/>
        </w:rPr>
        <w:t>ų</w:t>
      </w:r>
      <w:r w:rsidRPr="00CE6E5F">
        <w:rPr>
          <w:sz w:val="22"/>
          <w:szCs w:val="22"/>
          <w:lang w:val="lt-LT"/>
        </w:rPr>
        <w:t xml:space="preserve"> reakcij</w:t>
      </w:r>
      <w:r w:rsidR="00075D4A">
        <w:rPr>
          <w:sz w:val="22"/>
          <w:szCs w:val="22"/>
          <w:lang w:val="lt-LT"/>
        </w:rPr>
        <w:t>ų</w:t>
      </w:r>
      <w:r w:rsidRPr="00CE6E5F">
        <w:rPr>
          <w:sz w:val="22"/>
          <w:szCs w:val="22"/>
          <w:lang w:val="lt-LT"/>
        </w:rPr>
        <w:t>.</w:t>
      </w:r>
    </w:p>
    <w:p w14:paraId="791A6CFF" w14:textId="77777777" w:rsidR="005F37A4" w:rsidRPr="00CE6E5F" w:rsidRDefault="005F37A4">
      <w:pPr>
        <w:pStyle w:val="Default"/>
        <w:rPr>
          <w:sz w:val="22"/>
          <w:szCs w:val="22"/>
          <w:highlight w:val="yellow"/>
          <w:lang w:val="lt-LT"/>
        </w:rPr>
      </w:pPr>
    </w:p>
    <w:p w14:paraId="05D46AD3" w14:textId="77777777" w:rsidR="00FD7C97" w:rsidRPr="00CE6E5F" w:rsidRDefault="00242227">
      <w:pPr>
        <w:pStyle w:val="Default"/>
        <w:rPr>
          <w:sz w:val="22"/>
          <w:szCs w:val="22"/>
          <w:lang w:val="lt-LT"/>
        </w:rPr>
      </w:pPr>
      <w:proofErr w:type="spellStart"/>
      <w:r>
        <w:rPr>
          <w:sz w:val="22"/>
          <w:szCs w:val="22"/>
          <w:lang w:val="lt-LT"/>
        </w:rPr>
        <w:t>c</w:t>
      </w:r>
      <w:r w:rsidR="005A7389" w:rsidRPr="00CE6E5F">
        <w:rPr>
          <w:sz w:val="22"/>
          <w:szCs w:val="22"/>
          <w:lang w:val="lt-LT"/>
        </w:rPr>
        <w:t>utaquig</w:t>
      </w:r>
      <w:proofErr w:type="spellEnd"/>
      <w:r w:rsidR="005A7389" w:rsidRPr="00CE6E5F">
        <w:rPr>
          <w:sz w:val="22"/>
          <w:szCs w:val="22"/>
          <w:lang w:val="lt-LT"/>
        </w:rPr>
        <w:t xml:space="preserve"> galima leisti į tokias vietas kaip pilvas, šlaunis, žastas ir klubas.</w:t>
      </w:r>
    </w:p>
    <w:p w14:paraId="4112E19E" w14:textId="77777777" w:rsidR="00EC3AD6" w:rsidRPr="00CE6E5F" w:rsidRDefault="00EC3AD6">
      <w:pPr>
        <w:pStyle w:val="Default"/>
        <w:rPr>
          <w:sz w:val="22"/>
          <w:szCs w:val="22"/>
          <w:lang w:val="lt-LT"/>
        </w:rPr>
      </w:pPr>
    </w:p>
    <w:p w14:paraId="0C663063" w14:textId="77777777" w:rsidR="00E02AFD" w:rsidRPr="00CE6E5F" w:rsidRDefault="00E02AFD" w:rsidP="00CE6E5F">
      <w:pPr>
        <w:pStyle w:val="Antrat3"/>
      </w:pPr>
      <w:r w:rsidRPr="00CE6E5F">
        <w:t>Infuzijos greitis</w:t>
      </w:r>
    </w:p>
    <w:p w14:paraId="475AEC1A" w14:textId="77777777" w:rsidR="00FB6BE9" w:rsidRPr="00CE6E5F" w:rsidRDefault="00570783">
      <w:pPr>
        <w:pStyle w:val="Default"/>
        <w:rPr>
          <w:sz w:val="22"/>
          <w:szCs w:val="22"/>
          <w:lang w:val="lt-LT"/>
        </w:rPr>
      </w:pPr>
      <w:r w:rsidRPr="00CE6E5F">
        <w:rPr>
          <w:sz w:val="22"/>
          <w:szCs w:val="22"/>
          <w:lang w:val="lt-LT"/>
        </w:rPr>
        <w:t>Infuzijos greitis ir infuzinio tirpalo tūris vienoje vietoje nustatomas priklausomai nuo paciento toleravimo.</w:t>
      </w:r>
    </w:p>
    <w:p w14:paraId="06208CBF" w14:textId="77777777" w:rsidR="00FB6BE9" w:rsidRPr="00CE6E5F" w:rsidRDefault="00FB6BE9">
      <w:pPr>
        <w:pStyle w:val="Default"/>
        <w:rPr>
          <w:sz w:val="22"/>
          <w:szCs w:val="22"/>
          <w:lang w:val="lt-LT"/>
        </w:rPr>
      </w:pPr>
    </w:p>
    <w:p w14:paraId="29C4330F" w14:textId="7ECE5492" w:rsidR="002B2AB9" w:rsidRDefault="00E35137">
      <w:pPr>
        <w:pStyle w:val="Default"/>
        <w:rPr>
          <w:sz w:val="22"/>
          <w:szCs w:val="22"/>
          <w:lang w:val="lt-LT"/>
        </w:rPr>
      </w:pPr>
      <w:r>
        <w:rPr>
          <w:sz w:val="22"/>
          <w:szCs w:val="22"/>
          <w:lang w:val="lt-LT"/>
        </w:rPr>
        <w:t xml:space="preserve">Pacientams, niekada negydytiems </w:t>
      </w:r>
      <w:r w:rsidR="00075D4A">
        <w:rPr>
          <w:sz w:val="22"/>
          <w:szCs w:val="22"/>
          <w:lang w:val="lt-LT"/>
        </w:rPr>
        <w:t xml:space="preserve">po oda leidžiamais </w:t>
      </w:r>
      <w:proofErr w:type="spellStart"/>
      <w:r w:rsidRPr="00CE6E5F">
        <w:rPr>
          <w:sz w:val="22"/>
          <w:szCs w:val="22"/>
          <w:lang w:val="lt-LT"/>
        </w:rPr>
        <w:t>Ig</w:t>
      </w:r>
      <w:proofErr w:type="spellEnd"/>
      <w:r w:rsidR="00075D4A">
        <w:rPr>
          <w:sz w:val="22"/>
          <w:szCs w:val="22"/>
          <w:lang w:val="lt-LT"/>
        </w:rPr>
        <w:t xml:space="preserve"> vaistiniais preparatais</w:t>
      </w:r>
      <w:r>
        <w:rPr>
          <w:sz w:val="22"/>
          <w:szCs w:val="22"/>
          <w:lang w:val="lt-LT"/>
        </w:rPr>
        <w:t>,</w:t>
      </w:r>
      <w:r w:rsidRPr="00CE6E5F" w:rsidDel="00E35137">
        <w:rPr>
          <w:sz w:val="22"/>
          <w:szCs w:val="22"/>
          <w:lang w:val="lt-LT"/>
        </w:rPr>
        <w:t xml:space="preserve"> </w:t>
      </w:r>
      <w:r>
        <w:rPr>
          <w:sz w:val="22"/>
          <w:szCs w:val="22"/>
          <w:lang w:val="lt-LT"/>
        </w:rPr>
        <w:t>r</w:t>
      </w:r>
      <w:r w:rsidR="00FD7C97" w:rsidRPr="00CE6E5F">
        <w:rPr>
          <w:sz w:val="22"/>
          <w:szCs w:val="22"/>
          <w:lang w:val="lt-LT"/>
        </w:rPr>
        <w:t xml:space="preserve">ekomenduojama naudoti pradinį 15 ml/val./vietai leidimo greitį. </w:t>
      </w:r>
      <w:r w:rsidR="00471A60">
        <w:rPr>
          <w:sz w:val="22"/>
          <w:szCs w:val="22"/>
          <w:lang w:val="lt-LT"/>
        </w:rPr>
        <w:t>Pacientams</w:t>
      </w:r>
      <w:r>
        <w:rPr>
          <w:sz w:val="22"/>
          <w:szCs w:val="22"/>
          <w:lang w:val="lt-LT"/>
        </w:rPr>
        <w:t xml:space="preserve">, kuriems </w:t>
      </w:r>
      <w:proofErr w:type="spellStart"/>
      <w:r w:rsidRPr="00CE6E5F">
        <w:rPr>
          <w:sz w:val="22"/>
          <w:szCs w:val="22"/>
          <w:lang w:val="lt-LT"/>
        </w:rPr>
        <w:t>Ig</w:t>
      </w:r>
      <w:proofErr w:type="spellEnd"/>
      <w:r>
        <w:rPr>
          <w:sz w:val="22"/>
          <w:szCs w:val="22"/>
          <w:lang w:val="lt-LT"/>
        </w:rPr>
        <w:t xml:space="preserve"> </w:t>
      </w:r>
      <w:r w:rsidR="00EB7F65">
        <w:rPr>
          <w:sz w:val="22"/>
          <w:szCs w:val="22"/>
          <w:lang w:val="lt-LT"/>
        </w:rPr>
        <w:t xml:space="preserve">vaistinio preparato </w:t>
      </w:r>
      <w:r>
        <w:rPr>
          <w:sz w:val="22"/>
          <w:szCs w:val="22"/>
          <w:lang w:val="lt-LT"/>
        </w:rPr>
        <w:t xml:space="preserve">jau leidžiama po oda ir kuriems </w:t>
      </w:r>
      <w:r w:rsidR="003552B0">
        <w:rPr>
          <w:sz w:val="22"/>
          <w:szCs w:val="22"/>
          <w:lang w:val="lt-LT"/>
        </w:rPr>
        <w:t xml:space="preserve">šis </w:t>
      </w:r>
      <w:r>
        <w:rPr>
          <w:sz w:val="22"/>
          <w:szCs w:val="22"/>
          <w:lang w:val="lt-LT"/>
        </w:rPr>
        <w:t xml:space="preserve">gydymas keičiamas </w:t>
      </w:r>
      <w:proofErr w:type="spellStart"/>
      <w:r w:rsidR="005431F6">
        <w:rPr>
          <w:sz w:val="22"/>
          <w:szCs w:val="22"/>
          <w:lang w:val="lt-LT"/>
        </w:rPr>
        <w:t>c</w:t>
      </w:r>
      <w:r w:rsidR="005431F6" w:rsidRPr="00CE6E5F">
        <w:rPr>
          <w:sz w:val="22"/>
          <w:szCs w:val="22"/>
          <w:lang w:val="lt-LT"/>
        </w:rPr>
        <w:t>utaquig</w:t>
      </w:r>
      <w:proofErr w:type="spellEnd"/>
      <w:r w:rsidR="005431F6">
        <w:rPr>
          <w:sz w:val="22"/>
          <w:szCs w:val="22"/>
          <w:lang w:val="lt-LT"/>
        </w:rPr>
        <w:t>, rekomenduojama pradines infuzijas leisti anksčiau taikytu greičiu.</w:t>
      </w:r>
      <w:r w:rsidR="005431F6" w:rsidRPr="00CE6E5F">
        <w:rPr>
          <w:sz w:val="22"/>
          <w:szCs w:val="22"/>
          <w:lang w:val="lt-LT"/>
        </w:rPr>
        <w:t xml:space="preserve"> </w:t>
      </w:r>
      <w:r w:rsidR="00FD7C97" w:rsidRPr="00CE6E5F">
        <w:rPr>
          <w:sz w:val="22"/>
          <w:szCs w:val="22"/>
          <w:lang w:val="lt-LT"/>
        </w:rPr>
        <w:t>Jei infuzij</w:t>
      </w:r>
      <w:r w:rsidR="005431F6">
        <w:rPr>
          <w:sz w:val="22"/>
          <w:szCs w:val="22"/>
          <w:lang w:val="lt-LT"/>
        </w:rPr>
        <w:t>os</w:t>
      </w:r>
      <w:r w:rsidR="00FD7C97" w:rsidRPr="00CE6E5F">
        <w:rPr>
          <w:sz w:val="22"/>
          <w:szCs w:val="22"/>
          <w:lang w:val="lt-LT"/>
        </w:rPr>
        <w:t xml:space="preserve"> gerai toleruojam</w:t>
      </w:r>
      <w:r w:rsidR="005431F6">
        <w:rPr>
          <w:sz w:val="22"/>
          <w:szCs w:val="22"/>
          <w:lang w:val="lt-LT"/>
        </w:rPr>
        <w:t>os</w:t>
      </w:r>
      <w:r w:rsidR="00FD7C97" w:rsidRPr="00CE6E5F">
        <w:rPr>
          <w:sz w:val="22"/>
          <w:szCs w:val="22"/>
          <w:lang w:val="lt-LT"/>
        </w:rPr>
        <w:t xml:space="preserve"> (žr. 4.4 skyrių), </w:t>
      </w:r>
      <w:r w:rsidR="003552B0">
        <w:rPr>
          <w:sz w:val="22"/>
          <w:szCs w:val="22"/>
          <w:lang w:val="lt-LT"/>
        </w:rPr>
        <w:t xml:space="preserve">toliau </w:t>
      </w:r>
      <w:r w:rsidR="00260399">
        <w:rPr>
          <w:sz w:val="22"/>
          <w:szCs w:val="22"/>
          <w:lang w:val="lt-LT"/>
        </w:rPr>
        <w:t xml:space="preserve">suaugusiesiems </w:t>
      </w:r>
      <w:r w:rsidR="00260399" w:rsidRPr="00260399">
        <w:rPr>
          <w:sz w:val="22"/>
          <w:szCs w:val="22"/>
          <w:lang w:val="lt-LT"/>
        </w:rPr>
        <w:t>(≥</w:t>
      </w:r>
      <w:r w:rsidR="00260399">
        <w:rPr>
          <w:sz w:val="22"/>
          <w:szCs w:val="22"/>
          <w:lang w:val="lt-LT"/>
        </w:rPr>
        <w:t> </w:t>
      </w:r>
      <w:r w:rsidR="00260399" w:rsidRPr="00260399">
        <w:rPr>
          <w:sz w:val="22"/>
          <w:szCs w:val="22"/>
          <w:lang w:val="lt-LT"/>
        </w:rPr>
        <w:t>40</w:t>
      </w:r>
      <w:r w:rsidR="00260399">
        <w:rPr>
          <w:sz w:val="22"/>
          <w:szCs w:val="22"/>
          <w:lang w:val="lt-LT"/>
        </w:rPr>
        <w:t> </w:t>
      </w:r>
      <w:r w:rsidR="00260399" w:rsidRPr="00260399">
        <w:rPr>
          <w:sz w:val="22"/>
          <w:szCs w:val="22"/>
          <w:lang w:val="lt-LT"/>
        </w:rPr>
        <w:t>kg)</w:t>
      </w:r>
      <w:r w:rsidR="00260399">
        <w:rPr>
          <w:sz w:val="22"/>
          <w:szCs w:val="22"/>
          <w:lang w:val="lt-LT"/>
        </w:rPr>
        <w:t xml:space="preserve"> </w:t>
      </w:r>
      <w:r w:rsidR="00FD7C97" w:rsidRPr="00CE6E5F">
        <w:rPr>
          <w:sz w:val="22"/>
          <w:szCs w:val="22"/>
          <w:lang w:val="lt-LT"/>
        </w:rPr>
        <w:t xml:space="preserve">infuzijos greitį galima laipsniškai didinti </w:t>
      </w:r>
      <w:r w:rsidR="005431F6">
        <w:rPr>
          <w:sz w:val="22"/>
          <w:szCs w:val="22"/>
          <w:lang w:val="lt-LT"/>
        </w:rPr>
        <w:t xml:space="preserve">po maždaug </w:t>
      </w:r>
      <w:r w:rsidR="005431F6" w:rsidRPr="00CE6E5F">
        <w:rPr>
          <w:sz w:val="22"/>
          <w:szCs w:val="22"/>
          <w:lang w:val="lt-LT"/>
        </w:rPr>
        <w:t>10 ml/val./vietai</w:t>
      </w:r>
      <w:r w:rsidR="00840885">
        <w:rPr>
          <w:sz w:val="22"/>
          <w:szCs w:val="22"/>
          <w:lang w:val="lt-LT"/>
        </w:rPr>
        <w:t xml:space="preserve"> kas </w:t>
      </w:r>
      <w:r w:rsidR="00840885" w:rsidRPr="00CE6E5F">
        <w:rPr>
          <w:sz w:val="22"/>
          <w:szCs w:val="22"/>
          <w:lang w:val="lt-LT"/>
        </w:rPr>
        <w:t>2</w:t>
      </w:r>
      <w:r w:rsidR="00840885">
        <w:rPr>
          <w:sz w:val="22"/>
          <w:szCs w:val="22"/>
          <w:lang w:val="lt-LT"/>
        </w:rPr>
        <w:noBreakHyphen/>
      </w:r>
      <w:r w:rsidR="00840885" w:rsidRPr="00CE6E5F">
        <w:rPr>
          <w:sz w:val="22"/>
          <w:szCs w:val="22"/>
          <w:lang w:val="lt-LT"/>
        </w:rPr>
        <w:t>4</w:t>
      </w:r>
      <w:r w:rsidR="00840885">
        <w:rPr>
          <w:sz w:val="22"/>
          <w:szCs w:val="22"/>
          <w:lang w:val="lt-LT"/>
        </w:rPr>
        <w:t> savaites</w:t>
      </w:r>
      <w:r w:rsidR="00260399">
        <w:rPr>
          <w:sz w:val="22"/>
          <w:szCs w:val="22"/>
          <w:lang w:val="lt-LT"/>
        </w:rPr>
        <w:t xml:space="preserve">, o vaikams </w:t>
      </w:r>
      <w:r w:rsidR="00260399" w:rsidRPr="00260399">
        <w:rPr>
          <w:sz w:val="22"/>
          <w:szCs w:val="22"/>
          <w:lang w:val="lt-LT"/>
        </w:rPr>
        <w:t>(&lt;</w:t>
      </w:r>
      <w:r w:rsidR="00260399">
        <w:rPr>
          <w:sz w:val="22"/>
          <w:szCs w:val="22"/>
          <w:lang w:val="lt-LT"/>
        </w:rPr>
        <w:t> </w:t>
      </w:r>
      <w:r w:rsidR="00260399" w:rsidRPr="00260399">
        <w:rPr>
          <w:sz w:val="22"/>
          <w:szCs w:val="22"/>
          <w:lang w:val="lt-LT"/>
        </w:rPr>
        <w:t>40</w:t>
      </w:r>
      <w:r w:rsidR="00260399">
        <w:rPr>
          <w:sz w:val="22"/>
          <w:szCs w:val="22"/>
          <w:lang w:val="lt-LT"/>
        </w:rPr>
        <w:t> </w:t>
      </w:r>
      <w:r w:rsidR="00260399" w:rsidRPr="00260399">
        <w:rPr>
          <w:sz w:val="22"/>
          <w:szCs w:val="22"/>
          <w:lang w:val="lt-LT"/>
        </w:rPr>
        <w:t>kg)</w:t>
      </w:r>
      <w:r w:rsidR="00260399" w:rsidRPr="00CE6E5F">
        <w:rPr>
          <w:sz w:val="22"/>
          <w:szCs w:val="22"/>
          <w:lang w:val="lt-LT"/>
        </w:rPr>
        <w:t> –</w:t>
      </w:r>
      <w:r w:rsidR="00260399">
        <w:rPr>
          <w:sz w:val="22"/>
          <w:szCs w:val="22"/>
          <w:lang w:val="lt-LT"/>
        </w:rPr>
        <w:t xml:space="preserve">iki </w:t>
      </w:r>
      <w:r w:rsidR="00260399" w:rsidRPr="00CE6E5F">
        <w:rPr>
          <w:sz w:val="22"/>
          <w:szCs w:val="22"/>
          <w:lang w:val="lt-LT"/>
        </w:rPr>
        <w:t>10 ml/val./vietai</w:t>
      </w:r>
      <w:r w:rsidR="00260399" w:rsidRPr="00260399">
        <w:rPr>
          <w:sz w:val="22"/>
          <w:szCs w:val="22"/>
          <w:lang w:val="lt-LT"/>
        </w:rPr>
        <w:t xml:space="preserve"> </w:t>
      </w:r>
      <w:r w:rsidR="00840885">
        <w:rPr>
          <w:sz w:val="22"/>
          <w:szCs w:val="22"/>
          <w:lang w:val="lt-LT"/>
        </w:rPr>
        <w:t xml:space="preserve">kas </w:t>
      </w:r>
      <w:r w:rsidR="00840885" w:rsidRPr="00CE6E5F">
        <w:rPr>
          <w:sz w:val="22"/>
          <w:szCs w:val="22"/>
          <w:lang w:val="lt-LT"/>
        </w:rPr>
        <w:t>4</w:t>
      </w:r>
      <w:r w:rsidR="00840885">
        <w:rPr>
          <w:sz w:val="22"/>
          <w:szCs w:val="22"/>
          <w:lang w:val="lt-LT"/>
        </w:rPr>
        <w:t xml:space="preserve"> savaites </w:t>
      </w:r>
      <w:r w:rsidR="00260399" w:rsidRPr="00260399">
        <w:rPr>
          <w:sz w:val="22"/>
          <w:szCs w:val="22"/>
          <w:lang w:val="lt-LT"/>
        </w:rPr>
        <w:t>(</w:t>
      </w:r>
      <w:r w:rsidR="00260399">
        <w:rPr>
          <w:sz w:val="22"/>
          <w:szCs w:val="22"/>
          <w:lang w:val="lt-LT"/>
        </w:rPr>
        <w:t>žr.</w:t>
      </w:r>
      <w:r w:rsidR="00260399" w:rsidRPr="00260399">
        <w:rPr>
          <w:sz w:val="22"/>
          <w:szCs w:val="22"/>
          <w:lang w:val="lt-LT"/>
        </w:rPr>
        <w:t xml:space="preserve"> 5.1</w:t>
      </w:r>
      <w:r w:rsidR="00260399">
        <w:rPr>
          <w:sz w:val="22"/>
          <w:szCs w:val="22"/>
          <w:lang w:val="lt-LT"/>
        </w:rPr>
        <w:t> skyrių</w:t>
      </w:r>
      <w:r w:rsidR="00260399" w:rsidRPr="00260399">
        <w:rPr>
          <w:sz w:val="22"/>
          <w:szCs w:val="22"/>
          <w:lang w:val="lt-LT"/>
        </w:rPr>
        <w:t>)</w:t>
      </w:r>
      <w:r w:rsidR="00FD7C97" w:rsidRPr="00CE6E5F">
        <w:rPr>
          <w:sz w:val="22"/>
          <w:szCs w:val="22"/>
          <w:lang w:val="lt-LT"/>
        </w:rPr>
        <w:t>.</w:t>
      </w:r>
    </w:p>
    <w:p w14:paraId="7D1497DF" w14:textId="77777777" w:rsidR="003D305A" w:rsidRDefault="003D305A">
      <w:pPr>
        <w:pStyle w:val="Default"/>
        <w:rPr>
          <w:sz w:val="22"/>
          <w:szCs w:val="22"/>
          <w:lang w:val="lt-LT"/>
        </w:rPr>
      </w:pPr>
    </w:p>
    <w:p w14:paraId="746732F6" w14:textId="30CF17CF" w:rsidR="003D305A" w:rsidRPr="00CE6E5F" w:rsidRDefault="00692E4A">
      <w:pPr>
        <w:pStyle w:val="Default"/>
        <w:rPr>
          <w:sz w:val="22"/>
          <w:szCs w:val="22"/>
          <w:lang w:val="lt-LT"/>
        </w:rPr>
      </w:pPr>
      <w:r>
        <w:rPr>
          <w:sz w:val="22"/>
          <w:szCs w:val="22"/>
          <w:lang w:val="lt-LT"/>
        </w:rPr>
        <w:t>J</w:t>
      </w:r>
      <w:r w:rsidR="003D305A">
        <w:rPr>
          <w:sz w:val="22"/>
          <w:szCs w:val="22"/>
          <w:lang w:val="lt-LT"/>
        </w:rPr>
        <w:t>ei pacientas pradines infuzijas</w:t>
      </w:r>
      <w:r>
        <w:rPr>
          <w:sz w:val="22"/>
          <w:szCs w:val="22"/>
          <w:lang w:val="lt-LT"/>
        </w:rPr>
        <w:t xml:space="preserve"> </w:t>
      </w:r>
      <w:r w:rsidR="00E65FB6">
        <w:rPr>
          <w:sz w:val="22"/>
          <w:szCs w:val="22"/>
          <w:lang w:val="lt-LT"/>
        </w:rPr>
        <w:t xml:space="preserve">toleruoja </w:t>
      </w:r>
      <w:r>
        <w:rPr>
          <w:sz w:val="22"/>
          <w:szCs w:val="22"/>
          <w:lang w:val="lt-LT"/>
        </w:rPr>
        <w:t>visą dozę leidžiant didžiausiu greičiu</w:t>
      </w:r>
      <w:r w:rsidR="002B1360">
        <w:rPr>
          <w:sz w:val="22"/>
          <w:szCs w:val="22"/>
          <w:lang w:val="lt-LT"/>
        </w:rPr>
        <w:t xml:space="preserve"> vienoje vietoje</w:t>
      </w:r>
      <w:r>
        <w:rPr>
          <w:sz w:val="22"/>
          <w:szCs w:val="22"/>
          <w:lang w:val="lt-LT"/>
        </w:rPr>
        <w:t xml:space="preserve">, vėliau galima </w:t>
      </w:r>
      <w:r w:rsidR="00E65FB6">
        <w:rPr>
          <w:sz w:val="22"/>
          <w:szCs w:val="22"/>
          <w:lang w:val="lt-LT"/>
        </w:rPr>
        <w:t>ap</w:t>
      </w:r>
      <w:r>
        <w:rPr>
          <w:sz w:val="22"/>
          <w:szCs w:val="22"/>
          <w:lang w:val="lt-LT"/>
        </w:rPr>
        <w:t>svarstyti tolesnių infuzijų grei</w:t>
      </w:r>
      <w:r w:rsidR="00E7242F">
        <w:rPr>
          <w:sz w:val="22"/>
          <w:szCs w:val="22"/>
          <w:lang w:val="lt-LT"/>
        </w:rPr>
        <w:t>čio</w:t>
      </w:r>
      <w:r w:rsidR="00E65FB6">
        <w:rPr>
          <w:sz w:val="22"/>
          <w:szCs w:val="22"/>
          <w:lang w:val="lt-LT"/>
        </w:rPr>
        <w:t xml:space="preserve"> didinimą</w:t>
      </w:r>
      <w:r>
        <w:rPr>
          <w:sz w:val="22"/>
          <w:szCs w:val="22"/>
          <w:lang w:val="lt-LT"/>
        </w:rPr>
        <w:t xml:space="preserve">, kol bus pasiektas didžiausias </w:t>
      </w:r>
      <w:r w:rsidRPr="00692E4A">
        <w:rPr>
          <w:sz w:val="22"/>
          <w:szCs w:val="22"/>
          <w:lang w:val="lt-LT"/>
        </w:rPr>
        <w:t>67</w:t>
      </w:r>
      <w:r>
        <w:rPr>
          <w:sz w:val="22"/>
          <w:szCs w:val="22"/>
          <w:lang w:val="lt-LT"/>
        </w:rPr>
        <w:t>,</w:t>
      </w:r>
      <w:r w:rsidRPr="00692E4A">
        <w:rPr>
          <w:sz w:val="22"/>
          <w:szCs w:val="22"/>
          <w:lang w:val="lt-LT"/>
        </w:rPr>
        <w:t>5</w:t>
      </w:r>
      <w:r>
        <w:rPr>
          <w:sz w:val="22"/>
          <w:szCs w:val="22"/>
          <w:lang w:val="lt-LT"/>
        </w:rPr>
        <w:t> </w:t>
      </w:r>
      <w:r w:rsidRPr="00692E4A">
        <w:rPr>
          <w:sz w:val="22"/>
          <w:szCs w:val="22"/>
          <w:lang w:val="lt-LT"/>
        </w:rPr>
        <w:t>ml</w:t>
      </w:r>
      <w:r w:rsidRPr="00CE6E5F">
        <w:rPr>
          <w:sz w:val="22"/>
          <w:szCs w:val="22"/>
          <w:lang w:val="lt-LT"/>
        </w:rPr>
        <w:t>/val./vietai</w:t>
      </w:r>
      <w:r>
        <w:rPr>
          <w:sz w:val="22"/>
          <w:szCs w:val="22"/>
          <w:lang w:val="lt-LT"/>
        </w:rPr>
        <w:t xml:space="preserve"> srauto greitis suaugusiesiems ir </w:t>
      </w:r>
      <w:r w:rsidRPr="00CE6E5F">
        <w:rPr>
          <w:sz w:val="22"/>
          <w:szCs w:val="22"/>
          <w:lang w:val="lt-LT"/>
        </w:rPr>
        <w:t>25 ml/val./vietai</w:t>
      </w:r>
      <w:r w:rsidR="00E65FB6" w:rsidRPr="00CE6E5F">
        <w:rPr>
          <w:sz w:val="22"/>
          <w:szCs w:val="22"/>
          <w:lang w:val="lt-LT"/>
        </w:rPr>
        <w:t> –</w:t>
      </w:r>
      <w:r>
        <w:rPr>
          <w:sz w:val="22"/>
          <w:szCs w:val="22"/>
          <w:lang w:val="lt-LT"/>
        </w:rPr>
        <w:t xml:space="preserve"> vaikams</w:t>
      </w:r>
      <w:r w:rsidRPr="00260399">
        <w:rPr>
          <w:sz w:val="22"/>
          <w:szCs w:val="22"/>
          <w:lang w:val="lt-LT"/>
        </w:rPr>
        <w:t xml:space="preserve"> (</w:t>
      </w:r>
      <w:r>
        <w:rPr>
          <w:sz w:val="22"/>
          <w:szCs w:val="22"/>
          <w:lang w:val="lt-LT"/>
        </w:rPr>
        <w:t>žr.</w:t>
      </w:r>
      <w:r w:rsidRPr="00260399">
        <w:rPr>
          <w:sz w:val="22"/>
          <w:szCs w:val="22"/>
          <w:lang w:val="lt-LT"/>
        </w:rPr>
        <w:t xml:space="preserve"> 5.1</w:t>
      </w:r>
      <w:r>
        <w:rPr>
          <w:sz w:val="22"/>
          <w:szCs w:val="22"/>
          <w:lang w:val="lt-LT"/>
        </w:rPr>
        <w:t> skyrių</w:t>
      </w:r>
      <w:r w:rsidRPr="00260399">
        <w:rPr>
          <w:sz w:val="22"/>
          <w:szCs w:val="22"/>
          <w:lang w:val="lt-LT"/>
        </w:rPr>
        <w:t>)</w:t>
      </w:r>
      <w:r>
        <w:rPr>
          <w:sz w:val="22"/>
          <w:szCs w:val="22"/>
          <w:lang w:val="lt-LT"/>
        </w:rPr>
        <w:t>.</w:t>
      </w:r>
    </w:p>
    <w:p w14:paraId="3C2D0F99" w14:textId="77777777" w:rsidR="00AD6413" w:rsidRDefault="00AD6413">
      <w:pPr>
        <w:pStyle w:val="Default"/>
        <w:rPr>
          <w:sz w:val="22"/>
          <w:szCs w:val="22"/>
          <w:lang w:val="lt-LT"/>
        </w:rPr>
      </w:pPr>
    </w:p>
    <w:p w14:paraId="5EC0AB45" w14:textId="4C8F6C82" w:rsidR="00AF5724" w:rsidRPr="00CE6E5F" w:rsidRDefault="00FD7C97">
      <w:pPr>
        <w:pStyle w:val="Default"/>
        <w:rPr>
          <w:sz w:val="22"/>
          <w:szCs w:val="22"/>
          <w:lang w:val="lt-LT"/>
        </w:rPr>
      </w:pPr>
      <w:r w:rsidRPr="00CE6E5F">
        <w:rPr>
          <w:sz w:val="22"/>
          <w:szCs w:val="22"/>
          <w:lang w:val="lt-LT"/>
        </w:rPr>
        <w:t xml:space="preserve">Vienu metu galima naudoti daugiau </w:t>
      </w:r>
      <w:r w:rsidR="00C4343C">
        <w:rPr>
          <w:sz w:val="22"/>
          <w:szCs w:val="22"/>
          <w:lang w:val="lt-LT"/>
        </w:rPr>
        <w:t>kaip</w:t>
      </w:r>
      <w:r w:rsidRPr="00CE6E5F">
        <w:rPr>
          <w:sz w:val="22"/>
          <w:szCs w:val="22"/>
          <w:lang w:val="lt-LT"/>
        </w:rPr>
        <w:t xml:space="preserve"> vieną infuzijų prietaisą. </w:t>
      </w:r>
    </w:p>
    <w:p w14:paraId="20775946" w14:textId="77777777" w:rsidR="00057F5F" w:rsidRPr="00CE6E5F" w:rsidRDefault="00057F5F">
      <w:pPr>
        <w:pStyle w:val="Default"/>
        <w:rPr>
          <w:sz w:val="22"/>
          <w:szCs w:val="22"/>
          <w:u w:val="single"/>
          <w:lang w:val="lt-LT"/>
        </w:rPr>
      </w:pPr>
    </w:p>
    <w:p w14:paraId="1DA898CA" w14:textId="77777777" w:rsidR="00057F5F" w:rsidRPr="00CE6E5F" w:rsidRDefault="00057F5F" w:rsidP="00CE6E5F">
      <w:pPr>
        <w:pStyle w:val="Antrat3"/>
      </w:pPr>
      <w:r w:rsidRPr="00CE6E5F">
        <w:t>Infuzinio tirpalo tūris vienoje vietoje</w:t>
      </w:r>
    </w:p>
    <w:p w14:paraId="67FA465C" w14:textId="6369E9AF" w:rsidR="00FD7C97" w:rsidRPr="00CE6E5F" w:rsidRDefault="00FD7C97">
      <w:pPr>
        <w:pStyle w:val="Default"/>
        <w:rPr>
          <w:sz w:val="22"/>
          <w:szCs w:val="22"/>
          <w:lang w:val="lt-LT"/>
        </w:rPr>
      </w:pPr>
      <w:r w:rsidRPr="00CE6E5F">
        <w:rPr>
          <w:sz w:val="22"/>
          <w:szCs w:val="22"/>
          <w:lang w:val="lt-LT"/>
        </w:rPr>
        <w:t xml:space="preserve">Į konkrečią vietą leidžiamo </w:t>
      </w:r>
      <w:r w:rsidR="00C4343C">
        <w:rPr>
          <w:sz w:val="22"/>
          <w:szCs w:val="22"/>
          <w:lang w:val="lt-LT"/>
        </w:rPr>
        <w:t xml:space="preserve">vaistinio </w:t>
      </w:r>
      <w:r w:rsidRPr="00CE6E5F">
        <w:rPr>
          <w:sz w:val="22"/>
          <w:szCs w:val="22"/>
          <w:lang w:val="lt-LT"/>
        </w:rPr>
        <w:t>preparato kiekis yra nevienodas. Kūdikiams ir vaikams infuzijos vietą galima keisti suleidus 5–15 ml. Suaugusiesiems didesnes kaip 30 ml dozes galima skaidyti, atsižvelgiant į paciento pasirinkimą. Infuzijų vietų skaičius neribojamas. Atstumas tarp infuzijų vietų turi būti ne mažesnis kaip 5 cm.</w:t>
      </w:r>
    </w:p>
    <w:p w14:paraId="076A347B" w14:textId="77777777" w:rsidR="00FB3EBE" w:rsidRPr="00CE6E5F" w:rsidRDefault="00FB3EBE">
      <w:pPr>
        <w:pStyle w:val="Default"/>
        <w:rPr>
          <w:sz w:val="22"/>
          <w:szCs w:val="22"/>
          <w:lang w:val="lt-LT"/>
        </w:rPr>
      </w:pPr>
    </w:p>
    <w:p w14:paraId="106C0C3B" w14:textId="77777777" w:rsidR="00FD7C97" w:rsidRPr="00CE6E5F" w:rsidRDefault="00EC6479">
      <w:pPr>
        <w:pStyle w:val="Antrat2"/>
      </w:pPr>
      <w:r w:rsidRPr="00CE6E5F">
        <w:t>4.3</w:t>
      </w:r>
      <w:r w:rsidRPr="00CE6E5F">
        <w:tab/>
        <w:t>Kontraindikacijos</w:t>
      </w:r>
    </w:p>
    <w:p w14:paraId="1C1DFA18" w14:textId="77777777" w:rsidR="00EC6479" w:rsidRPr="00CE6E5F" w:rsidRDefault="00EC6479">
      <w:pPr>
        <w:pStyle w:val="Default"/>
        <w:rPr>
          <w:sz w:val="22"/>
          <w:szCs w:val="22"/>
          <w:lang w:val="lt-LT"/>
        </w:rPr>
      </w:pPr>
    </w:p>
    <w:p w14:paraId="45102935" w14:textId="77777777" w:rsidR="00141D6E" w:rsidRPr="00CE6E5F" w:rsidRDefault="00FD7C97">
      <w:pPr>
        <w:pStyle w:val="Default"/>
        <w:rPr>
          <w:sz w:val="22"/>
          <w:szCs w:val="22"/>
          <w:lang w:val="lt-LT"/>
        </w:rPr>
      </w:pPr>
      <w:r w:rsidRPr="00CE6E5F">
        <w:rPr>
          <w:sz w:val="22"/>
          <w:szCs w:val="22"/>
          <w:lang w:val="lt-LT"/>
        </w:rPr>
        <w:t>Padidėjęs jautrumas veikliajai arba bet kuriai 6.1 skyriuje nurodytai pagalbinei medžiagai (žr. 4.4 skyrių).</w:t>
      </w:r>
      <w:r w:rsidRPr="00CE6E5F">
        <w:rPr>
          <w:i/>
          <w:iCs/>
          <w:sz w:val="22"/>
          <w:szCs w:val="22"/>
          <w:lang w:val="lt-LT"/>
        </w:rPr>
        <w:t xml:space="preserve"> </w:t>
      </w:r>
    </w:p>
    <w:p w14:paraId="1809C2D4" w14:textId="3542A0A7" w:rsidR="00FD7C97" w:rsidRPr="00CE6E5F" w:rsidRDefault="00242227">
      <w:pPr>
        <w:pStyle w:val="Default"/>
        <w:rPr>
          <w:sz w:val="22"/>
          <w:szCs w:val="22"/>
          <w:lang w:val="lt-LT"/>
        </w:rPr>
      </w:pPr>
      <w:proofErr w:type="spellStart"/>
      <w:r>
        <w:rPr>
          <w:sz w:val="22"/>
          <w:szCs w:val="22"/>
          <w:lang w:val="lt-LT"/>
        </w:rPr>
        <w:t>c</w:t>
      </w:r>
      <w:r w:rsidR="005A7389" w:rsidRPr="00CE6E5F">
        <w:rPr>
          <w:sz w:val="22"/>
          <w:szCs w:val="22"/>
          <w:lang w:val="lt-LT"/>
        </w:rPr>
        <w:t>utaquig</w:t>
      </w:r>
      <w:proofErr w:type="spellEnd"/>
      <w:r w:rsidR="005A7389" w:rsidRPr="00CE6E5F">
        <w:rPr>
          <w:sz w:val="22"/>
          <w:szCs w:val="22"/>
          <w:lang w:val="lt-LT"/>
        </w:rPr>
        <w:t xml:space="preserve"> </w:t>
      </w:r>
      <w:r w:rsidR="00773153">
        <w:rPr>
          <w:sz w:val="22"/>
          <w:szCs w:val="22"/>
          <w:lang w:val="lt-LT"/>
        </w:rPr>
        <w:t>draudžiama</w:t>
      </w:r>
      <w:r w:rsidR="005A7389" w:rsidRPr="00CE6E5F">
        <w:rPr>
          <w:sz w:val="22"/>
          <w:szCs w:val="22"/>
          <w:lang w:val="lt-LT"/>
        </w:rPr>
        <w:t xml:space="preserve"> leisti į kraujagyslę.</w:t>
      </w:r>
    </w:p>
    <w:p w14:paraId="4983FA0F" w14:textId="77777777" w:rsidR="005F37A4" w:rsidRPr="00CE6E5F" w:rsidRDefault="005F37A4">
      <w:pPr>
        <w:pStyle w:val="Default"/>
        <w:rPr>
          <w:sz w:val="22"/>
          <w:szCs w:val="22"/>
          <w:lang w:val="lt-LT"/>
        </w:rPr>
      </w:pPr>
    </w:p>
    <w:p w14:paraId="671CF062" w14:textId="5819EFF2" w:rsidR="00FD7C97" w:rsidRPr="00CE6E5F" w:rsidRDefault="00FD7C97">
      <w:pPr>
        <w:pStyle w:val="Default"/>
        <w:rPr>
          <w:sz w:val="22"/>
          <w:szCs w:val="22"/>
          <w:lang w:val="lt-LT"/>
        </w:rPr>
      </w:pPr>
      <w:r w:rsidRPr="00CE6E5F">
        <w:rPr>
          <w:sz w:val="22"/>
          <w:szCs w:val="22"/>
          <w:lang w:val="lt-LT"/>
        </w:rPr>
        <w:t xml:space="preserve">Jo taip pat </w:t>
      </w:r>
      <w:r w:rsidR="00773153">
        <w:rPr>
          <w:sz w:val="22"/>
          <w:szCs w:val="22"/>
          <w:lang w:val="lt-LT"/>
        </w:rPr>
        <w:t>draudžiama</w:t>
      </w:r>
      <w:r w:rsidRPr="00CE6E5F">
        <w:rPr>
          <w:sz w:val="22"/>
          <w:szCs w:val="22"/>
          <w:lang w:val="lt-LT"/>
        </w:rPr>
        <w:t xml:space="preserve"> leisti į raumenis sunkios </w:t>
      </w:r>
      <w:proofErr w:type="spellStart"/>
      <w:r w:rsidRPr="00CE6E5F">
        <w:rPr>
          <w:sz w:val="22"/>
          <w:szCs w:val="22"/>
          <w:lang w:val="lt-LT"/>
        </w:rPr>
        <w:t>trombocitopenijos</w:t>
      </w:r>
      <w:proofErr w:type="spellEnd"/>
      <w:r w:rsidRPr="00CE6E5F">
        <w:rPr>
          <w:sz w:val="22"/>
          <w:szCs w:val="22"/>
          <w:lang w:val="lt-LT"/>
        </w:rPr>
        <w:t xml:space="preserve"> ir kitų hemostazės sutrikimų atveju.</w:t>
      </w:r>
    </w:p>
    <w:p w14:paraId="5C3EBEC2" w14:textId="77777777" w:rsidR="00EC6479" w:rsidRPr="00CE6E5F" w:rsidRDefault="00EC6479">
      <w:pPr>
        <w:pStyle w:val="Default"/>
        <w:rPr>
          <w:sz w:val="22"/>
          <w:szCs w:val="22"/>
          <w:lang w:val="lt-LT"/>
        </w:rPr>
      </w:pPr>
    </w:p>
    <w:p w14:paraId="6E290C8A" w14:textId="77777777" w:rsidR="00FD7C97" w:rsidRPr="00CE6E5F" w:rsidRDefault="00EC6479">
      <w:pPr>
        <w:pStyle w:val="Antrat2"/>
      </w:pPr>
      <w:r w:rsidRPr="00CE6E5F">
        <w:t>4.4</w:t>
      </w:r>
      <w:r w:rsidRPr="00CE6E5F">
        <w:tab/>
        <w:t>Specialūs įspėjimai ir atsargumo priemonės</w:t>
      </w:r>
    </w:p>
    <w:p w14:paraId="37D2F1D6" w14:textId="77777777" w:rsidR="00EC6479" w:rsidRPr="00CE6E5F" w:rsidRDefault="00EC6479">
      <w:pPr>
        <w:pStyle w:val="Default"/>
        <w:rPr>
          <w:sz w:val="22"/>
          <w:szCs w:val="22"/>
          <w:lang w:val="lt-LT"/>
        </w:rPr>
      </w:pPr>
    </w:p>
    <w:p w14:paraId="32946134" w14:textId="10D53484" w:rsidR="00AF5724" w:rsidRPr="00CE6E5F" w:rsidRDefault="00AF5724">
      <w:pPr>
        <w:pStyle w:val="Default"/>
        <w:rPr>
          <w:iCs/>
          <w:sz w:val="22"/>
          <w:szCs w:val="22"/>
          <w:lang w:val="lt-LT"/>
        </w:rPr>
      </w:pPr>
      <w:r w:rsidRPr="00CE6E5F">
        <w:rPr>
          <w:sz w:val="22"/>
          <w:szCs w:val="22"/>
          <w:lang w:val="lt-LT"/>
        </w:rPr>
        <w:t xml:space="preserve">Primygtinai rekomenduojama kiekvieną kartą pacientui skiriant </w:t>
      </w:r>
      <w:proofErr w:type="spellStart"/>
      <w:r w:rsidR="00242227">
        <w:rPr>
          <w:sz w:val="22"/>
          <w:szCs w:val="22"/>
          <w:lang w:val="lt-LT"/>
        </w:rPr>
        <w:t>c</w:t>
      </w:r>
      <w:r w:rsidRPr="00CE6E5F">
        <w:rPr>
          <w:sz w:val="22"/>
          <w:szCs w:val="22"/>
          <w:lang w:val="lt-LT"/>
        </w:rPr>
        <w:t>utaquig</w:t>
      </w:r>
      <w:proofErr w:type="spellEnd"/>
      <w:r w:rsidRPr="00CE6E5F">
        <w:rPr>
          <w:sz w:val="22"/>
          <w:szCs w:val="22"/>
          <w:lang w:val="lt-LT"/>
        </w:rPr>
        <w:t xml:space="preserve"> užrašyti </w:t>
      </w:r>
      <w:r w:rsidR="00D21AA1">
        <w:rPr>
          <w:sz w:val="22"/>
          <w:szCs w:val="22"/>
          <w:lang w:val="lt-LT"/>
        </w:rPr>
        <w:t xml:space="preserve">vaistinio </w:t>
      </w:r>
      <w:r w:rsidRPr="00CE6E5F">
        <w:rPr>
          <w:sz w:val="22"/>
          <w:szCs w:val="22"/>
          <w:lang w:val="lt-LT"/>
        </w:rPr>
        <w:t xml:space="preserve">preparato pavadinimą ir serijos numerį, kad prireikus būtų galima nustatyti sąsają tarp paciento ir </w:t>
      </w:r>
      <w:r w:rsidR="00D21AA1">
        <w:rPr>
          <w:sz w:val="22"/>
          <w:szCs w:val="22"/>
          <w:lang w:val="lt-LT"/>
        </w:rPr>
        <w:t xml:space="preserve">vaistinio </w:t>
      </w:r>
      <w:r w:rsidRPr="00CE6E5F">
        <w:rPr>
          <w:sz w:val="22"/>
          <w:szCs w:val="22"/>
          <w:lang w:val="lt-LT"/>
        </w:rPr>
        <w:t>preparato serijos numerio.</w:t>
      </w:r>
    </w:p>
    <w:p w14:paraId="0161E628" w14:textId="77777777" w:rsidR="00AF5724" w:rsidRPr="00CE6E5F" w:rsidRDefault="00AF5724">
      <w:pPr>
        <w:pStyle w:val="Default"/>
        <w:rPr>
          <w:sz w:val="22"/>
          <w:szCs w:val="22"/>
          <w:lang w:val="lt-LT"/>
        </w:rPr>
      </w:pPr>
    </w:p>
    <w:p w14:paraId="23C72CFA" w14:textId="3770BF18" w:rsidR="00BF53D8" w:rsidRPr="00CE6E5F" w:rsidRDefault="00D21AA1">
      <w:pPr>
        <w:pStyle w:val="Default"/>
        <w:rPr>
          <w:sz w:val="22"/>
          <w:szCs w:val="22"/>
          <w:lang w:val="lt-LT"/>
        </w:rPr>
      </w:pPr>
      <w:r>
        <w:rPr>
          <w:sz w:val="22"/>
          <w:szCs w:val="22"/>
          <w:lang w:val="lt-LT"/>
        </w:rPr>
        <w:t>Kiekviename š</w:t>
      </w:r>
      <w:r w:rsidR="00BF53D8" w:rsidRPr="00CE6E5F">
        <w:rPr>
          <w:sz w:val="22"/>
          <w:szCs w:val="22"/>
          <w:lang w:val="lt-LT"/>
        </w:rPr>
        <w:t>i</w:t>
      </w:r>
      <w:r>
        <w:rPr>
          <w:sz w:val="22"/>
          <w:szCs w:val="22"/>
          <w:lang w:val="lt-LT"/>
        </w:rPr>
        <w:t>o</w:t>
      </w:r>
      <w:r w:rsidR="00BF53D8" w:rsidRPr="00CE6E5F">
        <w:rPr>
          <w:sz w:val="22"/>
          <w:szCs w:val="22"/>
          <w:lang w:val="lt-LT"/>
        </w:rPr>
        <w:t xml:space="preserve"> vaistin</w:t>
      </w:r>
      <w:r>
        <w:rPr>
          <w:sz w:val="22"/>
          <w:szCs w:val="22"/>
          <w:lang w:val="lt-LT"/>
        </w:rPr>
        <w:t>io</w:t>
      </w:r>
      <w:r w:rsidR="00BF53D8" w:rsidRPr="00CE6E5F">
        <w:rPr>
          <w:sz w:val="22"/>
          <w:szCs w:val="22"/>
          <w:lang w:val="lt-LT"/>
        </w:rPr>
        <w:t xml:space="preserve"> prepara</w:t>
      </w:r>
      <w:r>
        <w:rPr>
          <w:sz w:val="22"/>
          <w:szCs w:val="22"/>
          <w:lang w:val="lt-LT"/>
        </w:rPr>
        <w:t>to</w:t>
      </w:r>
      <w:r w:rsidR="00BF53D8" w:rsidRPr="00CE6E5F">
        <w:rPr>
          <w:sz w:val="22"/>
          <w:szCs w:val="22"/>
          <w:lang w:val="lt-LT"/>
        </w:rPr>
        <w:t xml:space="preserve"> </w:t>
      </w:r>
      <w:r>
        <w:rPr>
          <w:sz w:val="22"/>
          <w:szCs w:val="22"/>
          <w:lang w:val="lt-LT"/>
        </w:rPr>
        <w:t xml:space="preserve">mililitre </w:t>
      </w:r>
      <w:r w:rsidR="00BF53D8" w:rsidRPr="00CE6E5F">
        <w:rPr>
          <w:sz w:val="22"/>
          <w:szCs w:val="22"/>
          <w:lang w:val="lt-LT"/>
        </w:rPr>
        <w:t>yra 90 mg</w:t>
      </w:r>
      <w:r>
        <w:rPr>
          <w:sz w:val="22"/>
          <w:szCs w:val="22"/>
          <w:lang w:val="lt-LT"/>
        </w:rPr>
        <w:t xml:space="preserve"> pagalbinės medžiagos </w:t>
      </w:r>
      <w:proofErr w:type="spellStart"/>
      <w:r w:rsidR="00BF53D8" w:rsidRPr="00CE6E5F">
        <w:rPr>
          <w:sz w:val="22"/>
          <w:szCs w:val="22"/>
          <w:lang w:val="lt-LT"/>
        </w:rPr>
        <w:t>maltozės</w:t>
      </w:r>
      <w:proofErr w:type="spellEnd"/>
      <w:r>
        <w:rPr>
          <w:sz w:val="22"/>
          <w:szCs w:val="22"/>
          <w:lang w:val="lt-LT"/>
        </w:rPr>
        <w:t>.</w:t>
      </w:r>
      <w:r w:rsidR="00BF53D8" w:rsidRPr="00CE6E5F">
        <w:rPr>
          <w:sz w:val="22"/>
          <w:szCs w:val="22"/>
          <w:lang w:val="lt-LT"/>
        </w:rPr>
        <w:t xml:space="preserve"> </w:t>
      </w:r>
      <w:proofErr w:type="spellStart"/>
      <w:r w:rsidR="00BF53D8" w:rsidRPr="00CE6E5F">
        <w:rPr>
          <w:sz w:val="22"/>
          <w:szCs w:val="22"/>
          <w:lang w:val="lt-LT"/>
        </w:rPr>
        <w:t>Maltozė</w:t>
      </w:r>
      <w:proofErr w:type="spellEnd"/>
      <w:r w:rsidR="00BF53D8" w:rsidRPr="00CE6E5F">
        <w:rPr>
          <w:sz w:val="22"/>
          <w:szCs w:val="22"/>
          <w:lang w:val="lt-LT"/>
        </w:rPr>
        <w:t xml:space="preserve"> iškreipia gliukozės tyrimo kraujyje rezultatus, o tai gali lemti klaidingai didelius gliukozės rodmenis; dėl to </w:t>
      </w:r>
      <w:r w:rsidR="00814851">
        <w:rPr>
          <w:sz w:val="22"/>
          <w:szCs w:val="22"/>
          <w:lang w:val="lt-LT"/>
        </w:rPr>
        <w:t>gali būti</w:t>
      </w:r>
      <w:r w:rsidR="00BF53D8" w:rsidRPr="00CE6E5F">
        <w:rPr>
          <w:sz w:val="22"/>
          <w:szCs w:val="22"/>
          <w:lang w:val="lt-LT"/>
        </w:rPr>
        <w:t xml:space="preserve"> skiriama netinkama insulino </w:t>
      </w:r>
      <w:r w:rsidR="00E45F81">
        <w:rPr>
          <w:sz w:val="22"/>
          <w:szCs w:val="22"/>
          <w:lang w:val="lt-LT"/>
        </w:rPr>
        <w:t>vaistinių preparatų dozė</w:t>
      </w:r>
      <w:r w:rsidR="00BF53D8" w:rsidRPr="00CE6E5F">
        <w:rPr>
          <w:sz w:val="22"/>
          <w:szCs w:val="22"/>
          <w:lang w:val="lt-LT"/>
        </w:rPr>
        <w:t xml:space="preserve">, galinti sukelti gyvybei pavojingą hipoglikemiją ir mirtį. Be to, tikros hipoglikemijos atvejai gali būti negydomi, jei hipoglikemijos būklę klaidingai </w:t>
      </w:r>
      <w:r w:rsidR="00E45F81">
        <w:rPr>
          <w:sz w:val="22"/>
          <w:szCs w:val="22"/>
          <w:lang w:val="lt-LT"/>
        </w:rPr>
        <w:t>paslepia</w:t>
      </w:r>
      <w:r w:rsidR="00BF53D8" w:rsidRPr="00CE6E5F">
        <w:rPr>
          <w:sz w:val="22"/>
          <w:szCs w:val="22"/>
          <w:lang w:val="lt-LT"/>
        </w:rPr>
        <w:t xml:space="preserve"> padidėję gliukozės rodmenys (žr. 4.5 skyrių). Dėl ūminio inkstų nepakankamumo žr. toliau.</w:t>
      </w:r>
    </w:p>
    <w:p w14:paraId="2B153F40" w14:textId="77777777" w:rsidR="00BF53D8" w:rsidRPr="00CE6E5F" w:rsidRDefault="00BF53D8">
      <w:pPr>
        <w:pStyle w:val="Default"/>
        <w:rPr>
          <w:sz w:val="22"/>
          <w:szCs w:val="22"/>
          <w:lang w:val="lt-LT"/>
        </w:rPr>
      </w:pPr>
    </w:p>
    <w:p w14:paraId="692843B7" w14:textId="77777777" w:rsidR="00BF1ED3" w:rsidRPr="00CE6E5F" w:rsidRDefault="00242227">
      <w:pPr>
        <w:pStyle w:val="Default"/>
        <w:rPr>
          <w:sz w:val="22"/>
          <w:szCs w:val="22"/>
          <w:lang w:val="lt-LT"/>
        </w:rPr>
      </w:pPr>
      <w:proofErr w:type="spellStart"/>
      <w:r>
        <w:rPr>
          <w:sz w:val="22"/>
          <w:szCs w:val="22"/>
          <w:lang w:val="lt-LT"/>
        </w:rPr>
        <w:t>c</w:t>
      </w:r>
      <w:r w:rsidR="006017A7" w:rsidRPr="00CE6E5F">
        <w:rPr>
          <w:sz w:val="22"/>
          <w:szCs w:val="22"/>
          <w:lang w:val="lt-LT"/>
        </w:rPr>
        <w:t>utaquig</w:t>
      </w:r>
      <w:proofErr w:type="spellEnd"/>
      <w:r w:rsidR="006017A7" w:rsidRPr="00CE6E5F">
        <w:rPr>
          <w:sz w:val="22"/>
          <w:szCs w:val="22"/>
          <w:lang w:val="lt-LT"/>
        </w:rPr>
        <w:t xml:space="preserve"> skirtas leisti tik po oda. Jeigu netyčia </w:t>
      </w:r>
      <w:proofErr w:type="spellStart"/>
      <w:r>
        <w:rPr>
          <w:sz w:val="22"/>
          <w:szCs w:val="22"/>
          <w:lang w:val="lt-LT"/>
        </w:rPr>
        <w:t>c</w:t>
      </w:r>
      <w:r w:rsidR="006017A7" w:rsidRPr="00CE6E5F">
        <w:rPr>
          <w:sz w:val="22"/>
          <w:szCs w:val="22"/>
          <w:lang w:val="lt-LT"/>
        </w:rPr>
        <w:t>utaquig</w:t>
      </w:r>
      <w:proofErr w:type="spellEnd"/>
      <w:r w:rsidR="006017A7" w:rsidRPr="00CE6E5F">
        <w:rPr>
          <w:sz w:val="22"/>
          <w:szCs w:val="22"/>
          <w:lang w:val="lt-LT"/>
        </w:rPr>
        <w:t xml:space="preserve"> suleidžiamas į kraujagyslę, pacientui gali išsivystyti šokas.</w:t>
      </w:r>
    </w:p>
    <w:p w14:paraId="48BAB449" w14:textId="77777777" w:rsidR="00BF1ED3" w:rsidRPr="00CE6E5F" w:rsidRDefault="00BF1ED3">
      <w:pPr>
        <w:pStyle w:val="Default"/>
        <w:rPr>
          <w:sz w:val="22"/>
          <w:szCs w:val="22"/>
          <w:lang w:val="lt-LT"/>
        </w:rPr>
      </w:pPr>
    </w:p>
    <w:p w14:paraId="3DA32CC9" w14:textId="25712D8E" w:rsidR="00FD7C97" w:rsidRPr="00CE6E5F" w:rsidRDefault="00FD7C97">
      <w:pPr>
        <w:pStyle w:val="Default"/>
        <w:rPr>
          <w:sz w:val="22"/>
          <w:szCs w:val="22"/>
          <w:lang w:val="lt-LT"/>
        </w:rPr>
      </w:pPr>
      <w:r w:rsidRPr="00CE6E5F">
        <w:rPr>
          <w:sz w:val="22"/>
          <w:szCs w:val="22"/>
          <w:lang w:val="lt-LT"/>
        </w:rPr>
        <w:lastRenderedPageBreak/>
        <w:t>Reikia laikytis rekomenduojamo infuzijos greičio, nurodyto 4.2 skyriuje. Visos infuzijos metu pacientus reikia atidžiai stebėti ir sekti, ar jiems nepasireiškia koki</w:t>
      </w:r>
      <w:r w:rsidR="00BE3C5B">
        <w:rPr>
          <w:sz w:val="22"/>
          <w:szCs w:val="22"/>
          <w:lang w:val="lt-LT"/>
        </w:rPr>
        <w:t>ų</w:t>
      </w:r>
      <w:r w:rsidRPr="00CE6E5F">
        <w:rPr>
          <w:sz w:val="22"/>
          <w:szCs w:val="22"/>
          <w:lang w:val="lt-LT"/>
        </w:rPr>
        <w:t xml:space="preserve"> nors simptom</w:t>
      </w:r>
      <w:r w:rsidR="00BE3C5B">
        <w:rPr>
          <w:sz w:val="22"/>
          <w:szCs w:val="22"/>
          <w:lang w:val="lt-LT"/>
        </w:rPr>
        <w:t>ų</w:t>
      </w:r>
      <w:r w:rsidRPr="00CE6E5F">
        <w:rPr>
          <w:sz w:val="22"/>
          <w:szCs w:val="22"/>
          <w:lang w:val="lt-LT"/>
        </w:rPr>
        <w:t xml:space="preserve">. </w:t>
      </w:r>
    </w:p>
    <w:p w14:paraId="37F9F3CF" w14:textId="77777777" w:rsidR="00BF1ED3" w:rsidRPr="00CE6E5F" w:rsidRDefault="00BF1ED3">
      <w:pPr>
        <w:pStyle w:val="Default"/>
        <w:rPr>
          <w:sz w:val="22"/>
          <w:szCs w:val="22"/>
          <w:lang w:val="lt-LT"/>
        </w:rPr>
      </w:pPr>
    </w:p>
    <w:p w14:paraId="0B0B2F68" w14:textId="14FAE962" w:rsidR="00FD7C97" w:rsidRPr="00CE6E5F" w:rsidRDefault="00FD7C97">
      <w:pPr>
        <w:pStyle w:val="Default"/>
        <w:rPr>
          <w:sz w:val="22"/>
          <w:szCs w:val="22"/>
          <w:lang w:val="lt-LT"/>
        </w:rPr>
      </w:pPr>
      <w:r w:rsidRPr="00CE6E5F">
        <w:rPr>
          <w:sz w:val="22"/>
          <w:szCs w:val="22"/>
          <w:lang w:val="lt-LT"/>
        </w:rPr>
        <w:t>Tam tikr</w:t>
      </w:r>
      <w:r w:rsidR="00BE3C5B">
        <w:rPr>
          <w:sz w:val="22"/>
          <w:szCs w:val="22"/>
          <w:lang w:val="lt-LT"/>
        </w:rPr>
        <w:t>ų</w:t>
      </w:r>
      <w:r w:rsidRPr="00CE6E5F">
        <w:rPr>
          <w:sz w:val="22"/>
          <w:szCs w:val="22"/>
          <w:lang w:val="lt-LT"/>
        </w:rPr>
        <w:t xml:space="preserve"> nepageidaujam</w:t>
      </w:r>
      <w:r w:rsidR="00BE3C5B">
        <w:rPr>
          <w:sz w:val="22"/>
          <w:szCs w:val="22"/>
          <w:lang w:val="lt-LT"/>
        </w:rPr>
        <w:t>ų</w:t>
      </w:r>
      <w:r w:rsidRPr="00CE6E5F">
        <w:rPr>
          <w:sz w:val="22"/>
          <w:szCs w:val="22"/>
          <w:lang w:val="lt-LT"/>
        </w:rPr>
        <w:t xml:space="preserve"> reakcij</w:t>
      </w:r>
      <w:r w:rsidR="00BE3C5B">
        <w:rPr>
          <w:sz w:val="22"/>
          <w:szCs w:val="22"/>
          <w:lang w:val="lt-LT"/>
        </w:rPr>
        <w:t>ų</w:t>
      </w:r>
      <w:r w:rsidRPr="00CE6E5F">
        <w:rPr>
          <w:sz w:val="22"/>
          <w:szCs w:val="22"/>
          <w:lang w:val="lt-LT"/>
        </w:rPr>
        <w:t xml:space="preserve"> gali </w:t>
      </w:r>
      <w:r w:rsidR="00BE3C5B">
        <w:rPr>
          <w:sz w:val="22"/>
          <w:szCs w:val="22"/>
          <w:lang w:val="lt-LT"/>
        </w:rPr>
        <w:t>pasireikšti</w:t>
      </w:r>
      <w:r w:rsidRPr="00CE6E5F">
        <w:rPr>
          <w:sz w:val="22"/>
          <w:szCs w:val="22"/>
          <w:lang w:val="lt-LT"/>
        </w:rPr>
        <w:t xml:space="preserve"> dažniau pacientams, kuriems žmogaus normal</w:t>
      </w:r>
      <w:r w:rsidR="00BE3C5B">
        <w:rPr>
          <w:sz w:val="22"/>
          <w:szCs w:val="22"/>
          <w:lang w:val="lt-LT"/>
        </w:rPr>
        <w:t>iojo</w:t>
      </w:r>
      <w:r w:rsidRPr="00CE6E5F">
        <w:rPr>
          <w:sz w:val="22"/>
          <w:szCs w:val="22"/>
          <w:lang w:val="lt-LT"/>
        </w:rPr>
        <w:t xml:space="preserve"> imunoglobulin</w:t>
      </w:r>
      <w:r w:rsidR="00BE3C5B">
        <w:rPr>
          <w:sz w:val="22"/>
          <w:szCs w:val="22"/>
          <w:lang w:val="lt-LT"/>
        </w:rPr>
        <w:t>o</w:t>
      </w:r>
      <w:r w:rsidRPr="00CE6E5F">
        <w:rPr>
          <w:sz w:val="22"/>
          <w:szCs w:val="22"/>
          <w:lang w:val="lt-LT"/>
        </w:rPr>
        <w:t xml:space="preserve"> skiriama pirmą kartą, ir, retais atvejais, kai žmogaus normaliojo imunoglobulino </w:t>
      </w:r>
      <w:r w:rsidR="00C4343C">
        <w:rPr>
          <w:sz w:val="22"/>
          <w:szCs w:val="22"/>
          <w:lang w:val="lt-LT"/>
        </w:rPr>
        <w:t xml:space="preserve">vaistinis </w:t>
      </w:r>
      <w:r w:rsidRPr="00CE6E5F">
        <w:rPr>
          <w:sz w:val="22"/>
          <w:szCs w:val="22"/>
          <w:lang w:val="lt-LT"/>
        </w:rPr>
        <w:t xml:space="preserve">preparatas pakeičiamas arba praėjo daug laiko nuo </w:t>
      </w:r>
      <w:r w:rsidR="009B10F3">
        <w:rPr>
          <w:sz w:val="22"/>
          <w:szCs w:val="22"/>
          <w:lang w:val="lt-LT"/>
        </w:rPr>
        <w:t>paskutinės</w:t>
      </w:r>
      <w:r w:rsidR="009B10F3" w:rsidRPr="00CE6E5F">
        <w:rPr>
          <w:sz w:val="22"/>
          <w:szCs w:val="22"/>
          <w:lang w:val="lt-LT"/>
        </w:rPr>
        <w:t xml:space="preserve"> </w:t>
      </w:r>
      <w:r w:rsidRPr="00CE6E5F">
        <w:rPr>
          <w:sz w:val="22"/>
          <w:szCs w:val="22"/>
          <w:lang w:val="lt-LT"/>
        </w:rPr>
        <w:t xml:space="preserve">infuzijos. </w:t>
      </w:r>
    </w:p>
    <w:p w14:paraId="47266F24" w14:textId="77777777" w:rsidR="005F37A4" w:rsidRPr="00CE6E5F" w:rsidRDefault="005F37A4">
      <w:pPr>
        <w:pStyle w:val="Default"/>
        <w:rPr>
          <w:sz w:val="22"/>
          <w:szCs w:val="22"/>
          <w:lang w:val="lt-LT"/>
        </w:rPr>
      </w:pPr>
    </w:p>
    <w:p w14:paraId="2882810F" w14:textId="77777777" w:rsidR="00FD7C97" w:rsidRPr="00CE6E5F" w:rsidRDefault="00FD7C97">
      <w:pPr>
        <w:pStyle w:val="Default"/>
        <w:rPr>
          <w:sz w:val="22"/>
          <w:szCs w:val="22"/>
          <w:lang w:val="lt-LT"/>
        </w:rPr>
      </w:pPr>
      <w:r w:rsidRPr="00CE6E5F">
        <w:rPr>
          <w:sz w:val="22"/>
          <w:szCs w:val="22"/>
          <w:lang w:val="lt-LT"/>
        </w:rPr>
        <w:t xml:space="preserve">Dažnai komplikacijų galima išvengti šiomis priemonėmis: </w:t>
      </w:r>
    </w:p>
    <w:p w14:paraId="319DF324" w14:textId="16C86A41" w:rsidR="00FD7C97" w:rsidRPr="00CE6E5F" w:rsidRDefault="00FD7C97">
      <w:pPr>
        <w:pStyle w:val="Default"/>
        <w:numPr>
          <w:ilvl w:val="0"/>
          <w:numId w:val="6"/>
        </w:numPr>
        <w:rPr>
          <w:sz w:val="22"/>
          <w:szCs w:val="22"/>
          <w:lang w:val="lt-LT"/>
        </w:rPr>
      </w:pPr>
      <w:r w:rsidRPr="00CE6E5F">
        <w:rPr>
          <w:sz w:val="22"/>
          <w:szCs w:val="22"/>
          <w:lang w:val="lt-LT"/>
        </w:rPr>
        <w:t xml:space="preserve">pradedant </w:t>
      </w:r>
      <w:r w:rsidR="00C4343C">
        <w:rPr>
          <w:sz w:val="22"/>
          <w:szCs w:val="22"/>
          <w:lang w:val="lt-LT"/>
        </w:rPr>
        <w:t>vaistin</w:t>
      </w:r>
      <w:r w:rsidR="00F2553A">
        <w:rPr>
          <w:sz w:val="22"/>
          <w:szCs w:val="22"/>
          <w:lang w:val="lt-LT"/>
        </w:rPr>
        <w:t>io</w:t>
      </w:r>
      <w:r w:rsidR="00C4343C">
        <w:rPr>
          <w:sz w:val="22"/>
          <w:szCs w:val="22"/>
          <w:lang w:val="lt-LT"/>
        </w:rPr>
        <w:t xml:space="preserve"> </w:t>
      </w:r>
      <w:r w:rsidRPr="00CE6E5F">
        <w:rPr>
          <w:sz w:val="22"/>
          <w:szCs w:val="22"/>
          <w:lang w:val="lt-LT"/>
        </w:rPr>
        <w:t>preparat</w:t>
      </w:r>
      <w:r w:rsidR="00F2553A">
        <w:rPr>
          <w:sz w:val="22"/>
          <w:szCs w:val="22"/>
          <w:lang w:val="lt-LT"/>
        </w:rPr>
        <w:t>o</w:t>
      </w:r>
      <w:r w:rsidRPr="00CE6E5F">
        <w:rPr>
          <w:sz w:val="22"/>
          <w:szCs w:val="22"/>
          <w:lang w:val="lt-LT"/>
        </w:rPr>
        <w:t xml:space="preserve"> </w:t>
      </w:r>
      <w:r w:rsidR="00F2553A">
        <w:rPr>
          <w:sz w:val="22"/>
          <w:szCs w:val="22"/>
          <w:lang w:val="lt-LT"/>
        </w:rPr>
        <w:t>leisti</w:t>
      </w:r>
      <w:r w:rsidRPr="00CE6E5F">
        <w:rPr>
          <w:sz w:val="22"/>
          <w:szCs w:val="22"/>
          <w:lang w:val="lt-LT"/>
        </w:rPr>
        <w:t xml:space="preserve"> lėtai (žr. 4.2 skyrių), </w:t>
      </w:r>
    </w:p>
    <w:p w14:paraId="13858BFD" w14:textId="45C1862C" w:rsidR="00FD7C97" w:rsidRPr="00CE6E5F" w:rsidRDefault="00FD7C97">
      <w:pPr>
        <w:pStyle w:val="Default"/>
        <w:numPr>
          <w:ilvl w:val="0"/>
          <w:numId w:val="6"/>
        </w:numPr>
        <w:rPr>
          <w:sz w:val="22"/>
          <w:szCs w:val="22"/>
          <w:lang w:val="lt-LT"/>
        </w:rPr>
      </w:pPr>
      <w:r w:rsidRPr="00CE6E5F">
        <w:rPr>
          <w:sz w:val="22"/>
          <w:szCs w:val="22"/>
          <w:lang w:val="lt-LT"/>
        </w:rPr>
        <w:t>užtikrinant, kad pacientai visą infuzijos laikotarpį yra atidžiai stebimi, ar ne</w:t>
      </w:r>
      <w:r w:rsidR="00F2553A">
        <w:rPr>
          <w:sz w:val="22"/>
          <w:szCs w:val="22"/>
          <w:lang w:val="lt-LT"/>
        </w:rPr>
        <w:t>pasireikš</w:t>
      </w:r>
      <w:r w:rsidRPr="00CE6E5F">
        <w:rPr>
          <w:sz w:val="22"/>
          <w:szCs w:val="22"/>
          <w:lang w:val="lt-LT"/>
        </w:rPr>
        <w:t xml:space="preserve"> kokių nors simptomų. Ypač tuomet, jei pacientas niekada nebuvo gydomas žmogaus normaliuoju imunoglobulinu, jei šis pakeistas alternatyviu imunoglobulino </w:t>
      </w:r>
      <w:r w:rsidR="00C4343C">
        <w:rPr>
          <w:sz w:val="22"/>
          <w:szCs w:val="22"/>
          <w:lang w:val="lt-LT"/>
        </w:rPr>
        <w:t xml:space="preserve">vaistiniu </w:t>
      </w:r>
      <w:r w:rsidRPr="00CE6E5F">
        <w:rPr>
          <w:sz w:val="22"/>
          <w:szCs w:val="22"/>
          <w:lang w:val="lt-LT"/>
        </w:rPr>
        <w:t xml:space="preserve">preparatu arba jei nuo </w:t>
      </w:r>
      <w:r w:rsidR="009B10F3">
        <w:rPr>
          <w:sz w:val="22"/>
          <w:szCs w:val="22"/>
          <w:lang w:val="lt-LT"/>
        </w:rPr>
        <w:t>paskutinės</w:t>
      </w:r>
      <w:r w:rsidR="009B10F3" w:rsidRPr="00CE6E5F">
        <w:rPr>
          <w:sz w:val="22"/>
          <w:szCs w:val="22"/>
          <w:lang w:val="lt-LT"/>
        </w:rPr>
        <w:t xml:space="preserve"> </w:t>
      </w:r>
      <w:r w:rsidRPr="00CE6E5F">
        <w:rPr>
          <w:sz w:val="22"/>
          <w:szCs w:val="22"/>
          <w:lang w:val="lt-LT"/>
        </w:rPr>
        <w:t xml:space="preserve">infuzijos praėjo daug laiko, pacientas turi būti stebimas pirmą kartą </w:t>
      </w:r>
      <w:r w:rsidR="00F2553A">
        <w:rPr>
          <w:sz w:val="22"/>
          <w:szCs w:val="22"/>
          <w:lang w:val="lt-LT"/>
        </w:rPr>
        <w:t>atliekant infuziją</w:t>
      </w:r>
      <w:r w:rsidRPr="00CE6E5F">
        <w:rPr>
          <w:sz w:val="22"/>
          <w:szCs w:val="22"/>
          <w:lang w:val="lt-LT"/>
        </w:rPr>
        <w:t xml:space="preserve"> ir pirmą valandą po </w:t>
      </w:r>
      <w:r w:rsidR="00F2553A">
        <w:rPr>
          <w:sz w:val="22"/>
          <w:szCs w:val="22"/>
          <w:lang w:val="lt-LT"/>
        </w:rPr>
        <w:t>atliktos pirmos infuzijos</w:t>
      </w:r>
      <w:r w:rsidRPr="00CE6E5F">
        <w:rPr>
          <w:sz w:val="22"/>
          <w:szCs w:val="22"/>
          <w:lang w:val="lt-LT"/>
        </w:rPr>
        <w:t>, kad būtų pastebėt</w:t>
      </w:r>
      <w:r w:rsidR="00F2553A">
        <w:rPr>
          <w:sz w:val="22"/>
          <w:szCs w:val="22"/>
          <w:lang w:val="lt-LT"/>
        </w:rPr>
        <w:t>a</w:t>
      </w:r>
      <w:r w:rsidRPr="00CE6E5F">
        <w:rPr>
          <w:sz w:val="22"/>
          <w:szCs w:val="22"/>
          <w:lang w:val="lt-LT"/>
        </w:rPr>
        <w:t xml:space="preserve"> galim</w:t>
      </w:r>
      <w:r w:rsidR="00F2553A">
        <w:rPr>
          <w:sz w:val="22"/>
          <w:szCs w:val="22"/>
          <w:lang w:val="lt-LT"/>
        </w:rPr>
        <w:t>ų</w:t>
      </w:r>
      <w:r w:rsidRPr="00CE6E5F">
        <w:rPr>
          <w:sz w:val="22"/>
          <w:szCs w:val="22"/>
          <w:lang w:val="lt-LT"/>
        </w:rPr>
        <w:t xml:space="preserve"> nepageidaujamo poveikio požymi</w:t>
      </w:r>
      <w:r w:rsidR="00F2553A">
        <w:rPr>
          <w:sz w:val="22"/>
          <w:szCs w:val="22"/>
          <w:lang w:val="lt-LT"/>
        </w:rPr>
        <w:t>ų</w:t>
      </w:r>
      <w:r w:rsidRPr="00CE6E5F">
        <w:rPr>
          <w:sz w:val="22"/>
          <w:szCs w:val="22"/>
          <w:lang w:val="lt-LT"/>
        </w:rPr>
        <w:t xml:space="preserve">. </w:t>
      </w:r>
    </w:p>
    <w:p w14:paraId="05582F92" w14:textId="2C452AFD" w:rsidR="00FD7C97" w:rsidRPr="00CE6E5F" w:rsidRDefault="00FD7C97">
      <w:pPr>
        <w:pStyle w:val="Default"/>
        <w:rPr>
          <w:sz w:val="22"/>
          <w:szCs w:val="22"/>
          <w:lang w:val="lt-LT"/>
        </w:rPr>
      </w:pPr>
      <w:r w:rsidRPr="00CE6E5F">
        <w:rPr>
          <w:sz w:val="22"/>
          <w:szCs w:val="22"/>
          <w:lang w:val="lt-LT"/>
        </w:rPr>
        <w:t xml:space="preserve">Visus kitus pacientus reikia stebėti mažiausiai 20 minučių po </w:t>
      </w:r>
      <w:r w:rsidR="00C4343C">
        <w:rPr>
          <w:sz w:val="22"/>
          <w:szCs w:val="22"/>
          <w:lang w:val="lt-LT"/>
        </w:rPr>
        <w:t xml:space="preserve">vaistinio </w:t>
      </w:r>
      <w:r w:rsidRPr="00CE6E5F">
        <w:rPr>
          <w:sz w:val="22"/>
          <w:szCs w:val="22"/>
          <w:lang w:val="lt-LT"/>
        </w:rPr>
        <w:t xml:space="preserve">preparato </w:t>
      </w:r>
      <w:r w:rsidR="00F2553A">
        <w:rPr>
          <w:sz w:val="22"/>
          <w:szCs w:val="22"/>
          <w:lang w:val="lt-LT"/>
        </w:rPr>
        <w:t>suleidimo</w:t>
      </w:r>
      <w:r w:rsidRPr="00CE6E5F">
        <w:rPr>
          <w:sz w:val="22"/>
          <w:szCs w:val="22"/>
          <w:lang w:val="lt-LT"/>
        </w:rPr>
        <w:t xml:space="preserve">. </w:t>
      </w:r>
    </w:p>
    <w:p w14:paraId="2325B288" w14:textId="77777777" w:rsidR="005F37A4" w:rsidRPr="00CE6E5F" w:rsidRDefault="005F37A4">
      <w:pPr>
        <w:pStyle w:val="Default"/>
        <w:rPr>
          <w:sz w:val="22"/>
          <w:szCs w:val="22"/>
          <w:lang w:val="lt-LT"/>
        </w:rPr>
      </w:pPr>
    </w:p>
    <w:p w14:paraId="783ED19C" w14:textId="1C1448AF" w:rsidR="00872E67" w:rsidRPr="00CE6E5F" w:rsidRDefault="00F8710E">
      <w:pPr>
        <w:pStyle w:val="Default"/>
        <w:rPr>
          <w:sz w:val="22"/>
          <w:szCs w:val="22"/>
          <w:lang w:val="lt-LT"/>
        </w:rPr>
      </w:pPr>
      <w:r>
        <w:rPr>
          <w:sz w:val="22"/>
          <w:szCs w:val="22"/>
          <w:lang w:val="lt-LT"/>
        </w:rPr>
        <w:t>Pasireiškus</w:t>
      </w:r>
      <w:r w:rsidR="00FD7C97" w:rsidRPr="00CE6E5F">
        <w:rPr>
          <w:sz w:val="22"/>
          <w:szCs w:val="22"/>
          <w:lang w:val="lt-LT"/>
        </w:rPr>
        <w:t xml:space="preserve"> nepageidaujamai reakcijai, reikia sumažinti </w:t>
      </w:r>
      <w:r>
        <w:rPr>
          <w:sz w:val="22"/>
          <w:szCs w:val="22"/>
          <w:lang w:val="lt-LT"/>
        </w:rPr>
        <w:t>infuzijos</w:t>
      </w:r>
      <w:r w:rsidR="00FD7C97" w:rsidRPr="00CE6E5F">
        <w:rPr>
          <w:sz w:val="22"/>
          <w:szCs w:val="22"/>
          <w:lang w:val="lt-LT"/>
        </w:rPr>
        <w:t xml:space="preserve"> greitį arba </w:t>
      </w:r>
      <w:r>
        <w:rPr>
          <w:sz w:val="22"/>
          <w:szCs w:val="22"/>
          <w:lang w:val="lt-LT"/>
        </w:rPr>
        <w:t>nutraukti</w:t>
      </w:r>
      <w:r w:rsidR="00FD7C97" w:rsidRPr="00CE6E5F">
        <w:rPr>
          <w:sz w:val="22"/>
          <w:szCs w:val="22"/>
          <w:lang w:val="lt-LT"/>
        </w:rPr>
        <w:t xml:space="preserve"> infuziją. Įtarus alerginę ar anafilaksinio tipo reakciją, reikia nedelsiant nutraukti injekciją. Reikalingas gydymas priklauso nuo pa</w:t>
      </w:r>
      <w:r>
        <w:rPr>
          <w:sz w:val="22"/>
          <w:szCs w:val="22"/>
          <w:lang w:val="lt-LT"/>
        </w:rPr>
        <w:t>sireiškusios</w:t>
      </w:r>
      <w:r w:rsidR="00FD7C97" w:rsidRPr="00CE6E5F">
        <w:rPr>
          <w:sz w:val="22"/>
          <w:szCs w:val="22"/>
          <w:lang w:val="lt-LT"/>
        </w:rPr>
        <w:t xml:space="preserve"> nepageidaujamos reakcijos pobūdžio bei sunkumo.</w:t>
      </w:r>
    </w:p>
    <w:p w14:paraId="1CFC5572" w14:textId="77777777" w:rsidR="00FD7C97" w:rsidRPr="00CE6E5F" w:rsidRDefault="00FD7C97">
      <w:pPr>
        <w:pStyle w:val="Default"/>
        <w:rPr>
          <w:sz w:val="22"/>
          <w:szCs w:val="22"/>
          <w:lang w:val="lt-LT"/>
        </w:rPr>
      </w:pPr>
      <w:r w:rsidRPr="00CE6E5F">
        <w:rPr>
          <w:sz w:val="22"/>
          <w:szCs w:val="22"/>
          <w:lang w:val="lt-LT"/>
        </w:rPr>
        <w:t xml:space="preserve">Šoko atveju reikia skirti standartinį medikamentinį gydymą. </w:t>
      </w:r>
    </w:p>
    <w:p w14:paraId="1766AEFD" w14:textId="77777777" w:rsidR="005F37A4" w:rsidRPr="00CE6E5F" w:rsidRDefault="005F37A4">
      <w:pPr>
        <w:pStyle w:val="Default"/>
        <w:rPr>
          <w:sz w:val="22"/>
          <w:szCs w:val="22"/>
          <w:lang w:val="lt-LT"/>
        </w:rPr>
      </w:pPr>
    </w:p>
    <w:p w14:paraId="5953D8B4" w14:textId="77777777" w:rsidR="00FD7C97" w:rsidRPr="00CE6E5F" w:rsidRDefault="00EC6479" w:rsidP="00CE6E5F">
      <w:pPr>
        <w:pStyle w:val="Antrat3"/>
      </w:pPr>
      <w:r w:rsidRPr="00CE6E5F">
        <w:t>Padidėjęs jautrumas</w:t>
      </w:r>
    </w:p>
    <w:p w14:paraId="00AD6575" w14:textId="288F55A9" w:rsidR="00FD7C97" w:rsidRPr="00CE6E5F" w:rsidRDefault="00FD7C97">
      <w:pPr>
        <w:pStyle w:val="Default"/>
        <w:rPr>
          <w:sz w:val="22"/>
          <w:szCs w:val="22"/>
          <w:lang w:val="lt-LT"/>
        </w:rPr>
      </w:pPr>
      <w:r w:rsidRPr="00CE6E5F">
        <w:rPr>
          <w:sz w:val="22"/>
          <w:szCs w:val="22"/>
          <w:lang w:val="lt-LT"/>
        </w:rPr>
        <w:t>Tikrosios alerginės reakcijos yra retos. J</w:t>
      </w:r>
      <w:r w:rsidR="00F8710E">
        <w:rPr>
          <w:sz w:val="22"/>
          <w:szCs w:val="22"/>
          <w:lang w:val="lt-LT"/>
        </w:rPr>
        <w:t>ų</w:t>
      </w:r>
      <w:r w:rsidRPr="00CE6E5F">
        <w:rPr>
          <w:sz w:val="22"/>
          <w:szCs w:val="22"/>
          <w:lang w:val="lt-LT"/>
        </w:rPr>
        <w:t xml:space="preserve"> ypač gali </w:t>
      </w:r>
      <w:r w:rsidR="00F8710E">
        <w:rPr>
          <w:sz w:val="22"/>
          <w:szCs w:val="22"/>
          <w:lang w:val="lt-LT"/>
        </w:rPr>
        <w:t>pasireikšti</w:t>
      </w:r>
      <w:r w:rsidRPr="00CE6E5F">
        <w:rPr>
          <w:sz w:val="22"/>
          <w:szCs w:val="22"/>
          <w:lang w:val="lt-LT"/>
        </w:rPr>
        <w:t xml:space="preserve"> pacientams, kurie turi antikūnų prieš </w:t>
      </w:r>
      <w:proofErr w:type="spellStart"/>
      <w:r w:rsidRPr="00CE6E5F">
        <w:rPr>
          <w:sz w:val="22"/>
          <w:szCs w:val="22"/>
          <w:lang w:val="lt-LT"/>
        </w:rPr>
        <w:t>IgA</w:t>
      </w:r>
      <w:proofErr w:type="spellEnd"/>
      <w:r w:rsidRPr="00CE6E5F">
        <w:rPr>
          <w:sz w:val="22"/>
          <w:szCs w:val="22"/>
          <w:lang w:val="lt-LT"/>
        </w:rPr>
        <w:t xml:space="preserve">, ir tokius pacientus gydyti reikia itin </w:t>
      </w:r>
      <w:r w:rsidR="002722A4">
        <w:rPr>
          <w:sz w:val="22"/>
          <w:szCs w:val="22"/>
          <w:lang w:val="lt-LT"/>
        </w:rPr>
        <w:t>laikantis saugumo priemonių</w:t>
      </w:r>
      <w:r w:rsidRPr="00CE6E5F">
        <w:rPr>
          <w:sz w:val="22"/>
          <w:szCs w:val="22"/>
          <w:lang w:val="lt-LT"/>
        </w:rPr>
        <w:t>. Pacient</w:t>
      </w:r>
      <w:r w:rsidR="00E971AE">
        <w:rPr>
          <w:sz w:val="22"/>
          <w:szCs w:val="22"/>
          <w:lang w:val="lt-LT"/>
        </w:rPr>
        <w:t>us</w:t>
      </w:r>
      <w:r w:rsidRPr="00CE6E5F">
        <w:rPr>
          <w:sz w:val="22"/>
          <w:szCs w:val="22"/>
          <w:lang w:val="lt-LT"/>
        </w:rPr>
        <w:t>, turin</w:t>
      </w:r>
      <w:r w:rsidR="00E971AE">
        <w:rPr>
          <w:sz w:val="22"/>
          <w:szCs w:val="22"/>
          <w:lang w:val="lt-LT"/>
        </w:rPr>
        <w:t>čius</w:t>
      </w:r>
      <w:r w:rsidRPr="00CE6E5F">
        <w:rPr>
          <w:sz w:val="22"/>
          <w:szCs w:val="22"/>
          <w:lang w:val="lt-LT"/>
        </w:rPr>
        <w:t xml:space="preserve"> antikūnų prieš </w:t>
      </w:r>
      <w:proofErr w:type="spellStart"/>
      <w:r w:rsidRPr="00CE6E5F">
        <w:rPr>
          <w:sz w:val="22"/>
          <w:szCs w:val="22"/>
          <w:lang w:val="lt-LT"/>
        </w:rPr>
        <w:t>IgA</w:t>
      </w:r>
      <w:proofErr w:type="spellEnd"/>
      <w:r w:rsidR="00E971AE">
        <w:rPr>
          <w:sz w:val="22"/>
          <w:szCs w:val="22"/>
          <w:lang w:val="lt-LT"/>
        </w:rPr>
        <w:t xml:space="preserve"> ir</w:t>
      </w:r>
      <w:r w:rsidRPr="00CE6E5F">
        <w:rPr>
          <w:sz w:val="22"/>
          <w:szCs w:val="22"/>
          <w:lang w:val="lt-LT"/>
        </w:rPr>
        <w:t xml:space="preserve"> kuriems gydymas po oda </w:t>
      </w:r>
      <w:r w:rsidR="00F8710E">
        <w:rPr>
          <w:sz w:val="22"/>
          <w:szCs w:val="22"/>
          <w:lang w:val="lt-LT"/>
        </w:rPr>
        <w:t>leidžiamais</w:t>
      </w:r>
      <w:r w:rsidRPr="00CE6E5F">
        <w:rPr>
          <w:sz w:val="22"/>
          <w:szCs w:val="22"/>
          <w:lang w:val="lt-LT"/>
        </w:rPr>
        <w:t xml:space="preserve"> </w:t>
      </w:r>
      <w:proofErr w:type="spellStart"/>
      <w:r w:rsidRPr="00CE6E5F">
        <w:rPr>
          <w:sz w:val="22"/>
          <w:szCs w:val="22"/>
          <w:lang w:val="lt-LT"/>
        </w:rPr>
        <w:t>IgG</w:t>
      </w:r>
      <w:proofErr w:type="spellEnd"/>
      <w:r w:rsidRPr="00CE6E5F">
        <w:rPr>
          <w:sz w:val="22"/>
          <w:szCs w:val="22"/>
          <w:lang w:val="lt-LT"/>
        </w:rPr>
        <w:t xml:space="preserve"> </w:t>
      </w:r>
      <w:r w:rsidR="00C4343C">
        <w:rPr>
          <w:sz w:val="22"/>
          <w:szCs w:val="22"/>
          <w:lang w:val="lt-LT"/>
        </w:rPr>
        <w:t xml:space="preserve">vaistiniais </w:t>
      </w:r>
      <w:r w:rsidRPr="00CE6E5F">
        <w:rPr>
          <w:sz w:val="22"/>
          <w:szCs w:val="22"/>
          <w:lang w:val="lt-LT"/>
        </w:rPr>
        <w:t>preparatais lieka vienintelis pasirinkimas, gydy</w:t>
      </w:r>
      <w:r w:rsidR="004607E3">
        <w:rPr>
          <w:sz w:val="22"/>
          <w:szCs w:val="22"/>
          <w:lang w:val="lt-LT"/>
        </w:rPr>
        <w:t>ti</w:t>
      </w:r>
      <w:r w:rsidRPr="00CE6E5F">
        <w:rPr>
          <w:sz w:val="22"/>
          <w:szCs w:val="22"/>
          <w:lang w:val="lt-LT"/>
        </w:rPr>
        <w:t xml:space="preserve"> </w:t>
      </w:r>
      <w:proofErr w:type="spellStart"/>
      <w:r w:rsidR="00242227">
        <w:rPr>
          <w:sz w:val="22"/>
          <w:szCs w:val="22"/>
          <w:lang w:val="lt-LT"/>
        </w:rPr>
        <w:t>c</w:t>
      </w:r>
      <w:r w:rsidRPr="00CE6E5F">
        <w:rPr>
          <w:sz w:val="22"/>
          <w:szCs w:val="22"/>
          <w:lang w:val="lt-LT"/>
        </w:rPr>
        <w:t>utaquig</w:t>
      </w:r>
      <w:proofErr w:type="spellEnd"/>
      <w:r w:rsidRPr="00CE6E5F">
        <w:rPr>
          <w:sz w:val="22"/>
          <w:szCs w:val="22"/>
          <w:lang w:val="lt-LT"/>
        </w:rPr>
        <w:t xml:space="preserve"> reikia tik atidžiai prižiūrint gydytojui. </w:t>
      </w:r>
    </w:p>
    <w:p w14:paraId="1719FAD8" w14:textId="0D665778" w:rsidR="00FD7C97" w:rsidRPr="00CE6E5F" w:rsidRDefault="00FD7C97">
      <w:pPr>
        <w:pStyle w:val="Default"/>
        <w:rPr>
          <w:sz w:val="22"/>
          <w:szCs w:val="22"/>
          <w:lang w:val="lt-LT"/>
        </w:rPr>
      </w:pPr>
      <w:r w:rsidRPr="00CE6E5F">
        <w:rPr>
          <w:sz w:val="22"/>
          <w:szCs w:val="22"/>
          <w:lang w:val="lt-LT"/>
        </w:rPr>
        <w:t xml:space="preserve">Retais atvejais žmogaus normalusis imunoglobulinas gali sukelti kraujospūdžio kritimą bei anafilaksinę reakciją net ir tiems pacientams, kurie anksčiau toleravo gydymą žmogaus normaliuoju imunoglobulinu. </w:t>
      </w:r>
    </w:p>
    <w:p w14:paraId="5AB8F2EE" w14:textId="77777777" w:rsidR="005F37A4" w:rsidRPr="00CE6E5F" w:rsidRDefault="005F37A4">
      <w:pPr>
        <w:pStyle w:val="Default"/>
        <w:rPr>
          <w:sz w:val="22"/>
          <w:szCs w:val="22"/>
          <w:lang w:val="lt-LT"/>
        </w:rPr>
      </w:pPr>
    </w:p>
    <w:p w14:paraId="044C7E3A" w14:textId="14BBC94B" w:rsidR="00FD7C97" w:rsidRPr="00CE6E5F" w:rsidRDefault="00EC6479" w:rsidP="00CE6E5F">
      <w:pPr>
        <w:pStyle w:val="Antrat3"/>
      </w:pPr>
      <w:r w:rsidRPr="00CE6E5F">
        <w:t>Tromboembolija</w:t>
      </w:r>
    </w:p>
    <w:p w14:paraId="05932621" w14:textId="49D19F71" w:rsidR="00FD7C97" w:rsidRPr="00CE6E5F" w:rsidRDefault="00FD7C97" w:rsidP="00E457A0">
      <w:pPr>
        <w:pStyle w:val="Default"/>
        <w:rPr>
          <w:sz w:val="22"/>
          <w:szCs w:val="22"/>
          <w:lang w:val="lt-LT"/>
        </w:rPr>
      </w:pPr>
      <w:r w:rsidRPr="00CE6E5F">
        <w:rPr>
          <w:sz w:val="22"/>
          <w:szCs w:val="22"/>
          <w:lang w:val="lt-LT"/>
        </w:rPr>
        <w:t xml:space="preserve">Arteriniai ir veniniai </w:t>
      </w:r>
      <w:proofErr w:type="spellStart"/>
      <w:r w:rsidRPr="00CE6E5F">
        <w:rPr>
          <w:sz w:val="22"/>
          <w:szCs w:val="22"/>
          <w:lang w:val="lt-LT"/>
        </w:rPr>
        <w:t>tromboemboliniai</w:t>
      </w:r>
      <w:proofErr w:type="spellEnd"/>
      <w:r w:rsidRPr="00CE6E5F">
        <w:rPr>
          <w:sz w:val="22"/>
          <w:szCs w:val="22"/>
          <w:lang w:val="lt-LT"/>
        </w:rPr>
        <w:t xml:space="preserve"> reiškiniai, įskaitant miokardo infarktą, insultą, giliųjų venų trombozę ir plaučių emboliją, buvo susiję su imunoglobulinų vartojimu. Prieš imunoglobulinų vartojimą pacientai turi gauti pakankamą kiekį skysčių. Reikia </w:t>
      </w:r>
      <w:r w:rsidR="002722A4">
        <w:rPr>
          <w:sz w:val="22"/>
          <w:szCs w:val="22"/>
          <w:lang w:val="lt-LT"/>
        </w:rPr>
        <w:t>laikantis saugumo priemonių</w:t>
      </w:r>
      <w:r w:rsidRPr="00CE6E5F">
        <w:rPr>
          <w:sz w:val="22"/>
          <w:szCs w:val="22"/>
          <w:lang w:val="lt-LT"/>
        </w:rPr>
        <w:t xml:space="preserve"> gydyti pacientus, </w:t>
      </w:r>
      <w:r w:rsidR="00354D76">
        <w:rPr>
          <w:sz w:val="22"/>
          <w:szCs w:val="22"/>
          <w:lang w:val="lt-LT"/>
        </w:rPr>
        <w:t>kuriems yra</w:t>
      </w:r>
      <w:r w:rsidR="00332979" w:rsidRPr="00CE6E5F">
        <w:rPr>
          <w:sz w:val="22"/>
          <w:szCs w:val="22"/>
          <w:lang w:val="lt-LT"/>
        </w:rPr>
        <w:t xml:space="preserve"> </w:t>
      </w:r>
      <w:r w:rsidRPr="00CE6E5F">
        <w:rPr>
          <w:sz w:val="22"/>
          <w:szCs w:val="22"/>
          <w:lang w:val="lt-LT"/>
        </w:rPr>
        <w:t>trombozės reiškinių rizikos faktori</w:t>
      </w:r>
      <w:r w:rsidR="00332979" w:rsidRPr="00CE6E5F">
        <w:rPr>
          <w:sz w:val="22"/>
          <w:szCs w:val="22"/>
          <w:lang w:val="lt-LT"/>
        </w:rPr>
        <w:t>ų</w:t>
      </w:r>
      <w:r w:rsidRPr="00CE6E5F">
        <w:rPr>
          <w:sz w:val="22"/>
          <w:szCs w:val="22"/>
          <w:lang w:val="lt-LT"/>
        </w:rPr>
        <w:t xml:space="preserve"> (pvz., senyvas amžius, </w:t>
      </w:r>
      <w:r w:rsidR="00354D76">
        <w:rPr>
          <w:sz w:val="22"/>
          <w:szCs w:val="22"/>
          <w:lang w:val="lt-LT"/>
        </w:rPr>
        <w:t>hipertenzija</w:t>
      </w:r>
      <w:r w:rsidRPr="00CE6E5F">
        <w:rPr>
          <w:sz w:val="22"/>
          <w:szCs w:val="22"/>
          <w:lang w:val="lt-LT"/>
        </w:rPr>
        <w:t xml:space="preserve">, cukrinis diabetas ir kraujagyslių ligų arba </w:t>
      </w:r>
      <w:proofErr w:type="spellStart"/>
      <w:r w:rsidRPr="00CE6E5F">
        <w:rPr>
          <w:sz w:val="22"/>
          <w:szCs w:val="22"/>
          <w:lang w:val="lt-LT"/>
        </w:rPr>
        <w:t>trombozinių</w:t>
      </w:r>
      <w:proofErr w:type="spellEnd"/>
      <w:r w:rsidRPr="00CE6E5F">
        <w:rPr>
          <w:sz w:val="22"/>
          <w:szCs w:val="22"/>
          <w:lang w:val="lt-LT"/>
        </w:rPr>
        <w:t xml:space="preserve"> epizodų istorija, pacientai su įgytais ar paveldimais </w:t>
      </w:r>
      <w:proofErr w:type="spellStart"/>
      <w:r w:rsidRPr="00CE6E5F">
        <w:rPr>
          <w:sz w:val="22"/>
          <w:szCs w:val="22"/>
          <w:lang w:val="lt-LT"/>
        </w:rPr>
        <w:t>trombofiliniais</w:t>
      </w:r>
      <w:proofErr w:type="spellEnd"/>
      <w:r w:rsidRPr="00CE6E5F">
        <w:rPr>
          <w:sz w:val="22"/>
          <w:szCs w:val="22"/>
          <w:lang w:val="lt-LT"/>
        </w:rPr>
        <w:t xml:space="preserve"> sutrikimais, pacientai, kuriems buvo </w:t>
      </w:r>
      <w:r w:rsidR="00354D76">
        <w:rPr>
          <w:sz w:val="22"/>
          <w:szCs w:val="22"/>
          <w:lang w:val="lt-LT"/>
        </w:rPr>
        <w:t>ilgalaikiai</w:t>
      </w:r>
      <w:r w:rsidRPr="00CE6E5F">
        <w:rPr>
          <w:sz w:val="22"/>
          <w:szCs w:val="22"/>
          <w:lang w:val="lt-LT"/>
        </w:rPr>
        <w:t xml:space="preserve"> </w:t>
      </w:r>
      <w:proofErr w:type="spellStart"/>
      <w:r w:rsidRPr="00CE6E5F">
        <w:rPr>
          <w:sz w:val="22"/>
          <w:szCs w:val="22"/>
          <w:lang w:val="lt-LT"/>
        </w:rPr>
        <w:t>imobilizacijos</w:t>
      </w:r>
      <w:proofErr w:type="spellEnd"/>
      <w:r w:rsidRPr="00CE6E5F">
        <w:rPr>
          <w:sz w:val="22"/>
          <w:szCs w:val="22"/>
          <w:lang w:val="lt-LT"/>
        </w:rPr>
        <w:t xml:space="preserve"> laikotarpiai, pacientai, kuriems nustatyta </w:t>
      </w:r>
      <w:r w:rsidR="00354D76">
        <w:rPr>
          <w:sz w:val="22"/>
          <w:szCs w:val="22"/>
          <w:lang w:val="lt-LT"/>
        </w:rPr>
        <w:t xml:space="preserve">sunki </w:t>
      </w:r>
      <w:proofErr w:type="spellStart"/>
      <w:r w:rsidR="00354D76">
        <w:rPr>
          <w:sz w:val="22"/>
          <w:szCs w:val="22"/>
          <w:lang w:val="lt-LT"/>
        </w:rPr>
        <w:t>hipovolemija</w:t>
      </w:r>
      <w:proofErr w:type="spellEnd"/>
      <w:r w:rsidRPr="00CE6E5F">
        <w:rPr>
          <w:sz w:val="22"/>
          <w:szCs w:val="22"/>
          <w:lang w:val="lt-LT"/>
        </w:rPr>
        <w:t xml:space="preserve">, pacientai, sergantys ligomis, kurios padidina kraujo klampumą). </w:t>
      </w:r>
    </w:p>
    <w:p w14:paraId="792A7629" w14:textId="06A3C132" w:rsidR="00FD7C97" w:rsidRPr="00CE6E5F" w:rsidRDefault="00FD7C97" w:rsidP="00E457A0">
      <w:pPr>
        <w:pStyle w:val="Default"/>
        <w:rPr>
          <w:sz w:val="22"/>
          <w:szCs w:val="22"/>
          <w:lang w:val="lt-LT"/>
        </w:rPr>
      </w:pPr>
      <w:r w:rsidRPr="00CE6E5F">
        <w:rPr>
          <w:sz w:val="22"/>
          <w:szCs w:val="22"/>
          <w:lang w:val="lt-LT"/>
        </w:rPr>
        <w:t xml:space="preserve">Pacientus reikia informuoti apie </w:t>
      </w:r>
      <w:r w:rsidR="00D21D5D">
        <w:rPr>
          <w:sz w:val="22"/>
          <w:szCs w:val="22"/>
          <w:lang w:val="lt-LT"/>
        </w:rPr>
        <w:t>pradinius</w:t>
      </w:r>
      <w:r w:rsidR="00D21D5D" w:rsidRPr="00CE6E5F">
        <w:rPr>
          <w:sz w:val="22"/>
          <w:szCs w:val="22"/>
          <w:lang w:val="lt-LT"/>
        </w:rPr>
        <w:t xml:space="preserve"> </w:t>
      </w:r>
      <w:proofErr w:type="spellStart"/>
      <w:r w:rsidRPr="00CE6E5F">
        <w:rPr>
          <w:sz w:val="22"/>
          <w:szCs w:val="22"/>
          <w:lang w:val="lt-LT"/>
        </w:rPr>
        <w:t>tromboembolinių</w:t>
      </w:r>
      <w:proofErr w:type="spellEnd"/>
      <w:r w:rsidRPr="00CE6E5F">
        <w:rPr>
          <w:sz w:val="22"/>
          <w:szCs w:val="22"/>
          <w:lang w:val="lt-LT"/>
        </w:rPr>
        <w:t xml:space="preserve"> reiškinių </w:t>
      </w:r>
      <w:r w:rsidR="00D640EE">
        <w:rPr>
          <w:sz w:val="22"/>
          <w:szCs w:val="22"/>
          <w:lang w:val="lt-LT"/>
        </w:rPr>
        <w:t>simptomus</w:t>
      </w:r>
      <w:r w:rsidRPr="00CE6E5F">
        <w:rPr>
          <w:sz w:val="22"/>
          <w:szCs w:val="22"/>
          <w:lang w:val="lt-LT"/>
        </w:rPr>
        <w:t xml:space="preserve">, įskaitant dusulį, galūnių skausmą ir tinimą, </w:t>
      </w:r>
      <w:r w:rsidR="00D21D5D">
        <w:rPr>
          <w:sz w:val="22"/>
          <w:szCs w:val="22"/>
          <w:lang w:val="lt-LT"/>
        </w:rPr>
        <w:t>židininį</w:t>
      </w:r>
      <w:r w:rsidR="00D21D5D" w:rsidRPr="00CE6E5F">
        <w:rPr>
          <w:sz w:val="22"/>
          <w:szCs w:val="22"/>
          <w:lang w:val="lt-LT"/>
        </w:rPr>
        <w:t xml:space="preserve"> </w:t>
      </w:r>
      <w:r w:rsidRPr="00CE6E5F">
        <w:rPr>
          <w:sz w:val="22"/>
          <w:szCs w:val="22"/>
          <w:lang w:val="lt-LT"/>
        </w:rPr>
        <w:t>neurologinį deficitą ir krūtinės skausmą, jiems reikia patarti p</w:t>
      </w:r>
      <w:r w:rsidR="00D640EE">
        <w:rPr>
          <w:sz w:val="22"/>
          <w:szCs w:val="22"/>
          <w:lang w:val="lt-LT"/>
        </w:rPr>
        <w:t>asireiškus</w:t>
      </w:r>
      <w:r w:rsidRPr="00CE6E5F">
        <w:rPr>
          <w:sz w:val="22"/>
          <w:szCs w:val="22"/>
          <w:lang w:val="lt-LT"/>
        </w:rPr>
        <w:t xml:space="preserve"> ši</w:t>
      </w:r>
      <w:r w:rsidR="00D640EE">
        <w:rPr>
          <w:sz w:val="22"/>
          <w:szCs w:val="22"/>
          <w:lang w:val="lt-LT"/>
        </w:rPr>
        <w:t>ų</w:t>
      </w:r>
      <w:r w:rsidRPr="00CE6E5F">
        <w:rPr>
          <w:sz w:val="22"/>
          <w:szCs w:val="22"/>
          <w:lang w:val="lt-LT"/>
        </w:rPr>
        <w:t xml:space="preserve"> simptom</w:t>
      </w:r>
      <w:r w:rsidR="00D640EE">
        <w:rPr>
          <w:sz w:val="22"/>
          <w:szCs w:val="22"/>
          <w:lang w:val="lt-LT"/>
        </w:rPr>
        <w:t>ų</w:t>
      </w:r>
      <w:r w:rsidRPr="00CE6E5F">
        <w:rPr>
          <w:sz w:val="22"/>
          <w:szCs w:val="22"/>
          <w:lang w:val="lt-LT"/>
        </w:rPr>
        <w:t xml:space="preserve"> nedelsiant kreiptis į savo gydytoją. </w:t>
      </w:r>
    </w:p>
    <w:p w14:paraId="6D03E93F" w14:textId="77777777" w:rsidR="005F37A4" w:rsidRPr="00CE6E5F" w:rsidRDefault="005F37A4" w:rsidP="00316E67">
      <w:pPr>
        <w:pStyle w:val="Default"/>
        <w:rPr>
          <w:sz w:val="22"/>
          <w:szCs w:val="22"/>
          <w:lang w:val="lt-LT"/>
        </w:rPr>
      </w:pPr>
    </w:p>
    <w:p w14:paraId="4A17F485" w14:textId="73D6F5D6" w:rsidR="00FD7C97" w:rsidRPr="00CE6E5F" w:rsidRDefault="00FD7C97" w:rsidP="00CE6E5F">
      <w:pPr>
        <w:pStyle w:val="Antrat3"/>
      </w:pPr>
      <w:proofErr w:type="spellStart"/>
      <w:r w:rsidRPr="00CE6E5F">
        <w:t>Aseptinio</w:t>
      </w:r>
      <w:proofErr w:type="spellEnd"/>
      <w:r w:rsidRPr="00CE6E5F">
        <w:t xml:space="preserve"> meningito sindromas (AMS)</w:t>
      </w:r>
    </w:p>
    <w:p w14:paraId="140C7C0B" w14:textId="5337504A" w:rsidR="00FD7C97" w:rsidRPr="00CE6E5F" w:rsidRDefault="00FD7C97">
      <w:pPr>
        <w:pStyle w:val="Default"/>
        <w:rPr>
          <w:sz w:val="22"/>
          <w:szCs w:val="22"/>
          <w:lang w:val="lt-LT"/>
        </w:rPr>
      </w:pPr>
      <w:r w:rsidRPr="00CE6E5F">
        <w:rPr>
          <w:sz w:val="22"/>
          <w:szCs w:val="22"/>
          <w:lang w:val="lt-LT"/>
        </w:rPr>
        <w:t xml:space="preserve">Buvo pranešta apie </w:t>
      </w:r>
      <w:proofErr w:type="spellStart"/>
      <w:r w:rsidRPr="00CE6E5F">
        <w:rPr>
          <w:sz w:val="22"/>
          <w:szCs w:val="22"/>
          <w:lang w:val="lt-LT"/>
        </w:rPr>
        <w:t>aseptinio</w:t>
      </w:r>
      <w:proofErr w:type="spellEnd"/>
      <w:r w:rsidRPr="00CE6E5F">
        <w:rPr>
          <w:sz w:val="22"/>
          <w:szCs w:val="22"/>
          <w:lang w:val="lt-LT"/>
        </w:rPr>
        <w:t xml:space="preserve"> meningito sindromą, susijusį su gydymu po oda leidžiamu imunoglobulinu. Simptomų </w:t>
      </w:r>
      <w:r w:rsidR="003701D7">
        <w:rPr>
          <w:sz w:val="22"/>
          <w:szCs w:val="22"/>
          <w:lang w:val="lt-LT"/>
        </w:rPr>
        <w:t>pasireiškimo</w:t>
      </w:r>
      <w:r w:rsidRPr="00CE6E5F">
        <w:rPr>
          <w:sz w:val="22"/>
          <w:szCs w:val="22"/>
          <w:lang w:val="lt-LT"/>
        </w:rPr>
        <w:t xml:space="preserve"> laikas paprastai yra nuo kelių valandų iki 2 </w:t>
      </w:r>
      <w:r w:rsidR="006D4E77">
        <w:rPr>
          <w:sz w:val="22"/>
          <w:szCs w:val="22"/>
          <w:lang w:val="lt-LT"/>
        </w:rPr>
        <w:t>parų</w:t>
      </w:r>
      <w:r w:rsidR="006D4E77" w:rsidRPr="00CE6E5F">
        <w:rPr>
          <w:sz w:val="22"/>
          <w:szCs w:val="22"/>
          <w:lang w:val="lt-LT"/>
        </w:rPr>
        <w:t xml:space="preserve"> </w:t>
      </w:r>
      <w:r w:rsidRPr="00CE6E5F">
        <w:rPr>
          <w:sz w:val="22"/>
          <w:szCs w:val="22"/>
          <w:lang w:val="lt-LT"/>
        </w:rPr>
        <w:t>po gydymo. Gydymo imunoglobulinu nutraukimas</w:t>
      </w:r>
      <w:r w:rsidR="007D6377">
        <w:rPr>
          <w:sz w:val="22"/>
          <w:szCs w:val="22"/>
          <w:lang w:val="lt-LT"/>
        </w:rPr>
        <w:t>,</w:t>
      </w:r>
      <w:r w:rsidRPr="00CE6E5F">
        <w:rPr>
          <w:sz w:val="22"/>
          <w:szCs w:val="22"/>
          <w:lang w:val="lt-LT"/>
        </w:rPr>
        <w:t xml:space="preserve"> gali </w:t>
      </w:r>
      <w:r w:rsidR="007D6377">
        <w:rPr>
          <w:sz w:val="22"/>
          <w:szCs w:val="22"/>
          <w:lang w:val="lt-LT"/>
        </w:rPr>
        <w:t>sukelti</w:t>
      </w:r>
      <w:r w:rsidR="007D6377" w:rsidRPr="00CE6E5F">
        <w:rPr>
          <w:sz w:val="22"/>
          <w:szCs w:val="22"/>
          <w:lang w:val="lt-LT"/>
        </w:rPr>
        <w:t xml:space="preserve"> </w:t>
      </w:r>
      <w:r w:rsidRPr="00CE6E5F">
        <w:rPr>
          <w:sz w:val="22"/>
          <w:szCs w:val="22"/>
          <w:lang w:val="lt-LT"/>
        </w:rPr>
        <w:t>AMS remisij</w:t>
      </w:r>
      <w:r w:rsidR="007D6377">
        <w:rPr>
          <w:sz w:val="22"/>
          <w:szCs w:val="22"/>
          <w:lang w:val="lt-LT"/>
        </w:rPr>
        <w:t>ą</w:t>
      </w:r>
      <w:r w:rsidRPr="00CE6E5F">
        <w:rPr>
          <w:sz w:val="22"/>
          <w:szCs w:val="22"/>
          <w:lang w:val="lt-LT"/>
        </w:rPr>
        <w:t xml:space="preserve"> </w:t>
      </w:r>
      <w:r w:rsidR="006D4E77" w:rsidRPr="00CE6E5F">
        <w:rPr>
          <w:sz w:val="22"/>
          <w:szCs w:val="22"/>
          <w:lang w:val="lt-LT"/>
        </w:rPr>
        <w:t xml:space="preserve">per kelias </w:t>
      </w:r>
      <w:r w:rsidR="006D4E77">
        <w:rPr>
          <w:sz w:val="22"/>
          <w:szCs w:val="22"/>
          <w:lang w:val="lt-LT"/>
        </w:rPr>
        <w:t>paras</w:t>
      </w:r>
      <w:r w:rsidR="006D4E77" w:rsidRPr="00CE6E5F">
        <w:rPr>
          <w:sz w:val="22"/>
          <w:szCs w:val="22"/>
          <w:lang w:val="lt-LT"/>
        </w:rPr>
        <w:t xml:space="preserve"> </w:t>
      </w:r>
      <w:r w:rsidRPr="00CE6E5F">
        <w:rPr>
          <w:sz w:val="22"/>
          <w:szCs w:val="22"/>
          <w:lang w:val="lt-LT"/>
        </w:rPr>
        <w:t>be padarinių.</w:t>
      </w:r>
    </w:p>
    <w:p w14:paraId="3DFF70C9" w14:textId="77777777" w:rsidR="005F37A4" w:rsidRPr="00CE6E5F" w:rsidRDefault="005F37A4">
      <w:pPr>
        <w:pStyle w:val="Default"/>
        <w:rPr>
          <w:sz w:val="22"/>
          <w:szCs w:val="22"/>
          <w:lang w:val="lt-LT"/>
        </w:rPr>
      </w:pPr>
    </w:p>
    <w:p w14:paraId="0B96B11B" w14:textId="310C06B9" w:rsidR="00873C26" w:rsidRPr="00CE6E5F" w:rsidRDefault="00FD7C97">
      <w:pPr>
        <w:pStyle w:val="Default"/>
        <w:rPr>
          <w:sz w:val="22"/>
          <w:szCs w:val="22"/>
          <w:lang w:val="lt-LT"/>
        </w:rPr>
      </w:pPr>
      <w:r w:rsidRPr="00CE6E5F">
        <w:rPr>
          <w:sz w:val="22"/>
          <w:szCs w:val="22"/>
          <w:lang w:val="lt-LT"/>
        </w:rPr>
        <w:t xml:space="preserve">Būtina informuoti pacientus apie pirmuosius simptomus, kurie apima galvos skausmą, kaklo </w:t>
      </w:r>
      <w:r w:rsidR="006D4E77">
        <w:rPr>
          <w:sz w:val="22"/>
          <w:szCs w:val="22"/>
          <w:lang w:val="lt-LT"/>
        </w:rPr>
        <w:t>sustingimą</w:t>
      </w:r>
      <w:r w:rsidRPr="00CE6E5F">
        <w:rPr>
          <w:sz w:val="22"/>
          <w:szCs w:val="22"/>
          <w:lang w:val="lt-LT"/>
        </w:rPr>
        <w:t xml:space="preserve">, mieguistumą, karščiavimą, </w:t>
      </w:r>
      <w:proofErr w:type="spellStart"/>
      <w:r w:rsidRPr="00CE6E5F">
        <w:rPr>
          <w:sz w:val="22"/>
          <w:szCs w:val="22"/>
          <w:lang w:val="lt-LT"/>
        </w:rPr>
        <w:t>fotofobiją</w:t>
      </w:r>
      <w:proofErr w:type="spellEnd"/>
      <w:r w:rsidRPr="00CE6E5F">
        <w:rPr>
          <w:sz w:val="22"/>
          <w:szCs w:val="22"/>
          <w:lang w:val="lt-LT"/>
        </w:rPr>
        <w:t>, pykinimą ir vėmimą.</w:t>
      </w:r>
    </w:p>
    <w:p w14:paraId="2F15035F" w14:textId="77777777" w:rsidR="00AF5724" w:rsidRPr="00CE6E5F" w:rsidRDefault="00AF5724">
      <w:pPr>
        <w:pStyle w:val="Default"/>
        <w:rPr>
          <w:sz w:val="22"/>
          <w:szCs w:val="22"/>
          <w:lang w:val="lt-LT"/>
        </w:rPr>
      </w:pPr>
    </w:p>
    <w:p w14:paraId="542F0D95" w14:textId="77777777" w:rsidR="00AF5724" w:rsidRPr="00CE6E5F" w:rsidRDefault="00A44733" w:rsidP="00CE6E5F">
      <w:pPr>
        <w:pStyle w:val="Antrat3"/>
      </w:pPr>
      <w:r w:rsidRPr="00CE6E5F">
        <w:t>Inkstų funkcijos sutrikimas / nepakankamumas</w:t>
      </w:r>
    </w:p>
    <w:p w14:paraId="2C28DE34" w14:textId="5BB9793C" w:rsidR="00AF5724" w:rsidRDefault="00AF5724" w:rsidP="00E457A0">
      <w:pPr>
        <w:autoSpaceDE w:val="0"/>
        <w:autoSpaceDN w:val="0"/>
        <w:adjustRightInd w:val="0"/>
        <w:rPr>
          <w:rFonts w:cs="Times New Roman"/>
          <w:color w:val="000000"/>
        </w:rPr>
      </w:pPr>
      <w:r w:rsidRPr="00CE6E5F">
        <w:rPr>
          <w:rFonts w:cs="Times New Roman"/>
          <w:color w:val="000000"/>
        </w:rPr>
        <w:t xml:space="preserve">Pranešta apie sunkias su inkstais susijusias nepageidaujamas reakcijas, pasireiškusias pacientams, gydytiems imunoglobulinu, ypač tais </w:t>
      </w:r>
      <w:r w:rsidR="00C4343C">
        <w:rPr>
          <w:rFonts w:cs="Times New Roman"/>
          <w:color w:val="000000"/>
        </w:rPr>
        <w:t xml:space="preserve">vaistiniais </w:t>
      </w:r>
      <w:r w:rsidRPr="00CE6E5F">
        <w:rPr>
          <w:rFonts w:cs="Times New Roman"/>
          <w:color w:val="000000"/>
        </w:rPr>
        <w:t>preparatais, kurių sudėtyje yra sacharozės (</w:t>
      </w:r>
      <w:proofErr w:type="spellStart"/>
      <w:r w:rsidR="00242227">
        <w:rPr>
          <w:rFonts w:cs="Times New Roman"/>
          <w:color w:val="000000"/>
        </w:rPr>
        <w:t>c</w:t>
      </w:r>
      <w:r w:rsidRPr="00CE6E5F">
        <w:rPr>
          <w:rFonts w:cs="Times New Roman"/>
          <w:color w:val="000000"/>
        </w:rPr>
        <w:t>utaquig</w:t>
      </w:r>
      <w:proofErr w:type="spellEnd"/>
      <w:r w:rsidRPr="00CE6E5F">
        <w:rPr>
          <w:rFonts w:cs="Times New Roman"/>
          <w:color w:val="000000"/>
        </w:rPr>
        <w:t xml:space="preserve"> sudėtyje sacharozės nėra). Tai ūminis inkstų nepakankamumas, ūminė kanalėlių nekrozė, proksimalinių kanalėlių </w:t>
      </w:r>
      <w:proofErr w:type="spellStart"/>
      <w:r w:rsidRPr="00CE6E5F">
        <w:rPr>
          <w:rFonts w:cs="Times New Roman"/>
          <w:color w:val="000000"/>
        </w:rPr>
        <w:t>nefropatija</w:t>
      </w:r>
      <w:proofErr w:type="spellEnd"/>
      <w:r w:rsidRPr="00CE6E5F">
        <w:rPr>
          <w:rFonts w:cs="Times New Roman"/>
          <w:color w:val="000000"/>
        </w:rPr>
        <w:t xml:space="preserve"> ir osmosinė </w:t>
      </w:r>
      <w:proofErr w:type="spellStart"/>
      <w:r w:rsidRPr="00CE6E5F">
        <w:rPr>
          <w:rFonts w:cs="Times New Roman"/>
          <w:color w:val="000000"/>
        </w:rPr>
        <w:t>nefrozė</w:t>
      </w:r>
      <w:proofErr w:type="spellEnd"/>
      <w:r w:rsidRPr="00CE6E5F">
        <w:rPr>
          <w:rFonts w:cs="Times New Roman"/>
          <w:color w:val="000000"/>
        </w:rPr>
        <w:t xml:space="preserve">. Veiksniai, kurie didina inkstų komplikacijų </w:t>
      </w:r>
      <w:r w:rsidRPr="00CE6E5F">
        <w:rPr>
          <w:rFonts w:cs="Times New Roman"/>
          <w:color w:val="000000"/>
        </w:rPr>
        <w:lastRenderedPageBreak/>
        <w:t>riziką yra šie (</w:t>
      </w:r>
      <w:r w:rsidR="007E0688">
        <w:rPr>
          <w:rFonts w:cs="Times New Roman"/>
          <w:color w:val="000000"/>
        </w:rPr>
        <w:t>nors jų yra daugiau</w:t>
      </w:r>
      <w:r w:rsidRPr="00CE6E5F">
        <w:rPr>
          <w:rFonts w:cs="Times New Roman"/>
          <w:color w:val="000000"/>
        </w:rPr>
        <w:t xml:space="preserve">): anksčiau buvęs inkstų nepakankamumas, cukrinis diabetas, </w:t>
      </w:r>
      <w:proofErr w:type="spellStart"/>
      <w:r w:rsidRPr="00CE6E5F">
        <w:rPr>
          <w:rFonts w:cs="Times New Roman"/>
          <w:color w:val="000000"/>
        </w:rPr>
        <w:t>hipovolemija</w:t>
      </w:r>
      <w:proofErr w:type="spellEnd"/>
      <w:r w:rsidRPr="00CE6E5F">
        <w:rPr>
          <w:rFonts w:cs="Times New Roman"/>
          <w:color w:val="000000"/>
        </w:rPr>
        <w:t xml:space="preserve">, kartu vartoti </w:t>
      </w:r>
      <w:proofErr w:type="spellStart"/>
      <w:r w:rsidRPr="00CE6E5F">
        <w:rPr>
          <w:rFonts w:cs="Times New Roman"/>
          <w:color w:val="000000"/>
        </w:rPr>
        <w:t>nefrotoksiniai</w:t>
      </w:r>
      <w:proofErr w:type="spellEnd"/>
      <w:r w:rsidRPr="00CE6E5F">
        <w:rPr>
          <w:rFonts w:cs="Times New Roman"/>
          <w:color w:val="000000"/>
        </w:rPr>
        <w:t xml:space="preserve"> vaistiniai preparatai, didesnis </w:t>
      </w:r>
      <w:r w:rsidR="00BB3805">
        <w:rPr>
          <w:rFonts w:cs="Times New Roman"/>
          <w:color w:val="000000"/>
        </w:rPr>
        <w:t>kaip</w:t>
      </w:r>
      <w:r w:rsidRPr="00CE6E5F">
        <w:rPr>
          <w:rFonts w:cs="Times New Roman"/>
          <w:color w:val="000000"/>
        </w:rPr>
        <w:t xml:space="preserve"> 65 metų amžius, sepsis, padidėjęs kraujo klampumas </w:t>
      </w:r>
      <w:r w:rsidR="00BB3805">
        <w:rPr>
          <w:rFonts w:cs="Times New Roman"/>
          <w:color w:val="000000"/>
        </w:rPr>
        <w:t>ir</w:t>
      </w:r>
      <w:r w:rsidRPr="00CE6E5F">
        <w:rPr>
          <w:rFonts w:cs="Times New Roman"/>
          <w:color w:val="000000"/>
        </w:rPr>
        <w:t xml:space="preserve"> </w:t>
      </w:r>
      <w:proofErr w:type="spellStart"/>
      <w:r w:rsidRPr="00CE6E5F">
        <w:rPr>
          <w:rFonts w:cs="Times New Roman"/>
          <w:color w:val="000000"/>
        </w:rPr>
        <w:t>paraproteinemija</w:t>
      </w:r>
      <w:proofErr w:type="spellEnd"/>
      <w:r w:rsidRPr="00CE6E5F">
        <w:rPr>
          <w:rFonts w:cs="Times New Roman"/>
          <w:color w:val="000000"/>
        </w:rPr>
        <w:t>.</w:t>
      </w:r>
    </w:p>
    <w:p w14:paraId="22A76EAB" w14:textId="3FC536A4" w:rsidR="009116CC" w:rsidRDefault="009116CC" w:rsidP="00E457A0">
      <w:pPr>
        <w:autoSpaceDE w:val="0"/>
        <w:autoSpaceDN w:val="0"/>
        <w:adjustRightInd w:val="0"/>
        <w:rPr>
          <w:rFonts w:cs="Times New Roman"/>
          <w:color w:val="000000"/>
        </w:rPr>
      </w:pPr>
    </w:p>
    <w:p w14:paraId="3E47F56C" w14:textId="77777777" w:rsidR="00476FE7" w:rsidRPr="00476FE7" w:rsidRDefault="00476FE7" w:rsidP="00476FE7">
      <w:pPr>
        <w:autoSpaceDE w:val="0"/>
        <w:autoSpaceDN w:val="0"/>
        <w:adjustRightInd w:val="0"/>
        <w:rPr>
          <w:rFonts w:cs="Times New Roman"/>
          <w:color w:val="000000"/>
          <w:u w:val="single"/>
        </w:rPr>
      </w:pPr>
      <w:proofErr w:type="spellStart"/>
      <w:r w:rsidRPr="00476FE7">
        <w:rPr>
          <w:rFonts w:cs="Times New Roman"/>
          <w:color w:val="000000"/>
          <w:u w:val="single"/>
        </w:rPr>
        <w:t>Hemolizė</w:t>
      </w:r>
      <w:proofErr w:type="spellEnd"/>
    </w:p>
    <w:p w14:paraId="699EFF48" w14:textId="7665BA7D" w:rsidR="00476FE7" w:rsidRPr="00540233" w:rsidRDefault="00476FE7" w:rsidP="00476FE7">
      <w:pPr>
        <w:autoSpaceDE w:val="0"/>
        <w:autoSpaceDN w:val="0"/>
        <w:adjustRightInd w:val="0"/>
        <w:rPr>
          <w:rFonts w:cs="Times New Roman"/>
          <w:color w:val="000000"/>
        </w:rPr>
      </w:pPr>
      <w:proofErr w:type="spellStart"/>
      <w:r w:rsidRPr="00540233">
        <w:rPr>
          <w:rFonts w:cs="Times New Roman"/>
          <w:color w:val="000000"/>
        </w:rPr>
        <w:t>IgG</w:t>
      </w:r>
      <w:proofErr w:type="spellEnd"/>
      <w:r w:rsidRPr="00540233">
        <w:rPr>
          <w:rFonts w:cs="Times New Roman"/>
          <w:color w:val="000000"/>
        </w:rPr>
        <w:t xml:space="preserve"> </w:t>
      </w:r>
      <w:r w:rsidR="00AA0DF0">
        <w:rPr>
          <w:rFonts w:cs="Times New Roman"/>
          <w:color w:val="000000"/>
        </w:rPr>
        <w:t xml:space="preserve">vaistiniuose </w:t>
      </w:r>
      <w:r w:rsidRPr="00540233">
        <w:rPr>
          <w:rFonts w:cs="Times New Roman"/>
          <w:color w:val="000000"/>
        </w:rPr>
        <w:t xml:space="preserve">preparatuose gali būti tam tikrų kraujo grupių antikūnų, kurie gali veikti kaip </w:t>
      </w:r>
      <w:proofErr w:type="spellStart"/>
      <w:r w:rsidRPr="00540233">
        <w:rPr>
          <w:rFonts w:cs="Times New Roman"/>
          <w:color w:val="000000"/>
        </w:rPr>
        <w:t>hemolizinai</w:t>
      </w:r>
      <w:proofErr w:type="spellEnd"/>
      <w:r w:rsidRPr="00540233">
        <w:rPr>
          <w:rFonts w:cs="Times New Roman"/>
          <w:color w:val="000000"/>
        </w:rPr>
        <w:t xml:space="preserve"> ir </w:t>
      </w:r>
      <w:proofErr w:type="spellStart"/>
      <w:r w:rsidRPr="00540233">
        <w:rPr>
          <w:rFonts w:cs="Times New Roman"/>
          <w:i/>
          <w:iCs/>
          <w:color w:val="000000"/>
        </w:rPr>
        <w:t>in</w:t>
      </w:r>
      <w:proofErr w:type="spellEnd"/>
      <w:r w:rsidRPr="00540233">
        <w:rPr>
          <w:rFonts w:cs="Times New Roman"/>
          <w:i/>
          <w:iCs/>
          <w:color w:val="000000"/>
        </w:rPr>
        <w:t xml:space="preserve"> </w:t>
      </w:r>
      <w:proofErr w:type="spellStart"/>
      <w:r w:rsidRPr="00540233">
        <w:rPr>
          <w:rFonts w:cs="Times New Roman"/>
          <w:i/>
          <w:iCs/>
          <w:color w:val="000000"/>
        </w:rPr>
        <w:t>vivo</w:t>
      </w:r>
      <w:proofErr w:type="spellEnd"/>
      <w:r w:rsidRPr="00540233">
        <w:rPr>
          <w:rFonts w:cs="Times New Roman"/>
          <w:i/>
          <w:iCs/>
          <w:color w:val="000000"/>
        </w:rPr>
        <w:t xml:space="preserve"> </w:t>
      </w:r>
      <w:r w:rsidRPr="00540233">
        <w:rPr>
          <w:rFonts w:cs="Times New Roman"/>
          <w:color w:val="000000"/>
        </w:rPr>
        <w:t>padengti imunoglobulin</w:t>
      </w:r>
      <w:r w:rsidR="00DB21D6">
        <w:rPr>
          <w:rFonts w:cs="Times New Roman"/>
          <w:color w:val="000000"/>
        </w:rPr>
        <w:t>ais</w:t>
      </w:r>
      <w:r w:rsidRPr="00540233">
        <w:rPr>
          <w:rFonts w:cs="Times New Roman"/>
          <w:color w:val="000000"/>
        </w:rPr>
        <w:t xml:space="preserve"> raudonąsias kraujo ląsteles (eritrocitus)</w:t>
      </w:r>
      <w:r w:rsidR="00AA0DF0">
        <w:rPr>
          <w:rFonts w:cs="Times New Roman"/>
          <w:color w:val="000000"/>
        </w:rPr>
        <w:t>, bei</w:t>
      </w:r>
      <w:r w:rsidRPr="00540233">
        <w:rPr>
          <w:rFonts w:cs="Times New Roman"/>
          <w:color w:val="000000"/>
        </w:rPr>
        <w:t xml:space="preserve"> lemti teigiamą tiesioginio </w:t>
      </w:r>
      <w:proofErr w:type="spellStart"/>
      <w:r w:rsidRPr="00540233">
        <w:rPr>
          <w:rFonts w:cs="Times New Roman"/>
          <w:color w:val="000000"/>
        </w:rPr>
        <w:t>antiglobulinų</w:t>
      </w:r>
      <w:proofErr w:type="spellEnd"/>
      <w:r w:rsidRPr="00540233">
        <w:rPr>
          <w:rFonts w:cs="Times New Roman"/>
          <w:color w:val="000000"/>
        </w:rPr>
        <w:t xml:space="preserve"> (</w:t>
      </w:r>
      <w:proofErr w:type="spellStart"/>
      <w:r w:rsidRPr="00540233">
        <w:rPr>
          <w:rFonts w:cs="Times New Roman"/>
          <w:color w:val="000000"/>
        </w:rPr>
        <w:t>Kumbso</w:t>
      </w:r>
      <w:proofErr w:type="spellEnd"/>
      <w:r w:rsidRPr="00540233">
        <w:rPr>
          <w:rFonts w:cs="Times New Roman"/>
          <w:color w:val="000000"/>
        </w:rPr>
        <w:t xml:space="preserve">) </w:t>
      </w:r>
      <w:r w:rsidR="00725D1C">
        <w:rPr>
          <w:rFonts w:cs="Times New Roman"/>
          <w:color w:val="000000"/>
        </w:rPr>
        <w:t>mėginio</w:t>
      </w:r>
      <w:r w:rsidRPr="00540233">
        <w:rPr>
          <w:rFonts w:cs="Times New Roman"/>
          <w:color w:val="000000"/>
        </w:rPr>
        <w:t xml:space="preserve"> rezultatą, o retais atvejais sukelti </w:t>
      </w:r>
      <w:proofErr w:type="spellStart"/>
      <w:r w:rsidRPr="00540233">
        <w:rPr>
          <w:rFonts w:cs="Times New Roman"/>
          <w:color w:val="000000"/>
        </w:rPr>
        <w:t>hemolizę</w:t>
      </w:r>
      <w:proofErr w:type="spellEnd"/>
      <w:r w:rsidRPr="00540233">
        <w:rPr>
          <w:rFonts w:cs="Times New Roman"/>
          <w:color w:val="000000"/>
        </w:rPr>
        <w:t>.</w:t>
      </w:r>
    </w:p>
    <w:p w14:paraId="13B45F33" w14:textId="756CC943" w:rsidR="00476FE7" w:rsidRPr="00540233" w:rsidRDefault="00476FE7" w:rsidP="00476FE7">
      <w:pPr>
        <w:autoSpaceDE w:val="0"/>
        <w:autoSpaceDN w:val="0"/>
        <w:adjustRightInd w:val="0"/>
        <w:rPr>
          <w:rFonts w:cs="Times New Roman"/>
          <w:color w:val="000000"/>
        </w:rPr>
      </w:pPr>
      <w:r w:rsidRPr="00540233">
        <w:rPr>
          <w:rFonts w:cs="Times New Roman"/>
          <w:color w:val="000000"/>
        </w:rPr>
        <w:t xml:space="preserve">Imunoglobulinų </w:t>
      </w:r>
      <w:r w:rsidR="00AA0DF0">
        <w:rPr>
          <w:rFonts w:cs="Times New Roman"/>
          <w:color w:val="000000"/>
        </w:rPr>
        <w:t xml:space="preserve">vaistinių </w:t>
      </w:r>
      <w:r w:rsidRPr="00540233">
        <w:rPr>
          <w:rFonts w:cs="Times New Roman"/>
          <w:color w:val="000000"/>
        </w:rPr>
        <w:t xml:space="preserve">preparatų </w:t>
      </w:r>
      <w:r w:rsidR="00725D1C">
        <w:rPr>
          <w:rFonts w:cs="Times New Roman"/>
          <w:color w:val="000000"/>
        </w:rPr>
        <w:t>varto</w:t>
      </w:r>
      <w:r w:rsidR="000F0A25">
        <w:rPr>
          <w:rFonts w:cs="Times New Roman"/>
          <w:color w:val="000000"/>
        </w:rPr>
        <w:t>jančius pacientus</w:t>
      </w:r>
      <w:r w:rsidRPr="00540233">
        <w:rPr>
          <w:rFonts w:cs="Times New Roman"/>
          <w:color w:val="000000"/>
        </w:rPr>
        <w:t xml:space="preserve"> reikia stebėti, ar jiems nepasireiškia klinikinių </w:t>
      </w:r>
      <w:proofErr w:type="spellStart"/>
      <w:r w:rsidRPr="00540233">
        <w:rPr>
          <w:rFonts w:cs="Times New Roman"/>
          <w:color w:val="000000"/>
        </w:rPr>
        <w:t>hemolizės</w:t>
      </w:r>
      <w:proofErr w:type="spellEnd"/>
      <w:r w:rsidRPr="00540233">
        <w:rPr>
          <w:rFonts w:cs="Times New Roman"/>
          <w:color w:val="000000"/>
        </w:rPr>
        <w:t xml:space="preserve"> požymių ir simptomų.</w:t>
      </w:r>
    </w:p>
    <w:p w14:paraId="36E138E6" w14:textId="77777777" w:rsidR="00FD7C97" w:rsidRPr="00CE6E5F" w:rsidRDefault="00FD7C97" w:rsidP="00E457A0">
      <w:pPr>
        <w:pStyle w:val="Default"/>
        <w:rPr>
          <w:sz w:val="22"/>
          <w:szCs w:val="22"/>
          <w:lang w:val="lt-LT"/>
        </w:rPr>
      </w:pPr>
    </w:p>
    <w:p w14:paraId="79509862" w14:textId="49AED525" w:rsidR="00FD7C97" w:rsidRPr="00CE6E5F" w:rsidRDefault="00285388" w:rsidP="00CE6E5F">
      <w:pPr>
        <w:pStyle w:val="Antrat3"/>
      </w:pPr>
      <w:proofErr w:type="spellStart"/>
      <w:r>
        <w:t>cutaquig</w:t>
      </w:r>
      <w:proofErr w:type="spellEnd"/>
      <w:r>
        <w:t xml:space="preserve"> sudėtyje yra natrio</w:t>
      </w:r>
    </w:p>
    <w:p w14:paraId="23F2D6B9" w14:textId="4AD9911B" w:rsidR="00AF5724" w:rsidRPr="00CE6E5F" w:rsidRDefault="008654A9">
      <w:pPr>
        <w:autoSpaceDE w:val="0"/>
        <w:autoSpaceDN w:val="0"/>
        <w:adjustRightInd w:val="0"/>
        <w:rPr>
          <w:rFonts w:cs="Times New Roman"/>
          <w:color w:val="000000"/>
        </w:rPr>
      </w:pPr>
      <w:r>
        <w:rPr>
          <w:rFonts w:cs="Times New Roman"/>
          <w:color w:val="000000"/>
        </w:rPr>
        <w:t>Š</w:t>
      </w:r>
      <w:r w:rsidR="00AF5724" w:rsidRPr="00CE6E5F">
        <w:rPr>
          <w:rFonts w:cs="Times New Roman"/>
          <w:color w:val="000000"/>
        </w:rPr>
        <w:t>io vaistinio preparato 48 ml flakone yra 33,1 mg</w:t>
      </w:r>
      <w:r w:rsidR="00D21AA1">
        <w:rPr>
          <w:rFonts w:cs="Times New Roman"/>
          <w:color w:val="000000"/>
        </w:rPr>
        <w:t xml:space="preserve"> natrio</w:t>
      </w:r>
      <w:r w:rsidR="00AF5724" w:rsidRPr="00CE6E5F">
        <w:rPr>
          <w:rFonts w:cs="Times New Roman"/>
          <w:color w:val="000000"/>
        </w:rPr>
        <w:t>, o 20 ml flakone – 13,8 mg natrio</w:t>
      </w:r>
      <w:r>
        <w:rPr>
          <w:rFonts w:cs="Times New Roman"/>
          <w:color w:val="000000"/>
        </w:rPr>
        <w:t>,</w:t>
      </w:r>
      <w:r w:rsidR="00AF5724" w:rsidRPr="00CE6E5F">
        <w:rPr>
          <w:rFonts w:cs="Times New Roman"/>
          <w:color w:val="000000"/>
        </w:rPr>
        <w:t xml:space="preserve"> </w:t>
      </w:r>
      <w:r>
        <w:rPr>
          <w:rFonts w:cs="Times New Roman"/>
          <w:color w:val="000000"/>
        </w:rPr>
        <w:t>t</w:t>
      </w:r>
      <w:r w:rsidR="00AF5724" w:rsidRPr="00CE6E5F">
        <w:rPr>
          <w:rFonts w:cs="Times New Roman"/>
          <w:color w:val="000000"/>
        </w:rPr>
        <w:t xml:space="preserve">ai </w:t>
      </w:r>
      <w:r w:rsidR="00EA08E5">
        <w:rPr>
          <w:rFonts w:cs="Times New Roman"/>
          <w:color w:val="000000"/>
        </w:rPr>
        <w:t>atitinka</w:t>
      </w:r>
      <w:r w:rsidR="00AF5724" w:rsidRPr="00CE6E5F">
        <w:rPr>
          <w:rFonts w:cs="Times New Roman"/>
          <w:color w:val="000000"/>
        </w:rPr>
        <w:t xml:space="preserve"> 1,7 % ir 0,7 % </w:t>
      </w:r>
      <w:r w:rsidR="00CA00D3">
        <w:rPr>
          <w:rFonts w:cs="Times New Roman"/>
          <w:color w:val="000000"/>
        </w:rPr>
        <w:t xml:space="preserve">didžiausios </w:t>
      </w:r>
      <w:r w:rsidR="00AF5724" w:rsidRPr="00CE6E5F">
        <w:rPr>
          <w:rFonts w:cs="Times New Roman"/>
          <w:color w:val="000000"/>
        </w:rPr>
        <w:t>PSO rekomenduojamos</w:t>
      </w:r>
      <w:r w:rsidR="00117E00">
        <w:rPr>
          <w:rFonts w:cs="Times New Roman"/>
          <w:color w:val="000000"/>
        </w:rPr>
        <w:t xml:space="preserve"> </w:t>
      </w:r>
      <w:r w:rsidR="00CD2B28">
        <w:rPr>
          <w:rFonts w:cs="Times New Roman"/>
          <w:color w:val="000000"/>
        </w:rPr>
        <w:t>paros normos suaugusiesiems</w:t>
      </w:r>
      <w:r w:rsidR="00AF5724" w:rsidRPr="00CE6E5F">
        <w:rPr>
          <w:rFonts w:cs="Times New Roman"/>
          <w:color w:val="000000"/>
        </w:rPr>
        <w:t>, kuri yra 2 </w:t>
      </w:r>
      <w:r w:rsidR="00AF5724" w:rsidRPr="00CE6E5F">
        <w:rPr>
          <w:rFonts w:cs="Times New Roman"/>
        </w:rPr>
        <w:t>g</w:t>
      </w:r>
      <w:r w:rsidR="00CD2B28">
        <w:rPr>
          <w:rFonts w:cs="Times New Roman"/>
        </w:rPr>
        <w:t xml:space="preserve"> natrio</w:t>
      </w:r>
      <w:r w:rsidR="00AF5724" w:rsidRPr="00CE6E5F">
        <w:rPr>
          <w:rFonts w:cs="Times New Roman"/>
        </w:rPr>
        <w:t>.</w:t>
      </w:r>
    </w:p>
    <w:p w14:paraId="36243912" w14:textId="77777777" w:rsidR="00B42370" w:rsidRPr="00CE6E5F" w:rsidRDefault="00B42370">
      <w:pPr>
        <w:pStyle w:val="Default"/>
        <w:rPr>
          <w:sz w:val="22"/>
          <w:szCs w:val="22"/>
          <w:lang w:val="lt-LT"/>
        </w:rPr>
      </w:pPr>
    </w:p>
    <w:p w14:paraId="26AE346B" w14:textId="77777777" w:rsidR="00FD7C97" w:rsidRPr="00CE6E5F" w:rsidRDefault="00FD7C97" w:rsidP="00CE6E5F">
      <w:pPr>
        <w:pStyle w:val="Antrat3"/>
      </w:pPr>
      <w:r w:rsidRPr="00CE6E5F">
        <w:t>Sąveika su serologiniais tyrimais</w:t>
      </w:r>
    </w:p>
    <w:p w14:paraId="041DAE4A" w14:textId="5DD3B8A4" w:rsidR="00FD7C97" w:rsidRPr="00CE6E5F" w:rsidRDefault="00FD7C97">
      <w:pPr>
        <w:pStyle w:val="Default"/>
        <w:rPr>
          <w:sz w:val="22"/>
          <w:szCs w:val="22"/>
          <w:lang w:val="lt-LT"/>
        </w:rPr>
      </w:pPr>
      <w:r w:rsidRPr="00CE6E5F">
        <w:rPr>
          <w:sz w:val="22"/>
          <w:szCs w:val="22"/>
          <w:lang w:val="lt-LT"/>
        </w:rPr>
        <w:t xml:space="preserve">Suleidus imunoglobulino, laikinas įvairių pasyviai perduotų antikūnų padidėjimas paciento kraujyje gali lemti klaidingai teigiamus serologinių tyrimų rezultatus. </w:t>
      </w:r>
    </w:p>
    <w:p w14:paraId="01B3EFF4" w14:textId="77777777" w:rsidR="00B42370" w:rsidRPr="00CE6E5F" w:rsidRDefault="00B42370">
      <w:pPr>
        <w:pStyle w:val="Default"/>
        <w:rPr>
          <w:sz w:val="22"/>
          <w:szCs w:val="22"/>
          <w:lang w:val="lt-LT"/>
        </w:rPr>
      </w:pPr>
    </w:p>
    <w:p w14:paraId="6F09176A" w14:textId="2DE171E8" w:rsidR="00FD7C97" w:rsidRPr="00CE6E5F" w:rsidRDefault="00FD7C97">
      <w:pPr>
        <w:pStyle w:val="Default"/>
        <w:rPr>
          <w:sz w:val="22"/>
          <w:szCs w:val="22"/>
          <w:lang w:val="lt-LT"/>
        </w:rPr>
      </w:pPr>
      <w:r w:rsidRPr="00CE6E5F">
        <w:rPr>
          <w:sz w:val="22"/>
          <w:szCs w:val="22"/>
          <w:lang w:val="lt-LT"/>
        </w:rPr>
        <w:t xml:space="preserve">Dėl pasyvaus antikūnų perdavimo eritrocitų antigenams, pvz., A, B arba D, gali būti gauti klaidingi eritrocitų antikūnų serologinių tyrimų, pvz., tiesioginių </w:t>
      </w:r>
      <w:proofErr w:type="spellStart"/>
      <w:r w:rsidRPr="00CE6E5F">
        <w:rPr>
          <w:sz w:val="22"/>
          <w:szCs w:val="22"/>
          <w:lang w:val="lt-LT"/>
        </w:rPr>
        <w:t>antiglobulino</w:t>
      </w:r>
      <w:proofErr w:type="spellEnd"/>
      <w:r w:rsidRPr="00CE6E5F">
        <w:rPr>
          <w:sz w:val="22"/>
          <w:szCs w:val="22"/>
          <w:lang w:val="lt-LT"/>
        </w:rPr>
        <w:t xml:space="preserve"> tyrimų (T</w:t>
      </w:r>
      <w:r w:rsidR="006D4E77">
        <w:rPr>
          <w:sz w:val="22"/>
          <w:szCs w:val="22"/>
          <w:lang w:val="lt-LT"/>
        </w:rPr>
        <w:t>AT</w:t>
      </w:r>
      <w:r w:rsidRPr="00CE6E5F">
        <w:rPr>
          <w:sz w:val="22"/>
          <w:szCs w:val="22"/>
          <w:lang w:val="lt-LT"/>
        </w:rPr>
        <w:t>, tiesiogin</w:t>
      </w:r>
      <w:r w:rsidR="00AC2AF5">
        <w:rPr>
          <w:sz w:val="22"/>
          <w:szCs w:val="22"/>
          <w:lang w:val="lt-LT"/>
        </w:rPr>
        <w:t>io</w:t>
      </w:r>
      <w:r w:rsidRPr="00CE6E5F">
        <w:rPr>
          <w:sz w:val="22"/>
          <w:szCs w:val="22"/>
          <w:lang w:val="lt-LT"/>
        </w:rPr>
        <w:t xml:space="preserve"> </w:t>
      </w:r>
      <w:proofErr w:type="spellStart"/>
      <w:r w:rsidRPr="00CE6E5F">
        <w:rPr>
          <w:sz w:val="22"/>
          <w:szCs w:val="22"/>
          <w:lang w:val="lt-LT"/>
        </w:rPr>
        <w:t>Kumbso</w:t>
      </w:r>
      <w:proofErr w:type="spellEnd"/>
      <w:r w:rsidRPr="00CE6E5F">
        <w:rPr>
          <w:sz w:val="22"/>
          <w:szCs w:val="22"/>
          <w:lang w:val="lt-LT"/>
        </w:rPr>
        <w:t xml:space="preserve"> </w:t>
      </w:r>
      <w:r w:rsidR="00AC2AF5">
        <w:rPr>
          <w:sz w:val="22"/>
          <w:szCs w:val="22"/>
          <w:lang w:val="lt-LT"/>
        </w:rPr>
        <w:t>mėginio</w:t>
      </w:r>
      <w:r w:rsidRPr="00CE6E5F">
        <w:rPr>
          <w:sz w:val="22"/>
          <w:szCs w:val="22"/>
          <w:lang w:val="lt-LT"/>
        </w:rPr>
        <w:t xml:space="preserve">) rezultatai. </w:t>
      </w:r>
    </w:p>
    <w:p w14:paraId="4AD42B0E" w14:textId="77777777" w:rsidR="00B42370" w:rsidRPr="00CE6E5F" w:rsidRDefault="00B42370">
      <w:pPr>
        <w:pStyle w:val="Default"/>
        <w:rPr>
          <w:sz w:val="22"/>
          <w:szCs w:val="22"/>
          <w:lang w:val="lt-LT"/>
        </w:rPr>
      </w:pPr>
    </w:p>
    <w:p w14:paraId="48849812" w14:textId="3CDB8A61" w:rsidR="00FD7C97" w:rsidRPr="00CE6E5F" w:rsidRDefault="00D05AB9" w:rsidP="00CE6E5F">
      <w:pPr>
        <w:pStyle w:val="Antrat3"/>
      </w:pPr>
      <w:r>
        <w:t>Pernešamos</w:t>
      </w:r>
      <w:r w:rsidR="00AC2AF5">
        <w:t xml:space="preserve"> </w:t>
      </w:r>
      <w:r w:rsidR="00EC6479" w:rsidRPr="00CE6E5F">
        <w:t>medžiagos</w:t>
      </w:r>
    </w:p>
    <w:p w14:paraId="21CAB82B" w14:textId="4DB08D0A" w:rsidR="00997595" w:rsidRPr="00CE6E5F" w:rsidRDefault="00997595">
      <w:pPr>
        <w:pStyle w:val="Default"/>
        <w:rPr>
          <w:iCs/>
          <w:sz w:val="22"/>
          <w:szCs w:val="22"/>
          <w:lang w:val="lt-LT"/>
        </w:rPr>
      </w:pPr>
      <w:r w:rsidRPr="00CE6E5F">
        <w:rPr>
          <w:sz w:val="22"/>
          <w:szCs w:val="22"/>
          <w:lang w:val="lt-LT"/>
        </w:rPr>
        <w:t>Norint išvengti infekcijų, kuri</w:t>
      </w:r>
      <w:r w:rsidR="00AE3A57">
        <w:rPr>
          <w:sz w:val="22"/>
          <w:szCs w:val="22"/>
          <w:lang w:val="lt-LT"/>
        </w:rPr>
        <w:t>ų</w:t>
      </w:r>
      <w:r w:rsidRPr="00CE6E5F">
        <w:rPr>
          <w:sz w:val="22"/>
          <w:szCs w:val="22"/>
          <w:lang w:val="lt-LT"/>
        </w:rPr>
        <w:t xml:space="preserve"> gali kilti vartojant vaistini</w:t>
      </w:r>
      <w:r w:rsidR="00EB5901">
        <w:rPr>
          <w:sz w:val="22"/>
          <w:szCs w:val="22"/>
          <w:lang w:val="lt-LT"/>
        </w:rPr>
        <w:t>ų</w:t>
      </w:r>
      <w:r w:rsidRPr="00CE6E5F">
        <w:rPr>
          <w:sz w:val="22"/>
          <w:szCs w:val="22"/>
          <w:lang w:val="lt-LT"/>
        </w:rPr>
        <w:t xml:space="preserve"> preparat</w:t>
      </w:r>
      <w:r w:rsidR="00EB5901">
        <w:rPr>
          <w:sz w:val="22"/>
          <w:szCs w:val="22"/>
          <w:lang w:val="lt-LT"/>
        </w:rPr>
        <w:t>ų</w:t>
      </w:r>
      <w:r w:rsidRPr="00CE6E5F">
        <w:rPr>
          <w:sz w:val="22"/>
          <w:szCs w:val="22"/>
          <w:lang w:val="lt-LT"/>
        </w:rPr>
        <w:t>, pa</w:t>
      </w:r>
      <w:r w:rsidR="00EB5901">
        <w:rPr>
          <w:sz w:val="22"/>
          <w:szCs w:val="22"/>
          <w:lang w:val="lt-LT"/>
        </w:rPr>
        <w:t>gamintų</w:t>
      </w:r>
      <w:r w:rsidRPr="00CE6E5F">
        <w:rPr>
          <w:sz w:val="22"/>
          <w:szCs w:val="22"/>
          <w:lang w:val="lt-LT"/>
        </w:rPr>
        <w:t xml:space="preserve"> iš žmogaus kraujo ar plazmos, imamasi standartinių apsaugos priemonių: parenkami tinkami donorai, tikrinama, ar duotame kraujyje ir plazmoje nėra tam tikrų infekcijos </w:t>
      </w:r>
      <w:r w:rsidR="00D05AB9">
        <w:rPr>
          <w:sz w:val="22"/>
          <w:szCs w:val="22"/>
          <w:lang w:val="lt-LT"/>
        </w:rPr>
        <w:t>žymenų</w:t>
      </w:r>
      <w:r w:rsidRPr="00CE6E5F">
        <w:rPr>
          <w:sz w:val="22"/>
          <w:szCs w:val="22"/>
          <w:lang w:val="lt-LT"/>
        </w:rPr>
        <w:t>, taip pat į gamybos procesą įtraukiami etapai, kurių metu virusai padaromi nekenksming</w:t>
      </w:r>
      <w:r w:rsidR="00AE3A57">
        <w:rPr>
          <w:sz w:val="22"/>
          <w:szCs w:val="22"/>
          <w:lang w:val="lt-LT"/>
        </w:rPr>
        <w:t>ais</w:t>
      </w:r>
      <w:r w:rsidRPr="00CE6E5F">
        <w:rPr>
          <w:sz w:val="22"/>
          <w:szCs w:val="22"/>
          <w:lang w:val="lt-LT"/>
        </w:rPr>
        <w:t xml:space="preserve"> arba yra pašalinami. Nepaisant to, vartojant iš žmogaus kraujo ar plazmos pa</w:t>
      </w:r>
      <w:r w:rsidR="00AE3A57">
        <w:rPr>
          <w:sz w:val="22"/>
          <w:szCs w:val="22"/>
          <w:lang w:val="lt-LT"/>
        </w:rPr>
        <w:t>gamintų</w:t>
      </w:r>
      <w:r w:rsidRPr="00CE6E5F">
        <w:rPr>
          <w:sz w:val="22"/>
          <w:szCs w:val="22"/>
          <w:lang w:val="lt-LT"/>
        </w:rPr>
        <w:t xml:space="preserve"> vaistini</w:t>
      </w:r>
      <w:r w:rsidR="00EB5901">
        <w:rPr>
          <w:sz w:val="22"/>
          <w:szCs w:val="22"/>
          <w:lang w:val="lt-LT"/>
        </w:rPr>
        <w:t>ų</w:t>
      </w:r>
      <w:r w:rsidRPr="00CE6E5F">
        <w:rPr>
          <w:sz w:val="22"/>
          <w:szCs w:val="22"/>
          <w:lang w:val="lt-LT"/>
        </w:rPr>
        <w:t xml:space="preserve"> preparat</w:t>
      </w:r>
      <w:r w:rsidR="00EB5901">
        <w:rPr>
          <w:sz w:val="22"/>
          <w:szCs w:val="22"/>
          <w:lang w:val="lt-LT"/>
        </w:rPr>
        <w:t>ų</w:t>
      </w:r>
      <w:r w:rsidRPr="00CE6E5F">
        <w:rPr>
          <w:sz w:val="22"/>
          <w:szCs w:val="22"/>
          <w:lang w:val="lt-LT"/>
        </w:rPr>
        <w:t xml:space="preserve">, negalima visiškai išvengti </w:t>
      </w:r>
      <w:r w:rsidR="00EB5901">
        <w:rPr>
          <w:sz w:val="22"/>
          <w:szCs w:val="22"/>
          <w:lang w:val="lt-LT"/>
        </w:rPr>
        <w:t>tikimybės</w:t>
      </w:r>
      <w:r w:rsidRPr="00CE6E5F">
        <w:rPr>
          <w:sz w:val="22"/>
          <w:szCs w:val="22"/>
          <w:lang w:val="lt-LT"/>
        </w:rPr>
        <w:t>, kad bus pernešt</w:t>
      </w:r>
      <w:r w:rsidR="00EB5901">
        <w:rPr>
          <w:sz w:val="22"/>
          <w:szCs w:val="22"/>
          <w:lang w:val="lt-LT"/>
        </w:rPr>
        <w:t>a</w:t>
      </w:r>
      <w:r w:rsidRPr="00CE6E5F">
        <w:rPr>
          <w:sz w:val="22"/>
          <w:szCs w:val="22"/>
          <w:lang w:val="lt-LT"/>
        </w:rPr>
        <w:t xml:space="preserve"> infekcin</w:t>
      </w:r>
      <w:r w:rsidR="00EB5901">
        <w:rPr>
          <w:sz w:val="22"/>
          <w:szCs w:val="22"/>
          <w:lang w:val="lt-LT"/>
        </w:rPr>
        <w:t>ių</w:t>
      </w:r>
      <w:r w:rsidRPr="00CE6E5F">
        <w:rPr>
          <w:sz w:val="22"/>
          <w:szCs w:val="22"/>
          <w:lang w:val="lt-LT"/>
        </w:rPr>
        <w:t xml:space="preserve"> medžiag</w:t>
      </w:r>
      <w:r w:rsidR="00EB5901">
        <w:rPr>
          <w:sz w:val="22"/>
          <w:szCs w:val="22"/>
          <w:lang w:val="lt-LT"/>
        </w:rPr>
        <w:t>ų</w:t>
      </w:r>
      <w:r w:rsidRPr="00CE6E5F">
        <w:rPr>
          <w:sz w:val="22"/>
          <w:szCs w:val="22"/>
          <w:lang w:val="lt-LT"/>
        </w:rPr>
        <w:t>. Taip pat yra tikimybė, kad bus pernešt</w:t>
      </w:r>
      <w:r w:rsidR="00EB5901">
        <w:rPr>
          <w:sz w:val="22"/>
          <w:szCs w:val="22"/>
          <w:lang w:val="lt-LT"/>
        </w:rPr>
        <w:t>a</w:t>
      </w:r>
      <w:r w:rsidRPr="00CE6E5F">
        <w:rPr>
          <w:sz w:val="22"/>
          <w:szCs w:val="22"/>
          <w:lang w:val="lt-LT"/>
        </w:rPr>
        <w:t xml:space="preserve"> nežinom</w:t>
      </w:r>
      <w:r w:rsidR="00EB5901">
        <w:rPr>
          <w:sz w:val="22"/>
          <w:szCs w:val="22"/>
          <w:lang w:val="lt-LT"/>
        </w:rPr>
        <w:t>ų</w:t>
      </w:r>
      <w:r w:rsidRPr="00CE6E5F">
        <w:rPr>
          <w:sz w:val="22"/>
          <w:szCs w:val="22"/>
          <w:lang w:val="lt-LT"/>
        </w:rPr>
        <w:t xml:space="preserve"> ar nauj</w:t>
      </w:r>
      <w:r w:rsidR="00EB5901">
        <w:rPr>
          <w:sz w:val="22"/>
          <w:szCs w:val="22"/>
          <w:lang w:val="lt-LT"/>
        </w:rPr>
        <w:t>ų</w:t>
      </w:r>
      <w:r w:rsidRPr="00CE6E5F">
        <w:rPr>
          <w:sz w:val="22"/>
          <w:szCs w:val="22"/>
          <w:lang w:val="lt-LT"/>
        </w:rPr>
        <w:t xml:space="preserve"> virus</w:t>
      </w:r>
      <w:r w:rsidR="00EB5901">
        <w:rPr>
          <w:sz w:val="22"/>
          <w:szCs w:val="22"/>
          <w:lang w:val="lt-LT"/>
        </w:rPr>
        <w:t>ų</w:t>
      </w:r>
      <w:r w:rsidRPr="00CE6E5F">
        <w:rPr>
          <w:sz w:val="22"/>
          <w:szCs w:val="22"/>
          <w:lang w:val="lt-LT"/>
        </w:rPr>
        <w:t xml:space="preserve"> ir kit</w:t>
      </w:r>
      <w:r w:rsidR="00EB5901">
        <w:rPr>
          <w:sz w:val="22"/>
          <w:szCs w:val="22"/>
          <w:lang w:val="lt-LT"/>
        </w:rPr>
        <w:t>ų</w:t>
      </w:r>
      <w:r w:rsidRPr="00CE6E5F">
        <w:rPr>
          <w:sz w:val="22"/>
          <w:szCs w:val="22"/>
          <w:lang w:val="lt-LT"/>
        </w:rPr>
        <w:t xml:space="preserve"> patogen</w:t>
      </w:r>
      <w:r w:rsidR="00EB5901">
        <w:rPr>
          <w:sz w:val="22"/>
          <w:szCs w:val="22"/>
          <w:lang w:val="lt-LT"/>
        </w:rPr>
        <w:t>ų</w:t>
      </w:r>
      <w:r w:rsidRPr="00CE6E5F">
        <w:rPr>
          <w:sz w:val="22"/>
          <w:szCs w:val="22"/>
          <w:lang w:val="lt-LT"/>
        </w:rPr>
        <w:t>.</w:t>
      </w:r>
    </w:p>
    <w:p w14:paraId="790803FD" w14:textId="77777777" w:rsidR="00997595" w:rsidRPr="00CE6E5F" w:rsidRDefault="00997595">
      <w:pPr>
        <w:pStyle w:val="Default"/>
        <w:rPr>
          <w:iCs/>
          <w:sz w:val="22"/>
          <w:szCs w:val="22"/>
          <w:lang w:val="lt-LT"/>
        </w:rPr>
      </w:pPr>
    </w:p>
    <w:p w14:paraId="438DEDDB" w14:textId="77777777" w:rsidR="00997595" w:rsidRPr="00CE6E5F" w:rsidRDefault="00997595">
      <w:pPr>
        <w:pStyle w:val="Default"/>
        <w:rPr>
          <w:iCs/>
          <w:sz w:val="22"/>
          <w:szCs w:val="22"/>
          <w:lang w:val="lt-LT"/>
        </w:rPr>
      </w:pPr>
      <w:r w:rsidRPr="00CE6E5F">
        <w:rPr>
          <w:sz w:val="22"/>
          <w:szCs w:val="22"/>
          <w:lang w:val="lt-LT"/>
        </w:rPr>
        <w:t>Minėtos priemonės laikomos veiksmingomis nuo tokių apvalkalą turinčių virusų kaip žmogaus imunodeficito virusas (ŽIV), hepatito B virusas (HBV) ir hepatito C virusas (HCV).</w:t>
      </w:r>
    </w:p>
    <w:p w14:paraId="36EAC898" w14:textId="77777777" w:rsidR="00997595" w:rsidRPr="00CE6E5F" w:rsidRDefault="00997595">
      <w:pPr>
        <w:pStyle w:val="Default"/>
        <w:rPr>
          <w:iCs/>
          <w:sz w:val="22"/>
          <w:szCs w:val="22"/>
          <w:lang w:val="lt-LT"/>
        </w:rPr>
      </w:pPr>
    </w:p>
    <w:p w14:paraId="681E477B" w14:textId="77777777" w:rsidR="00997595" w:rsidRPr="00CE6E5F" w:rsidRDefault="00997595">
      <w:pPr>
        <w:pStyle w:val="Default"/>
        <w:rPr>
          <w:iCs/>
          <w:sz w:val="22"/>
          <w:szCs w:val="22"/>
          <w:lang w:val="lt-LT"/>
        </w:rPr>
      </w:pPr>
      <w:r w:rsidRPr="00CE6E5F">
        <w:rPr>
          <w:sz w:val="22"/>
          <w:szCs w:val="22"/>
          <w:lang w:val="lt-LT"/>
        </w:rPr>
        <w:t xml:space="preserve">Taikomos priemonės gali būti nepakankamai veiksmingos tokiems apvalkalo neturintiems virusams kaip hepatito A virusas (HAV) ir </w:t>
      </w:r>
      <w:proofErr w:type="spellStart"/>
      <w:r w:rsidRPr="00CE6E5F">
        <w:rPr>
          <w:sz w:val="22"/>
          <w:szCs w:val="22"/>
          <w:lang w:val="lt-LT"/>
        </w:rPr>
        <w:t>parvovirusas</w:t>
      </w:r>
      <w:proofErr w:type="spellEnd"/>
      <w:r w:rsidRPr="00CE6E5F">
        <w:rPr>
          <w:sz w:val="22"/>
          <w:szCs w:val="22"/>
          <w:lang w:val="lt-LT"/>
        </w:rPr>
        <w:t xml:space="preserve"> B19.</w:t>
      </w:r>
    </w:p>
    <w:p w14:paraId="6CA938D6" w14:textId="77777777" w:rsidR="00997595" w:rsidRPr="00CE6E5F" w:rsidRDefault="00997595">
      <w:pPr>
        <w:pStyle w:val="Default"/>
        <w:rPr>
          <w:iCs/>
          <w:sz w:val="22"/>
          <w:szCs w:val="22"/>
          <w:lang w:val="lt-LT"/>
        </w:rPr>
      </w:pPr>
    </w:p>
    <w:p w14:paraId="32F64CF3" w14:textId="3C8E1CFC" w:rsidR="00997595" w:rsidRPr="00CE6E5F" w:rsidRDefault="00997595">
      <w:pPr>
        <w:pStyle w:val="Default"/>
        <w:rPr>
          <w:iCs/>
          <w:sz w:val="22"/>
          <w:szCs w:val="22"/>
          <w:lang w:val="lt-LT"/>
        </w:rPr>
      </w:pPr>
      <w:r w:rsidRPr="00CE6E5F">
        <w:rPr>
          <w:sz w:val="22"/>
          <w:szCs w:val="22"/>
          <w:lang w:val="lt-LT"/>
        </w:rPr>
        <w:t xml:space="preserve">Klinikinė patirtis rodo, kad hepatitas A ar </w:t>
      </w:r>
      <w:proofErr w:type="spellStart"/>
      <w:r w:rsidRPr="00CE6E5F">
        <w:rPr>
          <w:sz w:val="22"/>
          <w:szCs w:val="22"/>
          <w:lang w:val="lt-LT"/>
        </w:rPr>
        <w:t>parvovirusas</w:t>
      </w:r>
      <w:proofErr w:type="spellEnd"/>
      <w:r w:rsidRPr="00CE6E5F">
        <w:rPr>
          <w:sz w:val="22"/>
          <w:szCs w:val="22"/>
          <w:lang w:val="lt-LT"/>
        </w:rPr>
        <w:t xml:space="preserve"> B19 su imunoglobulinais neperduodami, be to, manoma, kad </w:t>
      </w:r>
      <w:r w:rsidR="00773153">
        <w:rPr>
          <w:sz w:val="22"/>
          <w:szCs w:val="22"/>
          <w:lang w:val="lt-LT"/>
        </w:rPr>
        <w:t xml:space="preserve">vaistiniuose </w:t>
      </w:r>
      <w:r w:rsidRPr="00CE6E5F">
        <w:rPr>
          <w:sz w:val="22"/>
          <w:szCs w:val="22"/>
          <w:lang w:val="lt-LT"/>
        </w:rPr>
        <w:t>preparatuose esantys antikūnai labai veiksmingi saugantis nuo virusų.</w:t>
      </w:r>
    </w:p>
    <w:p w14:paraId="2DF2CCA3" w14:textId="77777777" w:rsidR="00997595" w:rsidRPr="00CE6E5F" w:rsidRDefault="00997595">
      <w:pPr>
        <w:pStyle w:val="Default"/>
        <w:rPr>
          <w:iCs/>
          <w:sz w:val="22"/>
          <w:szCs w:val="22"/>
          <w:highlight w:val="magenta"/>
          <w:lang w:val="lt-LT"/>
        </w:rPr>
      </w:pPr>
    </w:p>
    <w:p w14:paraId="56A15232" w14:textId="77777777" w:rsidR="00FD7C97" w:rsidRPr="00CE6E5F" w:rsidRDefault="00FD7C97" w:rsidP="00CE6E5F">
      <w:pPr>
        <w:pStyle w:val="Antrat3"/>
      </w:pPr>
      <w:r w:rsidRPr="00CE6E5F">
        <w:t xml:space="preserve">Vaikų populiacija </w:t>
      </w:r>
    </w:p>
    <w:p w14:paraId="05DB1EDC" w14:textId="77777777" w:rsidR="00FD7C97" w:rsidRPr="00CE6E5F" w:rsidRDefault="00FD7C97" w:rsidP="00E457A0">
      <w:pPr>
        <w:pStyle w:val="Default"/>
        <w:rPr>
          <w:sz w:val="22"/>
          <w:szCs w:val="22"/>
          <w:lang w:val="lt-LT"/>
        </w:rPr>
      </w:pPr>
      <w:r w:rsidRPr="00CE6E5F">
        <w:rPr>
          <w:sz w:val="22"/>
          <w:szCs w:val="22"/>
          <w:lang w:val="lt-LT"/>
        </w:rPr>
        <w:t>Aprašyti įspėjimai ir atsargumo priemonės tinka tiek suaugusiesiems, tiek ir vaikams.</w:t>
      </w:r>
    </w:p>
    <w:p w14:paraId="423B9778" w14:textId="77777777" w:rsidR="00EC6479" w:rsidRPr="00CE6E5F" w:rsidRDefault="00EC6479" w:rsidP="00E457A0">
      <w:pPr>
        <w:pStyle w:val="Default"/>
        <w:rPr>
          <w:sz w:val="22"/>
          <w:szCs w:val="22"/>
          <w:lang w:val="lt-LT"/>
        </w:rPr>
      </w:pPr>
    </w:p>
    <w:p w14:paraId="032E9D41" w14:textId="1AB6F8E8" w:rsidR="00FD7C97" w:rsidRPr="00E457A0" w:rsidRDefault="00EC6479" w:rsidP="00E457A0">
      <w:pPr>
        <w:pStyle w:val="Antrat2"/>
      </w:pPr>
      <w:r w:rsidRPr="00CE6E5F">
        <w:t>4.5</w:t>
      </w:r>
      <w:r w:rsidRPr="00CE6E5F">
        <w:tab/>
        <w:t>Sąveika su kitais vaistiniais preparatais ir kitokia sąveika</w:t>
      </w:r>
    </w:p>
    <w:p w14:paraId="2E53851B" w14:textId="77777777" w:rsidR="00EC6479" w:rsidRPr="00CE6E5F" w:rsidRDefault="00EC6479" w:rsidP="00E457A0">
      <w:pPr>
        <w:pStyle w:val="Default"/>
        <w:rPr>
          <w:sz w:val="22"/>
          <w:szCs w:val="22"/>
          <w:lang w:val="lt-LT"/>
        </w:rPr>
      </w:pPr>
    </w:p>
    <w:p w14:paraId="55262305" w14:textId="49D3D6EE" w:rsidR="00FD7C97" w:rsidRPr="00CE6E5F" w:rsidRDefault="00D05AB9" w:rsidP="00CE6E5F">
      <w:pPr>
        <w:pStyle w:val="Antrat3"/>
      </w:pPr>
      <w:r>
        <w:t>G</w:t>
      </w:r>
      <w:r w:rsidRPr="00CE6E5F">
        <w:t xml:space="preserve">yvų </w:t>
      </w:r>
      <w:r>
        <w:t>s</w:t>
      </w:r>
      <w:r w:rsidR="00EC6479" w:rsidRPr="00CE6E5F">
        <w:t>usilpnint</w:t>
      </w:r>
      <w:r>
        <w:t xml:space="preserve">ų </w:t>
      </w:r>
      <w:r w:rsidR="00EC6479" w:rsidRPr="00CE6E5F">
        <w:t>virusų vakcinos</w:t>
      </w:r>
    </w:p>
    <w:p w14:paraId="331A48DD" w14:textId="091FA356" w:rsidR="00FD7C97" w:rsidRPr="00CE6E5F" w:rsidRDefault="00FD7C97">
      <w:pPr>
        <w:pStyle w:val="Default"/>
        <w:rPr>
          <w:sz w:val="22"/>
          <w:szCs w:val="22"/>
          <w:lang w:val="lt-LT"/>
        </w:rPr>
      </w:pPr>
      <w:r w:rsidRPr="00CE6E5F">
        <w:rPr>
          <w:sz w:val="22"/>
          <w:szCs w:val="22"/>
          <w:lang w:val="lt-LT"/>
        </w:rPr>
        <w:t>Vartojant imunoglobulin</w:t>
      </w:r>
      <w:r w:rsidR="009C028E">
        <w:rPr>
          <w:sz w:val="22"/>
          <w:szCs w:val="22"/>
          <w:lang w:val="lt-LT"/>
        </w:rPr>
        <w:t>o</w:t>
      </w:r>
      <w:r w:rsidRPr="00CE6E5F">
        <w:rPr>
          <w:sz w:val="22"/>
          <w:szCs w:val="22"/>
          <w:lang w:val="lt-LT"/>
        </w:rPr>
        <w:t xml:space="preserve"> nuo mažiausiai 6 savaičių iki 3 mėnesių laikotarpiu gali sumažėti gyvų </w:t>
      </w:r>
      <w:r w:rsidR="00D05AB9" w:rsidRPr="00CE6E5F">
        <w:rPr>
          <w:sz w:val="22"/>
          <w:szCs w:val="22"/>
          <w:lang w:val="lt-LT"/>
        </w:rPr>
        <w:t xml:space="preserve">susilpnintų </w:t>
      </w:r>
      <w:r w:rsidRPr="00CE6E5F">
        <w:rPr>
          <w:sz w:val="22"/>
          <w:szCs w:val="22"/>
          <w:lang w:val="lt-LT"/>
        </w:rPr>
        <w:t>virusų vakcinų, pavyzdžiui, tymų, raudonukės, kiaulytės ir vėjaraupių, veiksmingumas. Nuo šio vaistinio preparato vartojimo pabaigos iki skiepijimo gyv</w:t>
      </w:r>
      <w:r w:rsidR="00D05AB9">
        <w:rPr>
          <w:sz w:val="22"/>
          <w:szCs w:val="22"/>
          <w:lang w:val="lt-LT"/>
        </w:rPr>
        <w:t>ų</w:t>
      </w:r>
      <w:r w:rsidRPr="00CE6E5F">
        <w:rPr>
          <w:sz w:val="22"/>
          <w:szCs w:val="22"/>
          <w:lang w:val="lt-LT"/>
        </w:rPr>
        <w:t xml:space="preserve"> susilpnint</w:t>
      </w:r>
      <w:r w:rsidR="00D05AB9">
        <w:rPr>
          <w:sz w:val="22"/>
          <w:szCs w:val="22"/>
          <w:lang w:val="lt-LT"/>
        </w:rPr>
        <w:t>ų</w:t>
      </w:r>
      <w:r w:rsidRPr="00CE6E5F">
        <w:rPr>
          <w:sz w:val="22"/>
          <w:szCs w:val="22"/>
          <w:lang w:val="lt-LT"/>
        </w:rPr>
        <w:t xml:space="preserve"> virusų vakcinomis turi praeiti 3 mėnesiai. Norint pasiskiepyti nuo tymų šis laikotarpis gali trukti iki 1 metų. </w:t>
      </w:r>
    </w:p>
    <w:p w14:paraId="126A1C28" w14:textId="77777777" w:rsidR="00FD7C97" w:rsidRPr="00CE6E5F" w:rsidRDefault="00FD7C97">
      <w:pPr>
        <w:pStyle w:val="Default"/>
        <w:rPr>
          <w:sz w:val="22"/>
          <w:szCs w:val="22"/>
          <w:lang w:val="lt-LT"/>
        </w:rPr>
      </w:pPr>
      <w:r w:rsidRPr="00CE6E5F">
        <w:rPr>
          <w:sz w:val="22"/>
          <w:szCs w:val="22"/>
          <w:lang w:val="lt-LT"/>
        </w:rPr>
        <w:t xml:space="preserve">Todėl pacientams, skiepijamiems vakcina nuo tymų, reikia atlikti antikūnų tyrimą. </w:t>
      </w:r>
    </w:p>
    <w:p w14:paraId="0BC6E428" w14:textId="77777777" w:rsidR="00141D6E" w:rsidRPr="00CE6E5F" w:rsidRDefault="00141D6E">
      <w:pPr>
        <w:pStyle w:val="Default"/>
        <w:rPr>
          <w:sz w:val="22"/>
          <w:szCs w:val="22"/>
          <w:lang w:val="lt-LT"/>
        </w:rPr>
      </w:pPr>
    </w:p>
    <w:p w14:paraId="682B79CB" w14:textId="1DC9C088" w:rsidR="00872D09" w:rsidRPr="00CE6E5F" w:rsidRDefault="00EC6479" w:rsidP="00CE6E5F">
      <w:pPr>
        <w:pStyle w:val="Antrat3"/>
      </w:pPr>
      <w:r w:rsidRPr="00CE6E5F">
        <w:t>Gliukozės k</w:t>
      </w:r>
      <w:r w:rsidR="00F110B7">
        <w:t>oncentracijos</w:t>
      </w:r>
      <w:r w:rsidRPr="00CE6E5F">
        <w:t xml:space="preserve"> kraujyje tyrimas</w:t>
      </w:r>
    </w:p>
    <w:p w14:paraId="66EC417A" w14:textId="5FEBF446" w:rsidR="009857C6" w:rsidRPr="00CE6E5F" w:rsidRDefault="00242227">
      <w:pPr>
        <w:pStyle w:val="Default"/>
        <w:rPr>
          <w:sz w:val="22"/>
          <w:szCs w:val="22"/>
          <w:lang w:val="lt-LT"/>
        </w:rPr>
      </w:pPr>
      <w:proofErr w:type="spellStart"/>
      <w:r>
        <w:rPr>
          <w:sz w:val="22"/>
          <w:szCs w:val="22"/>
          <w:lang w:val="lt-LT"/>
        </w:rPr>
        <w:t>c</w:t>
      </w:r>
      <w:r w:rsidR="00872D09" w:rsidRPr="00CE6E5F">
        <w:rPr>
          <w:sz w:val="22"/>
          <w:szCs w:val="22"/>
          <w:lang w:val="lt-LT"/>
        </w:rPr>
        <w:t>utaquig</w:t>
      </w:r>
      <w:proofErr w:type="spellEnd"/>
      <w:r w:rsidR="00872D09" w:rsidRPr="00CE6E5F">
        <w:rPr>
          <w:sz w:val="22"/>
          <w:szCs w:val="22"/>
          <w:lang w:val="lt-LT"/>
        </w:rPr>
        <w:t xml:space="preserve"> sudėtyje yra </w:t>
      </w:r>
      <w:proofErr w:type="spellStart"/>
      <w:r w:rsidR="00872D09" w:rsidRPr="00CE6E5F">
        <w:rPr>
          <w:sz w:val="22"/>
          <w:szCs w:val="22"/>
          <w:lang w:val="lt-LT"/>
        </w:rPr>
        <w:t>maltozės</w:t>
      </w:r>
      <w:proofErr w:type="spellEnd"/>
      <w:r w:rsidR="00872D09" w:rsidRPr="00CE6E5F">
        <w:rPr>
          <w:sz w:val="22"/>
          <w:szCs w:val="22"/>
          <w:lang w:val="lt-LT"/>
        </w:rPr>
        <w:t xml:space="preserve">, kurią kai kurios gliukozės koncentracijos </w:t>
      </w:r>
      <w:r w:rsidR="007B675E">
        <w:rPr>
          <w:sz w:val="22"/>
          <w:szCs w:val="22"/>
          <w:lang w:val="lt-LT"/>
        </w:rPr>
        <w:t xml:space="preserve">kraujyje </w:t>
      </w:r>
      <w:r w:rsidR="00872D09" w:rsidRPr="00CE6E5F">
        <w:rPr>
          <w:sz w:val="22"/>
          <w:szCs w:val="22"/>
          <w:lang w:val="lt-LT"/>
        </w:rPr>
        <w:t xml:space="preserve">tyrimo sistemos gali klaidingai interpretuoti kaip gliukozę. Dėl galimų klaidingai padidėjusių gliukozės </w:t>
      </w:r>
      <w:r w:rsidR="00F110B7">
        <w:rPr>
          <w:sz w:val="22"/>
          <w:szCs w:val="22"/>
          <w:lang w:val="lt-LT"/>
        </w:rPr>
        <w:t xml:space="preserve">koncentracijos </w:t>
      </w:r>
      <w:r w:rsidR="00872D09" w:rsidRPr="00CE6E5F">
        <w:rPr>
          <w:sz w:val="22"/>
          <w:szCs w:val="22"/>
          <w:lang w:val="lt-LT"/>
        </w:rPr>
        <w:lastRenderedPageBreak/>
        <w:t>rodmenų cukriniu diabetu sergančių pacientų gliukozės koncentracijos kraujyje tyrimui arba stebėjimui tur</w:t>
      </w:r>
      <w:r w:rsidR="00F110B7">
        <w:rPr>
          <w:sz w:val="22"/>
          <w:szCs w:val="22"/>
          <w:lang w:val="lt-LT"/>
        </w:rPr>
        <w:t>i</w:t>
      </w:r>
      <w:r w:rsidR="00872D09" w:rsidRPr="00CE6E5F">
        <w:rPr>
          <w:sz w:val="22"/>
          <w:szCs w:val="22"/>
          <w:lang w:val="lt-LT"/>
        </w:rPr>
        <w:t xml:space="preserve"> būti naudojamos tik gliukozei specifinės tyrimo sistemos.</w:t>
      </w:r>
    </w:p>
    <w:p w14:paraId="1098D245" w14:textId="77777777" w:rsidR="00872D09" w:rsidRPr="00CE6E5F" w:rsidRDefault="00872D09">
      <w:pPr>
        <w:pStyle w:val="Default"/>
        <w:rPr>
          <w:sz w:val="22"/>
          <w:szCs w:val="22"/>
          <w:lang w:val="lt-LT"/>
        </w:rPr>
      </w:pPr>
    </w:p>
    <w:p w14:paraId="51C75896" w14:textId="77777777" w:rsidR="00FD7C97" w:rsidRPr="00CE6E5F" w:rsidRDefault="00EC6479" w:rsidP="00CE6E5F">
      <w:pPr>
        <w:pStyle w:val="Antrat3"/>
      </w:pPr>
      <w:r w:rsidRPr="00CE6E5F">
        <w:t>Vaikų populiacija</w:t>
      </w:r>
    </w:p>
    <w:p w14:paraId="679E632F" w14:textId="77777777" w:rsidR="00FD7C97" w:rsidRPr="00CE6E5F" w:rsidRDefault="00FD7C97">
      <w:pPr>
        <w:pStyle w:val="Default"/>
        <w:rPr>
          <w:sz w:val="22"/>
          <w:szCs w:val="22"/>
          <w:lang w:val="lt-LT"/>
        </w:rPr>
      </w:pPr>
      <w:r w:rsidRPr="00CE6E5F">
        <w:rPr>
          <w:sz w:val="22"/>
          <w:szCs w:val="22"/>
          <w:lang w:val="lt-LT"/>
        </w:rPr>
        <w:t>Aprašyta sąveika būdinga tiek suaugusiesiems, tiek ir vaikams.</w:t>
      </w:r>
    </w:p>
    <w:p w14:paraId="424FE31B" w14:textId="77777777" w:rsidR="00EC6479" w:rsidRPr="00CE6E5F" w:rsidRDefault="00EC6479">
      <w:pPr>
        <w:pStyle w:val="Default"/>
        <w:rPr>
          <w:sz w:val="22"/>
          <w:szCs w:val="22"/>
          <w:lang w:val="lt-LT"/>
        </w:rPr>
      </w:pPr>
    </w:p>
    <w:p w14:paraId="0DC86545" w14:textId="7A071D95" w:rsidR="00FD7C97" w:rsidRPr="00CE6E5F" w:rsidRDefault="00EC6479">
      <w:pPr>
        <w:pStyle w:val="Antrat2"/>
      </w:pPr>
      <w:r w:rsidRPr="00CE6E5F">
        <w:t>4.6</w:t>
      </w:r>
      <w:r w:rsidRPr="00CE6E5F">
        <w:tab/>
        <w:t>Vaisingumas, nėštum</w:t>
      </w:r>
      <w:r w:rsidR="00313023">
        <w:t>o</w:t>
      </w:r>
      <w:r w:rsidRPr="00CE6E5F">
        <w:t xml:space="preserve"> ir žindymo laikotarpis </w:t>
      </w:r>
    </w:p>
    <w:p w14:paraId="5BE1AF1A" w14:textId="77777777" w:rsidR="00EC6479" w:rsidRPr="00CE6E5F" w:rsidRDefault="00EC6479">
      <w:pPr>
        <w:pStyle w:val="Default"/>
        <w:rPr>
          <w:sz w:val="22"/>
          <w:szCs w:val="22"/>
          <w:lang w:val="lt-LT"/>
        </w:rPr>
      </w:pPr>
    </w:p>
    <w:p w14:paraId="7C076AA2" w14:textId="77777777" w:rsidR="00FD7C97" w:rsidRPr="00CE6E5F" w:rsidRDefault="00EC6479" w:rsidP="00CE6E5F">
      <w:pPr>
        <w:pStyle w:val="Antrat3"/>
      </w:pPr>
      <w:r w:rsidRPr="00CE6E5F">
        <w:t>Nėštumas</w:t>
      </w:r>
    </w:p>
    <w:p w14:paraId="4392C229" w14:textId="043C2B17" w:rsidR="00FD7C97" w:rsidRPr="00CE6E5F" w:rsidRDefault="00FD7C97">
      <w:pPr>
        <w:pStyle w:val="Default"/>
        <w:rPr>
          <w:sz w:val="22"/>
          <w:szCs w:val="22"/>
          <w:lang w:val="lt-LT"/>
        </w:rPr>
      </w:pPr>
      <w:r w:rsidRPr="00CE6E5F">
        <w:rPr>
          <w:sz w:val="22"/>
          <w:szCs w:val="22"/>
          <w:lang w:val="lt-LT"/>
        </w:rPr>
        <w:t>Kontroliuojamais klinikiniais tyrimais nenustatyta, ar saugu š</w:t>
      </w:r>
      <w:r w:rsidR="00BE28AE">
        <w:rPr>
          <w:sz w:val="22"/>
          <w:szCs w:val="22"/>
          <w:lang w:val="lt-LT"/>
        </w:rPr>
        <w:t>io</w:t>
      </w:r>
      <w:r w:rsidRPr="00CE6E5F">
        <w:rPr>
          <w:sz w:val="22"/>
          <w:szCs w:val="22"/>
          <w:lang w:val="lt-LT"/>
        </w:rPr>
        <w:t xml:space="preserve"> vaistin</w:t>
      </w:r>
      <w:r w:rsidR="00BE28AE">
        <w:rPr>
          <w:sz w:val="22"/>
          <w:szCs w:val="22"/>
          <w:lang w:val="lt-LT"/>
        </w:rPr>
        <w:t>io</w:t>
      </w:r>
      <w:r w:rsidRPr="00CE6E5F">
        <w:rPr>
          <w:sz w:val="22"/>
          <w:szCs w:val="22"/>
          <w:lang w:val="lt-LT"/>
        </w:rPr>
        <w:t xml:space="preserve"> preparat</w:t>
      </w:r>
      <w:r w:rsidR="00BE28AE">
        <w:rPr>
          <w:sz w:val="22"/>
          <w:szCs w:val="22"/>
          <w:lang w:val="lt-LT"/>
        </w:rPr>
        <w:t>o</w:t>
      </w:r>
      <w:r w:rsidRPr="00CE6E5F">
        <w:rPr>
          <w:sz w:val="22"/>
          <w:szCs w:val="22"/>
          <w:lang w:val="lt-LT"/>
        </w:rPr>
        <w:t xml:space="preserve"> vartoti nėštumo </w:t>
      </w:r>
      <w:r w:rsidR="0091300C">
        <w:rPr>
          <w:sz w:val="22"/>
          <w:szCs w:val="22"/>
          <w:lang w:val="lt-LT"/>
        </w:rPr>
        <w:t>metu</w:t>
      </w:r>
      <w:r w:rsidRPr="00CE6E5F">
        <w:rPr>
          <w:sz w:val="22"/>
          <w:szCs w:val="22"/>
          <w:lang w:val="lt-LT"/>
        </w:rPr>
        <w:t xml:space="preserve">, todėl nėščioms moterims ir žindyvėms jo </w:t>
      </w:r>
      <w:r w:rsidR="00BE28AE">
        <w:rPr>
          <w:sz w:val="22"/>
          <w:szCs w:val="22"/>
          <w:lang w:val="lt-LT"/>
        </w:rPr>
        <w:t xml:space="preserve">turi būti </w:t>
      </w:r>
      <w:r w:rsidRPr="00CE6E5F">
        <w:rPr>
          <w:sz w:val="22"/>
          <w:szCs w:val="22"/>
          <w:lang w:val="lt-LT"/>
        </w:rPr>
        <w:t xml:space="preserve">skiriama </w:t>
      </w:r>
      <w:r w:rsidR="00BE28AE">
        <w:rPr>
          <w:sz w:val="22"/>
          <w:szCs w:val="22"/>
          <w:lang w:val="lt-LT"/>
        </w:rPr>
        <w:t xml:space="preserve">tik </w:t>
      </w:r>
      <w:r w:rsidR="002722A4">
        <w:rPr>
          <w:sz w:val="22"/>
          <w:szCs w:val="22"/>
          <w:lang w:val="lt-LT"/>
        </w:rPr>
        <w:t>laikantis saugumo priemonių</w:t>
      </w:r>
      <w:r w:rsidRPr="00CE6E5F">
        <w:rPr>
          <w:sz w:val="22"/>
          <w:szCs w:val="22"/>
          <w:lang w:val="lt-LT"/>
        </w:rPr>
        <w:t xml:space="preserve">. Imunoglobulino </w:t>
      </w:r>
      <w:r w:rsidR="00773153">
        <w:rPr>
          <w:sz w:val="22"/>
          <w:szCs w:val="22"/>
          <w:lang w:val="lt-LT"/>
        </w:rPr>
        <w:t>vaistini</w:t>
      </w:r>
      <w:r w:rsidR="00BE28AE">
        <w:rPr>
          <w:sz w:val="22"/>
          <w:szCs w:val="22"/>
          <w:lang w:val="lt-LT"/>
        </w:rPr>
        <w:t>ų</w:t>
      </w:r>
      <w:r w:rsidR="00773153">
        <w:rPr>
          <w:sz w:val="22"/>
          <w:szCs w:val="22"/>
          <w:lang w:val="lt-LT"/>
        </w:rPr>
        <w:t xml:space="preserve"> </w:t>
      </w:r>
      <w:r w:rsidRPr="00CE6E5F">
        <w:rPr>
          <w:sz w:val="22"/>
          <w:szCs w:val="22"/>
          <w:lang w:val="lt-LT"/>
        </w:rPr>
        <w:t>preparat</w:t>
      </w:r>
      <w:r w:rsidR="00BE28AE">
        <w:rPr>
          <w:sz w:val="22"/>
          <w:szCs w:val="22"/>
          <w:lang w:val="lt-LT"/>
        </w:rPr>
        <w:t>ų</w:t>
      </w:r>
      <w:r w:rsidRPr="00CE6E5F">
        <w:rPr>
          <w:sz w:val="22"/>
          <w:szCs w:val="22"/>
          <w:lang w:val="lt-LT"/>
        </w:rPr>
        <w:t xml:space="preserve"> p</w:t>
      </w:r>
      <w:r w:rsidR="00BE28AE">
        <w:rPr>
          <w:sz w:val="22"/>
          <w:szCs w:val="22"/>
          <w:lang w:val="lt-LT"/>
        </w:rPr>
        <w:t>rasiskverbia</w:t>
      </w:r>
      <w:r w:rsidRPr="00CE6E5F">
        <w:rPr>
          <w:sz w:val="22"/>
          <w:szCs w:val="22"/>
          <w:lang w:val="lt-LT"/>
        </w:rPr>
        <w:t xml:space="preserve"> per placentą, </w:t>
      </w:r>
      <w:r w:rsidR="00A146A4">
        <w:rPr>
          <w:sz w:val="22"/>
          <w:szCs w:val="22"/>
          <w:lang w:val="lt-LT"/>
        </w:rPr>
        <w:t>intensyvėjančiai</w:t>
      </w:r>
      <w:r w:rsidR="00A146A4" w:rsidRPr="0057480F">
        <w:rPr>
          <w:sz w:val="22"/>
          <w:szCs w:val="22"/>
          <w:lang w:val="lt-LT"/>
        </w:rPr>
        <w:t xml:space="preserve"> </w:t>
      </w:r>
      <w:r w:rsidR="00BE28AE">
        <w:rPr>
          <w:sz w:val="22"/>
          <w:szCs w:val="22"/>
          <w:lang w:val="lt-LT"/>
        </w:rPr>
        <w:t xml:space="preserve">nėštumo </w:t>
      </w:r>
      <w:r w:rsidRPr="0057480F">
        <w:rPr>
          <w:sz w:val="22"/>
          <w:szCs w:val="22"/>
          <w:lang w:val="lt-LT"/>
        </w:rPr>
        <w:t>trečiojo trimestro metu</w:t>
      </w:r>
      <w:r w:rsidRPr="00CE6E5F">
        <w:rPr>
          <w:sz w:val="22"/>
          <w:szCs w:val="22"/>
          <w:lang w:val="lt-LT"/>
        </w:rPr>
        <w:t>. Klinikinė imunoglobulinų vartojimo patirtis kenksmingo poveikio nėštumo eigai arba vaisiaus ar naujagimio sveikatos būklei nerodo.</w:t>
      </w:r>
    </w:p>
    <w:p w14:paraId="702F7BBA" w14:textId="77777777" w:rsidR="009857C6" w:rsidRPr="00CE6E5F" w:rsidRDefault="009857C6">
      <w:pPr>
        <w:pStyle w:val="Default"/>
        <w:rPr>
          <w:sz w:val="22"/>
          <w:szCs w:val="22"/>
          <w:lang w:val="lt-LT"/>
        </w:rPr>
      </w:pPr>
    </w:p>
    <w:p w14:paraId="68AA90CB" w14:textId="77777777" w:rsidR="00FD7C97" w:rsidRPr="00CE6E5F" w:rsidRDefault="00EC6479" w:rsidP="00CE6E5F">
      <w:pPr>
        <w:pStyle w:val="Antrat3"/>
      </w:pPr>
      <w:r w:rsidRPr="00CE6E5F">
        <w:t>Žindymas</w:t>
      </w:r>
    </w:p>
    <w:p w14:paraId="7281B042" w14:textId="01889A3F" w:rsidR="00FD7C97" w:rsidRPr="00CE6E5F" w:rsidRDefault="00FD7C97">
      <w:pPr>
        <w:pStyle w:val="Default"/>
        <w:rPr>
          <w:sz w:val="22"/>
          <w:szCs w:val="22"/>
          <w:lang w:val="lt-LT"/>
        </w:rPr>
      </w:pPr>
      <w:r w:rsidRPr="00CE6E5F">
        <w:rPr>
          <w:sz w:val="22"/>
          <w:szCs w:val="22"/>
          <w:lang w:val="lt-LT"/>
        </w:rPr>
        <w:t>Imunoglobulin</w:t>
      </w:r>
      <w:r w:rsidR="0091300C">
        <w:rPr>
          <w:sz w:val="22"/>
          <w:szCs w:val="22"/>
          <w:lang w:val="lt-LT"/>
        </w:rPr>
        <w:t>ų</w:t>
      </w:r>
      <w:r w:rsidRPr="00CE6E5F">
        <w:rPr>
          <w:sz w:val="22"/>
          <w:szCs w:val="22"/>
          <w:lang w:val="lt-LT"/>
        </w:rPr>
        <w:t xml:space="preserve"> išsiskiria į </w:t>
      </w:r>
      <w:r w:rsidR="0091300C">
        <w:rPr>
          <w:sz w:val="22"/>
          <w:szCs w:val="22"/>
          <w:lang w:val="lt-LT"/>
        </w:rPr>
        <w:t>gydytų moterų</w:t>
      </w:r>
      <w:r w:rsidRPr="00CE6E5F">
        <w:rPr>
          <w:sz w:val="22"/>
          <w:szCs w:val="22"/>
          <w:lang w:val="lt-LT"/>
        </w:rPr>
        <w:t xml:space="preserve"> pieną ir gali padėti apsaugoti naujagimį nuo patogenų, kurie prasiskverbia p</w:t>
      </w:r>
      <w:r w:rsidR="0091300C">
        <w:rPr>
          <w:sz w:val="22"/>
          <w:szCs w:val="22"/>
          <w:lang w:val="lt-LT"/>
        </w:rPr>
        <w:t>er</w:t>
      </w:r>
      <w:r w:rsidRPr="00CE6E5F">
        <w:rPr>
          <w:sz w:val="22"/>
          <w:szCs w:val="22"/>
          <w:lang w:val="lt-LT"/>
        </w:rPr>
        <w:t xml:space="preserve"> gleivinę.</w:t>
      </w:r>
    </w:p>
    <w:p w14:paraId="7453BF1F" w14:textId="77777777" w:rsidR="009857C6" w:rsidRPr="00CE6E5F" w:rsidRDefault="009857C6">
      <w:pPr>
        <w:pStyle w:val="Default"/>
        <w:rPr>
          <w:sz w:val="22"/>
          <w:szCs w:val="22"/>
          <w:lang w:val="lt-LT"/>
        </w:rPr>
      </w:pPr>
    </w:p>
    <w:p w14:paraId="4BD7FEDF" w14:textId="77777777" w:rsidR="00FD7C97" w:rsidRPr="00CE6E5F" w:rsidRDefault="00EC6479">
      <w:pPr>
        <w:pStyle w:val="Default"/>
        <w:rPr>
          <w:sz w:val="22"/>
          <w:szCs w:val="22"/>
          <w:u w:val="single"/>
          <w:lang w:val="lt-LT"/>
        </w:rPr>
      </w:pPr>
      <w:r w:rsidRPr="00CE6E5F">
        <w:rPr>
          <w:sz w:val="22"/>
          <w:szCs w:val="22"/>
          <w:u w:val="single"/>
          <w:lang w:val="lt-LT"/>
        </w:rPr>
        <w:t>Vaisingumas</w:t>
      </w:r>
    </w:p>
    <w:p w14:paraId="38599F88" w14:textId="73C3C0A7" w:rsidR="00FD7C97" w:rsidRPr="00CE6E5F" w:rsidRDefault="00FD7C97">
      <w:pPr>
        <w:pStyle w:val="Default"/>
        <w:rPr>
          <w:sz w:val="22"/>
          <w:szCs w:val="22"/>
          <w:lang w:val="lt-LT"/>
        </w:rPr>
      </w:pPr>
      <w:r w:rsidRPr="00CE6E5F">
        <w:rPr>
          <w:sz w:val="22"/>
          <w:szCs w:val="22"/>
          <w:lang w:val="lt-LT"/>
        </w:rPr>
        <w:t>Klinikinė imunoglobulinų vartojimo patirtis kenksmingo poveikio vaisingumui nerodo.</w:t>
      </w:r>
    </w:p>
    <w:p w14:paraId="6149FB2C" w14:textId="77777777" w:rsidR="00EC6479" w:rsidRPr="00CE6E5F" w:rsidRDefault="00EC6479">
      <w:pPr>
        <w:pStyle w:val="Default"/>
        <w:rPr>
          <w:sz w:val="22"/>
          <w:szCs w:val="22"/>
          <w:lang w:val="lt-LT"/>
        </w:rPr>
      </w:pPr>
    </w:p>
    <w:p w14:paraId="6E35ADDC" w14:textId="77777777" w:rsidR="00FD7C97" w:rsidRPr="00CE6E5F" w:rsidRDefault="00EC6479">
      <w:pPr>
        <w:pStyle w:val="Antrat2"/>
      </w:pPr>
      <w:r w:rsidRPr="00CE6E5F">
        <w:t>4.7</w:t>
      </w:r>
      <w:r w:rsidRPr="00CE6E5F">
        <w:tab/>
        <w:t xml:space="preserve">Poveikis gebėjimui vairuoti ir valdyti mechanizmus </w:t>
      </w:r>
    </w:p>
    <w:p w14:paraId="1C5BB9D3" w14:textId="77777777" w:rsidR="00EC6479" w:rsidRPr="00CE6E5F" w:rsidRDefault="00EC6479" w:rsidP="00E457A0">
      <w:pPr>
        <w:pStyle w:val="Default"/>
        <w:keepNext/>
        <w:keepLines/>
        <w:rPr>
          <w:sz w:val="22"/>
          <w:szCs w:val="22"/>
          <w:lang w:val="lt-LT"/>
        </w:rPr>
      </w:pPr>
    </w:p>
    <w:p w14:paraId="05F49285" w14:textId="2F961DC7" w:rsidR="00FD7C97" w:rsidRPr="00CE6E5F" w:rsidRDefault="00FD7C97" w:rsidP="00E457A0">
      <w:pPr>
        <w:pStyle w:val="Default"/>
        <w:rPr>
          <w:sz w:val="22"/>
          <w:szCs w:val="22"/>
          <w:lang w:val="lt-LT"/>
        </w:rPr>
      </w:pPr>
      <w:r w:rsidRPr="00CE6E5F">
        <w:rPr>
          <w:sz w:val="22"/>
          <w:szCs w:val="22"/>
          <w:lang w:val="lt-LT"/>
        </w:rPr>
        <w:t xml:space="preserve">Gebėjimą vairuoti ir valdyti mechanizmus gali sutrikdyti kai kurios nepageidaujamos reakcijos, susijusios su </w:t>
      </w:r>
      <w:proofErr w:type="spellStart"/>
      <w:r w:rsidR="00242227">
        <w:rPr>
          <w:sz w:val="22"/>
          <w:szCs w:val="22"/>
          <w:lang w:val="lt-LT"/>
        </w:rPr>
        <w:t>c</w:t>
      </w:r>
      <w:r w:rsidRPr="00CE6E5F">
        <w:rPr>
          <w:sz w:val="22"/>
          <w:szCs w:val="22"/>
          <w:lang w:val="lt-LT"/>
        </w:rPr>
        <w:t>utaquig</w:t>
      </w:r>
      <w:proofErr w:type="spellEnd"/>
      <w:r w:rsidRPr="00CE6E5F">
        <w:rPr>
          <w:sz w:val="22"/>
          <w:szCs w:val="22"/>
          <w:lang w:val="lt-LT"/>
        </w:rPr>
        <w:t>. Pacientai, kuriems gydymo metu pasireiškė nepageidaujam</w:t>
      </w:r>
      <w:r w:rsidR="001C4862">
        <w:rPr>
          <w:sz w:val="22"/>
          <w:szCs w:val="22"/>
          <w:lang w:val="lt-LT"/>
        </w:rPr>
        <w:t>ų</w:t>
      </w:r>
      <w:r w:rsidRPr="00CE6E5F">
        <w:rPr>
          <w:sz w:val="22"/>
          <w:szCs w:val="22"/>
          <w:lang w:val="lt-LT"/>
        </w:rPr>
        <w:t xml:space="preserve"> reakcij</w:t>
      </w:r>
      <w:r w:rsidR="001C4862">
        <w:rPr>
          <w:sz w:val="22"/>
          <w:szCs w:val="22"/>
          <w:lang w:val="lt-LT"/>
        </w:rPr>
        <w:t>ų</w:t>
      </w:r>
      <w:r w:rsidRPr="00CE6E5F">
        <w:rPr>
          <w:sz w:val="22"/>
          <w:szCs w:val="22"/>
          <w:lang w:val="lt-LT"/>
        </w:rPr>
        <w:t>, prieš vairuodami arba valdydami mechanizmus turi palaukti, kol jos išnyks.</w:t>
      </w:r>
    </w:p>
    <w:p w14:paraId="12A5BB01" w14:textId="77777777" w:rsidR="00EC6479" w:rsidRPr="00CE6E5F" w:rsidRDefault="00EC6479" w:rsidP="00E457A0">
      <w:pPr>
        <w:pStyle w:val="Default"/>
        <w:rPr>
          <w:sz w:val="22"/>
          <w:szCs w:val="22"/>
          <w:lang w:val="lt-LT"/>
        </w:rPr>
      </w:pPr>
    </w:p>
    <w:p w14:paraId="7B03E229" w14:textId="77777777" w:rsidR="00FD7C97" w:rsidRPr="00CE6E5F" w:rsidRDefault="00EC6479" w:rsidP="00316E67">
      <w:pPr>
        <w:pStyle w:val="Antrat2"/>
      </w:pPr>
      <w:r w:rsidRPr="00CE6E5F">
        <w:t>4.8</w:t>
      </w:r>
      <w:r w:rsidRPr="00CE6E5F">
        <w:tab/>
        <w:t xml:space="preserve">Nepageidaujamas poveikis </w:t>
      </w:r>
    </w:p>
    <w:p w14:paraId="5F084610" w14:textId="77777777" w:rsidR="00EC6479" w:rsidRPr="00CE6E5F" w:rsidRDefault="00EC6479" w:rsidP="00E457A0">
      <w:pPr>
        <w:pStyle w:val="Default"/>
        <w:rPr>
          <w:sz w:val="22"/>
          <w:szCs w:val="22"/>
          <w:lang w:val="lt-LT"/>
        </w:rPr>
      </w:pPr>
    </w:p>
    <w:p w14:paraId="5B74C7BA" w14:textId="77777777" w:rsidR="00FD7C97" w:rsidRPr="00CE6E5F" w:rsidRDefault="00EC6479" w:rsidP="00CE6E5F">
      <w:pPr>
        <w:pStyle w:val="Antrat3"/>
      </w:pPr>
      <w:r w:rsidRPr="00CE6E5F">
        <w:t>Saugumo duomenų santrauka</w:t>
      </w:r>
    </w:p>
    <w:p w14:paraId="2A1F0456" w14:textId="1B85087A" w:rsidR="00FD7C97" w:rsidRPr="00CE6E5F" w:rsidRDefault="00FD7C97" w:rsidP="00E457A0">
      <w:pPr>
        <w:pStyle w:val="Default"/>
        <w:rPr>
          <w:sz w:val="22"/>
          <w:szCs w:val="22"/>
          <w:lang w:val="lt-LT"/>
        </w:rPr>
      </w:pPr>
      <w:r w:rsidRPr="00CE6E5F">
        <w:rPr>
          <w:sz w:val="22"/>
          <w:szCs w:val="22"/>
          <w:lang w:val="lt-LT"/>
        </w:rPr>
        <w:t>Kartais gali kilti nepageidaujam</w:t>
      </w:r>
      <w:r w:rsidR="009457ED">
        <w:rPr>
          <w:sz w:val="22"/>
          <w:szCs w:val="22"/>
          <w:lang w:val="lt-LT"/>
        </w:rPr>
        <w:t>ų</w:t>
      </w:r>
      <w:r w:rsidRPr="00CE6E5F">
        <w:rPr>
          <w:sz w:val="22"/>
          <w:szCs w:val="22"/>
          <w:lang w:val="lt-LT"/>
        </w:rPr>
        <w:t xml:space="preserve"> reakcij</w:t>
      </w:r>
      <w:r w:rsidR="009457ED">
        <w:rPr>
          <w:sz w:val="22"/>
          <w:szCs w:val="22"/>
          <w:lang w:val="lt-LT"/>
        </w:rPr>
        <w:t>ų</w:t>
      </w:r>
      <w:r w:rsidRPr="00CE6E5F">
        <w:rPr>
          <w:sz w:val="22"/>
          <w:szCs w:val="22"/>
          <w:lang w:val="lt-LT"/>
        </w:rPr>
        <w:t xml:space="preserve">, kaip </w:t>
      </w:r>
      <w:proofErr w:type="spellStart"/>
      <w:r w:rsidRPr="00CE6E5F">
        <w:rPr>
          <w:sz w:val="22"/>
          <w:szCs w:val="22"/>
          <w:lang w:val="lt-LT"/>
        </w:rPr>
        <w:t>šal</w:t>
      </w:r>
      <w:r w:rsidR="009457ED">
        <w:rPr>
          <w:sz w:val="22"/>
          <w:szCs w:val="22"/>
          <w:lang w:val="lt-LT"/>
        </w:rPr>
        <w:t>tkrėtis</w:t>
      </w:r>
      <w:proofErr w:type="spellEnd"/>
      <w:r w:rsidRPr="00CE6E5F">
        <w:rPr>
          <w:sz w:val="22"/>
          <w:szCs w:val="22"/>
          <w:lang w:val="lt-LT"/>
        </w:rPr>
        <w:t xml:space="preserve">, galvos skausmas, </w:t>
      </w:r>
      <w:r w:rsidR="007B675E">
        <w:rPr>
          <w:sz w:val="22"/>
          <w:szCs w:val="22"/>
          <w:lang w:val="lt-LT"/>
        </w:rPr>
        <w:t>svaigulys</w:t>
      </w:r>
      <w:r w:rsidRPr="00CE6E5F">
        <w:rPr>
          <w:sz w:val="22"/>
          <w:szCs w:val="22"/>
          <w:lang w:val="lt-LT"/>
        </w:rPr>
        <w:t>, karščiavimas, vėmimas, alerginės reakcijos, pykinimas, sąnarių skausmas, žemas kraujospūdis ir vidutinio stiprumo apatinės nugaros dalies skausmas.</w:t>
      </w:r>
    </w:p>
    <w:p w14:paraId="02F621F3" w14:textId="77777777" w:rsidR="00D51D41" w:rsidRPr="00CE6E5F" w:rsidRDefault="00D51D41" w:rsidP="00316E67">
      <w:pPr>
        <w:pStyle w:val="Default"/>
        <w:rPr>
          <w:sz w:val="22"/>
          <w:szCs w:val="22"/>
          <w:lang w:val="lt-LT"/>
        </w:rPr>
      </w:pPr>
    </w:p>
    <w:p w14:paraId="37811E6D" w14:textId="470FA0B7" w:rsidR="00FD7C97" w:rsidRPr="00CE6E5F" w:rsidRDefault="00FD7C97" w:rsidP="00316E67">
      <w:pPr>
        <w:pStyle w:val="Default"/>
        <w:rPr>
          <w:sz w:val="22"/>
          <w:szCs w:val="22"/>
          <w:lang w:val="lt-LT"/>
        </w:rPr>
      </w:pPr>
      <w:r w:rsidRPr="00CE6E5F">
        <w:rPr>
          <w:sz w:val="22"/>
          <w:szCs w:val="22"/>
          <w:lang w:val="lt-LT"/>
        </w:rPr>
        <w:t>Retais atvejais žmogaus normalieji imunoglobulinai gali sukelti staigų kraujospūdžio kritimą ir pavieniais atvejais – anafilaksinį šoką, net jei padidėjęs paciento</w:t>
      </w:r>
      <w:r w:rsidR="00AC2AF5">
        <w:rPr>
          <w:sz w:val="22"/>
          <w:szCs w:val="22"/>
          <w:lang w:val="lt-LT"/>
        </w:rPr>
        <w:t xml:space="preserve"> </w:t>
      </w:r>
      <w:r w:rsidRPr="00CE6E5F">
        <w:rPr>
          <w:sz w:val="22"/>
          <w:szCs w:val="22"/>
          <w:lang w:val="lt-LT"/>
        </w:rPr>
        <w:t xml:space="preserve">jautrumas </w:t>
      </w:r>
      <w:r w:rsidR="00AC2AF5">
        <w:rPr>
          <w:sz w:val="22"/>
          <w:szCs w:val="22"/>
          <w:lang w:val="lt-LT"/>
        </w:rPr>
        <w:t xml:space="preserve">vaistiniam preparatui </w:t>
      </w:r>
      <w:r w:rsidRPr="00CE6E5F">
        <w:rPr>
          <w:sz w:val="22"/>
          <w:szCs w:val="22"/>
          <w:lang w:val="lt-LT"/>
        </w:rPr>
        <w:t>nebuvo pastebėtas</w:t>
      </w:r>
      <w:r w:rsidR="00AC2AF5">
        <w:rPr>
          <w:sz w:val="22"/>
          <w:szCs w:val="22"/>
          <w:lang w:val="lt-LT"/>
        </w:rPr>
        <w:t xml:space="preserve"> ankstesnio vartojimo metu</w:t>
      </w:r>
      <w:r w:rsidRPr="00CE6E5F">
        <w:rPr>
          <w:sz w:val="22"/>
          <w:szCs w:val="22"/>
          <w:lang w:val="lt-LT"/>
        </w:rPr>
        <w:t>.</w:t>
      </w:r>
    </w:p>
    <w:p w14:paraId="6F790973" w14:textId="77777777" w:rsidR="00931026" w:rsidRPr="00CE6E5F" w:rsidRDefault="00931026" w:rsidP="00316E67">
      <w:pPr>
        <w:pStyle w:val="Default"/>
        <w:rPr>
          <w:sz w:val="22"/>
          <w:szCs w:val="22"/>
          <w:lang w:val="lt-LT"/>
        </w:rPr>
      </w:pPr>
    </w:p>
    <w:p w14:paraId="116C670F" w14:textId="5A03EF87" w:rsidR="00FD7C97" w:rsidRPr="00CE6E5F" w:rsidRDefault="00FD7C97" w:rsidP="00316E67">
      <w:pPr>
        <w:pStyle w:val="Default"/>
        <w:rPr>
          <w:sz w:val="22"/>
          <w:szCs w:val="22"/>
          <w:lang w:val="lt-LT"/>
        </w:rPr>
      </w:pPr>
      <w:r w:rsidRPr="00CE6E5F">
        <w:rPr>
          <w:sz w:val="22"/>
          <w:szCs w:val="22"/>
          <w:lang w:val="lt-LT"/>
        </w:rPr>
        <w:t>Dažnai gali pasireikšti vietin</w:t>
      </w:r>
      <w:r w:rsidR="00BA5D26">
        <w:rPr>
          <w:sz w:val="22"/>
          <w:szCs w:val="22"/>
          <w:lang w:val="lt-LT"/>
        </w:rPr>
        <w:t>ių</w:t>
      </w:r>
      <w:r w:rsidRPr="00CE6E5F">
        <w:rPr>
          <w:sz w:val="22"/>
          <w:szCs w:val="22"/>
          <w:lang w:val="lt-LT"/>
        </w:rPr>
        <w:t xml:space="preserve"> reakcij</w:t>
      </w:r>
      <w:r w:rsidR="00BA5D26">
        <w:rPr>
          <w:sz w:val="22"/>
          <w:szCs w:val="22"/>
          <w:lang w:val="lt-LT"/>
        </w:rPr>
        <w:t>ų</w:t>
      </w:r>
      <w:r w:rsidRPr="00CE6E5F">
        <w:rPr>
          <w:sz w:val="22"/>
          <w:szCs w:val="22"/>
          <w:lang w:val="lt-LT"/>
        </w:rPr>
        <w:t xml:space="preserve"> infuzijos vietose: tinimas, </w:t>
      </w:r>
      <w:r w:rsidR="00DF39A8">
        <w:rPr>
          <w:sz w:val="22"/>
          <w:szCs w:val="22"/>
          <w:lang w:val="lt-LT"/>
        </w:rPr>
        <w:t>skausmas</w:t>
      </w:r>
      <w:r w:rsidRPr="00CE6E5F">
        <w:rPr>
          <w:sz w:val="22"/>
          <w:szCs w:val="22"/>
          <w:lang w:val="lt-LT"/>
        </w:rPr>
        <w:t xml:space="preserve">, paraudimas, sukietėjimas, vietinis </w:t>
      </w:r>
      <w:r w:rsidR="00DF39A8">
        <w:rPr>
          <w:sz w:val="22"/>
          <w:szCs w:val="22"/>
          <w:lang w:val="lt-LT"/>
        </w:rPr>
        <w:t>karščio</w:t>
      </w:r>
      <w:r w:rsidR="00DF39A8" w:rsidRPr="00CE6E5F">
        <w:rPr>
          <w:sz w:val="22"/>
          <w:szCs w:val="22"/>
          <w:lang w:val="lt-LT"/>
        </w:rPr>
        <w:t xml:space="preserve"> </w:t>
      </w:r>
      <w:r w:rsidRPr="00CE6E5F">
        <w:rPr>
          <w:sz w:val="22"/>
          <w:szCs w:val="22"/>
          <w:lang w:val="lt-LT"/>
        </w:rPr>
        <w:t>pojūtis, niežulys, kraujosruvos ir išbėrimas. Tęsiant gydymą, šios reakcijos paprastai retėja.</w:t>
      </w:r>
    </w:p>
    <w:p w14:paraId="06BA5BAE" w14:textId="77777777" w:rsidR="00D51D41" w:rsidRPr="00CE6E5F" w:rsidRDefault="00D51D41" w:rsidP="00316E67">
      <w:pPr>
        <w:pStyle w:val="Default"/>
        <w:rPr>
          <w:sz w:val="22"/>
          <w:szCs w:val="22"/>
          <w:lang w:val="lt-LT"/>
        </w:rPr>
      </w:pPr>
    </w:p>
    <w:p w14:paraId="365BE2A6" w14:textId="2BDD51B8" w:rsidR="00D51D41" w:rsidRPr="00CE6E5F" w:rsidRDefault="00D51D41" w:rsidP="00316E67">
      <w:pPr>
        <w:pStyle w:val="Default"/>
        <w:rPr>
          <w:sz w:val="22"/>
          <w:szCs w:val="22"/>
          <w:lang w:val="lt-LT"/>
        </w:rPr>
      </w:pPr>
      <w:r w:rsidRPr="00CE6E5F">
        <w:rPr>
          <w:sz w:val="22"/>
          <w:szCs w:val="22"/>
          <w:lang w:val="lt-LT"/>
        </w:rPr>
        <w:t xml:space="preserve">Saugumo informacija dėl </w:t>
      </w:r>
      <w:r w:rsidR="00AC2AF5">
        <w:rPr>
          <w:sz w:val="22"/>
          <w:szCs w:val="22"/>
          <w:lang w:val="lt-LT"/>
        </w:rPr>
        <w:t>pernešamų</w:t>
      </w:r>
      <w:r w:rsidR="00AC2AF5" w:rsidRPr="00CE6E5F">
        <w:rPr>
          <w:sz w:val="22"/>
          <w:szCs w:val="22"/>
          <w:lang w:val="lt-LT"/>
        </w:rPr>
        <w:t xml:space="preserve"> </w:t>
      </w:r>
      <w:r w:rsidRPr="00CE6E5F">
        <w:rPr>
          <w:sz w:val="22"/>
          <w:szCs w:val="22"/>
          <w:lang w:val="lt-LT"/>
        </w:rPr>
        <w:t>medžiagų pateikta 4.4 skyriuje.</w:t>
      </w:r>
    </w:p>
    <w:p w14:paraId="7E12DC3C" w14:textId="77777777" w:rsidR="00D36987" w:rsidRPr="00CE6E5F" w:rsidRDefault="00D36987" w:rsidP="00316E67">
      <w:pPr>
        <w:pStyle w:val="Default"/>
        <w:rPr>
          <w:sz w:val="22"/>
          <w:szCs w:val="22"/>
          <w:lang w:val="lt-LT"/>
        </w:rPr>
      </w:pPr>
    </w:p>
    <w:p w14:paraId="3497D326" w14:textId="64090088" w:rsidR="00FD7C97" w:rsidRPr="00CE6E5F" w:rsidRDefault="00BA5D26" w:rsidP="00CE6E5F">
      <w:pPr>
        <w:pStyle w:val="Antrat3"/>
      </w:pPr>
      <w:r w:rsidRPr="00BA5D26">
        <w:rPr>
          <w:rFonts w:eastAsia="Times New Roman"/>
          <w:iCs/>
          <w:snapToGrid w:val="0"/>
          <w:color w:val="auto"/>
          <w:lang w:eastAsia="lt-LT"/>
        </w:rPr>
        <w:t>Nepageidaujamų reakcijų santrauka lentelėse</w:t>
      </w:r>
    </w:p>
    <w:p w14:paraId="58961389" w14:textId="2D885B43" w:rsidR="00AC392D" w:rsidRPr="00CE6E5F" w:rsidRDefault="00AC392D">
      <w:pPr>
        <w:pStyle w:val="Default"/>
        <w:rPr>
          <w:sz w:val="22"/>
          <w:szCs w:val="22"/>
          <w:lang w:val="lt-LT"/>
        </w:rPr>
      </w:pPr>
      <w:r w:rsidRPr="00CE6E5F">
        <w:rPr>
          <w:sz w:val="22"/>
          <w:szCs w:val="22"/>
          <w:lang w:val="lt-LT"/>
        </w:rPr>
        <w:t xml:space="preserve">Klinikiniai </w:t>
      </w:r>
      <w:proofErr w:type="spellStart"/>
      <w:r w:rsidR="00AD6413">
        <w:rPr>
          <w:sz w:val="22"/>
          <w:szCs w:val="22"/>
          <w:lang w:val="lt-LT"/>
        </w:rPr>
        <w:t>c</w:t>
      </w:r>
      <w:r w:rsidR="00AD6413" w:rsidRPr="00CE6E5F">
        <w:rPr>
          <w:sz w:val="22"/>
          <w:szCs w:val="22"/>
          <w:lang w:val="lt-LT"/>
        </w:rPr>
        <w:t>utaquig</w:t>
      </w:r>
      <w:proofErr w:type="spellEnd"/>
      <w:r w:rsidR="00AD6413" w:rsidRPr="00CE6E5F">
        <w:rPr>
          <w:sz w:val="22"/>
          <w:szCs w:val="22"/>
          <w:lang w:val="lt-LT"/>
        </w:rPr>
        <w:t xml:space="preserve"> </w:t>
      </w:r>
      <w:r w:rsidRPr="00CE6E5F">
        <w:rPr>
          <w:sz w:val="22"/>
          <w:szCs w:val="22"/>
          <w:lang w:val="lt-LT"/>
        </w:rPr>
        <w:t xml:space="preserve">saugumo duomenys </w:t>
      </w:r>
      <w:r w:rsidR="00AD6413" w:rsidRPr="00CE6E5F">
        <w:rPr>
          <w:sz w:val="22"/>
          <w:szCs w:val="22"/>
          <w:lang w:val="lt-LT"/>
        </w:rPr>
        <w:t>PID sergant</w:t>
      </w:r>
      <w:r w:rsidR="00AD6413">
        <w:rPr>
          <w:sz w:val="22"/>
          <w:szCs w:val="22"/>
          <w:lang w:val="lt-LT"/>
        </w:rPr>
        <w:t>iem</w:t>
      </w:r>
      <w:r w:rsidR="00AD6413" w:rsidRPr="00CE6E5F">
        <w:rPr>
          <w:sz w:val="22"/>
          <w:szCs w:val="22"/>
          <w:lang w:val="lt-LT"/>
        </w:rPr>
        <w:t>s tiriamie</w:t>
      </w:r>
      <w:r w:rsidR="00AD6413">
        <w:rPr>
          <w:sz w:val="22"/>
          <w:szCs w:val="22"/>
          <w:lang w:val="lt-LT"/>
        </w:rPr>
        <w:t>siems</w:t>
      </w:r>
      <w:r w:rsidR="00AD6413" w:rsidRPr="00CE6E5F">
        <w:rPr>
          <w:sz w:val="22"/>
          <w:szCs w:val="22"/>
          <w:lang w:val="lt-LT"/>
        </w:rPr>
        <w:t xml:space="preserve"> </w:t>
      </w:r>
      <w:r w:rsidRPr="00CE6E5F">
        <w:rPr>
          <w:sz w:val="22"/>
          <w:szCs w:val="22"/>
          <w:lang w:val="lt-LT"/>
        </w:rPr>
        <w:t>gauti atlikus pagrindinį</w:t>
      </w:r>
      <w:r w:rsidR="00AD6413">
        <w:rPr>
          <w:sz w:val="22"/>
          <w:szCs w:val="22"/>
          <w:lang w:val="lt-LT"/>
        </w:rPr>
        <w:t xml:space="preserve"> </w:t>
      </w:r>
      <w:r w:rsidR="00AD6413" w:rsidRPr="00CE6E5F">
        <w:rPr>
          <w:sz w:val="22"/>
          <w:szCs w:val="22"/>
          <w:lang w:val="lt-LT"/>
        </w:rPr>
        <w:t xml:space="preserve">atvirąjį, vienos grupės, </w:t>
      </w:r>
      <w:r w:rsidR="00AD6413">
        <w:rPr>
          <w:sz w:val="22"/>
          <w:szCs w:val="22"/>
          <w:lang w:val="lt-LT"/>
        </w:rPr>
        <w:t>perspektyvinį,</w:t>
      </w:r>
      <w:r w:rsidR="00AD6413" w:rsidRPr="00CE6E5F">
        <w:rPr>
          <w:sz w:val="22"/>
          <w:szCs w:val="22"/>
          <w:lang w:val="lt-LT"/>
        </w:rPr>
        <w:t xml:space="preserve"> </w:t>
      </w:r>
      <w:proofErr w:type="spellStart"/>
      <w:r w:rsidR="00AD6413" w:rsidRPr="00CE6E5F">
        <w:rPr>
          <w:sz w:val="22"/>
          <w:szCs w:val="22"/>
          <w:lang w:val="lt-LT"/>
        </w:rPr>
        <w:t>daugiacentrį</w:t>
      </w:r>
      <w:proofErr w:type="spellEnd"/>
      <w:r w:rsidRPr="00CE6E5F">
        <w:rPr>
          <w:sz w:val="22"/>
          <w:szCs w:val="22"/>
          <w:lang w:val="lt-LT"/>
        </w:rPr>
        <w:t xml:space="preserve"> III fazės tyrimą</w:t>
      </w:r>
      <w:r w:rsidR="00AD6413">
        <w:rPr>
          <w:sz w:val="22"/>
          <w:szCs w:val="22"/>
          <w:lang w:val="lt-LT"/>
        </w:rPr>
        <w:t xml:space="preserve"> </w:t>
      </w:r>
      <w:r w:rsidR="00AD6413" w:rsidRPr="00AD6413">
        <w:rPr>
          <w:sz w:val="22"/>
          <w:szCs w:val="22"/>
          <w:lang w:val="lt-LT"/>
        </w:rPr>
        <w:t>(n</w:t>
      </w:r>
      <w:r w:rsidR="00AD6413">
        <w:rPr>
          <w:sz w:val="22"/>
          <w:szCs w:val="22"/>
          <w:lang w:val="lt-LT"/>
        </w:rPr>
        <w:t> </w:t>
      </w:r>
      <w:r w:rsidR="00AD6413" w:rsidRPr="00AD6413">
        <w:rPr>
          <w:sz w:val="22"/>
          <w:szCs w:val="22"/>
          <w:lang w:val="lt-LT"/>
        </w:rPr>
        <w:t>=</w:t>
      </w:r>
      <w:r w:rsidR="00AD6413">
        <w:rPr>
          <w:sz w:val="22"/>
          <w:szCs w:val="22"/>
          <w:lang w:val="lt-LT"/>
        </w:rPr>
        <w:t> </w:t>
      </w:r>
      <w:r w:rsidR="00AD6413" w:rsidRPr="00AD6413">
        <w:rPr>
          <w:sz w:val="22"/>
          <w:szCs w:val="22"/>
          <w:lang w:val="lt-LT"/>
        </w:rPr>
        <w:t>75, 4</w:t>
      </w:r>
      <w:r w:rsidR="00AD6413">
        <w:rPr>
          <w:sz w:val="22"/>
          <w:szCs w:val="22"/>
          <w:lang w:val="lt-LT"/>
        </w:rPr>
        <w:t> </w:t>
      </w:r>
      <w:r w:rsidR="00AD6413" w:rsidRPr="00AD6413">
        <w:rPr>
          <w:sz w:val="22"/>
          <w:szCs w:val="22"/>
          <w:lang w:val="lt-LT"/>
        </w:rPr>
        <w:t>462 infu</w:t>
      </w:r>
      <w:r w:rsidR="00AD6413">
        <w:rPr>
          <w:sz w:val="22"/>
          <w:szCs w:val="22"/>
          <w:lang w:val="lt-LT"/>
        </w:rPr>
        <w:t>zijos</w:t>
      </w:r>
      <w:r w:rsidR="00AD6413" w:rsidRPr="00AD6413">
        <w:rPr>
          <w:sz w:val="22"/>
          <w:szCs w:val="22"/>
          <w:lang w:val="lt-LT"/>
        </w:rPr>
        <w:t>)</w:t>
      </w:r>
      <w:r w:rsidRPr="00CE6E5F">
        <w:rPr>
          <w:sz w:val="22"/>
          <w:szCs w:val="22"/>
          <w:lang w:val="lt-LT"/>
        </w:rPr>
        <w:t xml:space="preserve">, </w:t>
      </w:r>
      <w:r w:rsidR="00AD6413">
        <w:rPr>
          <w:sz w:val="22"/>
          <w:szCs w:val="22"/>
          <w:lang w:val="lt-LT"/>
        </w:rPr>
        <w:t>perspektyvinį,</w:t>
      </w:r>
      <w:r w:rsidR="00AD6413" w:rsidRPr="00CE6E5F">
        <w:rPr>
          <w:sz w:val="22"/>
          <w:szCs w:val="22"/>
          <w:lang w:val="lt-LT"/>
        </w:rPr>
        <w:t xml:space="preserve"> atvirąjį, vienos grupės, </w:t>
      </w:r>
      <w:proofErr w:type="spellStart"/>
      <w:r w:rsidR="00AD6413" w:rsidRPr="00CE6E5F">
        <w:rPr>
          <w:sz w:val="22"/>
          <w:szCs w:val="22"/>
          <w:lang w:val="lt-LT"/>
        </w:rPr>
        <w:t>daugiacentrį</w:t>
      </w:r>
      <w:proofErr w:type="spellEnd"/>
      <w:r w:rsidR="00AD6413" w:rsidRPr="00CE6E5F">
        <w:rPr>
          <w:sz w:val="22"/>
          <w:szCs w:val="22"/>
          <w:lang w:val="lt-LT"/>
        </w:rPr>
        <w:t xml:space="preserve"> III fazės </w:t>
      </w:r>
      <w:r w:rsidR="00AD6413">
        <w:rPr>
          <w:sz w:val="22"/>
          <w:szCs w:val="22"/>
          <w:lang w:val="lt-LT"/>
        </w:rPr>
        <w:t>tęstinį tyrimą</w:t>
      </w:r>
      <w:r w:rsidR="00B632C8">
        <w:rPr>
          <w:sz w:val="22"/>
          <w:szCs w:val="22"/>
          <w:lang w:val="lt-LT"/>
        </w:rPr>
        <w:t xml:space="preserve"> </w:t>
      </w:r>
      <w:r w:rsidR="00B632C8" w:rsidRPr="00B632C8">
        <w:rPr>
          <w:sz w:val="22"/>
          <w:szCs w:val="22"/>
          <w:lang w:val="lt-LT"/>
        </w:rPr>
        <w:t>(n</w:t>
      </w:r>
      <w:r w:rsidR="00B632C8">
        <w:rPr>
          <w:sz w:val="22"/>
          <w:szCs w:val="22"/>
          <w:lang w:val="lt-LT"/>
        </w:rPr>
        <w:t> </w:t>
      </w:r>
      <w:r w:rsidR="00B632C8" w:rsidRPr="00B632C8">
        <w:rPr>
          <w:sz w:val="22"/>
          <w:szCs w:val="22"/>
          <w:lang w:val="lt-LT"/>
        </w:rPr>
        <w:t>=</w:t>
      </w:r>
      <w:r w:rsidR="00B632C8">
        <w:rPr>
          <w:sz w:val="22"/>
          <w:szCs w:val="22"/>
          <w:lang w:val="lt-LT"/>
        </w:rPr>
        <w:t> </w:t>
      </w:r>
      <w:r w:rsidR="00B632C8" w:rsidRPr="00B632C8">
        <w:rPr>
          <w:sz w:val="22"/>
          <w:szCs w:val="22"/>
          <w:lang w:val="lt-LT"/>
        </w:rPr>
        <w:t>27, 2</w:t>
      </w:r>
      <w:r w:rsidR="00B632C8">
        <w:rPr>
          <w:sz w:val="22"/>
          <w:szCs w:val="22"/>
          <w:lang w:val="lt-LT"/>
        </w:rPr>
        <w:t> </w:t>
      </w:r>
      <w:r w:rsidR="00B632C8" w:rsidRPr="00B632C8">
        <w:rPr>
          <w:sz w:val="22"/>
          <w:szCs w:val="22"/>
          <w:lang w:val="lt-LT"/>
        </w:rPr>
        <w:t>777</w:t>
      </w:r>
      <w:r w:rsidR="00B632C8">
        <w:rPr>
          <w:sz w:val="22"/>
          <w:szCs w:val="22"/>
          <w:lang w:val="lt-LT"/>
        </w:rPr>
        <w:t> infuzijos</w:t>
      </w:r>
      <w:r w:rsidR="00B632C8" w:rsidRPr="00B632C8">
        <w:rPr>
          <w:sz w:val="22"/>
          <w:szCs w:val="22"/>
          <w:lang w:val="lt-LT"/>
        </w:rPr>
        <w:t>)</w:t>
      </w:r>
      <w:r w:rsidR="00B632C8">
        <w:rPr>
          <w:sz w:val="22"/>
          <w:szCs w:val="22"/>
          <w:lang w:val="lt-LT"/>
        </w:rPr>
        <w:t xml:space="preserve"> ir atvirąjį, trijų grupių, </w:t>
      </w:r>
      <w:proofErr w:type="spellStart"/>
      <w:r w:rsidR="00B632C8" w:rsidRPr="00CE6E5F">
        <w:rPr>
          <w:sz w:val="22"/>
          <w:szCs w:val="22"/>
          <w:lang w:val="lt-LT"/>
        </w:rPr>
        <w:t>daugiacentrį</w:t>
      </w:r>
      <w:proofErr w:type="spellEnd"/>
      <w:r w:rsidR="00B632C8" w:rsidRPr="00CE6E5F">
        <w:rPr>
          <w:sz w:val="22"/>
          <w:szCs w:val="22"/>
          <w:lang w:val="lt-LT"/>
        </w:rPr>
        <w:t xml:space="preserve"> III fazės </w:t>
      </w:r>
      <w:r w:rsidR="00B632C8">
        <w:rPr>
          <w:sz w:val="22"/>
          <w:szCs w:val="22"/>
          <w:lang w:val="lt-LT"/>
        </w:rPr>
        <w:t xml:space="preserve">tyrimą </w:t>
      </w:r>
      <w:r w:rsidR="00B632C8" w:rsidRPr="00AC5610">
        <w:rPr>
          <w:lang w:val="lt-LT"/>
        </w:rPr>
        <w:t>(n = 64, 1 338 </w:t>
      </w:r>
      <w:r w:rsidR="00B632C8" w:rsidRPr="00B632C8">
        <w:rPr>
          <w:sz w:val="22"/>
          <w:szCs w:val="22"/>
          <w:lang w:val="lt-LT"/>
        </w:rPr>
        <w:t>infuzijos</w:t>
      </w:r>
      <w:r w:rsidR="00B632C8" w:rsidRPr="00AC5610">
        <w:rPr>
          <w:lang w:val="lt-LT"/>
        </w:rPr>
        <w:t>)</w:t>
      </w:r>
      <w:r w:rsidR="005B0D71" w:rsidRPr="00CE6E5F">
        <w:rPr>
          <w:sz w:val="22"/>
          <w:szCs w:val="22"/>
          <w:lang w:val="lt-LT"/>
        </w:rPr>
        <w:t>.</w:t>
      </w:r>
    </w:p>
    <w:p w14:paraId="107861A3" w14:textId="0874BC83" w:rsidR="00FD7C97" w:rsidRPr="00CE6E5F" w:rsidRDefault="00FD7C97">
      <w:pPr>
        <w:pStyle w:val="Default"/>
        <w:rPr>
          <w:sz w:val="22"/>
          <w:szCs w:val="22"/>
          <w:lang w:val="lt-LT"/>
        </w:rPr>
      </w:pPr>
      <w:r w:rsidRPr="00CE6E5F">
        <w:rPr>
          <w:sz w:val="22"/>
          <w:szCs w:val="22"/>
          <w:lang w:val="lt-LT"/>
        </w:rPr>
        <w:t xml:space="preserve">Toliau esanti lentelė sudaryta pagal </w:t>
      </w:r>
      <w:proofErr w:type="spellStart"/>
      <w:r w:rsidRPr="00CE6E5F">
        <w:rPr>
          <w:sz w:val="22"/>
          <w:szCs w:val="22"/>
          <w:lang w:val="lt-LT"/>
        </w:rPr>
        <w:t>MedDRA</w:t>
      </w:r>
      <w:proofErr w:type="spellEnd"/>
      <w:r w:rsidRPr="00CE6E5F">
        <w:rPr>
          <w:sz w:val="22"/>
          <w:szCs w:val="22"/>
          <w:lang w:val="lt-LT"/>
        </w:rPr>
        <w:t xml:space="preserve"> organų sistemų klasifikavimo sistemą (organų sistemų klases ir </w:t>
      </w:r>
      <w:r w:rsidR="00A146A4">
        <w:rPr>
          <w:sz w:val="22"/>
          <w:szCs w:val="22"/>
          <w:lang w:val="lt-LT"/>
        </w:rPr>
        <w:t>pageidaujamus</w:t>
      </w:r>
      <w:r w:rsidR="00A146A4" w:rsidRPr="00CE6E5F">
        <w:rPr>
          <w:sz w:val="22"/>
          <w:szCs w:val="22"/>
          <w:lang w:val="lt-LT"/>
        </w:rPr>
        <w:t xml:space="preserve"> </w:t>
      </w:r>
      <w:r w:rsidRPr="00A146A4">
        <w:rPr>
          <w:sz w:val="22"/>
          <w:szCs w:val="22"/>
          <w:lang w:val="lt-LT"/>
        </w:rPr>
        <w:t>terminus</w:t>
      </w:r>
      <w:r w:rsidRPr="00CE6E5F">
        <w:rPr>
          <w:sz w:val="22"/>
          <w:szCs w:val="22"/>
          <w:lang w:val="lt-LT"/>
        </w:rPr>
        <w:t xml:space="preserve">). </w:t>
      </w:r>
    </w:p>
    <w:p w14:paraId="75466F25" w14:textId="77777777" w:rsidR="0094072F" w:rsidRPr="00CE6E5F" w:rsidRDefault="0094072F">
      <w:pPr>
        <w:pStyle w:val="Default"/>
        <w:rPr>
          <w:sz w:val="22"/>
          <w:szCs w:val="22"/>
          <w:lang w:val="lt-LT"/>
        </w:rPr>
      </w:pPr>
    </w:p>
    <w:p w14:paraId="2A22E2D7" w14:textId="33DB65BA" w:rsidR="00FD7C97" w:rsidRPr="00CE6E5F" w:rsidRDefault="00E364A9">
      <w:pPr>
        <w:pStyle w:val="Default"/>
        <w:rPr>
          <w:sz w:val="22"/>
          <w:szCs w:val="22"/>
          <w:lang w:val="lt-LT"/>
        </w:rPr>
      </w:pPr>
      <w:r w:rsidRPr="00E364A9">
        <w:rPr>
          <w:rFonts w:eastAsia="Times New Roman"/>
          <w:snapToGrid w:val="0"/>
          <w:color w:val="auto"/>
          <w:sz w:val="22"/>
          <w:szCs w:val="22"/>
          <w:lang w:val="lt-LT"/>
        </w:rPr>
        <w:t xml:space="preserve">Nepageidaujamo poveikio </w:t>
      </w:r>
      <w:r w:rsidRPr="00E364A9">
        <w:rPr>
          <w:rFonts w:eastAsia="Times New Roman"/>
          <w:snapToGrid w:val="0"/>
          <w:color w:val="auto"/>
          <w:sz w:val="22"/>
          <w:szCs w:val="20"/>
          <w:lang w:val="lt-LT"/>
        </w:rPr>
        <w:t>dažnis apibūdinamas taip: labai dažnas (≥ 1/10), dažnas (nuo ≥ 1/100 iki &lt; 1/10), nedažnas (nuo ≥ 1/1 000 iki &lt; 1/100), retas (nuo ≥ 1/10 000 iki &lt; 1/1 000), labai retas (&lt; 1/10 000) ir nežinomas (negali būti apskaičiuotas pagal turimus duomenis)</w:t>
      </w:r>
      <w:r w:rsidR="00FD7C97" w:rsidRPr="00CE6E5F">
        <w:rPr>
          <w:sz w:val="22"/>
          <w:szCs w:val="22"/>
          <w:lang w:val="lt-LT"/>
        </w:rPr>
        <w:t>.</w:t>
      </w:r>
    </w:p>
    <w:p w14:paraId="17652A73" w14:textId="77777777" w:rsidR="0020029A" w:rsidRPr="00CE6E5F" w:rsidRDefault="0020029A">
      <w:pPr>
        <w:autoSpaceDE w:val="0"/>
        <w:autoSpaceDN w:val="0"/>
        <w:adjustRightInd w:val="0"/>
        <w:rPr>
          <w:rFonts w:cs="Times New Roman"/>
          <w:color w:val="000000"/>
        </w:rPr>
      </w:pPr>
      <w:r w:rsidRPr="00CE6E5F">
        <w:rPr>
          <w:rFonts w:cs="Times New Roman"/>
          <w:color w:val="000000"/>
        </w:rPr>
        <w:t>Kiekvienoje dažnio grupėje nepageidaujamos reakcijos išvardytos mažėjančio sunkumo tvarka.</w:t>
      </w:r>
    </w:p>
    <w:p w14:paraId="1F1A372D" w14:textId="77777777" w:rsidR="0020029A" w:rsidRPr="00CE6E5F" w:rsidRDefault="0020029A">
      <w:pPr>
        <w:pStyle w:val="Default"/>
        <w:rPr>
          <w:sz w:val="22"/>
          <w:szCs w:val="22"/>
          <w:lang w:val="lt-LT"/>
        </w:rPr>
      </w:pPr>
    </w:p>
    <w:p w14:paraId="4BC37211" w14:textId="1EBE9FF6" w:rsidR="00FD7C97" w:rsidRPr="00CE6E5F" w:rsidRDefault="00FD7C97" w:rsidP="00097045">
      <w:pPr>
        <w:pStyle w:val="Default"/>
        <w:keepNext/>
        <w:keepLines/>
        <w:rPr>
          <w:sz w:val="22"/>
          <w:szCs w:val="22"/>
          <w:lang w:val="lt-LT"/>
        </w:rPr>
      </w:pPr>
      <w:r w:rsidRPr="00CE6E5F">
        <w:rPr>
          <w:sz w:val="22"/>
          <w:szCs w:val="22"/>
          <w:lang w:val="lt-LT"/>
        </w:rPr>
        <w:t xml:space="preserve">Nepageidaujamų reakcijų (NR) dažnis vienam tiriamajam ir vienai infuzijai </w:t>
      </w:r>
      <w:proofErr w:type="spellStart"/>
      <w:r w:rsidR="00242227">
        <w:rPr>
          <w:sz w:val="22"/>
          <w:szCs w:val="22"/>
          <w:lang w:val="lt-LT"/>
        </w:rPr>
        <w:t>c</w:t>
      </w:r>
      <w:r w:rsidRPr="00CE6E5F">
        <w:rPr>
          <w:sz w:val="22"/>
          <w:szCs w:val="22"/>
          <w:lang w:val="lt-LT"/>
        </w:rPr>
        <w:t>utaquig</w:t>
      </w:r>
      <w:proofErr w:type="spellEnd"/>
      <w:r w:rsidRPr="00CE6E5F">
        <w:rPr>
          <w:sz w:val="22"/>
          <w:szCs w:val="22"/>
          <w:lang w:val="lt-LT"/>
        </w:rPr>
        <w:t xml:space="preserve"> klinikini</w:t>
      </w:r>
      <w:r w:rsidR="00B632C8">
        <w:rPr>
          <w:sz w:val="22"/>
          <w:szCs w:val="22"/>
          <w:lang w:val="lt-LT"/>
        </w:rPr>
        <w:t>uose</w:t>
      </w:r>
      <w:r w:rsidRPr="00CE6E5F">
        <w:rPr>
          <w:sz w:val="22"/>
          <w:szCs w:val="22"/>
          <w:lang w:val="lt-LT"/>
        </w:rPr>
        <w:t xml:space="preserve"> tyrim</w:t>
      </w:r>
      <w:r w:rsidR="00B632C8">
        <w:rPr>
          <w:sz w:val="22"/>
          <w:szCs w:val="22"/>
          <w:lang w:val="lt-LT"/>
        </w:rPr>
        <w:t>uose</w:t>
      </w:r>
      <w:r w:rsidRPr="00CE6E5F">
        <w:rPr>
          <w:sz w:val="22"/>
          <w:szCs w:val="22"/>
          <w:lang w:val="lt-LT"/>
        </w:rPr>
        <w:t>:</w:t>
      </w:r>
    </w:p>
    <w:p w14:paraId="23FBE346" w14:textId="77777777" w:rsidR="0028173A" w:rsidRPr="00CE6E5F" w:rsidRDefault="0028173A" w:rsidP="00097045">
      <w:pPr>
        <w:pStyle w:val="Default"/>
        <w:keepNext/>
        <w:keepLines/>
        <w:rPr>
          <w:sz w:val="22"/>
          <w:szCs w:val="22"/>
          <w:lang w:val="lt-LT"/>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609"/>
        <w:gridCol w:w="2390"/>
        <w:gridCol w:w="1678"/>
        <w:gridCol w:w="1395"/>
      </w:tblGrid>
      <w:tr w:rsidR="00AF5724" w:rsidRPr="00E457A0" w14:paraId="2FA28389" w14:textId="77777777" w:rsidTr="00CE6E5F">
        <w:trPr>
          <w:cantSplit/>
          <w:tblHeader/>
        </w:trPr>
        <w:tc>
          <w:tcPr>
            <w:tcW w:w="3609" w:type="dxa"/>
          </w:tcPr>
          <w:p w14:paraId="114AB9E4" w14:textId="77777777" w:rsidR="00AF5724" w:rsidRPr="00CE6E5F" w:rsidRDefault="00AF5724" w:rsidP="00F82701">
            <w:pPr>
              <w:pStyle w:val="Default"/>
              <w:keepNext/>
              <w:keepLines/>
              <w:rPr>
                <w:b/>
                <w:bCs/>
                <w:sz w:val="22"/>
                <w:szCs w:val="22"/>
                <w:lang w:val="lt-LT"/>
              </w:rPr>
            </w:pPr>
            <w:proofErr w:type="spellStart"/>
            <w:r w:rsidRPr="00CE6E5F">
              <w:rPr>
                <w:b/>
                <w:bCs/>
                <w:sz w:val="22"/>
                <w:szCs w:val="22"/>
                <w:lang w:val="lt-LT"/>
              </w:rPr>
              <w:t>MedDRA</w:t>
            </w:r>
            <w:proofErr w:type="spellEnd"/>
            <w:r w:rsidRPr="00CE6E5F">
              <w:rPr>
                <w:b/>
                <w:bCs/>
                <w:sz w:val="22"/>
                <w:szCs w:val="22"/>
                <w:lang w:val="lt-LT"/>
              </w:rPr>
              <w:t xml:space="preserve"> organų sistemų klasė (OSK)</w:t>
            </w:r>
          </w:p>
        </w:tc>
        <w:tc>
          <w:tcPr>
            <w:tcW w:w="2390" w:type="dxa"/>
          </w:tcPr>
          <w:p w14:paraId="7ACA21E9" w14:textId="77777777" w:rsidR="00AF5724" w:rsidRPr="00CE6E5F" w:rsidRDefault="00AF5724">
            <w:pPr>
              <w:pStyle w:val="Default"/>
              <w:keepNext/>
              <w:keepLines/>
              <w:rPr>
                <w:b/>
                <w:bCs/>
                <w:sz w:val="22"/>
                <w:szCs w:val="22"/>
                <w:lang w:val="lt-LT"/>
              </w:rPr>
            </w:pPr>
            <w:r w:rsidRPr="00CE6E5F">
              <w:rPr>
                <w:b/>
                <w:bCs/>
                <w:sz w:val="22"/>
                <w:szCs w:val="22"/>
                <w:lang w:val="lt-LT"/>
              </w:rPr>
              <w:t>Nepageidaujama reakcija</w:t>
            </w:r>
          </w:p>
        </w:tc>
        <w:tc>
          <w:tcPr>
            <w:tcW w:w="1678" w:type="dxa"/>
          </w:tcPr>
          <w:p w14:paraId="3783EFCA" w14:textId="77777777" w:rsidR="00AF5724" w:rsidRPr="00CE6E5F" w:rsidRDefault="00AF5724">
            <w:pPr>
              <w:pStyle w:val="Default"/>
              <w:keepNext/>
              <w:keepLines/>
              <w:rPr>
                <w:b/>
                <w:bCs/>
                <w:sz w:val="22"/>
                <w:szCs w:val="22"/>
                <w:lang w:val="lt-LT"/>
              </w:rPr>
            </w:pPr>
            <w:r w:rsidRPr="00CE6E5F">
              <w:rPr>
                <w:b/>
                <w:bCs/>
                <w:sz w:val="22"/>
                <w:szCs w:val="22"/>
                <w:lang w:val="lt-LT"/>
              </w:rPr>
              <w:t>Dažnis/infuzijai</w:t>
            </w:r>
          </w:p>
        </w:tc>
        <w:tc>
          <w:tcPr>
            <w:tcW w:w="1395" w:type="dxa"/>
          </w:tcPr>
          <w:p w14:paraId="5B92F3DE" w14:textId="77777777" w:rsidR="00AF5724" w:rsidRPr="00CE6E5F" w:rsidRDefault="00AF5724">
            <w:pPr>
              <w:pStyle w:val="Default"/>
              <w:keepNext/>
              <w:keepLines/>
              <w:rPr>
                <w:b/>
                <w:bCs/>
                <w:sz w:val="22"/>
                <w:szCs w:val="22"/>
                <w:lang w:val="lt-LT"/>
              </w:rPr>
            </w:pPr>
            <w:r w:rsidRPr="00CE6E5F">
              <w:rPr>
                <w:b/>
                <w:bCs/>
                <w:sz w:val="22"/>
                <w:szCs w:val="22"/>
                <w:lang w:val="lt-LT"/>
              </w:rPr>
              <w:t>Dažnis/tiriamajam</w:t>
            </w:r>
          </w:p>
        </w:tc>
      </w:tr>
      <w:tr w:rsidR="00AF5724" w:rsidRPr="00316E67" w14:paraId="59608335" w14:textId="77777777" w:rsidTr="00CE6E5F">
        <w:trPr>
          <w:cantSplit/>
        </w:trPr>
        <w:tc>
          <w:tcPr>
            <w:tcW w:w="3609" w:type="dxa"/>
          </w:tcPr>
          <w:p w14:paraId="089CEA3A" w14:textId="77777777" w:rsidR="00AF5724" w:rsidRPr="00E457A0" w:rsidRDefault="00AF5724" w:rsidP="00097045">
            <w:pPr>
              <w:keepNext/>
              <w:keepLines/>
              <w:rPr>
                <w:rFonts w:cs="Times New Roman"/>
              </w:rPr>
            </w:pPr>
            <w:r w:rsidRPr="00CE6E5F">
              <w:rPr>
                <w:rFonts w:cs="Times New Roman"/>
              </w:rPr>
              <w:t>Nervų sistemos sutrikimai</w:t>
            </w:r>
          </w:p>
        </w:tc>
        <w:tc>
          <w:tcPr>
            <w:tcW w:w="2390" w:type="dxa"/>
            <w:tcBorders>
              <w:bottom w:val="single" w:sz="4" w:space="0" w:color="000000"/>
            </w:tcBorders>
          </w:tcPr>
          <w:p w14:paraId="27F3BAEF" w14:textId="77777777" w:rsidR="00AF5724" w:rsidRDefault="00AF5724" w:rsidP="00097045">
            <w:pPr>
              <w:pStyle w:val="Default"/>
              <w:keepNext/>
              <w:keepLines/>
              <w:rPr>
                <w:sz w:val="22"/>
                <w:szCs w:val="22"/>
                <w:lang w:val="lt-LT"/>
              </w:rPr>
            </w:pPr>
            <w:r w:rsidRPr="00723E6B">
              <w:rPr>
                <w:sz w:val="22"/>
                <w:szCs w:val="22"/>
                <w:lang w:val="lt-LT"/>
              </w:rPr>
              <w:t>Galvos skausmas</w:t>
            </w:r>
          </w:p>
          <w:p w14:paraId="06D2632E" w14:textId="17E5C8AB" w:rsidR="00B632C8" w:rsidRPr="00723E6B" w:rsidRDefault="00B632C8" w:rsidP="00097045">
            <w:pPr>
              <w:pStyle w:val="Default"/>
              <w:keepNext/>
              <w:keepLines/>
              <w:rPr>
                <w:sz w:val="22"/>
                <w:szCs w:val="22"/>
                <w:lang w:val="lt-LT"/>
              </w:rPr>
            </w:pPr>
            <w:r>
              <w:rPr>
                <w:sz w:val="22"/>
                <w:szCs w:val="22"/>
                <w:lang w:val="lt-LT"/>
              </w:rPr>
              <w:t>Svaigulys</w:t>
            </w:r>
          </w:p>
        </w:tc>
        <w:tc>
          <w:tcPr>
            <w:tcW w:w="1678" w:type="dxa"/>
            <w:tcBorders>
              <w:bottom w:val="single" w:sz="4" w:space="0" w:color="000000"/>
            </w:tcBorders>
          </w:tcPr>
          <w:p w14:paraId="0F62BFB2" w14:textId="120B63F5" w:rsidR="00AF5724" w:rsidRDefault="00B632C8" w:rsidP="00097045">
            <w:pPr>
              <w:pStyle w:val="Default"/>
              <w:keepNext/>
              <w:keepLines/>
              <w:rPr>
                <w:sz w:val="22"/>
                <w:szCs w:val="22"/>
                <w:lang w:val="lt-LT"/>
              </w:rPr>
            </w:pPr>
            <w:r>
              <w:rPr>
                <w:sz w:val="22"/>
                <w:szCs w:val="22"/>
                <w:lang w:val="lt-LT"/>
              </w:rPr>
              <w:t>Nedažnas</w:t>
            </w:r>
          </w:p>
          <w:p w14:paraId="5033805A" w14:textId="2D114B7A" w:rsidR="00B632C8" w:rsidRPr="00723E6B" w:rsidRDefault="00B632C8" w:rsidP="00097045">
            <w:pPr>
              <w:pStyle w:val="Default"/>
              <w:keepNext/>
              <w:keepLines/>
              <w:rPr>
                <w:sz w:val="22"/>
                <w:szCs w:val="22"/>
                <w:lang w:val="lt-LT"/>
              </w:rPr>
            </w:pPr>
            <w:r>
              <w:rPr>
                <w:sz w:val="22"/>
                <w:szCs w:val="22"/>
                <w:lang w:val="lt-LT"/>
              </w:rPr>
              <w:t>Retas</w:t>
            </w:r>
          </w:p>
        </w:tc>
        <w:tc>
          <w:tcPr>
            <w:tcW w:w="1395" w:type="dxa"/>
            <w:tcBorders>
              <w:bottom w:val="single" w:sz="4" w:space="0" w:color="000000"/>
            </w:tcBorders>
          </w:tcPr>
          <w:p w14:paraId="481806EE" w14:textId="77777777" w:rsidR="00B632C8" w:rsidRDefault="00AF5724" w:rsidP="00097045">
            <w:pPr>
              <w:pStyle w:val="Default"/>
              <w:keepNext/>
              <w:keepLines/>
              <w:rPr>
                <w:sz w:val="22"/>
                <w:szCs w:val="22"/>
                <w:lang w:val="lt-LT"/>
              </w:rPr>
            </w:pPr>
            <w:r w:rsidRPr="00723E6B">
              <w:rPr>
                <w:sz w:val="22"/>
                <w:szCs w:val="22"/>
                <w:lang w:val="lt-LT"/>
              </w:rPr>
              <w:t>Dažn</w:t>
            </w:r>
            <w:r w:rsidR="00B632C8">
              <w:rPr>
                <w:sz w:val="22"/>
                <w:szCs w:val="22"/>
                <w:lang w:val="lt-LT"/>
              </w:rPr>
              <w:t>as</w:t>
            </w:r>
          </w:p>
          <w:p w14:paraId="62CFCFB7" w14:textId="5A065B56" w:rsidR="00AF5724" w:rsidRPr="00723E6B" w:rsidRDefault="00B632C8" w:rsidP="00097045">
            <w:pPr>
              <w:pStyle w:val="Default"/>
              <w:keepNext/>
              <w:keepLines/>
              <w:rPr>
                <w:sz w:val="22"/>
                <w:szCs w:val="22"/>
                <w:lang w:val="lt-LT"/>
              </w:rPr>
            </w:pPr>
            <w:r>
              <w:rPr>
                <w:sz w:val="22"/>
                <w:szCs w:val="22"/>
                <w:lang w:val="lt-LT"/>
              </w:rPr>
              <w:t>Nedažnas</w:t>
            </w:r>
          </w:p>
        </w:tc>
      </w:tr>
      <w:tr w:rsidR="00316E67" w:rsidRPr="00E457A0" w14:paraId="113AFDA6" w14:textId="77777777" w:rsidTr="00CE6E5F">
        <w:trPr>
          <w:cantSplit/>
        </w:trPr>
        <w:tc>
          <w:tcPr>
            <w:tcW w:w="3609" w:type="dxa"/>
            <w:vMerge w:val="restart"/>
          </w:tcPr>
          <w:p w14:paraId="66967F63" w14:textId="77777777" w:rsidR="00316E67" w:rsidRPr="00E457A0" w:rsidRDefault="00316E67" w:rsidP="00097045">
            <w:pPr>
              <w:keepNext/>
              <w:keepLines/>
              <w:rPr>
                <w:rFonts w:cs="Times New Roman"/>
              </w:rPr>
            </w:pPr>
            <w:r w:rsidRPr="00CE6E5F">
              <w:rPr>
                <w:rFonts w:cs="Times New Roman"/>
              </w:rPr>
              <w:t>Virškinimo trakto sutrikimai</w:t>
            </w:r>
          </w:p>
        </w:tc>
        <w:tc>
          <w:tcPr>
            <w:tcW w:w="2390" w:type="dxa"/>
            <w:tcBorders>
              <w:bottom w:val="single" w:sz="4" w:space="0" w:color="FFFFFF" w:themeColor="background1"/>
            </w:tcBorders>
          </w:tcPr>
          <w:p w14:paraId="58B66ADA" w14:textId="77777777" w:rsidR="00B632C8" w:rsidRDefault="00B632C8" w:rsidP="00097045">
            <w:pPr>
              <w:pStyle w:val="Default"/>
              <w:keepNext/>
              <w:keepLines/>
              <w:rPr>
                <w:sz w:val="22"/>
                <w:szCs w:val="22"/>
                <w:lang w:val="lt-LT"/>
              </w:rPr>
            </w:pPr>
            <w:r>
              <w:rPr>
                <w:sz w:val="22"/>
                <w:szCs w:val="22"/>
                <w:lang w:val="lt-LT"/>
              </w:rPr>
              <w:t>Pykinimas</w:t>
            </w:r>
          </w:p>
          <w:p w14:paraId="36A1F1D3" w14:textId="16E48B08" w:rsidR="00316E67" w:rsidRPr="00723E6B" w:rsidRDefault="00316E67" w:rsidP="00097045">
            <w:pPr>
              <w:pStyle w:val="Default"/>
              <w:keepNext/>
              <w:keepLines/>
              <w:rPr>
                <w:sz w:val="22"/>
                <w:szCs w:val="22"/>
                <w:lang w:val="lt-LT"/>
              </w:rPr>
            </w:pPr>
            <w:r w:rsidRPr="00E773DA">
              <w:rPr>
                <w:sz w:val="22"/>
                <w:szCs w:val="22"/>
                <w:lang w:val="lt-LT"/>
              </w:rPr>
              <w:t>Pilvo pūtimas</w:t>
            </w:r>
          </w:p>
        </w:tc>
        <w:tc>
          <w:tcPr>
            <w:tcW w:w="1678" w:type="dxa"/>
            <w:tcBorders>
              <w:bottom w:val="single" w:sz="4" w:space="0" w:color="FFFFFF" w:themeColor="background1"/>
            </w:tcBorders>
          </w:tcPr>
          <w:p w14:paraId="15F4E2C5" w14:textId="25445056" w:rsidR="00427956" w:rsidRDefault="00427956" w:rsidP="00097045">
            <w:pPr>
              <w:pStyle w:val="Default"/>
              <w:keepNext/>
              <w:keepLines/>
              <w:rPr>
                <w:sz w:val="22"/>
                <w:szCs w:val="22"/>
                <w:lang w:val="lt-LT"/>
              </w:rPr>
            </w:pPr>
            <w:r>
              <w:rPr>
                <w:sz w:val="22"/>
                <w:szCs w:val="22"/>
                <w:lang w:val="lt-LT"/>
              </w:rPr>
              <w:t>Nedažnas</w:t>
            </w:r>
          </w:p>
          <w:p w14:paraId="7DC704F7" w14:textId="40EAC7F6" w:rsidR="00316E67" w:rsidRPr="00723E6B" w:rsidRDefault="00316E67" w:rsidP="00097045">
            <w:pPr>
              <w:pStyle w:val="Default"/>
              <w:keepNext/>
              <w:keepLines/>
              <w:rPr>
                <w:sz w:val="22"/>
                <w:szCs w:val="22"/>
                <w:lang w:val="lt-LT"/>
              </w:rPr>
            </w:pPr>
            <w:r w:rsidRPr="00E773DA">
              <w:rPr>
                <w:sz w:val="22"/>
                <w:szCs w:val="22"/>
                <w:lang w:val="lt-LT"/>
              </w:rPr>
              <w:t>Ret</w:t>
            </w:r>
            <w:r w:rsidR="006107D8">
              <w:rPr>
                <w:sz w:val="22"/>
                <w:szCs w:val="22"/>
                <w:lang w:val="lt-LT"/>
              </w:rPr>
              <w:t>as</w:t>
            </w:r>
          </w:p>
        </w:tc>
        <w:tc>
          <w:tcPr>
            <w:tcW w:w="1395" w:type="dxa"/>
            <w:tcBorders>
              <w:bottom w:val="single" w:sz="4" w:space="0" w:color="FFFFFF" w:themeColor="background1"/>
            </w:tcBorders>
          </w:tcPr>
          <w:p w14:paraId="509AC75B" w14:textId="7943A394" w:rsidR="00427956" w:rsidRDefault="00427956" w:rsidP="00097045">
            <w:pPr>
              <w:pStyle w:val="Default"/>
              <w:keepNext/>
              <w:keepLines/>
              <w:rPr>
                <w:sz w:val="22"/>
                <w:szCs w:val="22"/>
                <w:lang w:val="lt-LT"/>
              </w:rPr>
            </w:pPr>
            <w:r>
              <w:rPr>
                <w:sz w:val="22"/>
                <w:szCs w:val="22"/>
                <w:lang w:val="lt-LT"/>
              </w:rPr>
              <w:t>Dažnas</w:t>
            </w:r>
          </w:p>
          <w:p w14:paraId="57166559" w14:textId="0A05FA6B" w:rsidR="00316E67" w:rsidRPr="00723E6B" w:rsidRDefault="00316E67" w:rsidP="00097045">
            <w:pPr>
              <w:pStyle w:val="Default"/>
              <w:keepNext/>
              <w:keepLines/>
              <w:rPr>
                <w:sz w:val="22"/>
                <w:szCs w:val="22"/>
                <w:lang w:val="lt-LT"/>
              </w:rPr>
            </w:pPr>
            <w:r w:rsidRPr="00E773DA">
              <w:rPr>
                <w:sz w:val="22"/>
                <w:szCs w:val="22"/>
                <w:lang w:val="lt-LT"/>
              </w:rPr>
              <w:t>Dažn</w:t>
            </w:r>
            <w:r w:rsidR="006107D8">
              <w:rPr>
                <w:sz w:val="22"/>
                <w:szCs w:val="22"/>
                <w:lang w:val="lt-LT"/>
              </w:rPr>
              <w:t>as</w:t>
            </w:r>
          </w:p>
        </w:tc>
      </w:tr>
      <w:tr w:rsidR="00316E67" w:rsidRPr="00E457A0" w14:paraId="3DEE0B30" w14:textId="77777777" w:rsidTr="00CE6E5F">
        <w:trPr>
          <w:cantSplit/>
        </w:trPr>
        <w:tc>
          <w:tcPr>
            <w:tcW w:w="3609" w:type="dxa"/>
            <w:vMerge/>
          </w:tcPr>
          <w:p w14:paraId="1F217584" w14:textId="77777777" w:rsidR="00316E67" w:rsidRPr="00E457A0" w:rsidRDefault="00316E67" w:rsidP="00097045">
            <w:pPr>
              <w:keepNext/>
              <w:keepLines/>
              <w:rPr>
                <w:rFonts w:cs="Times New Roman"/>
              </w:rPr>
            </w:pPr>
          </w:p>
        </w:tc>
        <w:tc>
          <w:tcPr>
            <w:tcW w:w="2390" w:type="dxa"/>
            <w:tcBorders>
              <w:top w:val="single" w:sz="4" w:space="0" w:color="FFFFFF" w:themeColor="background1"/>
              <w:bottom w:val="single" w:sz="4" w:space="0" w:color="FFFFFF" w:themeColor="background1"/>
            </w:tcBorders>
          </w:tcPr>
          <w:p w14:paraId="61A602DF" w14:textId="77777777" w:rsidR="00316E67" w:rsidRPr="00723E6B" w:rsidRDefault="00316E67" w:rsidP="00097045">
            <w:pPr>
              <w:pStyle w:val="Default"/>
              <w:keepNext/>
              <w:keepLines/>
              <w:rPr>
                <w:sz w:val="22"/>
                <w:szCs w:val="22"/>
                <w:lang w:val="lt-LT"/>
              </w:rPr>
            </w:pPr>
            <w:r w:rsidRPr="00723E6B">
              <w:rPr>
                <w:sz w:val="22"/>
                <w:szCs w:val="22"/>
                <w:lang w:val="lt-LT"/>
              </w:rPr>
              <w:t xml:space="preserve">Pilvo skausmas </w:t>
            </w:r>
          </w:p>
        </w:tc>
        <w:tc>
          <w:tcPr>
            <w:tcW w:w="1678" w:type="dxa"/>
            <w:tcBorders>
              <w:top w:val="single" w:sz="4" w:space="0" w:color="FFFFFF" w:themeColor="background1"/>
              <w:bottom w:val="single" w:sz="4" w:space="0" w:color="FFFFFF" w:themeColor="background1"/>
            </w:tcBorders>
          </w:tcPr>
          <w:p w14:paraId="38C90E83" w14:textId="22648A61" w:rsidR="00316E67" w:rsidRPr="00723E6B" w:rsidRDefault="00316E67" w:rsidP="00097045">
            <w:pPr>
              <w:pStyle w:val="Default"/>
              <w:keepNext/>
              <w:keepLines/>
              <w:rPr>
                <w:sz w:val="22"/>
                <w:szCs w:val="22"/>
                <w:lang w:val="lt-LT"/>
              </w:rPr>
            </w:pPr>
            <w:r w:rsidRPr="00723E6B">
              <w:rPr>
                <w:sz w:val="22"/>
                <w:szCs w:val="22"/>
                <w:lang w:val="lt-LT"/>
              </w:rPr>
              <w:t>Ret</w:t>
            </w:r>
            <w:r w:rsidR="006107D8">
              <w:rPr>
                <w:sz w:val="22"/>
                <w:szCs w:val="22"/>
                <w:lang w:val="lt-LT"/>
              </w:rPr>
              <w:t>as</w:t>
            </w:r>
          </w:p>
        </w:tc>
        <w:tc>
          <w:tcPr>
            <w:tcW w:w="1395" w:type="dxa"/>
            <w:tcBorders>
              <w:top w:val="single" w:sz="4" w:space="0" w:color="FFFFFF" w:themeColor="background1"/>
              <w:bottom w:val="single" w:sz="4" w:space="0" w:color="FFFFFF" w:themeColor="background1"/>
            </w:tcBorders>
          </w:tcPr>
          <w:p w14:paraId="143E87D7" w14:textId="061D64DD" w:rsidR="00316E67" w:rsidRPr="00723E6B" w:rsidRDefault="00316E67" w:rsidP="00097045">
            <w:pPr>
              <w:pStyle w:val="Default"/>
              <w:keepNext/>
              <w:keepLines/>
              <w:rPr>
                <w:sz w:val="22"/>
                <w:szCs w:val="22"/>
                <w:lang w:val="lt-LT"/>
              </w:rPr>
            </w:pPr>
            <w:r w:rsidRPr="00723E6B">
              <w:rPr>
                <w:sz w:val="22"/>
                <w:szCs w:val="22"/>
                <w:lang w:val="lt-LT"/>
              </w:rPr>
              <w:t>Dažn</w:t>
            </w:r>
            <w:r w:rsidR="006107D8">
              <w:rPr>
                <w:sz w:val="22"/>
                <w:szCs w:val="22"/>
                <w:lang w:val="lt-LT"/>
              </w:rPr>
              <w:t>as</w:t>
            </w:r>
          </w:p>
        </w:tc>
      </w:tr>
      <w:tr w:rsidR="00316E67" w:rsidRPr="00E457A0" w14:paraId="27E16817" w14:textId="77777777" w:rsidTr="00CE6E5F">
        <w:trPr>
          <w:cantSplit/>
        </w:trPr>
        <w:tc>
          <w:tcPr>
            <w:tcW w:w="3609" w:type="dxa"/>
            <w:vMerge/>
          </w:tcPr>
          <w:p w14:paraId="7030003C" w14:textId="77777777" w:rsidR="00316E67" w:rsidRPr="00E457A0" w:rsidRDefault="00316E67" w:rsidP="00097045">
            <w:pPr>
              <w:keepNext/>
              <w:keepLines/>
              <w:rPr>
                <w:rFonts w:cs="Times New Roman"/>
              </w:rPr>
            </w:pPr>
          </w:p>
        </w:tc>
        <w:tc>
          <w:tcPr>
            <w:tcW w:w="2390" w:type="dxa"/>
            <w:tcBorders>
              <w:top w:val="single" w:sz="4" w:space="0" w:color="FFFFFF" w:themeColor="background1"/>
            </w:tcBorders>
          </w:tcPr>
          <w:p w14:paraId="1421E19F" w14:textId="77777777" w:rsidR="00316E67" w:rsidRDefault="00316E67" w:rsidP="00097045">
            <w:pPr>
              <w:pStyle w:val="Default"/>
              <w:keepNext/>
              <w:keepLines/>
              <w:rPr>
                <w:sz w:val="22"/>
                <w:szCs w:val="22"/>
                <w:lang w:val="lt-LT"/>
              </w:rPr>
            </w:pPr>
            <w:r w:rsidRPr="00723E6B">
              <w:rPr>
                <w:sz w:val="22"/>
                <w:szCs w:val="22"/>
                <w:lang w:val="lt-LT"/>
              </w:rPr>
              <w:t>Vėmimas</w:t>
            </w:r>
          </w:p>
          <w:p w14:paraId="7C85E8CB" w14:textId="075D24E5" w:rsidR="004A56BD" w:rsidRPr="00723E6B" w:rsidRDefault="004A56BD" w:rsidP="00097045">
            <w:pPr>
              <w:pStyle w:val="Default"/>
              <w:keepNext/>
              <w:keepLines/>
              <w:rPr>
                <w:sz w:val="22"/>
                <w:szCs w:val="22"/>
                <w:lang w:val="lt-LT"/>
              </w:rPr>
            </w:pPr>
            <w:r>
              <w:rPr>
                <w:sz w:val="22"/>
                <w:szCs w:val="22"/>
                <w:lang w:val="lt-LT"/>
              </w:rPr>
              <w:t>Raugėjimas</w:t>
            </w:r>
          </w:p>
        </w:tc>
        <w:tc>
          <w:tcPr>
            <w:tcW w:w="1678" w:type="dxa"/>
            <w:tcBorders>
              <w:top w:val="single" w:sz="4" w:space="0" w:color="FFFFFF" w:themeColor="background1"/>
            </w:tcBorders>
          </w:tcPr>
          <w:p w14:paraId="5D25F864" w14:textId="30B3198D" w:rsidR="00316E67" w:rsidRDefault="00316E67" w:rsidP="00097045">
            <w:pPr>
              <w:pStyle w:val="Default"/>
              <w:keepNext/>
              <w:keepLines/>
              <w:rPr>
                <w:sz w:val="22"/>
                <w:szCs w:val="22"/>
                <w:lang w:val="lt-LT"/>
              </w:rPr>
            </w:pPr>
            <w:r w:rsidRPr="00723E6B">
              <w:rPr>
                <w:sz w:val="22"/>
                <w:szCs w:val="22"/>
                <w:lang w:val="lt-LT"/>
              </w:rPr>
              <w:t>Ret</w:t>
            </w:r>
            <w:r w:rsidR="006107D8">
              <w:rPr>
                <w:sz w:val="22"/>
                <w:szCs w:val="22"/>
                <w:lang w:val="lt-LT"/>
              </w:rPr>
              <w:t>as</w:t>
            </w:r>
          </w:p>
          <w:p w14:paraId="38409C46" w14:textId="6849A5FC" w:rsidR="004A56BD" w:rsidRPr="00723E6B" w:rsidRDefault="004A56BD" w:rsidP="00097045">
            <w:pPr>
              <w:pStyle w:val="Default"/>
              <w:keepNext/>
              <w:keepLines/>
              <w:rPr>
                <w:sz w:val="22"/>
                <w:szCs w:val="22"/>
                <w:lang w:val="lt-LT"/>
              </w:rPr>
            </w:pPr>
            <w:r>
              <w:rPr>
                <w:sz w:val="22"/>
                <w:szCs w:val="22"/>
                <w:lang w:val="lt-LT"/>
              </w:rPr>
              <w:t>Retas</w:t>
            </w:r>
          </w:p>
        </w:tc>
        <w:tc>
          <w:tcPr>
            <w:tcW w:w="1395" w:type="dxa"/>
            <w:tcBorders>
              <w:top w:val="single" w:sz="4" w:space="0" w:color="FFFFFF" w:themeColor="background1"/>
            </w:tcBorders>
          </w:tcPr>
          <w:p w14:paraId="0B0BE614" w14:textId="61E7F097" w:rsidR="00316E67" w:rsidRDefault="00316E67" w:rsidP="00097045">
            <w:pPr>
              <w:pStyle w:val="Default"/>
              <w:keepNext/>
              <w:keepLines/>
              <w:rPr>
                <w:sz w:val="22"/>
                <w:szCs w:val="22"/>
                <w:lang w:val="lt-LT"/>
              </w:rPr>
            </w:pPr>
            <w:r w:rsidRPr="00723E6B">
              <w:rPr>
                <w:sz w:val="22"/>
                <w:szCs w:val="22"/>
                <w:lang w:val="lt-LT"/>
              </w:rPr>
              <w:t>Dažn</w:t>
            </w:r>
            <w:r w:rsidR="006107D8">
              <w:rPr>
                <w:sz w:val="22"/>
                <w:szCs w:val="22"/>
                <w:lang w:val="lt-LT"/>
              </w:rPr>
              <w:t>as</w:t>
            </w:r>
          </w:p>
          <w:p w14:paraId="21B7EBE5" w14:textId="47BF9AE5" w:rsidR="004A56BD" w:rsidRPr="00723E6B" w:rsidRDefault="004A56BD" w:rsidP="00097045">
            <w:pPr>
              <w:pStyle w:val="Default"/>
              <w:keepNext/>
              <w:keepLines/>
              <w:rPr>
                <w:sz w:val="22"/>
                <w:szCs w:val="22"/>
                <w:lang w:val="lt-LT"/>
              </w:rPr>
            </w:pPr>
            <w:r>
              <w:rPr>
                <w:sz w:val="22"/>
                <w:szCs w:val="22"/>
                <w:lang w:val="lt-LT"/>
              </w:rPr>
              <w:t>Nedažnas</w:t>
            </w:r>
          </w:p>
        </w:tc>
      </w:tr>
      <w:tr w:rsidR="004A56BD" w:rsidRPr="00E457A0" w14:paraId="07686ABD" w14:textId="77777777" w:rsidTr="00CE6E5F">
        <w:trPr>
          <w:cantSplit/>
        </w:trPr>
        <w:tc>
          <w:tcPr>
            <w:tcW w:w="3609" w:type="dxa"/>
          </w:tcPr>
          <w:p w14:paraId="2AF9B4C6" w14:textId="6A93F501" w:rsidR="004A56BD" w:rsidRPr="00CE6E5F" w:rsidRDefault="004A56BD" w:rsidP="00097045">
            <w:pPr>
              <w:keepNext/>
              <w:keepLines/>
              <w:rPr>
                <w:rFonts w:cs="Times New Roman"/>
              </w:rPr>
            </w:pPr>
            <w:r>
              <w:rPr>
                <w:rFonts w:cs="Times New Roman"/>
              </w:rPr>
              <w:t>Kepenų, tulžies pūslės ir latakų sutrikimai</w:t>
            </w:r>
          </w:p>
        </w:tc>
        <w:tc>
          <w:tcPr>
            <w:tcW w:w="2390" w:type="dxa"/>
            <w:tcBorders>
              <w:bottom w:val="single" w:sz="4" w:space="0" w:color="000000"/>
            </w:tcBorders>
          </w:tcPr>
          <w:p w14:paraId="4898EC17" w14:textId="31EEBEE6" w:rsidR="004A56BD" w:rsidRPr="00723E6B" w:rsidRDefault="004A56BD" w:rsidP="00097045">
            <w:pPr>
              <w:pStyle w:val="Default"/>
              <w:keepNext/>
              <w:keepLines/>
              <w:rPr>
                <w:sz w:val="22"/>
                <w:szCs w:val="22"/>
                <w:lang w:val="lt-LT"/>
              </w:rPr>
            </w:pPr>
            <w:proofErr w:type="spellStart"/>
            <w:r>
              <w:rPr>
                <w:sz w:val="22"/>
                <w:szCs w:val="22"/>
                <w:lang w:val="lt-LT"/>
              </w:rPr>
              <w:t>Hipertransaminazemija</w:t>
            </w:r>
            <w:proofErr w:type="spellEnd"/>
          </w:p>
        </w:tc>
        <w:tc>
          <w:tcPr>
            <w:tcW w:w="1678" w:type="dxa"/>
            <w:tcBorders>
              <w:bottom w:val="single" w:sz="4" w:space="0" w:color="000000"/>
            </w:tcBorders>
          </w:tcPr>
          <w:p w14:paraId="2DA6183B" w14:textId="6817B78E" w:rsidR="004A56BD" w:rsidRPr="00723E6B" w:rsidRDefault="004A56BD" w:rsidP="00097045">
            <w:pPr>
              <w:pStyle w:val="Default"/>
              <w:keepNext/>
              <w:keepLines/>
              <w:rPr>
                <w:sz w:val="22"/>
                <w:szCs w:val="22"/>
                <w:lang w:val="lt-LT"/>
              </w:rPr>
            </w:pPr>
            <w:r>
              <w:rPr>
                <w:sz w:val="22"/>
                <w:szCs w:val="22"/>
                <w:lang w:val="lt-LT"/>
              </w:rPr>
              <w:t>Retas</w:t>
            </w:r>
          </w:p>
        </w:tc>
        <w:tc>
          <w:tcPr>
            <w:tcW w:w="1395" w:type="dxa"/>
            <w:tcBorders>
              <w:bottom w:val="single" w:sz="4" w:space="0" w:color="000000"/>
            </w:tcBorders>
          </w:tcPr>
          <w:p w14:paraId="57FC5C29" w14:textId="2391DA89" w:rsidR="004A56BD" w:rsidRPr="00723E6B" w:rsidRDefault="004A56BD" w:rsidP="00097045">
            <w:pPr>
              <w:pStyle w:val="Default"/>
              <w:keepNext/>
              <w:keepLines/>
              <w:rPr>
                <w:sz w:val="22"/>
                <w:szCs w:val="22"/>
                <w:lang w:val="lt-LT"/>
              </w:rPr>
            </w:pPr>
            <w:r>
              <w:rPr>
                <w:sz w:val="22"/>
                <w:szCs w:val="22"/>
                <w:lang w:val="lt-LT"/>
              </w:rPr>
              <w:t>Nedažnas</w:t>
            </w:r>
          </w:p>
        </w:tc>
      </w:tr>
      <w:tr w:rsidR="004A56BD" w:rsidRPr="00E457A0" w14:paraId="6EAFE60B" w14:textId="77777777" w:rsidTr="00CE6E5F">
        <w:trPr>
          <w:cantSplit/>
        </w:trPr>
        <w:tc>
          <w:tcPr>
            <w:tcW w:w="3609" w:type="dxa"/>
          </w:tcPr>
          <w:p w14:paraId="151E2411" w14:textId="1E9B29CF" w:rsidR="004A56BD" w:rsidRPr="00CE6E5F" w:rsidRDefault="004A56BD" w:rsidP="00097045">
            <w:pPr>
              <w:keepNext/>
              <w:keepLines/>
              <w:rPr>
                <w:rFonts w:cs="Times New Roman"/>
              </w:rPr>
            </w:pPr>
            <w:r>
              <w:rPr>
                <w:rFonts w:cs="Times New Roman"/>
              </w:rPr>
              <w:t>Odos ir poodinio audinio sutrikimai</w:t>
            </w:r>
          </w:p>
        </w:tc>
        <w:tc>
          <w:tcPr>
            <w:tcW w:w="2390" w:type="dxa"/>
            <w:tcBorders>
              <w:bottom w:val="single" w:sz="4" w:space="0" w:color="000000"/>
            </w:tcBorders>
          </w:tcPr>
          <w:p w14:paraId="45EF7B0E" w14:textId="77777777" w:rsidR="004A56BD" w:rsidRDefault="006057A8" w:rsidP="00097045">
            <w:pPr>
              <w:pStyle w:val="Default"/>
              <w:keepNext/>
              <w:keepLines/>
              <w:rPr>
                <w:sz w:val="22"/>
                <w:szCs w:val="22"/>
                <w:lang w:val="lt-LT"/>
              </w:rPr>
            </w:pPr>
            <w:r>
              <w:rPr>
                <w:sz w:val="22"/>
                <w:szCs w:val="22"/>
                <w:lang w:val="lt-LT"/>
              </w:rPr>
              <w:t>B</w:t>
            </w:r>
            <w:r w:rsidR="004A56BD">
              <w:rPr>
                <w:sz w:val="22"/>
                <w:szCs w:val="22"/>
                <w:lang w:val="lt-LT"/>
              </w:rPr>
              <w:t>ėrimas</w:t>
            </w:r>
          </w:p>
          <w:p w14:paraId="405A4DCF" w14:textId="5208C882" w:rsidR="006057A8" w:rsidRPr="00723E6B" w:rsidRDefault="006057A8" w:rsidP="00097045">
            <w:pPr>
              <w:pStyle w:val="Default"/>
              <w:keepNext/>
              <w:keepLines/>
              <w:rPr>
                <w:sz w:val="22"/>
                <w:szCs w:val="22"/>
                <w:lang w:val="lt-LT"/>
              </w:rPr>
            </w:pPr>
            <w:r>
              <w:rPr>
                <w:sz w:val="22"/>
                <w:szCs w:val="22"/>
                <w:lang w:val="lt-LT"/>
              </w:rPr>
              <w:t>Odos reakcija</w:t>
            </w:r>
          </w:p>
        </w:tc>
        <w:tc>
          <w:tcPr>
            <w:tcW w:w="1678" w:type="dxa"/>
            <w:tcBorders>
              <w:bottom w:val="single" w:sz="4" w:space="0" w:color="000000"/>
            </w:tcBorders>
          </w:tcPr>
          <w:p w14:paraId="058C8EDD" w14:textId="77777777" w:rsidR="004A56BD" w:rsidRDefault="006057A8" w:rsidP="00097045">
            <w:pPr>
              <w:pStyle w:val="Default"/>
              <w:keepNext/>
              <w:keepLines/>
              <w:rPr>
                <w:sz w:val="22"/>
                <w:szCs w:val="22"/>
                <w:lang w:val="lt-LT"/>
              </w:rPr>
            </w:pPr>
            <w:r>
              <w:rPr>
                <w:sz w:val="22"/>
                <w:szCs w:val="22"/>
                <w:lang w:val="lt-LT"/>
              </w:rPr>
              <w:t>Retas</w:t>
            </w:r>
          </w:p>
          <w:p w14:paraId="6367C96D" w14:textId="7CE274C5" w:rsidR="006057A8" w:rsidRPr="00723E6B" w:rsidRDefault="006057A8" w:rsidP="00097045">
            <w:pPr>
              <w:pStyle w:val="Default"/>
              <w:keepNext/>
              <w:keepLines/>
              <w:rPr>
                <w:sz w:val="22"/>
                <w:szCs w:val="22"/>
                <w:lang w:val="lt-LT"/>
              </w:rPr>
            </w:pPr>
            <w:r>
              <w:rPr>
                <w:sz w:val="22"/>
                <w:szCs w:val="22"/>
                <w:lang w:val="lt-LT"/>
              </w:rPr>
              <w:t>Retas</w:t>
            </w:r>
          </w:p>
        </w:tc>
        <w:tc>
          <w:tcPr>
            <w:tcW w:w="1395" w:type="dxa"/>
            <w:tcBorders>
              <w:bottom w:val="single" w:sz="4" w:space="0" w:color="000000"/>
            </w:tcBorders>
          </w:tcPr>
          <w:p w14:paraId="26F10B97" w14:textId="77777777" w:rsidR="004A56BD" w:rsidRDefault="006057A8" w:rsidP="00097045">
            <w:pPr>
              <w:pStyle w:val="Default"/>
              <w:keepNext/>
              <w:keepLines/>
              <w:rPr>
                <w:sz w:val="22"/>
                <w:szCs w:val="22"/>
                <w:lang w:val="lt-LT"/>
              </w:rPr>
            </w:pPr>
            <w:r>
              <w:rPr>
                <w:sz w:val="22"/>
                <w:szCs w:val="22"/>
                <w:lang w:val="lt-LT"/>
              </w:rPr>
              <w:t>Nedažnas</w:t>
            </w:r>
          </w:p>
          <w:p w14:paraId="1FA74287" w14:textId="6C7D20A2" w:rsidR="006057A8" w:rsidRPr="00723E6B" w:rsidRDefault="006057A8" w:rsidP="00097045">
            <w:pPr>
              <w:pStyle w:val="Default"/>
              <w:keepNext/>
              <w:keepLines/>
              <w:rPr>
                <w:sz w:val="22"/>
                <w:szCs w:val="22"/>
                <w:lang w:val="lt-LT"/>
              </w:rPr>
            </w:pPr>
            <w:r>
              <w:rPr>
                <w:sz w:val="22"/>
                <w:szCs w:val="22"/>
                <w:lang w:val="lt-LT"/>
              </w:rPr>
              <w:t>Nedažnas</w:t>
            </w:r>
          </w:p>
        </w:tc>
      </w:tr>
      <w:tr w:rsidR="00AF5724" w:rsidRPr="00E457A0" w14:paraId="270239CC" w14:textId="77777777" w:rsidTr="00CE6E5F">
        <w:trPr>
          <w:cantSplit/>
        </w:trPr>
        <w:tc>
          <w:tcPr>
            <w:tcW w:w="3609" w:type="dxa"/>
          </w:tcPr>
          <w:p w14:paraId="0D63012B" w14:textId="77777777" w:rsidR="00AF5724" w:rsidRPr="00CE6E5F" w:rsidRDefault="00AF5724" w:rsidP="00097045">
            <w:pPr>
              <w:keepNext/>
              <w:keepLines/>
              <w:rPr>
                <w:rFonts w:cs="Times New Roman"/>
              </w:rPr>
            </w:pPr>
            <w:r w:rsidRPr="00CE6E5F">
              <w:rPr>
                <w:rFonts w:cs="Times New Roman"/>
              </w:rPr>
              <w:t>Skeleto, raumenų ir jungiamojo audinio sutrikimai</w:t>
            </w:r>
          </w:p>
        </w:tc>
        <w:tc>
          <w:tcPr>
            <w:tcW w:w="2390" w:type="dxa"/>
            <w:tcBorders>
              <w:bottom w:val="single" w:sz="4" w:space="0" w:color="000000"/>
            </w:tcBorders>
          </w:tcPr>
          <w:p w14:paraId="0B0C06BA" w14:textId="77777777" w:rsidR="00AF5724" w:rsidRDefault="00AF5724" w:rsidP="00097045">
            <w:pPr>
              <w:pStyle w:val="Default"/>
              <w:keepNext/>
              <w:keepLines/>
              <w:rPr>
                <w:sz w:val="22"/>
                <w:szCs w:val="22"/>
                <w:lang w:val="lt-LT"/>
              </w:rPr>
            </w:pPr>
            <w:proofErr w:type="spellStart"/>
            <w:r w:rsidRPr="00723E6B">
              <w:rPr>
                <w:sz w:val="22"/>
                <w:szCs w:val="22"/>
                <w:lang w:val="lt-LT"/>
              </w:rPr>
              <w:t>Mialgija</w:t>
            </w:r>
            <w:proofErr w:type="spellEnd"/>
          </w:p>
          <w:p w14:paraId="2A3074B0" w14:textId="29B47C6B" w:rsidR="006057A8" w:rsidRPr="00723E6B" w:rsidRDefault="006057A8" w:rsidP="00097045">
            <w:pPr>
              <w:pStyle w:val="Default"/>
              <w:keepNext/>
              <w:keepLines/>
              <w:rPr>
                <w:sz w:val="22"/>
                <w:szCs w:val="22"/>
                <w:lang w:val="lt-LT"/>
              </w:rPr>
            </w:pPr>
            <w:proofErr w:type="spellStart"/>
            <w:r>
              <w:rPr>
                <w:sz w:val="22"/>
                <w:szCs w:val="22"/>
                <w:lang w:val="lt-LT"/>
              </w:rPr>
              <w:t>Artralgija</w:t>
            </w:r>
            <w:proofErr w:type="spellEnd"/>
          </w:p>
        </w:tc>
        <w:tc>
          <w:tcPr>
            <w:tcW w:w="1678" w:type="dxa"/>
            <w:tcBorders>
              <w:bottom w:val="single" w:sz="4" w:space="0" w:color="000000"/>
            </w:tcBorders>
          </w:tcPr>
          <w:p w14:paraId="67E3CB66" w14:textId="1A05BDCE" w:rsidR="00AF5724" w:rsidRDefault="00AF5724" w:rsidP="00097045">
            <w:pPr>
              <w:pStyle w:val="Default"/>
              <w:keepNext/>
              <w:keepLines/>
              <w:rPr>
                <w:sz w:val="22"/>
                <w:szCs w:val="22"/>
                <w:lang w:val="lt-LT"/>
              </w:rPr>
            </w:pPr>
            <w:r w:rsidRPr="00723E6B">
              <w:rPr>
                <w:sz w:val="22"/>
                <w:szCs w:val="22"/>
                <w:lang w:val="lt-LT"/>
              </w:rPr>
              <w:t>Ret</w:t>
            </w:r>
            <w:r w:rsidR="006107D8">
              <w:rPr>
                <w:sz w:val="22"/>
                <w:szCs w:val="22"/>
                <w:lang w:val="lt-LT"/>
              </w:rPr>
              <w:t>as</w:t>
            </w:r>
          </w:p>
          <w:p w14:paraId="1FF941E8" w14:textId="315EE4E5" w:rsidR="006057A8" w:rsidRPr="00723E6B" w:rsidRDefault="006057A8" w:rsidP="00097045">
            <w:pPr>
              <w:pStyle w:val="Default"/>
              <w:keepNext/>
              <w:keepLines/>
              <w:rPr>
                <w:sz w:val="22"/>
                <w:szCs w:val="22"/>
                <w:lang w:val="lt-LT"/>
              </w:rPr>
            </w:pPr>
            <w:r>
              <w:rPr>
                <w:sz w:val="22"/>
                <w:szCs w:val="22"/>
                <w:lang w:val="lt-LT"/>
              </w:rPr>
              <w:t>Retas</w:t>
            </w:r>
          </w:p>
        </w:tc>
        <w:tc>
          <w:tcPr>
            <w:tcW w:w="1395" w:type="dxa"/>
            <w:tcBorders>
              <w:bottom w:val="single" w:sz="4" w:space="0" w:color="000000"/>
            </w:tcBorders>
          </w:tcPr>
          <w:p w14:paraId="74283616" w14:textId="694F3F5B" w:rsidR="00AF5724" w:rsidRDefault="00AF5724" w:rsidP="00097045">
            <w:pPr>
              <w:pStyle w:val="Default"/>
              <w:keepNext/>
              <w:keepLines/>
              <w:rPr>
                <w:sz w:val="22"/>
                <w:szCs w:val="22"/>
                <w:lang w:val="lt-LT"/>
              </w:rPr>
            </w:pPr>
            <w:r w:rsidRPr="00723E6B">
              <w:rPr>
                <w:sz w:val="22"/>
                <w:szCs w:val="22"/>
                <w:lang w:val="lt-LT"/>
              </w:rPr>
              <w:t>Dažn</w:t>
            </w:r>
            <w:r w:rsidR="006107D8">
              <w:rPr>
                <w:sz w:val="22"/>
                <w:szCs w:val="22"/>
                <w:lang w:val="lt-LT"/>
              </w:rPr>
              <w:t>as</w:t>
            </w:r>
          </w:p>
          <w:p w14:paraId="38621D13" w14:textId="181ED120" w:rsidR="006057A8" w:rsidRPr="00723E6B" w:rsidRDefault="006057A8" w:rsidP="00097045">
            <w:pPr>
              <w:pStyle w:val="Default"/>
              <w:keepNext/>
              <w:keepLines/>
              <w:rPr>
                <w:sz w:val="22"/>
                <w:szCs w:val="22"/>
                <w:lang w:val="lt-LT"/>
              </w:rPr>
            </w:pPr>
            <w:r>
              <w:rPr>
                <w:sz w:val="22"/>
                <w:szCs w:val="22"/>
                <w:lang w:val="lt-LT"/>
              </w:rPr>
              <w:t>Nedažnas</w:t>
            </w:r>
          </w:p>
        </w:tc>
      </w:tr>
      <w:tr w:rsidR="00316E67" w:rsidRPr="00E457A0" w14:paraId="1D0E0057" w14:textId="77777777" w:rsidTr="00CE6E5F">
        <w:trPr>
          <w:cantSplit/>
        </w:trPr>
        <w:tc>
          <w:tcPr>
            <w:tcW w:w="3609" w:type="dxa"/>
            <w:vMerge w:val="restart"/>
          </w:tcPr>
          <w:p w14:paraId="1B6FFD0F" w14:textId="77777777" w:rsidR="00316E67" w:rsidRPr="00CE6E5F" w:rsidRDefault="00316E67" w:rsidP="00E457A0">
            <w:pPr>
              <w:rPr>
                <w:rFonts w:cs="Times New Roman"/>
              </w:rPr>
            </w:pPr>
            <w:r w:rsidRPr="00CE6E5F">
              <w:rPr>
                <w:rFonts w:cs="Times New Roman"/>
              </w:rPr>
              <w:t>Bendrieji sutrikimai ir vartojimo vietos pažeidimai</w:t>
            </w:r>
          </w:p>
        </w:tc>
        <w:tc>
          <w:tcPr>
            <w:tcW w:w="2390" w:type="dxa"/>
            <w:tcBorders>
              <w:bottom w:val="single" w:sz="4" w:space="0" w:color="FFFFFF" w:themeColor="background1"/>
            </w:tcBorders>
          </w:tcPr>
          <w:p w14:paraId="324BF9E6" w14:textId="77777777" w:rsidR="00316E67" w:rsidRPr="00723E6B" w:rsidRDefault="00316E67" w:rsidP="00E457A0">
            <w:pPr>
              <w:pStyle w:val="Default"/>
              <w:rPr>
                <w:sz w:val="22"/>
                <w:szCs w:val="22"/>
                <w:lang w:val="lt-LT"/>
              </w:rPr>
            </w:pPr>
            <w:r w:rsidRPr="00E773DA">
              <w:rPr>
                <w:sz w:val="22"/>
                <w:szCs w:val="22"/>
                <w:lang w:val="lt-LT"/>
              </w:rPr>
              <w:t>Reakcija injekcijos vietoje</w:t>
            </w:r>
          </w:p>
        </w:tc>
        <w:tc>
          <w:tcPr>
            <w:tcW w:w="1678" w:type="dxa"/>
            <w:tcBorders>
              <w:bottom w:val="single" w:sz="4" w:space="0" w:color="FFFFFF" w:themeColor="background1"/>
            </w:tcBorders>
          </w:tcPr>
          <w:p w14:paraId="27BEB10A" w14:textId="203E76C1" w:rsidR="00316E67" w:rsidRPr="00723E6B" w:rsidRDefault="00316E67" w:rsidP="00E457A0">
            <w:pPr>
              <w:pStyle w:val="Default"/>
              <w:rPr>
                <w:sz w:val="22"/>
                <w:szCs w:val="22"/>
                <w:lang w:val="lt-LT"/>
              </w:rPr>
            </w:pPr>
            <w:r w:rsidRPr="00E773DA">
              <w:rPr>
                <w:sz w:val="22"/>
                <w:szCs w:val="22"/>
                <w:lang w:val="lt-LT"/>
              </w:rPr>
              <w:t>Labai dažn</w:t>
            </w:r>
            <w:r w:rsidR="006107D8">
              <w:rPr>
                <w:sz w:val="22"/>
                <w:szCs w:val="22"/>
                <w:lang w:val="lt-LT"/>
              </w:rPr>
              <w:t>as</w:t>
            </w:r>
          </w:p>
        </w:tc>
        <w:tc>
          <w:tcPr>
            <w:tcW w:w="1395" w:type="dxa"/>
            <w:tcBorders>
              <w:bottom w:val="single" w:sz="4" w:space="0" w:color="FFFFFF" w:themeColor="background1"/>
            </w:tcBorders>
          </w:tcPr>
          <w:p w14:paraId="599AA738" w14:textId="175E84C9" w:rsidR="00316E67" w:rsidRPr="00723E6B" w:rsidRDefault="00316E67" w:rsidP="00E457A0">
            <w:pPr>
              <w:pStyle w:val="Default"/>
              <w:rPr>
                <w:sz w:val="22"/>
                <w:szCs w:val="22"/>
                <w:lang w:val="lt-LT"/>
              </w:rPr>
            </w:pPr>
            <w:r w:rsidRPr="00E773DA">
              <w:rPr>
                <w:sz w:val="22"/>
                <w:szCs w:val="22"/>
                <w:lang w:val="lt-LT"/>
              </w:rPr>
              <w:t>Labai dažn</w:t>
            </w:r>
            <w:r w:rsidR="006107D8">
              <w:rPr>
                <w:sz w:val="22"/>
                <w:szCs w:val="22"/>
                <w:lang w:val="lt-LT"/>
              </w:rPr>
              <w:t>as</w:t>
            </w:r>
          </w:p>
        </w:tc>
      </w:tr>
      <w:tr w:rsidR="00316E67" w:rsidRPr="00E457A0" w14:paraId="4ADEFB7A" w14:textId="77777777" w:rsidTr="00CE6E5F">
        <w:trPr>
          <w:cantSplit/>
        </w:trPr>
        <w:tc>
          <w:tcPr>
            <w:tcW w:w="3609" w:type="dxa"/>
            <w:vMerge/>
          </w:tcPr>
          <w:p w14:paraId="3D2FB9C9" w14:textId="77777777" w:rsidR="00316E67" w:rsidRPr="00E457A0" w:rsidRDefault="00316E67" w:rsidP="00E457A0">
            <w:pPr>
              <w:rPr>
                <w:rFonts w:cs="Times New Roman"/>
              </w:rPr>
            </w:pPr>
          </w:p>
        </w:tc>
        <w:tc>
          <w:tcPr>
            <w:tcW w:w="2390" w:type="dxa"/>
            <w:tcBorders>
              <w:top w:val="single" w:sz="4" w:space="0" w:color="FFFFFF" w:themeColor="background1"/>
              <w:bottom w:val="single" w:sz="4" w:space="0" w:color="000000"/>
            </w:tcBorders>
          </w:tcPr>
          <w:p w14:paraId="00F75EFB" w14:textId="77777777" w:rsidR="00316E67" w:rsidRDefault="00316E67" w:rsidP="00E457A0">
            <w:pPr>
              <w:pStyle w:val="Default"/>
              <w:rPr>
                <w:sz w:val="22"/>
                <w:szCs w:val="22"/>
                <w:lang w:val="lt-LT"/>
              </w:rPr>
            </w:pPr>
            <w:r w:rsidRPr="00723E6B">
              <w:rPr>
                <w:sz w:val="22"/>
                <w:szCs w:val="22"/>
                <w:lang w:val="lt-LT"/>
              </w:rPr>
              <w:t>Karščiavimas</w:t>
            </w:r>
          </w:p>
          <w:p w14:paraId="4E2B5429" w14:textId="0CEC9574" w:rsidR="006057A8" w:rsidRDefault="006057A8" w:rsidP="00E457A0">
            <w:pPr>
              <w:pStyle w:val="Default"/>
              <w:rPr>
                <w:sz w:val="22"/>
                <w:szCs w:val="22"/>
                <w:lang w:val="lt-LT"/>
              </w:rPr>
            </w:pPr>
            <w:proofErr w:type="spellStart"/>
            <w:r>
              <w:rPr>
                <w:sz w:val="22"/>
                <w:szCs w:val="22"/>
                <w:lang w:val="lt-LT"/>
              </w:rPr>
              <w:t>Šal</w:t>
            </w:r>
            <w:r w:rsidR="00B545F8">
              <w:rPr>
                <w:sz w:val="22"/>
                <w:szCs w:val="22"/>
                <w:lang w:val="lt-LT"/>
              </w:rPr>
              <w:t>tkrėtis</w:t>
            </w:r>
            <w:proofErr w:type="spellEnd"/>
          </w:p>
          <w:p w14:paraId="23766936" w14:textId="77777777" w:rsidR="006057A8" w:rsidRDefault="006057A8" w:rsidP="00E457A0">
            <w:pPr>
              <w:pStyle w:val="Default"/>
              <w:rPr>
                <w:sz w:val="22"/>
                <w:szCs w:val="22"/>
                <w:lang w:val="lt-LT"/>
              </w:rPr>
            </w:pPr>
            <w:r>
              <w:rPr>
                <w:sz w:val="22"/>
                <w:szCs w:val="22"/>
                <w:lang w:val="lt-LT"/>
              </w:rPr>
              <w:t>Nuovargis</w:t>
            </w:r>
          </w:p>
          <w:p w14:paraId="138575D8" w14:textId="77777777" w:rsidR="006057A8" w:rsidRDefault="002029A3" w:rsidP="00E457A0">
            <w:pPr>
              <w:pStyle w:val="Default"/>
              <w:rPr>
                <w:sz w:val="22"/>
                <w:szCs w:val="22"/>
                <w:lang w:val="lt-LT"/>
              </w:rPr>
            </w:pPr>
            <w:r>
              <w:rPr>
                <w:sz w:val="22"/>
                <w:szCs w:val="22"/>
                <w:lang w:val="lt-LT"/>
              </w:rPr>
              <w:t>D</w:t>
            </w:r>
            <w:r w:rsidR="006057A8">
              <w:rPr>
                <w:sz w:val="22"/>
                <w:szCs w:val="22"/>
                <w:lang w:val="lt-LT"/>
              </w:rPr>
              <w:t>iskomfortas</w:t>
            </w:r>
            <w:r>
              <w:rPr>
                <w:sz w:val="22"/>
                <w:szCs w:val="22"/>
                <w:lang w:val="lt-LT"/>
              </w:rPr>
              <w:t xml:space="preserve"> krūtinėje</w:t>
            </w:r>
          </w:p>
          <w:p w14:paraId="1BE7F944" w14:textId="77777777" w:rsidR="002029A3" w:rsidRDefault="002029A3" w:rsidP="00E457A0">
            <w:pPr>
              <w:pStyle w:val="Default"/>
              <w:rPr>
                <w:sz w:val="22"/>
                <w:szCs w:val="22"/>
                <w:lang w:val="lt-LT"/>
              </w:rPr>
            </w:pPr>
            <w:r>
              <w:rPr>
                <w:sz w:val="22"/>
                <w:szCs w:val="22"/>
                <w:lang w:val="lt-LT"/>
              </w:rPr>
              <w:t>Į gripą panaši liga</w:t>
            </w:r>
          </w:p>
          <w:p w14:paraId="2BD089BA" w14:textId="16468B44" w:rsidR="002029A3" w:rsidRDefault="002029A3" w:rsidP="00E457A0">
            <w:pPr>
              <w:pStyle w:val="Default"/>
              <w:rPr>
                <w:sz w:val="22"/>
                <w:szCs w:val="22"/>
                <w:lang w:val="lt-LT"/>
              </w:rPr>
            </w:pPr>
            <w:r>
              <w:rPr>
                <w:sz w:val="22"/>
                <w:szCs w:val="22"/>
                <w:lang w:val="lt-LT"/>
              </w:rPr>
              <w:t>Negalavimas</w:t>
            </w:r>
          </w:p>
          <w:p w14:paraId="6AF725FD" w14:textId="4F35C1C7" w:rsidR="002029A3" w:rsidRPr="00723E6B" w:rsidRDefault="002029A3" w:rsidP="00E457A0">
            <w:pPr>
              <w:pStyle w:val="Default"/>
              <w:rPr>
                <w:sz w:val="22"/>
                <w:szCs w:val="22"/>
                <w:lang w:val="lt-LT"/>
              </w:rPr>
            </w:pPr>
            <w:r>
              <w:rPr>
                <w:sz w:val="22"/>
                <w:szCs w:val="22"/>
                <w:lang w:val="lt-LT"/>
              </w:rPr>
              <w:t>Skausmas</w:t>
            </w:r>
          </w:p>
        </w:tc>
        <w:tc>
          <w:tcPr>
            <w:tcW w:w="1678" w:type="dxa"/>
            <w:tcBorders>
              <w:top w:val="single" w:sz="4" w:space="0" w:color="FFFFFF" w:themeColor="background1"/>
              <w:bottom w:val="single" w:sz="4" w:space="0" w:color="000000"/>
            </w:tcBorders>
          </w:tcPr>
          <w:p w14:paraId="14C81CD9" w14:textId="2018CF1D" w:rsidR="00316E67" w:rsidRDefault="00316E67" w:rsidP="00E457A0">
            <w:pPr>
              <w:pStyle w:val="Default"/>
              <w:rPr>
                <w:sz w:val="22"/>
                <w:szCs w:val="22"/>
                <w:lang w:val="lt-LT"/>
              </w:rPr>
            </w:pPr>
            <w:r w:rsidRPr="00723E6B">
              <w:rPr>
                <w:sz w:val="22"/>
                <w:szCs w:val="22"/>
                <w:lang w:val="lt-LT"/>
              </w:rPr>
              <w:t>Ret</w:t>
            </w:r>
            <w:r w:rsidR="006107D8">
              <w:rPr>
                <w:sz w:val="22"/>
                <w:szCs w:val="22"/>
                <w:lang w:val="lt-LT"/>
              </w:rPr>
              <w:t>as</w:t>
            </w:r>
          </w:p>
          <w:p w14:paraId="64CA48F9" w14:textId="77777777" w:rsidR="002029A3" w:rsidRDefault="002029A3" w:rsidP="00E457A0">
            <w:pPr>
              <w:pStyle w:val="Default"/>
              <w:rPr>
                <w:sz w:val="22"/>
                <w:szCs w:val="22"/>
                <w:lang w:val="lt-LT"/>
              </w:rPr>
            </w:pPr>
            <w:r>
              <w:rPr>
                <w:sz w:val="22"/>
                <w:szCs w:val="22"/>
                <w:lang w:val="lt-LT"/>
              </w:rPr>
              <w:t>Retas</w:t>
            </w:r>
          </w:p>
          <w:p w14:paraId="00FC6F40" w14:textId="4DAAD6A3" w:rsidR="002029A3" w:rsidRDefault="002029A3" w:rsidP="00E457A0">
            <w:pPr>
              <w:pStyle w:val="Default"/>
              <w:rPr>
                <w:sz w:val="22"/>
                <w:szCs w:val="22"/>
                <w:lang w:val="lt-LT"/>
              </w:rPr>
            </w:pPr>
            <w:r>
              <w:rPr>
                <w:sz w:val="22"/>
                <w:szCs w:val="22"/>
                <w:lang w:val="lt-LT"/>
              </w:rPr>
              <w:t>Nedažnas</w:t>
            </w:r>
          </w:p>
          <w:p w14:paraId="7DE6F001" w14:textId="77777777" w:rsidR="002029A3" w:rsidRDefault="002029A3" w:rsidP="00E457A0">
            <w:pPr>
              <w:pStyle w:val="Default"/>
              <w:rPr>
                <w:sz w:val="22"/>
                <w:szCs w:val="22"/>
                <w:lang w:val="lt-LT"/>
              </w:rPr>
            </w:pPr>
            <w:r>
              <w:rPr>
                <w:sz w:val="22"/>
                <w:szCs w:val="22"/>
                <w:lang w:val="lt-LT"/>
              </w:rPr>
              <w:t>Retas</w:t>
            </w:r>
          </w:p>
          <w:p w14:paraId="49CC11FF" w14:textId="77777777" w:rsidR="002029A3" w:rsidRDefault="002029A3" w:rsidP="00E457A0">
            <w:pPr>
              <w:pStyle w:val="Default"/>
              <w:rPr>
                <w:sz w:val="22"/>
                <w:szCs w:val="22"/>
                <w:lang w:val="lt-LT"/>
              </w:rPr>
            </w:pPr>
            <w:r>
              <w:rPr>
                <w:sz w:val="22"/>
                <w:szCs w:val="22"/>
                <w:lang w:val="lt-LT"/>
              </w:rPr>
              <w:t>Retas</w:t>
            </w:r>
          </w:p>
          <w:p w14:paraId="72BFDDFC" w14:textId="77777777" w:rsidR="002029A3" w:rsidRDefault="002029A3" w:rsidP="00E457A0">
            <w:pPr>
              <w:pStyle w:val="Default"/>
              <w:rPr>
                <w:sz w:val="22"/>
                <w:szCs w:val="22"/>
                <w:lang w:val="lt-LT"/>
              </w:rPr>
            </w:pPr>
            <w:r>
              <w:rPr>
                <w:sz w:val="22"/>
                <w:szCs w:val="22"/>
                <w:lang w:val="lt-LT"/>
              </w:rPr>
              <w:t>Retas</w:t>
            </w:r>
          </w:p>
          <w:p w14:paraId="2679502D" w14:textId="7C225AD8" w:rsidR="002029A3" w:rsidRPr="00723E6B" w:rsidRDefault="002029A3" w:rsidP="00E457A0">
            <w:pPr>
              <w:pStyle w:val="Default"/>
              <w:rPr>
                <w:sz w:val="22"/>
                <w:szCs w:val="22"/>
                <w:lang w:val="lt-LT"/>
              </w:rPr>
            </w:pPr>
            <w:r>
              <w:rPr>
                <w:sz w:val="22"/>
                <w:szCs w:val="22"/>
                <w:lang w:val="lt-LT"/>
              </w:rPr>
              <w:t>Retas</w:t>
            </w:r>
          </w:p>
        </w:tc>
        <w:tc>
          <w:tcPr>
            <w:tcW w:w="1395" w:type="dxa"/>
            <w:tcBorders>
              <w:top w:val="single" w:sz="4" w:space="0" w:color="FFFFFF" w:themeColor="background1"/>
              <w:bottom w:val="single" w:sz="4" w:space="0" w:color="000000"/>
            </w:tcBorders>
          </w:tcPr>
          <w:p w14:paraId="12058CBB" w14:textId="72CE58EF" w:rsidR="00316E67" w:rsidRDefault="00316E67" w:rsidP="00E457A0">
            <w:pPr>
              <w:pStyle w:val="Default"/>
              <w:rPr>
                <w:sz w:val="22"/>
                <w:szCs w:val="22"/>
                <w:lang w:val="lt-LT"/>
              </w:rPr>
            </w:pPr>
            <w:r w:rsidRPr="00723E6B">
              <w:rPr>
                <w:sz w:val="22"/>
                <w:szCs w:val="22"/>
                <w:lang w:val="lt-LT"/>
              </w:rPr>
              <w:t>Dažn</w:t>
            </w:r>
            <w:r w:rsidR="006107D8">
              <w:rPr>
                <w:sz w:val="22"/>
                <w:szCs w:val="22"/>
                <w:lang w:val="lt-LT"/>
              </w:rPr>
              <w:t>as</w:t>
            </w:r>
          </w:p>
          <w:p w14:paraId="0A339A17" w14:textId="77777777" w:rsidR="002029A3" w:rsidRDefault="002029A3" w:rsidP="00E457A0">
            <w:pPr>
              <w:pStyle w:val="Default"/>
              <w:rPr>
                <w:sz w:val="22"/>
                <w:szCs w:val="22"/>
                <w:lang w:val="lt-LT"/>
              </w:rPr>
            </w:pPr>
            <w:r>
              <w:rPr>
                <w:sz w:val="22"/>
                <w:szCs w:val="22"/>
                <w:lang w:val="lt-LT"/>
              </w:rPr>
              <w:t>Dažnas</w:t>
            </w:r>
          </w:p>
          <w:p w14:paraId="70E4F5A6" w14:textId="77777777" w:rsidR="002029A3" w:rsidRDefault="002029A3" w:rsidP="00E457A0">
            <w:pPr>
              <w:pStyle w:val="Default"/>
              <w:rPr>
                <w:sz w:val="22"/>
                <w:szCs w:val="22"/>
                <w:lang w:val="lt-LT"/>
              </w:rPr>
            </w:pPr>
            <w:r>
              <w:rPr>
                <w:sz w:val="22"/>
                <w:szCs w:val="22"/>
                <w:lang w:val="lt-LT"/>
              </w:rPr>
              <w:t>Dažnas</w:t>
            </w:r>
          </w:p>
          <w:p w14:paraId="2E77F85C" w14:textId="77777777" w:rsidR="002029A3" w:rsidRDefault="002029A3" w:rsidP="00E457A0">
            <w:pPr>
              <w:pStyle w:val="Default"/>
              <w:rPr>
                <w:sz w:val="22"/>
                <w:szCs w:val="22"/>
                <w:lang w:val="lt-LT"/>
              </w:rPr>
            </w:pPr>
            <w:r>
              <w:rPr>
                <w:sz w:val="22"/>
                <w:szCs w:val="22"/>
                <w:lang w:val="lt-LT"/>
              </w:rPr>
              <w:t>Nedažnas</w:t>
            </w:r>
          </w:p>
          <w:p w14:paraId="6143D925" w14:textId="77777777" w:rsidR="002029A3" w:rsidRDefault="002029A3" w:rsidP="00E457A0">
            <w:pPr>
              <w:pStyle w:val="Default"/>
              <w:rPr>
                <w:sz w:val="22"/>
                <w:szCs w:val="22"/>
                <w:lang w:val="lt-LT"/>
              </w:rPr>
            </w:pPr>
            <w:r>
              <w:rPr>
                <w:sz w:val="22"/>
                <w:szCs w:val="22"/>
                <w:lang w:val="lt-LT"/>
              </w:rPr>
              <w:t>Nedažnas</w:t>
            </w:r>
          </w:p>
          <w:p w14:paraId="2D326DFB" w14:textId="77777777" w:rsidR="002029A3" w:rsidRDefault="002029A3" w:rsidP="00E457A0">
            <w:pPr>
              <w:pStyle w:val="Default"/>
              <w:rPr>
                <w:sz w:val="22"/>
                <w:szCs w:val="22"/>
                <w:lang w:val="lt-LT"/>
              </w:rPr>
            </w:pPr>
            <w:r>
              <w:rPr>
                <w:sz w:val="22"/>
                <w:szCs w:val="22"/>
                <w:lang w:val="lt-LT"/>
              </w:rPr>
              <w:t>Nedažnas</w:t>
            </w:r>
          </w:p>
          <w:p w14:paraId="17058C2B" w14:textId="7D940AEB" w:rsidR="002029A3" w:rsidRPr="00723E6B" w:rsidRDefault="002029A3" w:rsidP="00E457A0">
            <w:pPr>
              <w:pStyle w:val="Default"/>
              <w:rPr>
                <w:sz w:val="22"/>
                <w:szCs w:val="22"/>
                <w:lang w:val="lt-LT"/>
              </w:rPr>
            </w:pPr>
            <w:r>
              <w:rPr>
                <w:sz w:val="22"/>
                <w:szCs w:val="22"/>
                <w:lang w:val="lt-LT"/>
              </w:rPr>
              <w:t>Nedažnas</w:t>
            </w:r>
          </w:p>
        </w:tc>
      </w:tr>
      <w:tr w:rsidR="00316E67" w:rsidRPr="00E457A0" w14:paraId="54A6BB2A" w14:textId="77777777" w:rsidTr="00CE6E5F">
        <w:trPr>
          <w:cantSplit/>
        </w:trPr>
        <w:tc>
          <w:tcPr>
            <w:tcW w:w="3609" w:type="dxa"/>
            <w:vMerge w:val="restart"/>
          </w:tcPr>
          <w:p w14:paraId="67625774" w14:textId="77777777" w:rsidR="00316E67" w:rsidRPr="00CE6E5F" w:rsidRDefault="00316E67" w:rsidP="00E457A0">
            <w:pPr>
              <w:pStyle w:val="Default"/>
              <w:rPr>
                <w:sz w:val="22"/>
                <w:szCs w:val="22"/>
                <w:lang w:val="lt-LT"/>
              </w:rPr>
            </w:pPr>
            <w:r w:rsidRPr="00CE6E5F">
              <w:rPr>
                <w:sz w:val="22"/>
                <w:szCs w:val="22"/>
                <w:lang w:val="lt-LT"/>
              </w:rPr>
              <w:t>Tyrimai</w:t>
            </w:r>
          </w:p>
        </w:tc>
        <w:tc>
          <w:tcPr>
            <w:tcW w:w="2390" w:type="dxa"/>
            <w:tcBorders>
              <w:bottom w:val="single" w:sz="4" w:space="0" w:color="FFFFFF" w:themeColor="background1"/>
            </w:tcBorders>
          </w:tcPr>
          <w:p w14:paraId="447791AB" w14:textId="2DABF4BC" w:rsidR="009F6A6F" w:rsidRDefault="009F6A6F" w:rsidP="00E457A0">
            <w:pPr>
              <w:pStyle w:val="Default"/>
              <w:rPr>
                <w:sz w:val="22"/>
                <w:szCs w:val="22"/>
                <w:lang w:val="lt-LT"/>
              </w:rPr>
            </w:pPr>
            <w:r w:rsidRPr="00723E6B">
              <w:rPr>
                <w:sz w:val="22"/>
                <w:szCs w:val="22"/>
                <w:lang w:val="lt-LT"/>
              </w:rPr>
              <w:t>Laisv</w:t>
            </w:r>
            <w:r>
              <w:rPr>
                <w:sz w:val="22"/>
                <w:szCs w:val="22"/>
                <w:lang w:val="lt-LT"/>
              </w:rPr>
              <w:t>o</w:t>
            </w:r>
            <w:r w:rsidRPr="00723E6B">
              <w:rPr>
                <w:sz w:val="22"/>
                <w:szCs w:val="22"/>
                <w:lang w:val="lt-LT"/>
              </w:rPr>
              <w:t xml:space="preserve"> hemoglobin</w:t>
            </w:r>
            <w:r>
              <w:rPr>
                <w:sz w:val="22"/>
                <w:szCs w:val="22"/>
                <w:lang w:val="lt-LT"/>
              </w:rPr>
              <w:t>o nustatymas</w:t>
            </w:r>
          </w:p>
          <w:p w14:paraId="42C1D8B4" w14:textId="79336A07" w:rsidR="00316E67" w:rsidRPr="00723E6B" w:rsidRDefault="00316E67" w:rsidP="00E457A0">
            <w:pPr>
              <w:pStyle w:val="Default"/>
              <w:rPr>
                <w:sz w:val="22"/>
                <w:szCs w:val="22"/>
                <w:lang w:val="lt-LT"/>
              </w:rPr>
            </w:pPr>
            <w:r w:rsidRPr="00E773DA">
              <w:rPr>
                <w:sz w:val="22"/>
                <w:szCs w:val="22"/>
                <w:lang w:val="lt-LT"/>
              </w:rPr>
              <w:t xml:space="preserve">Teigiamas </w:t>
            </w:r>
            <w:proofErr w:type="spellStart"/>
            <w:r w:rsidRPr="00E773DA">
              <w:rPr>
                <w:sz w:val="22"/>
                <w:szCs w:val="22"/>
                <w:lang w:val="lt-LT"/>
              </w:rPr>
              <w:t>Kumbso</w:t>
            </w:r>
            <w:proofErr w:type="spellEnd"/>
            <w:r w:rsidRPr="00E773DA">
              <w:rPr>
                <w:sz w:val="22"/>
                <w:szCs w:val="22"/>
                <w:lang w:val="lt-LT"/>
              </w:rPr>
              <w:t xml:space="preserve"> mėginys</w:t>
            </w:r>
          </w:p>
        </w:tc>
        <w:tc>
          <w:tcPr>
            <w:tcW w:w="1678" w:type="dxa"/>
            <w:tcBorders>
              <w:bottom w:val="single" w:sz="4" w:space="0" w:color="FFFFFF" w:themeColor="background1"/>
            </w:tcBorders>
          </w:tcPr>
          <w:p w14:paraId="696B3442" w14:textId="54F18C07" w:rsidR="009F6A6F" w:rsidRDefault="009F6A6F" w:rsidP="00E457A0">
            <w:pPr>
              <w:pStyle w:val="Default"/>
              <w:rPr>
                <w:sz w:val="22"/>
                <w:szCs w:val="22"/>
                <w:lang w:val="lt-LT"/>
              </w:rPr>
            </w:pPr>
            <w:r>
              <w:rPr>
                <w:sz w:val="22"/>
                <w:szCs w:val="22"/>
                <w:lang w:val="lt-LT"/>
              </w:rPr>
              <w:t>Retas</w:t>
            </w:r>
          </w:p>
          <w:p w14:paraId="4F246D04" w14:textId="77777777" w:rsidR="009F6A6F" w:rsidRDefault="009F6A6F" w:rsidP="00E457A0">
            <w:pPr>
              <w:pStyle w:val="Default"/>
              <w:rPr>
                <w:sz w:val="22"/>
                <w:szCs w:val="22"/>
                <w:lang w:val="lt-LT"/>
              </w:rPr>
            </w:pPr>
          </w:p>
          <w:p w14:paraId="21A349E2" w14:textId="7136BB03" w:rsidR="00316E67" w:rsidRPr="00723E6B" w:rsidRDefault="00316E67" w:rsidP="00E457A0">
            <w:pPr>
              <w:pStyle w:val="Default"/>
              <w:rPr>
                <w:sz w:val="22"/>
                <w:szCs w:val="22"/>
                <w:lang w:val="lt-LT"/>
              </w:rPr>
            </w:pPr>
            <w:r w:rsidRPr="00E773DA">
              <w:rPr>
                <w:sz w:val="22"/>
                <w:szCs w:val="22"/>
                <w:lang w:val="lt-LT"/>
              </w:rPr>
              <w:t>Ret</w:t>
            </w:r>
            <w:r w:rsidR="006107D8">
              <w:rPr>
                <w:sz w:val="22"/>
                <w:szCs w:val="22"/>
                <w:lang w:val="lt-LT"/>
              </w:rPr>
              <w:t>as</w:t>
            </w:r>
          </w:p>
        </w:tc>
        <w:tc>
          <w:tcPr>
            <w:tcW w:w="1395" w:type="dxa"/>
            <w:tcBorders>
              <w:bottom w:val="single" w:sz="4" w:space="0" w:color="FFFFFF" w:themeColor="background1"/>
            </w:tcBorders>
          </w:tcPr>
          <w:p w14:paraId="570ECF04" w14:textId="0C900006" w:rsidR="009F6A6F" w:rsidRDefault="009F6A6F" w:rsidP="00316E67">
            <w:pPr>
              <w:pStyle w:val="Default"/>
              <w:rPr>
                <w:sz w:val="22"/>
                <w:szCs w:val="22"/>
                <w:lang w:val="lt-LT"/>
              </w:rPr>
            </w:pPr>
            <w:r>
              <w:rPr>
                <w:sz w:val="22"/>
                <w:szCs w:val="22"/>
                <w:lang w:val="lt-LT"/>
              </w:rPr>
              <w:t>Dažnas</w:t>
            </w:r>
          </w:p>
          <w:p w14:paraId="1D603FBC" w14:textId="77777777" w:rsidR="009F6A6F" w:rsidRDefault="009F6A6F" w:rsidP="00316E67">
            <w:pPr>
              <w:pStyle w:val="Default"/>
              <w:rPr>
                <w:sz w:val="22"/>
                <w:szCs w:val="22"/>
                <w:lang w:val="lt-LT"/>
              </w:rPr>
            </w:pPr>
          </w:p>
          <w:p w14:paraId="10562A70" w14:textId="3E0C34E4" w:rsidR="00316E67" w:rsidRPr="00723E6B" w:rsidRDefault="009F6A6F" w:rsidP="00316E67">
            <w:pPr>
              <w:pStyle w:val="Default"/>
              <w:rPr>
                <w:sz w:val="22"/>
                <w:szCs w:val="22"/>
                <w:lang w:val="lt-LT"/>
              </w:rPr>
            </w:pPr>
            <w:r>
              <w:rPr>
                <w:sz w:val="22"/>
                <w:szCs w:val="22"/>
                <w:lang w:val="lt-LT"/>
              </w:rPr>
              <w:t>Ned</w:t>
            </w:r>
            <w:r w:rsidR="00316E67" w:rsidRPr="00E773DA">
              <w:rPr>
                <w:sz w:val="22"/>
                <w:szCs w:val="22"/>
                <w:lang w:val="lt-LT"/>
              </w:rPr>
              <w:t>ažn</w:t>
            </w:r>
            <w:r>
              <w:rPr>
                <w:sz w:val="22"/>
                <w:szCs w:val="22"/>
                <w:lang w:val="lt-LT"/>
              </w:rPr>
              <w:t>as</w:t>
            </w:r>
          </w:p>
        </w:tc>
      </w:tr>
      <w:tr w:rsidR="00316E67" w:rsidRPr="00E457A0" w14:paraId="611FEC9D" w14:textId="77777777" w:rsidTr="00CE6E5F">
        <w:trPr>
          <w:cantSplit/>
        </w:trPr>
        <w:tc>
          <w:tcPr>
            <w:tcW w:w="3609" w:type="dxa"/>
            <w:vMerge/>
          </w:tcPr>
          <w:p w14:paraId="73349409" w14:textId="77777777" w:rsidR="00316E67" w:rsidRPr="00E457A0" w:rsidRDefault="00316E67" w:rsidP="00E457A0">
            <w:pPr>
              <w:pStyle w:val="Default"/>
              <w:rPr>
                <w:sz w:val="22"/>
                <w:szCs w:val="22"/>
                <w:lang w:val="lt-LT"/>
              </w:rPr>
            </w:pPr>
          </w:p>
        </w:tc>
        <w:tc>
          <w:tcPr>
            <w:tcW w:w="2390" w:type="dxa"/>
            <w:tcBorders>
              <w:top w:val="single" w:sz="4" w:space="0" w:color="FFFFFF" w:themeColor="background1"/>
            </w:tcBorders>
          </w:tcPr>
          <w:p w14:paraId="355757A1" w14:textId="685F43A3" w:rsidR="00316E67" w:rsidRDefault="00316E67" w:rsidP="00E457A0">
            <w:pPr>
              <w:pStyle w:val="Default"/>
              <w:rPr>
                <w:sz w:val="22"/>
                <w:szCs w:val="22"/>
                <w:lang w:val="lt-LT"/>
              </w:rPr>
            </w:pPr>
            <w:r w:rsidRPr="00723E6B">
              <w:rPr>
                <w:sz w:val="22"/>
                <w:szCs w:val="22"/>
                <w:lang w:val="lt-LT"/>
              </w:rPr>
              <w:t>Sumažėj</w:t>
            </w:r>
            <w:r w:rsidR="007360F5">
              <w:rPr>
                <w:sz w:val="22"/>
                <w:szCs w:val="22"/>
                <w:lang w:val="lt-LT"/>
              </w:rPr>
              <w:t>usi</w:t>
            </w:r>
            <w:r w:rsidRPr="00723E6B">
              <w:rPr>
                <w:sz w:val="22"/>
                <w:szCs w:val="22"/>
                <w:lang w:val="lt-LT"/>
              </w:rPr>
              <w:t xml:space="preserve"> </w:t>
            </w:r>
            <w:proofErr w:type="spellStart"/>
            <w:r w:rsidRPr="00723E6B">
              <w:rPr>
                <w:sz w:val="22"/>
                <w:szCs w:val="22"/>
                <w:lang w:val="lt-LT"/>
              </w:rPr>
              <w:t>haptoglobino</w:t>
            </w:r>
            <w:proofErr w:type="spellEnd"/>
            <w:r w:rsidRPr="00723E6B">
              <w:rPr>
                <w:sz w:val="22"/>
                <w:szCs w:val="22"/>
                <w:lang w:val="lt-LT"/>
              </w:rPr>
              <w:t xml:space="preserve"> k</w:t>
            </w:r>
            <w:r w:rsidR="007360F5">
              <w:rPr>
                <w:sz w:val="22"/>
                <w:szCs w:val="22"/>
                <w:lang w:val="lt-LT"/>
              </w:rPr>
              <w:t>oncentracija</w:t>
            </w:r>
          </w:p>
          <w:p w14:paraId="1E5F8725" w14:textId="4882616D" w:rsidR="0025444A" w:rsidRDefault="0025444A" w:rsidP="00E457A0">
            <w:pPr>
              <w:pStyle w:val="Default"/>
              <w:rPr>
                <w:sz w:val="22"/>
                <w:szCs w:val="22"/>
                <w:lang w:val="lt-LT"/>
              </w:rPr>
            </w:pPr>
            <w:r>
              <w:rPr>
                <w:sz w:val="22"/>
                <w:szCs w:val="22"/>
                <w:lang w:val="lt-LT"/>
              </w:rPr>
              <w:t>Padidėj</w:t>
            </w:r>
            <w:r w:rsidR="007360F5">
              <w:rPr>
                <w:sz w:val="22"/>
                <w:szCs w:val="22"/>
                <w:lang w:val="lt-LT"/>
              </w:rPr>
              <w:t>usi</w:t>
            </w:r>
            <w:r>
              <w:rPr>
                <w:sz w:val="22"/>
                <w:szCs w:val="22"/>
                <w:lang w:val="lt-LT"/>
              </w:rPr>
              <w:t xml:space="preserve"> hemoglobino k</w:t>
            </w:r>
            <w:r w:rsidR="007360F5">
              <w:rPr>
                <w:sz w:val="22"/>
                <w:szCs w:val="22"/>
                <w:lang w:val="lt-LT"/>
              </w:rPr>
              <w:t>oncentracija</w:t>
            </w:r>
          </w:p>
          <w:p w14:paraId="432021D1" w14:textId="56C9EC16" w:rsidR="0025444A" w:rsidRPr="00723E6B" w:rsidRDefault="0025444A" w:rsidP="00E457A0">
            <w:pPr>
              <w:pStyle w:val="Default"/>
              <w:rPr>
                <w:sz w:val="22"/>
                <w:szCs w:val="22"/>
                <w:lang w:val="lt-LT"/>
              </w:rPr>
            </w:pPr>
            <w:r>
              <w:rPr>
                <w:sz w:val="22"/>
                <w:szCs w:val="22"/>
                <w:lang w:val="lt-LT"/>
              </w:rPr>
              <w:t>Padidėj</w:t>
            </w:r>
            <w:r w:rsidR="007360F5">
              <w:rPr>
                <w:sz w:val="22"/>
                <w:szCs w:val="22"/>
                <w:lang w:val="lt-LT"/>
              </w:rPr>
              <w:t>usi</w:t>
            </w:r>
            <w:r>
              <w:rPr>
                <w:sz w:val="22"/>
                <w:szCs w:val="22"/>
                <w:lang w:val="lt-LT"/>
              </w:rPr>
              <w:t xml:space="preserve"> kreatinino k</w:t>
            </w:r>
            <w:r w:rsidR="007360F5">
              <w:rPr>
                <w:sz w:val="22"/>
                <w:szCs w:val="22"/>
                <w:lang w:val="lt-LT"/>
              </w:rPr>
              <w:t>oncentracija</w:t>
            </w:r>
            <w:r>
              <w:rPr>
                <w:sz w:val="22"/>
                <w:szCs w:val="22"/>
                <w:lang w:val="lt-LT"/>
              </w:rPr>
              <w:t xml:space="preserve"> kraujyje</w:t>
            </w:r>
          </w:p>
        </w:tc>
        <w:tc>
          <w:tcPr>
            <w:tcW w:w="1678" w:type="dxa"/>
            <w:tcBorders>
              <w:top w:val="single" w:sz="4" w:space="0" w:color="FFFFFF" w:themeColor="background1"/>
            </w:tcBorders>
          </w:tcPr>
          <w:p w14:paraId="63E063AB" w14:textId="7555EAB0" w:rsidR="00316E67" w:rsidRDefault="00316E67" w:rsidP="00E457A0">
            <w:pPr>
              <w:pStyle w:val="Default"/>
              <w:rPr>
                <w:sz w:val="22"/>
                <w:szCs w:val="22"/>
                <w:lang w:val="lt-LT"/>
              </w:rPr>
            </w:pPr>
            <w:r w:rsidRPr="00723E6B">
              <w:rPr>
                <w:sz w:val="22"/>
                <w:szCs w:val="22"/>
                <w:lang w:val="lt-LT"/>
              </w:rPr>
              <w:t>Ret</w:t>
            </w:r>
            <w:r w:rsidR="006107D8">
              <w:rPr>
                <w:sz w:val="22"/>
                <w:szCs w:val="22"/>
                <w:lang w:val="lt-LT"/>
              </w:rPr>
              <w:t>as</w:t>
            </w:r>
          </w:p>
          <w:p w14:paraId="4DCE5808" w14:textId="77777777" w:rsidR="0025444A" w:rsidRDefault="0025444A" w:rsidP="00E457A0">
            <w:pPr>
              <w:pStyle w:val="Default"/>
              <w:rPr>
                <w:sz w:val="22"/>
                <w:szCs w:val="22"/>
                <w:lang w:val="lt-LT"/>
              </w:rPr>
            </w:pPr>
          </w:p>
          <w:p w14:paraId="52732DB2" w14:textId="77777777" w:rsidR="0025444A" w:rsidRDefault="0025444A" w:rsidP="00E457A0">
            <w:pPr>
              <w:pStyle w:val="Default"/>
              <w:rPr>
                <w:sz w:val="22"/>
                <w:szCs w:val="22"/>
                <w:lang w:val="lt-LT"/>
              </w:rPr>
            </w:pPr>
            <w:r>
              <w:rPr>
                <w:sz w:val="22"/>
                <w:szCs w:val="22"/>
                <w:lang w:val="lt-LT"/>
              </w:rPr>
              <w:t>Retas</w:t>
            </w:r>
          </w:p>
          <w:p w14:paraId="78CED706" w14:textId="77777777" w:rsidR="0025444A" w:rsidRDefault="0025444A" w:rsidP="00E457A0">
            <w:pPr>
              <w:pStyle w:val="Default"/>
              <w:rPr>
                <w:sz w:val="22"/>
                <w:szCs w:val="22"/>
                <w:lang w:val="lt-LT"/>
              </w:rPr>
            </w:pPr>
          </w:p>
          <w:p w14:paraId="42BE3534" w14:textId="3403CAC7" w:rsidR="0025444A" w:rsidRPr="00723E6B" w:rsidRDefault="0025444A" w:rsidP="00E457A0">
            <w:pPr>
              <w:pStyle w:val="Default"/>
              <w:rPr>
                <w:sz w:val="22"/>
                <w:szCs w:val="22"/>
                <w:lang w:val="lt-LT"/>
              </w:rPr>
            </w:pPr>
            <w:r>
              <w:rPr>
                <w:sz w:val="22"/>
                <w:szCs w:val="22"/>
                <w:lang w:val="lt-LT"/>
              </w:rPr>
              <w:t>Retas</w:t>
            </w:r>
          </w:p>
        </w:tc>
        <w:tc>
          <w:tcPr>
            <w:tcW w:w="1395" w:type="dxa"/>
            <w:tcBorders>
              <w:top w:val="single" w:sz="4" w:space="0" w:color="FFFFFF" w:themeColor="background1"/>
            </w:tcBorders>
          </w:tcPr>
          <w:p w14:paraId="60D2EC5D" w14:textId="7C19564C" w:rsidR="00316E67" w:rsidRDefault="0025444A" w:rsidP="00E457A0">
            <w:pPr>
              <w:pStyle w:val="Default"/>
              <w:rPr>
                <w:sz w:val="22"/>
                <w:szCs w:val="22"/>
                <w:lang w:val="lt-LT"/>
              </w:rPr>
            </w:pPr>
            <w:r>
              <w:rPr>
                <w:sz w:val="22"/>
                <w:szCs w:val="22"/>
                <w:lang w:val="lt-LT"/>
              </w:rPr>
              <w:t>Ned</w:t>
            </w:r>
            <w:r w:rsidRPr="00723E6B">
              <w:rPr>
                <w:sz w:val="22"/>
                <w:szCs w:val="22"/>
                <w:lang w:val="lt-LT"/>
              </w:rPr>
              <w:t>ažn</w:t>
            </w:r>
            <w:r>
              <w:rPr>
                <w:sz w:val="22"/>
                <w:szCs w:val="22"/>
                <w:lang w:val="lt-LT"/>
              </w:rPr>
              <w:t>as</w:t>
            </w:r>
          </w:p>
          <w:p w14:paraId="27892166" w14:textId="77777777" w:rsidR="00B53195" w:rsidRDefault="00B53195" w:rsidP="00E457A0">
            <w:pPr>
              <w:pStyle w:val="Default"/>
              <w:rPr>
                <w:sz w:val="22"/>
                <w:szCs w:val="22"/>
                <w:lang w:val="lt-LT"/>
              </w:rPr>
            </w:pPr>
          </w:p>
          <w:p w14:paraId="38F4D1EC" w14:textId="08405853" w:rsidR="0025444A" w:rsidRDefault="0025444A" w:rsidP="00E457A0">
            <w:pPr>
              <w:pStyle w:val="Default"/>
              <w:rPr>
                <w:sz w:val="22"/>
                <w:szCs w:val="22"/>
                <w:lang w:val="lt-LT"/>
              </w:rPr>
            </w:pPr>
            <w:r>
              <w:rPr>
                <w:sz w:val="22"/>
                <w:szCs w:val="22"/>
                <w:lang w:val="lt-LT"/>
              </w:rPr>
              <w:t>Nedažnas</w:t>
            </w:r>
          </w:p>
          <w:p w14:paraId="74BA213E" w14:textId="77777777" w:rsidR="0025444A" w:rsidRDefault="0025444A" w:rsidP="00E457A0">
            <w:pPr>
              <w:pStyle w:val="Default"/>
              <w:rPr>
                <w:sz w:val="22"/>
                <w:szCs w:val="22"/>
                <w:lang w:val="lt-LT"/>
              </w:rPr>
            </w:pPr>
          </w:p>
          <w:p w14:paraId="160BE369" w14:textId="21B6968B" w:rsidR="0025444A" w:rsidRPr="00723E6B" w:rsidRDefault="0025444A" w:rsidP="00E457A0">
            <w:pPr>
              <w:pStyle w:val="Default"/>
              <w:rPr>
                <w:sz w:val="22"/>
                <w:szCs w:val="22"/>
                <w:lang w:val="lt-LT"/>
              </w:rPr>
            </w:pPr>
            <w:r>
              <w:rPr>
                <w:sz w:val="22"/>
                <w:szCs w:val="22"/>
                <w:lang w:val="lt-LT"/>
              </w:rPr>
              <w:t>Nedažnas</w:t>
            </w:r>
          </w:p>
        </w:tc>
      </w:tr>
    </w:tbl>
    <w:p w14:paraId="20C52917" w14:textId="77777777" w:rsidR="00AC392D" w:rsidRDefault="00AC392D" w:rsidP="00E457A0">
      <w:pPr>
        <w:rPr>
          <w:rFonts w:cs="Times New Roman"/>
          <w:u w:val="single"/>
        </w:rPr>
      </w:pPr>
    </w:p>
    <w:p w14:paraId="78B36579" w14:textId="1BA09026" w:rsidR="00B00512" w:rsidRDefault="00B00512" w:rsidP="00540233">
      <w:pPr>
        <w:rPr>
          <w:rFonts w:cs="Times New Roman"/>
        </w:rPr>
      </w:pPr>
      <w:r w:rsidRPr="00E44406">
        <w:rPr>
          <w:rFonts w:cs="Times New Roman"/>
        </w:rPr>
        <w:t xml:space="preserve">Po </w:t>
      </w:r>
      <w:proofErr w:type="spellStart"/>
      <w:r>
        <w:rPr>
          <w:rFonts w:cs="Times New Roman"/>
        </w:rPr>
        <w:t>cutaquig</w:t>
      </w:r>
      <w:proofErr w:type="spellEnd"/>
      <w:r w:rsidRPr="00E44406">
        <w:rPr>
          <w:rFonts w:cs="Times New Roman"/>
        </w:rPr>
        <w:t xml:space="preserve"> registracijos vartojant </w:t>
      </w:r>
      <w:r w:rsidR="00E260B5">
        <w:rPr>
          <w:rFonts w:cs="Times New Roman"/>
        </w:rPr>
        <w:t>vaistin</w:t>
      </w:r>
      <w:r w:rsidR="007360F5">
        <w:rPr>
          <w:rFonts w:cs="Times New Roman"/>
        </w:rPr>
        <w:t>io</w:t>
      </w:r>
      <w:r w:rsidR="00E260B5">
        <w:rPr>
          <w:rFonts w:cs="Times New Roman"/>
        </w:rPr>
        <w:t xml:space="preserve"> </w:t>
      </w:r>
      <w:r w:rsidRPr="00E44406">
        <w:rPr>
          <w:rFonts w:cs="Times New Roman"/>
        </w:rPr>
        <w:t>preparat</w:t>
      </w:r>
      <w:r w:rsidR="007360F5">
        <w:rPr>
          <w:rFonts w:cs="Times New Roman"/>
        </w:rPr>
        <w:t>o</w:t>
      </w:r>
      <w:r w:rsidRPr="00E44406">
        <w:rPr>
          <w:rFonts w:cs="Times New Roman"/>
        </w:rPr>
        <w:t xml:space="preserve"> buvo užregistruotos toliau išvardytos nepageidaujamos reakcijos. Kadangi apie šias nepageidaujamas reakcijas praneš</w:t>
      </w:r>
      <w:r w:rsidR="00E260B5">
        <w:rPr>
          <w:rFonts w:cs="Times New Roman"/>
        </w:rPr>
        <w:t>ta</w:t>
      </w:r>
      <w:r w:rsidRPr="00E44406">
        <w:rPr>
          <w:rFonts w:cs="Times New Roman"/>
        </w:rPr>
        <w:t xml:space="preserve"> savanoriškai ir jos registruo</w:t>
      </w:r>
      <w:r w:rsidR="00E260B5">
        <w:rPr>
          <w:rFonts w:cs="Times New Roman"/>
        </w:rPr>
        <w:t>tos</w:t>
      </w:r>
      <w:r w:rsidRPr="00E44406">
        <w:rPr>
          <w:rFonts w:cs="Times New Roman"/>
        </w:rPr>
        <w:t xml:space="preserve"> nežinomo dydžio populiacijoje, ne visada įmanoma patikimai apskaičiuoti jų dažnį ar nustatyti priežastinį ryšį su vaist</w:t>
      </w:r>
      <w:r w:rsidR="002722A4">
        <w:rPr>
          <w:rFonts w:cs="Times New Roman"/>
        </w:rPr>
        <w:t>ini</w:t>
      </w:r>
      <w:r w:rsidRPr="00E44406">
        <w:rPr>
          <w:rFonts w:cs="Times New Roman"/>
        </w:rPr>
        <w:t xml:space="preserve">o </w:t>
      </w:r>
      <w:r w:rsidR="002722A4">
        <w:rPr>
          <w:rFonts w:cs="Times New Roman"/>
        </w:rPr>
        <w:t xml:space="preserve">preparato </w:t>
      </w:r>
      <w:r w:rsidR="007360F5">
        <w:rPr>
          <w:rFonts w:cs="Times New Roman"/>
        </w:rPr>
        <w:t>ekspozicija</w:t>
      </w:r>
      <w:r w:rsidRPr="00E44406">
        <w:rPr>
          <w:rFonts w:cs="Times New Roman"/>
        </w:rPr>
        <w:t>.</w:t>
      </w:r>
    </w:p>
    <w:p w14:paraId="4ACF8639" w14:textId="7D9AD796" w:rsidR="00B53195" w:rsidRPr="00540233" w:rsidRDefault="00B53195" w:rsidP="00540233">
      <w:pPr>
        <w:rPr>
          <w:rFonts w:cs="Times New Roman"/>
          <w:u w:val="single"/>
        </w:rPr>
      </w:pPr>
      <w:r>
        <w:rPr>
          <w:rFonts w:cs="Times New Roman"/>
        </w:rPr>
        <w:t xml:space="preserve">Į šį sąrašą neįtrauktos reakcijos, apie kurias jau buvo pranešta atliekant </w:t>
      </w:r>
      <w:proofErr w:type="spellStart"/>
      <w:r>
        <w:rPr>
          <w:rFonts w:cs="Times New Roman"/>
        </w:rPr>
        <w:t>cutaquig</w:t>
      </w:r>
      <w:proofErr w:type="spellEnd"/>
      <w:r>
        <w:rPr>
          <w:rFonts w:cs="Times New Roman"/>
        </w:rPr>
        <w:t xml:space="preserve"> klinikinius tyrimus</w:t>
      </w:r>
      <w:r w:rsidR="00FB4F03">
        <w:rPr>
          <w:rFonts w:cs="Times New Roman"/>
        </w:rPr>
        <w:t>:</w:t>
      </w:r>
    </w:p>
    <w:p w14:paraId="1548D290" w14:textId="77777777" w:rsidR="00B00512" w:rsidRPr="0001139B" w:rsidRDefault="00B00512" w:rsidP="00B00512">
      <w:pPr>
        <w:rPr>
          <w:rFonts w:cs="Times New Roman"/>
          <w:u w:val="single"/>
        </w:rPr>
      </w:pPr>
    </w:p>
    <w:tbl>
      <w:tblPr>
        <w:tblW w:w="36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8"/>
        <w:gridCol w:w="2812"/>
      </w:tblGrid>
      <w:tr w:rsidR="003E75D0" w:rsidRPr="004A3A45" w14:paraId="6D20AAB1" w14:textId="77777777" w:rsidTr="00FB4F03">
        <w:tc>
          <w:tcPr>
            <w:tcW w:w="3828" w:type="dxa"/>
          </w:tcPr>
          <w:p w14:paraId="25C29EAE" w14:textId="1034101B" w:rsidR="00B00512" w:rsidRPr="0080768A" w:rsidRDefault="00B00512" w:rsidP="00FB4F03">
            <w:pPr>
              <w:spacing w:before="60" w:after="60"/>
              <w:ind w:left="156"/>
              <w:rPr>
                <w:rFonts w:eastAsia="Times New Roman" w:cs="Times New Roman"/>
                <w:b/>
                <w:lang w:eastAsia="de-DE"/>
              </w:rPr>
            </w:pPr>
            <w:proofErr w:type="spellStart"/>
            <w:r w:rsidRPr="0080768A">
              <w:rPr>
                <w:rFonts w:eastAsia="Times New Roman" w:cs="Times New Roman"/>
                <w:b/>
                <w:lang w:eastAsia="de-DE"/>
              </w:rPr>
              <w:t>MedDRA</w:t>
            </w:r>
            <w:proofErr w:type="spellEnd"/>
            <w:r w:rsidRPr="0080768A">
              <w:rPr>
                <w:rFonts w:eastAsia="Times New Roman" w:cs="Times New Roman"/>
                <w:b/>
                <w:lang w:eastAsia="de-DE"/>
              </w:rPr>
              <w:t xml:space="preserve"> </w:t>
            </w:r>
            <w:r w:rsidRPr="0001139B">
              <w:rPr>
                <w:rFonts w:eastAsia="Times New Roman" w:cs="Times New Roman"/>
                <w:b/>
                <w:lang w:eastAsia="de-DE"/>
              </w:rPr>
              <w:t>organų sistemų klasė</w:t>
            </w:r>
            <w:r w:rsidRPr="0080768A">
              <w:rPr>
                <w:rFonts w:eastAsia="Times New Roman" w:cs="Times New Roman"/>
                <w:b/>
                <w:lang w:eastAsia="de-DE"/>
              </w:rPr>
              <w:t xml:space="preserve"> </w:t>
            </w:r>
            <w:r w:rsidRPr="0001139B">
              <w:rPr>
                <w:rFonts w:eastAsia="Times New Roman" w:cs="Times New Roman"/>
                <w:b/>
                <w:lang w:eastAsia="de-DE"/>
              </w:rPr>
              <w:t>(OSK</w:t>
            </w:r>
            <w:r w:rsidRPr="0080768A">
              <w:rPr>
                <w:rFonts w:eastAsia="Times New Roman" w:cs="Times New Roman"/>
                <w:b/>
                <w:lang w:eastAsia="de-DE"/>
              </w:rPr>
              <w:t>)</w:t>
            </w:r>
          </w:p>
        </w:tc>
        <w:tc>
          <w:tcPr>
            <w:tcW w:w="2812" w:type="dxa"/>
          </w:tcPr>
          <w:p w14:paraId="364E2DD0" w14:textId="77777777" w:rsidR="00B00512" w:rsidRPr="0080768A" w:rsidRDefault="00B00512" w:rsidP="00FB4F03">
            <w:pPr>
              <w:spacing w:before="60" w:after="60"/>
              <w:ind w:left="156"/>
              <w:rPr>
                <w:rFonts w:eastAsia="Times New Roman" w:cs="Times New Roman"/>
                <w:b/>
                <w:lang w:eastAsia="de-DE"/>
              </w:rPr>
            </w:pPr>
            <w:r w:rsidRPr="0001139B">
              <w:rPr>
                <w:rFonts w:eastAsia="Times New Roman" w:cs="Times New Roman"/>
                <w:b/>
                <w:lang w:eastAsia="de-DE"/>
              </w:rPr>
              <w:t>Nepageidaujama reakcija (NR)</w:t>
            </w:r>
          </w:p>
        </w:tc>
      </w:tr>
      <w:tr w:rsidR="00B53195" w:rsidRPr="004A3A45" w14:paraId="00322EDA" w14:textId="77777777" w:rsidTr="00FB4F03">
        <w:tc>
          <w:tcPr>
            <w:tcW w:w="3828" w:type="dxa"/>
          </w:tcPr>
          <w:p w14:paraId="4D163683" w14:textId="2321E736" w:rsidR="00B53195" w:rsidRPr="0001139B" w:rsidRDefault="00B53195" w:rsidP="00FB4F03">
            <w:pPr>
              <w:spacing w:before="60" w:after="60"/>
              <w:ind w:left="156"/>
              <w:rPr>
                <w:rFonts w:eastAsia="Times New Roman" w:cs="Times New Roman"/>
                <w:lang w:eastAsia="de-DE"/>
              </w:rPr>
            </w:pPr>
            <w:r>
              <w:rPr>
                <w:rFonts w:eastAsia="Times New Roman" w:cs="Times New Roman"/>
                <w:lang w:eastAsia="de-DE"/>
              </w:rPr>
              <w:t>Imuninės sistemos sutrikimai</w:t>
            </w:r>
          </w:p>
        </w:tc>
        <w:tc>
          <w:tcPr>
            <w:tcW w:w="2812" w:type="dxa"/>
          </w:tcPr>
          <w:p w14:paraId="683624E4" w14:textId="566A853C" w:rsidR="00B53195" w:rsidRPr="0001139B" w:rsidRDefault="006A0A06" w:rsidP="00FB4F03">
            <w:pPr>
              <w:spacing w:before="60" w:after="60"/>
              <w:ind w:left="156"/>
              <w:rPr>
                <w:rFonts w:eastAsia="Times New Roman" w:cs="Times New Roman"/>
                <w:bCs/>
                <w:lang w:eastAsia="de-DE"/>
              </w:rPr>
            </w:pPr>
            <w:r>
              <w:rPr>
                <w:rFonts w:eastAsia="Times New Roman" w:cs="Times New Roman"/>
                <w:bCs/>
                <w:lang w:eastAsia="de-DE"/>
              </w:rPr>
              <w:t xml:space="preserve">Padidėjęs jautrumas (pvz., </w:t>
            </w:r>
            <w:proofErr w:type="spellStart"/>
            <w:r>
              <w:rPr>
                <w:rFonts w:eastAsia="Times New Roman" w:cs="Times New Roman"/>
                <w:bCs/>
                <w:lang w:eastAsia="de-DE"/>
              </w:rPr>
              <w:t>eritema</w:t>
            </w:r>
            <w:proofErr w:type="spellEnd"/>
            <w:r>
              <w:rPr>
                <w:rFonts w:eastAsia="Times New Roman" w:cs="Times New Roman"/>
                <w:bCs/>
                <w:lang w:eastAsia="de-DE"/>
              </w:rPr>
              <w:t xml:space="preserve"> </w:t>
            </w:r>
            <w:r w:rsidR="00D66922">
              <w:rPr>
                <w:rFonts w:eastAsia="Times New Roman" w:cs="Times New Roman"/>
                <w:bCs/>
                <w:lang w:eastAsia="de-DE"/>
              </w:rPr>
              <w:t>[</w:t>
            </w:r>
            <w:r>
              <w:rPr>
                <w:rFonts w:eastAsia="Times New Roman" w:cs="Times New Roman"/>
                <w:bCs/>
                <w:lang w:eastAsia="de-DE"/>
              </w:rPr>
              <w:t>raudonė</w:t>
            </w:r>
            <w:r w:rsidR="00D66922">
              <w:rPr>
                <w:rFonts w:eastAsia="Times New Roman" w:cs="Times New Roman"/>
                <w:bCs/>
                <w:lang w:eastAsia="de-DE"/>
              </w:rPr>
              <w:t>]</w:t>
            </w:r>
            <w:r>
              <w:rPr>
                <w:rFonts w:eastAsia="Times New Roman" w:cs="Times New Roman"/>
                <w:bCs/>
                <w:lang w:eastAsia="de-DE"/>
              </w:rPr>
              <w:t>, dilgėlinė)</w:t>
            </w:r>
          </w:p>
        </w:tc>
      </w:tr>
      <w:tr w:rsidR="00B53195" w:rsidRPr="004A3A45" w14:paraId="6BDBF9A6" w14:textId="77777777" w:rsidTr="00FB4F03">
        <w:tc>
          <w:tcPr>
            <w:tcW w:w="3828" w:type="dxa"/>
          </w:tcPr>
          <w:p w14:paraId="3C8DDD29" w14:textId="5965EC95" w:rsidR="00B53195" w:rsidRPr="0001139B" w:rsidRDefault="00B53195" w:rsidP="00FB4F03">
            <w:pPr>
              <w:spacing w:before="60" w:after="60"/>
              <w:ind w:left="156"/>
              <w:rPr>
                <w:rFonts w:eastAsia="Times New Roman" w:cs="Times New Roman"/>
                <w:lang w:eastAsia="de-DE"/>
              </w:rPr>
            </w:pPr>
            <w:r>
              <w:rPr>
                <w:rFonts w:eastAsia="Times New Roman" w:cs="Times New Roman"/>
                <w:lang w:eastAsia="de-DE"/>
              </w:rPr>
              <w:t>Kraujagyslių sutrikimai</w:t>
            </w:r>
          </w:p>
        </w:tc>
        <w:tc>
          <w:tcPr>
            <w:tcW w:w="2812" w:type="dxa"/>
          </w:tcPr>
          <w:p w14:paraId="296A3E12" w14:textId="68A988B2" w:rsidR="00B53195" w:rsidRPr="0001139B" w:rsidRDefault="006A0A06" w:rsidP="00FB4F03">
            <w:pPr>
              <w:spacing w:before="60" w:after="60"/>
              <w:ind w:left="156"/>
              <w:rPr>
                <w:rFonts w:eastAsia="Times New Roman" w:cs="Times New Roman"/>
                <w:bCs/>
                <w:lang w:eastAsia="de-DE"/>
              </w:rPr>
            </w:pPr>
            <w:r>
              <w:rPr>
                <w:rFonts w:eastAsia="Times New Roman" w:cs="Times New Roman"/>
                <w:bCs/>
                <w:lang w:eastAsia="de-DE"/>
              </w:rPr>
              <w:t xml:space="preserve">Tromboembolija, trombozė (pvz., giliųjų venų trombozė, </w:t>
            </w:r>
            <w:proofErr w:type="spellStart"/>
            <w:r>
              <w:rPr>
                <w:rFonts w:eastAsia="Times New Roman" w:cs="Times New Roman"/>
                <w:bCs/>
                <w:lang w:eastAsia="de-DE"/>
              </w:rPr>
              <w:t>cerebrovaskulinis</w:t>
            </w:r>
            <w:proofErr w:type="spellEnd"/>
            <w:r>
              <w:rPr>
                <w:rFonts w:eastAsia="Times New Roman" w:cs="Times New Roman"/>
                <w:bCs/>
                <w:lang w:eastAsia="de-DE"/>
              </w:rPr>
              <w:t xml:space="preserve"> </w:t>
            </w:r>
            <w:r w:rsidR="00D66922">
              <w:rPr>
                <w:rFonts w:eastAsia="Times New Roman" w:cs="Times New Roman"/>
                <w:bCs/>
                <w:lang w:eastAsia="de-DE"/>
              </w:rPr>
              <w:t>[</w:t>
            </w:r>
            <w:r>
              <w:rPr>
                <w:rFonts w:eastAsia="Times New Roman" w:cs="Times New Roman"/>
                <w:bCs/>
                <w:lang w:eastAsia="de-DE"/>
              </w:rPr>
              <w:t>smegenų kraujagyslių</w:t>
            </w:r>
            <w:r w:rsidR="00D66922">
              <w:rPr>
                <w:rFonts w:eastAsia="Times New Roman" w:cs="Times New Roman"/>
                <w:bCs/>
                <w:lang w:eastAsia="de-DE"/>
              </w:rPr>
              <w:t>]</w:t>
            </w:r>
            <w:r>
              <w:rPr>
                <w:rFonts w:eastAsia="Times New Roman" w:cs="Times New Roman"/>
                <w:bCs/>
                <w:lang w:eastAsia="de-DE"/>
              </w:rPr>
              <w:t xml:space="preserve"> įvykis), hipertenzija</w:t>
            </w:r>
          </w:p>
        </w:tc>
      </w:tr>
      <w:tr w:rsidR="003E75D0" w:rsidRPr="004A3A45" w14:paraId="5EEC972D" w14:textId="77777777" w:rsidTr="00FB4F03">
        <w:tc>
          <w:tcPr>
            <w:tcW w:w="3828" w:type="dxa"/>
          </w:tcPr>
          <w:p w14:paraId="582BAD72" w14:textId="77777777" w:rsidR="00B00512" w:rsidRPr="0080768A" w:rsidRDefault="00B00512" w:rsidP="00FB4F03">
            <w:pPr>
              <w:spacing w:before="60" w:after="60"/>
              <w:ind w:left="156"/>
              <w:rPr>
                <w:rFonts w:eastAsia="Times New Roman" w:cs="Times New Roman"/>
                <w:lang w:eastAsia="de-DE"/>
              </w:rPr>
            </w:pPr>
            <w:r w:rsidRPr="0001139B">
              <w:rPr>
                <w:rFonts w:eastAsia="Times New Roman" w:cs="Times New Roman"/>
                <w:lang w:eastAsia="de-DE"/>
              </w:rPr>
              <w:lastRenderedPageBreak/>
              <w:t>Odos ir poodinio audinio sutrikimai</w:t>
            </w:r>
          </w:p>
        </w:tc>
        <w:tc>
          <w:tcPr>
            <w:tcW w:w="2812" w:type="dxa"/>
          </w:tcPr>
          <w:p w14:paraId="1EA9E4A7" w14:textId="28B52574" w:rsidR="00B00512" w:rsidRPr="0080768A" w:rsidRDefault="00B00512" w:rsidP="00FB4F03">
            <w:pPr>
              <w:spacing w:before="60" w:after="60"/>
              <w:ind w:left="156"/>
              <w:rPr>
                <w:rFonts w:eastAsia="Times New Roman" w:cs="Times New Roman"/>
                <w:bCs/>
                <w:lang w:eastAsia="de-DE"/>
              </w:rPr>
            </w:pPr>
            <w:r w:rsidRPr="0001139B">
              <w:rPr>
                <w:rFonts w:eastAsia="Times New Roman" w:cs="Times New Roman"/>
                <w:bCs/>
                <w:lang w:eastAsia="de-DE"/>
              </w:rPr>
              <w:t>Niež</w:t>
            </w:r>
            <w:r w:rsidR="007A3C3D">
              <w:rPr>
                <w:rFonts w:eastAsia="Times New Roman" w:cs="Times New Roman"/>
                <w:bCs/>
                <w:lang w:eastAsia="de-DE"/>
              </w:rPr>
              <w:t>ėjimas</w:t>
            </w:r>
          </w:p>
        </w:tc>
      </w:tr>
      <w:tr w:rsidR="009C50A7" w:rsidRPr="004A3A45" w14:paraId="5CACF7DA" w14:textId="77777777" w:rsidTr="00FB4F03">
        <w:tc>
          <w:tcPr>
            <w:tcW w:w="3828" w:type="dxa"/>
          </w:tcPr>
          <w:p w14:paraId="07CBD438" w14:textId="43FE9C62" w:rsidR="009C50A7" w:rsidRPr="0001139B" w:rsidRDefault="009C50A7" w:rsidP="00FB4F03">
            <w:pPr>
              <w:spacing w:before="60" w:after="60"/>
              <w:ind w:left="156"/>
              <w:rPr>
                <w:rFonts w:eastAsia="Times New Roman" w:cs="Times New Roman"/>
                <w:lang w:eastAsia="de-DE"/>
              </w:rPr>
            </w:pPr>
            <w:r>
              <w:rPr>
                <w:rFonts w:eastAsia="Times New Roman" w:cs="Times New Roman"/>
                <w:lang w:eastAsia="de-DE"/>
              </w:rPr>
              <w:t>Skeleto, raumenų ir jungiamojo audinio sutrikimai</w:t>
            </w:r>
          </w:p>
        </w:tc>
        <w:tc>
          <w:tcPr>
            <w:tcW w:w="2812" w:type="dxa"/>
          </w:tcPr>
          <w:p w14:paraId="31992F01" w14:textId="2E3B5574" w:rsidR="009C50A7" w:rsidRPr="0001139B" w:rsidRDefault="009C50A7" w:rsidP="00FB4F03">
            <w:pPr>
              <w:spacing w:before="60" w:after="60"/>
              <w:ind w:left="156"/>
              <w:rPr>
                <w:rFonts w:eastAsia="Times New Roman" w:cs="Times New Roman"/>
                <w:bCs/>
                <w:lang w:eastAsia="de-DE"/>
              </w:rPr>
            </w:pPr>
            <w:r>
              <w:rPr>
                <w:rFonts w:eastAsia="Times New Roman" w:cs="Times New Roman"/>
                <w:bCs/>
                <w:lang w:eastAsia="de-DE"/>
              </w:rPr>
              <w:t>Nugaros skausmas</w:t>
            </w:r>
          </w:p>
        </w:tc>
      </w:tr>
    </w:tbl>
    <w:p w14:paraId="566B2C0B" w14:textId="77777777" w:rsidR="00B00512" w:rsidRPr="00E457A0" w:rsidRDefault="00B00512" w:rsidP="00E457A0">
      <w:pPr>
        <w:rPr>
          <w:rFonts w:cs="Times New Roman"/>
          <w:u w:val="single"/>
        </w:rPr>
      </w:pPr>
    </w:p>
    <w:p w14:paraId="4E06A37E" w14:textId="38FCC59C" w:rsidR="002E365B" w:rsidRPr="00514E81" w:rsidRDefault="006B268E" w:rsidP="002E365B">
      <w:pPr>
        <w:autoSpaceDE w:val="0"/>
        <w:autoSpaceDN w:val="0"/>
        <w:adjustRightInd w:val="0"/>
        <w:rPr>
          <w:rFonts w:cs="Times New Roman"/>
          <w:color w:val="000000"/>
        </w:rPr>
      </w:pPr>
      <w:r>
        <w:rPr>
          <w:rFonts w:cs="Times New Roman"/>
          <w:color w:val="000000"/>
        </w:rPr>
        <w:t>Vartojant po oda leidžiam</w:t>
      </w:r>
      <w:r w:rsidR="00C00D96">
        <w:rPr>
          <w:rFonts w:cs="Times New Roman"/>
          <w:color w:val="000000"/>
        </w:rPr>
        <w:t>ų</w:t>
      </w:r>
      <w:r>
        <w:rPr>
          <w:rFonts w:cs="Times New Roman"/>
          <w:color w:val="000000"/>
        </w:rPr>
        <w:t xml:space="preserve"> </w:t>
      </w:r>
      <w:r w:rsidR="002E365B" w:rsidRPr="00514E81">
        <w:rPr>
          <w:rFonts w:cs="Times New Roman"/>
          <w:color w:val="000000"/>
        </w:rPr>
        <w:t>imunoglobulin</w:t>
      </w:r>
      <w:r>
        <w:rPr>
          <w:rFonts w:cs="Times New Roman"/>
          <w:color w:val="000000"/>
        </w:rPr>
        <w:t>ų vaistini</w:t>
      </w:r>
      <w:r w:rsidR="00C00D96">
        <w:rPr>
          <w:rFonts w:cs="Times New Roman"/>
          <w:color w:val="000000"/>
        </w:rPr>
        <w:t>ų</w:t>
      </w:r>
      <w:r>
        <w:rPr>
          <w:rFonts w:cs="Times New Roman"/>
          <w:color w:val="000000"/>
        </w:rPr>
        <w:t xml:space="preserve"> preparat</w:t>
      </w:r>
      <w:r w:rsidR="00C00D96">
        <w:rPr>
          <w:rFonts w:cs="Times New Roman"/>
          <w:color w:val="000000"/>
        </w:rPr>
        <w:t>ų</w:t>
      </w:r>
      <w:r>
        <w:rPr>
          <w:rFonts w:cs="Times New Roman"/>
          <w:color w:val="000000"/>
        </w:rPr>
        <w:t xml:space="preserve"> </w:t>
      </w:r>
      <w:r w:rsidR="002E365B" w:rsidRPr="00514E81">
        <w:rPr>
          <w:rFonts w:cs="Times New Roman"/>
          <w:color w:val="000000"/>
        </w:rPr>
        <w:t xml:space="preserve">po jų </w:t>
      </w:r>
      <w:r>
        <w:rPr>
          <w:rFonts w:cs="Times New Roman"/>
          <w:color w:val="000000"/>
        </w:rPr>
        <w:t>registracijos</w:t>
      </w:r>
      <w:r w:rsidR="002E365B" w:rsidRPr="00514E81">
        <w:rPr>
          <w:rFonts w:cs="Times New Roman"/>
          <w:color w:val="000000"/>
        </w:rPr>
        <w:t xml:space="preserve"> </w:t>
      </w:r>
      <w:r>
        <w:rPr>
          <w:rFonts w:cs="Times New Roman"/>
          <w:color w:val="000000"/>
        </w:rPr>
        <w:t xml:space="preserve">papildomai </w:t>
      </w:r>
      <w:r w:rsidR="002E365B" w:rsidRPr="00514E81">
        <w:rPr>
          <w:rFonts w:cs="Times New Roman"/>
          <w:color w:val="000000"/>
        </w:rPr>
        <w:t xml:space="preserve">buvo nustatytos toliau išvardytos nepageidaujamos reakcijos: veido edema, </w:t>
      </w:r>
      <w:r w:rsidR="00C00D96">
        <w:rPr>
          <w:rFonts w:cs="Times New Roman"/>
          <w:color w:val="000000"/>
        </w:rPr>
        <w:t>tremoras</w:t>
      </w:r>
      <w:r w:rsidR="002E365B" w:rsidRPr="00514E81">
        <w:rPr>
          <w:rFonts w:cs="Times New Roman"/>
          <w:color w:val="000000"/>
        </w:rPr>
        <w:t xml:space="preserve">, išbalimas, bronchų spazmas, </w:t>
      </w:r>
      <w:proofErr w:type="spellStart"/>
      <w:r w:rsidR="002E365B" w:rsidRPr="00514E81">
        <w:rPr>
          <w:rFonts w:cs="Times New Roman"/>
          <w:color w:val="000000"/>
        </w:rPr>
        <w:t>dispnėja</w:t>
      </w:r>
      <w:proofErr w:type="spellEnd"/>
      <w:r w:rsidR="002E365B" w:rsidRPr="00514E81">
        <w:rPr>
          <w:rFonts w:cs="Times New Roman"/>
          <w:color w:val="000000"/>
        </w:rPr>
        <w:t xml:space="preserve">, kosulys, viduriavimas, paraudimas, karščio pojūtis, šalčio pojūtis, </w:t>
      </w:r>
      <w:proofErr w:type="spellStart"/>
      <w:r w:rsidR="00BA4D57" w:rsidRPr="00514E81">
        <w:rPr>
          <w:rFonts w:cs="Times New Roman"/>
          <w:color w:val="000000"/>
        </w:rPr>
        <w:t>astenija</w:t>
      </w:r>
      <w:proofErr w:type="spellEnd"/>
      <w:r w:rsidR="002E365B" w:rsidRPr="00514E81">
        <w:rPr>
          <w:rFonts w:cs="Times New Roman"/>
          <w:color w:val="000000"/>
        </w:rPr>
        <w:t xml:space="preserve">, </w:t>
      </w:r>
      <w:r w:rsidR="00BA4D57" w:rsidRPr="00514E81">
        <w:rPr>
          <w:rFonts w:cs="Times New Roman"/>
          <w:color w:val="000000"/>
        </w:rPr>
        <w:t>skausmas injekcijos vietoje</w:t>
      </w:r>
      <w:r w:rsidR="002E365B" w:rsidRPr="00514E81">
        <w:rPr>
          <w:rFonts w:cs="Times New Roman"/>
          <w:color w:val="000000"/>
        </w:rPr>
        <w:t>,</w:t>
      </w:r>
      <w:r w:rsidR="00BA4D57" w:rsidRPr="00514E81">
        <w:rPr>
          <w:rFonts w:cs="Times New Roman"/>
          <w:color w:val="000000"/>
        </w:rPr>
        <w:t xml:space="preserve"> gerklės skausmas</w:t>
      </w:r>
      <w:r w:rsidR="002E365B" w:rsidRPr="00514E81">
        <w:rPr>
          <w:rFonts w:cs="Times New Roman"/>
          <w:color w:val="000000"/>
        </w:rPr>
        <w:t xml:space="preserve">, </w:t>
      </w:r>
      <w:proofErr w:type="spellStart"/>
      <w:r w:rsidR="002E365B" w:rsidRPr="00514E81">
        <w:rPr>
          <w:rFonts w:cs="Times New Roman"/>
          <w:color w:val="000000"/>
        </w:rPr>
        <w:t>asepti</w:t>
      </w:r>
      <w:r w:rsidR="00BA4D57" w:rsidRPr="00514E81">
        <w:rPr>
          <w:rFonts w:cs="Times New Roman"/>
          <w:color w:val="000000"/>
        </w:rPr>
        <w:t>nis</w:t>
      </w:r>
      <w:proofErr w:type="spellEnd"/>
      <w:r w:rsidR="00BA4D57" w:rsidRPr="00514E81">
        <w:rPr>
          <w:rFonts w:cs="Times New Roman"/>
          <w:color w:val="000000"/>
        </w:rPr>
        <w:t xml:space="preserve"> meningitas</w:t>
      </w:r>
      <w:r w:rsidR="002E365B" w:rsidRPr="00514E81">
        <w:rPr>
          <w:rFonts w:cs="Times New Roman"/>
          <w:color w:val="000000"/>
        </w:rPr>
        <w:t>.</w:t>
      </w:r>
    </w:p>
    <w:p w14:paraId="7D0B2815" w14:textId="77777777" w:rsidR="0024703E" w:rsidRDefault="0024703E" w:rsidP="00E457A0">
      <w:pPr>
        <w:keepNext/>
        <w:rPr>
          <w:rFonts w:cs="Times New Roman"/>
          <w:u w:val="single"/>
        </w:rPr>
      </w:pPr>
    </w:p>
    <w:p w14:paraId="300DA058" w14:textId="77777777" w:rsidR="00FD7C97" w:rsidRPr="00CE6E5F" w:rsidRDefault="00FD7C97" w:rsidP="00E457A0">
      <w:pPr>
        <w:keepNext/>
        <w:rPr>
          <w:rFonts w:cs="Times New Roman"/>
          <w:u w:val="single"/>
        </w:rPr>
      </w:pPr>
      <w:r w:rsidRPr="00CE6E5F">
        <w:rPr>
          <w:rFonts w:cs="Times New Roman"/>
          <w:u w:val="single"/>
        </w:rPr>
        <w:t>Vaikų populiacija</w:t>
      </w:r>
    </w:p>
    <w:p w14:paraId="15CD2D68" w14:textId="77777777" w:rsidR="00FD7C97" w:rsidRPr="00CE6E5F" w:rsidRDefault="00FD7C97" w:rsidP="00E457A0">
      <w:pPr>
        <w:rPr>
          <w:rFonts w:cs="Times New Roman"/>
        </w:rPr>
      </w:pPr>
      <w:r w:rsidRPr="00CE6E5F">
        <w:rPr>
          <w:rFonts w:cs="Times New Roman"/>
        </w:rPr>
        <w:t>Manoma, kad nepageidaujamų reakcijų dažnis, pobūdis ir sunkumas vaikams yra toks pats kaip suaugusiesiems.</w:t>
      </w:r>
    </w:p>
    <w:p w14:paraId="7B53B5A9" w14:textId="77777777" w:rsidR="003169D1" w:rsidRPr="00E457A0" w:rsidRDefault="003169D1" w:rsidP="00E457A0">
      <w:pPr>
        <w:rPr>
          <w:rFonts w:cs="Times New Roman"/>
        </w:rPr>
      </w:pPr>
    </w:p>
    <w:p w14:paraId="556D0E27" w14:textId="77777777" w:rsidR="00FD7C97" w:rsidRPr="00091F91" w:rsidRDefault="00FD7C97" w:rsidP="00E457A0">
      <w:pPr>
        <w:keepNext/>
        <w:rPr>
          <w:rFonts w:cs="Times New Roman"/>
          <w:u w:val="single"/>
        </w:rPr>
      </w:pPr>
      <w:r w:rsidRPr="00CE6E5F">
        <w:rPr>
          <w:rFonts w:cs="Times New Roman"/>
          <w:u w:val="single"/>
        </w:rPr>
        <w:t>Pranešimas apie įtariamas nepageidaujamas reakcijas</w:t>
      </w:r>
    </w:p>
    <w:p w14:paraId="53C4CE73" w14:textId="4BC55A8E" w:rsidR="00211D03" w:rsidRPr="005D554B" w:rsidRDefault="00C8263D" w:rsidP="00BE26AF">
      <w:pPr>
        <w:tabs>
          <w:tab w:val="left" w:pos="567"/>
        </w:tabs>
        <w:autoSpaceDE w:val="0"/>
        <w:autoSpaceDN w:val="0"/>
        <w:adjustRightInd w:val="0"/>
        <w:rPr>
          <w:noProof/>
          <w:snapToGrid w:val="0"/>
          <w:szCs w:val="24"/>
        </w:rPr>
      </w:pPr>
      <w:r w:rsidRPr="00CE6E5F">
        <w:rPr>
          <w:rFonts w:cs="Times New Roman"/>
        </w:rPr>
        <w:t xml:space="preserve">Svarbu pranešti apie įtariamas nepageidaujamas reakcijas, pastebėtas po vaistinio preparato registracijos, nes tai leidžia nuolat stebėti vaistinio preparato naudos ir rizikos santykį. </w:t>
      </w:r>
      <w:r w:rsidR="00211D03" w:rsidRPr="00DA084F">
        <w:rPr>
          <w:noProof/>
          <w:snapToGrid w:val="0"/>
          <w:szCs w:val="24"/>
        </w:rPr>
        <w:t xml:space="preserve">Sveikatos priežiūros ar farmacijos specialistai turi pranešti apie bet kokias įtariamas nepageidaujamas reakcijas, </w:t>
      </w:r>
      <w:r w:rsidR="00706C34" w:rsidRPr="00276F16">
        <w:rPr>
          <w:rFonts w:eastAsia="Times New Roman"/>
          <w:snapToGrid w:val="0"/>
        </w:rPr>
        <w:t>užpildę ir pateikę pranešimo formą Valstybinės vaistų kontrolės tarnybos prie Lietuvos Respublikos sveikatos apsaugos ministerijos tinklalapyje https://vvkt.lrv.lt/lt/ nurodytais būdais</w:t>
      </w:r>
      <w:r w:rsidR="00211D03" w:rsidRPr="00DA084F">
        <w:rPr>
          <w:noProof/>
          <w:snapToGrid w:val="0"/>
          <w:szCs w:val="24"/>
        </w:rPr>
        <w:t>.</w:t>
      </w:r>
    </w:p>
    <w:p w14:paraId="4030FB47" w14:textId="77777777" w:rsidR="00211D03" w:rsidRPr="00CE6E5F" w:rsidRDefault="00211D03" w:rsidP="00211D03">
      <w:pPr>
        <w:rPr>
          <w:rFonts w:cs="Times New Roman"/>
        </w:rPr>
      </w:pPr>
    </w:p>
    <w:p w14:paraId="3224A30B" w14:textId="77777777" w:rsidR="003169D1" w:rsidRPr="00CE6E5F" w:rsidRDefault="003169D1">
      <w:pPr>
        <w:rPr>
          <w:rFonts w:cs="Times New Roman"/>
        </w:rPr>
      </w:pPr>
    </w:p>
    <w:p w14:paraId="428FA514" w14:textId="77777777" w:rsidR="00FD7C97" w:rsidRPr="00CE6E5F" w:rsidRDefault="00FD7C97" w:rsidP="00CE6E5F">
      <w:pPr>
        <w:pStyle w:val="Antrat2"/>
      </w:pPr>
      <w:r w:rsidRPr="00CE6E5F">
        <w:t>4.9</w:t>
      </w:r>
      <w:r w:rsidRPr="00CE6E5F">
        <w:tab/>
        <w:t>Perdozavimas</w:t>
      </w:r>
    </w:p>
    <w:p w14:paraId="1BBCC011" w14:textId="77777777" w:rsidR="003169D1" w:rsidRPr="00CE6E5F" w:rsidRDefault="003169D1">
      <w:pPr>
        <w:rPr>
          <w:rFonts w:cs="Times New Roman"/>
        </w:rPr>
      </w:pPr>
    </w:p>
    <w:p w14:paraId="332110D0" w14:textId="77777777" w:rsidR="00FD7C97" w:rsidRPr="00CE6E5F" w:rsidRDefault="00FD7C97">
      <w:pPr>
        <w:rPr>
          <w:rFonts w:cs="Times New Roman"/>
        </w:rPr>
      </w:pPr>
      <w:r w:rsidRPr="00CE6E5F">
        <w:rPr>
          <w:rFonts w:cs="Times New Roman"/>
        </w:rPr>
        <w:t>Perdozavimo padariniai nežinomi.</w:t>
      </w:r>
    </w:p>
    <w:p w14:paraId="168EBDBA" w14:textId="77777777" w:rsidR="003169D1" w:rsidRPr="00CE6E5F" w:rsidRDefault="003169D1">
      <w:pPr>
        <w:rPr>
          <w:rFonts w:cs="Times New Roman"/>
        </w:rPr>
      </w:pPr>
    </w:p>
    <w:p w14:paraId="7D114AF4" w14:textId="77777777" w:rsidR="003169D1" w:rsidRPr="00CE6E5F" w:rsidRDefault="003169D1">
      <w:pPr>
        <w:rPr>
          <w:rFonts w:cs="Times New Roman"/>
        </w:rPr>
      </w:pPr>
    </w:p>
    <w:p w14:paraId="1B75704C" w14:textId="77777777" w:rsidR="00FD7C97" w:rsidRPr="00CE6E5F" w:rsidRDefault="003169D1" w:rsidP="00CE6E5F">
      <w:pPr>
        <w:pStyle w:val="Antrat1"/>
      </w:pPr>
      <w:r w:rsidRPr="00CE6E5F">
        <w:t>5.</w:t>
      </w:r>
      <w:r w:rsidRPr="00CE6E5F">
        <w:tab/>
        <w:t>FARMAKOLOGINĖS SAVYBĖS</w:t>
      </w:r>
    </w:p>
    <w:p w14:paraId="0361DE9E" w14:textId="77777777" w:rsidR="003169D1" w:rsidRPr="00CE6E5F" w:rsidRDefault="003169D1">
      <w:pPr>
        <w:rPr>
          <w:rFonts w:cs="Times New Roman"/>
        </w:rPr>
      </w:pPr>
    </w:p>
    <w:p w14:paraId="5CA6000E" w14:textId="77777777" w:rsidR="00FD7C97" w:rsidRPr="00CE6E5F" w:rsidRDefault="003169D1" w:rsidP="00CE6E5F">
      <w:pPr>
        <w:pStyle w:val="Antrat2"/>
      </w:pPr>
      <w:r w:rsidRPr="00CE6E5F">
        <w:t>5.1</w:t>
      </w:r>
      <w:r w:rsidRPr="00CE6E5F">
        <w:tab/>
      </w:r>
      <w:proofErr w:type="spellStart"/>
      <w:r w:rsidRPr="00CE6E5F">
        <w:t>Farmakodinaminės</w:t>
      </w:r>
      <w:proofErr w:type="spellEnd"/>
      <w:r w:rsidRPr="00CE6E5F">
        <w:t xml:space="preserve"> savybės</w:t>
      </w:r>
    </w:p>
    <w:p w14:paraId="675CFCD0" w14:textId="77777777" w:rsidR="003169D1" w:rsidRPr="00CE6E5F" w:rsidRDefault="003169D1">
      <w:pPr>
        <w:rPr>
          <w:rFonts w:cs="Times New Roman"/>
        </w:rPr>
      </w:pPr>
    </w:p>
    <w:p w14:paraId="755BAEB2" w14:textId="25D156EC" w:rsidR="00FD7C97" w:rsidRPr="00CE6E5F" w:rsidRDefault="00FD7C97">
      <w:pPr>
        <w:rPr>
          <w:rFonts w:cs="Times New Roman"/>
        </w:rPr>
      </w:pPr>
      <w:proofErr w:type="spellStart"/>
      <w:r w:rsidRPr="00CE6E5F">
        <w:rPr>
          <w:rFonts w:cs="Times New Roman"/>
        </w:rPr>
        <w:t>Farmakoterapinė</w:t>
      </w:r>
      <w:proofErr w:type="spellEnd"/>
      <w:r w:rsidRPr="00CE6E5F">
        <w:rPr>
          <w:rFonts w:cs="Times New Roman"/>
        </w:rPr>
        <w:t xml:space="preserve"> grupė</w:t>
      </w:r>
      <w:r w:rsidR="00057364">
        <w:rPr>
          <w:rFonts w:cs="Times New Roman"/>
        </w:rPr>
        <w:t xml:space="preserve"> </w:t>
      </w:r>
      <w:r w:rsidRPr="00CE6E5F">
        <w:rPr>
          <w:rFonts w:cs="Times New Roman"/>
        </w:rPr>
        <w:t xml:space="preserve">– imuniniai serumai ir imunoglobulinai: </w:t>
      </w:r>
      <w:r w:rsidR="00101198">
        <w:rPr>
          <w:rFonts w:cs="Times New Roman"/>
        </w:rPr>
        <w:t>imunoglobulinai,</w:t>
      </w:r>
      <w:r w:rsidRPr="00CE6E5F">
        <w:rPr>
          <w:rFonts w:cs="Times New Roman"/>
        </w:rPr>
        <w:t xml:space="preserve"> žmogaus </w:t>
      </w:r>
      <w:r w:rsidR="00057364">
        <w:rPr>
          <w:rFonts w:cs="Times New Roman"/>
        </w:rPr>
        <w:t xml:space="preserve">normalieji </w:t>
      </w:r>
      <w:r w:rsidRPr="00CE6E5F">
        <w:rPr>
          <w:rFonts w:cs="Times New Roman"/>
        </w:rPr>
        <w:t xml:space="preserve">imunoglobulinai, skirti </w:t>
      </w:r>
      <w:r w:rsidR="00D13D85">
        <w:rPr>
          <w:rFonts w:cs="Times New Roman"/>
        </w:rPr>
        <w:t>leisti</w:t>
      </w:r>
      <w:r w:rsidRPr="00CE6E5F">
        <w:rPr>
          <w:rFonts w:cs="Times New Roman"/>
        </w:rPr>
        <w:t xml:space="preserve"> ne į </w:t>
      </w:r>
      <w:r w:rsidR="00D13D85">
        <w:rPr>
          <w:rFonts w:cs="Times New Roman"/>
        </w:rPr>
        <w:t>kraujagyslę</w:t>
      </w:r>
      <w:r w:rsidRPr="00CE6E5F">
        <w:rPr>
          <w:rFonts w:cs="Times New Roman"/>
        </w:rPr>
        <w:t>, ATC kodas</w:t>
      </w:r>
      <w:r w:rsidR="00057364">
        <w:rPr>
          <w:rFonts w:cs="Times New Roman"/>
        </w:rPr>
        <w:t xml:space="preserve"> </w:t>
      </w:r>
      <w:r w:rsidRPr="00CE6E5F">
        <w:rPr>
          <w:rFonts w:cs="Times New Roman"/>
        </w:rPr>
        <w:t>– J06BA01.</w:t>
      </w:r>
    </w:p>
    <w:p w14:paraId="5949DB86" w14:textId="77777777" w:rsidR="003169D1" w:rsidRPr="00CE6E5F" w:rsidRDefault="003169D1">
      <w:pPr>
        <w:rPr>
          <w:rFonts w:cs="Times New Roman"/>
        </w:rPr>
      </w:pPr>
    </w:p>
    <w:p w14:paraId="01777D13" w14:textId="77777777" w:rsidR="00FD7C97" w:rsidRPr="00CE6E5F" w:rsidRDefault="00FD7C97">
      <w:pPr>
        <w:rPr>
          <w:rFonts w:cs="Times New Roman"/>
        </w:rPr>
      </w:pPr>
      <w:r w:rsidRPr="00CE6E5F">
        <w:rPr>
          <w:rFonts w:cs="Times New Roman"/>
        </w:rPr>
        <w:t>Didžiausią žmogaus normaliojo imunoglobulino dalį sudaro imunoglobulinas G (</w:t>
      </w:r>
      <w:proofErr w:type="spellStart"/>
      <w:r w:rsidRPr="00CE6E5F">
        <w:rPr>
          <w:rFonts w:cs="Times New Roman"/>
        </w:rPr>
        <w:t>IgG</w:t>
      </w:r>
      <w:proofErr w:type="spellEnd"/>
      <w:r w:rsidRPr="00CE6E5F">
        <w:rPr>
          <w:rFonts w:cs="Times New Roman"/>
        </w:rPr>
        <w:t>), turintis platų spektrą antikūnų prieš infekcijų sukėlėjus.</w:t>
      </w:r>
    </w:p>
    <w:p w14:paraId="6005E9C3" w14:textId="77777777" w:rsidR="00FB1A76" w:rsidRPr="00CE6E5F" w:rsidRDefault="00FB1A76">
      <w:pPr>
        <w:rPr>
          <w:rFonts w:cs="Times New Roman"/>
        </w:rPr>
      </w:pPr>
    </w:p>
    <w:p w14:paraId="5DE5CFF5" w14:textId="5DCE5410" w:rsidR="00FD7C97" w:rsidRPr="00CE6E5F" w:rsidRDefault="00FD7C97">
      <w:pPr>
        <w:rPr>
          <w:rFonts w:cs="Times New Roman"/>
        </w:rPr>
      </w:pPr>
      <w:r w:rsidRPr="00CE6E5F">
        <w:rPr>
          <w:rFonts w:cs="Times New Roman"/>
        </w:rPr>
        <w:t xml:space="preserve">Žmogaus normaliojo imunoglobulino sudėtyje yra </w:t>
      </w:r>
      <w:proofErr w:type="spellStart"/>
      <w:r w:rsidRPr="00CE6E5F">
        <w:rPr>
          <w:rFonts w:cs="Times New Roman"/>
        </w:rPr>
        <w:t>IgG</w:t>
      </w:r>
      <w:proofErr w:type="spellEnd"/>
      <w:r w:rsidRPr="00CE6E5F">
        <w:rPr>
          <w:rFonts w:cs="Times New Roman"/>
        </w:rPr>
        <w:t xml:space="preserve"> antikūnų, būdingų normaliai populiacijai. Jis dažniausiai </w:t>
      </w:r>
      <w:r w:rsidR="00B2050A">
        <w:rPr>
          <w:rFonts w:cs="Times New Roman"/>
        </w:rPr>
        <w:t>gaminamas</w:t>
      </w:r>
      <w:r w:rsidRPr="00CE6E5F">
        <w:rPr>
          <w:rFonts w:cs="Times New Roman"/>
        </w:rPr>
        <w:t xml:space="preserve"> iš ne mažiau kaip 1000 donorų sukauptos plazmos. Imunoglobulino G poklasiai jame pasiskirstę panašiomis proporcijomis, kaip ir natūralioje žmogaus plazmoje. Skiriant tinkamas šio vaistinio preparato dozes galima atstatyti nenormaliai mažą imunoglobulino G k</w:t>
      </w:r>
      <w:r w:rsidR="00B2050A">
        <w:rPr>
          <w:rFonts w:cs="Times New Roman"/>
        </w:rPr>
        <w:t>oncentraciją</w:t>
      </w:r>
      <w:r w:rsidRPr="00CE6E5F">
        <w:rPr>
          <w:rFonts w:cs="Times New Roman"/>
        </w:rPr>
        <w:t xml:space="preserve"> į normal</w:t>
      </w:r>
      <w:r w:rsidR="00B2050A">
        <w:rPr>
          <w:rFonts w:cs="Times New Roman"/>
        </w:rPr>
        <w:t>ią</w:t>
      </w:r>
      <w:r w:rsidRPr="00CE6E5F">
        <w:rPr>
          <w:rFonts w:cs="Times New Roman"/>
        </w:rPr>
        <w:t>.</w:t>
      </w:r>
    </w:p>
    <w:p w14:paraId="5467C172" w14:textId="77777777" w:rsidR="00FB1A76" w:rsidRPr="00CE6E5F" w:rsidRDefault="00FB1A76">
      <w:pPr>
        <w:rPr>
          <w:rFonts w:cs="Times New Roman"/>
        </w:rPr>
      </w:pPr>
    </w:p>
    <w:p w14:paraId="796A9DA4" w14:textId="4F7BCBF8" w:rsidR="00FE450E" w:rsidRDefault="00F62804">
      <w:pPr>
        <w:rPr>
          <w:rFonts w:cs="Times New Roman"/>
        </w:rPr>
      </w:pPr>
      <w:r w:rsidRPr="00CE6E5F">
        <w:rPr>
          <w:rFonts w:cs="Times New Roman"/>
        </w:rPr>
        <w:t xml:space="preserve">Klinikiniame tyrime </w:t>
      </w:r>
      <w:r w:rsidR="00E260B5">
        <w:rPr>
          <w:rFonts w:cs="Times New Roman"/>
        </w:rPr>
        <w:t>75</w:t>
      </w:r>
      <w:r w:rsidRPr="00CE6E5F">
        <w:rPr>
          <w:rFonts w:cs="Times New Roman"/>
        </w:rPr>
        <w:t> tiriam</w:t>
      </w:r>
      <w:r w:rsidR="00E260B5">
        <w:rPr>
          <w:rFonts w:cs="Times New Roman"/>
        </w:rPr>
        <w:t>ieji</w:t>
      </w:r>
      <w:r w:rsidR="00FE450E">
        <w:rPr>
          <w:rFonts w:cs="Times New Roman"/>
        </w:rPr>
        <w:t xml:space="preserve"> (</w:t>
      </w:r>
      <w:r w:rsidR="00FE450E" w:rsidRPr="00FE450E">
        <w:rPr>
          <w:rFonts w:cs="Times New Roman"/>
        </w:rPr>
        <w:t>37</w:t>
      </w:r>
      <w:r w:rsidR="00FE450E">
        <w:rPr>
          <w:rFonts w:cs="Times New Roman"/>
        </w:rPr>
        <w:t xml:space="preserve"> suaugusieji, </w:t>
      </w:r>
      <w:r w:rsidR="00FE450E" w:rsidRPr="00FE450E">
        <w:rPr>
          <w:rFonts w:cs="Times New Roman"/>
        </w:rPr>
        <w:t>12</w:t>
      </w:r>
      <w:r w:rsidR="00FE450E">
        <w:rPr>
          <w:rFonts w:cs="Times New Roman"/>
        </w:rPr>
        <w:t> </w:t>
      </w:r>
      <w:r w:rsidR="00471A60">
        <w:rPr>
          <w:rFonts w:cs="Times New Roman"/>
        </w:rPr>
        <w:t>jaunesni</w:t>
      </w:r>
      <w:r w:rsidR="00FE450E">
        <w:rPr>
          <w:rFonts w:cs="Times New Roman"/>
        </w:rPr>
        <w:t>ų vaikų</w:t>
      </w:r>
      <w:r w:rsidR="00FE450E" w:rsidRPr="00FE450E">
        <w:rPr>
          <w:rFonts w:cs="Times New Roman"/>
        </w:rPr>
        <w:t xml:space="preserve"> [</w:t>
      </w:r>
      <w:r w:rsidR="00FE450E">
        <w:rPr>
          <w:rFonts w:cs="Times New Roman"/>
        </w:rPr>
        <w:t xml:space="preserve">nuo </w:t>
      </w:r>
      <w:r w:rsidR="00FE450E" w:rsidRPr="00FE450E">
        <w:rPr>
          <w:rFonts w:cs="Times New Roman"/>
        </w:rPr>
        <w:t>≥</w:t>
      </w:r>
      <w:r w:rsidR="00FE450E">
        <w:rPr>
          <w:rFonts w:cs="Times New Roman"/>
        </w:rPr>
        <w:t> </w:t>
      </w:r>
      <w:r w:rsidR="00FE450E" w:rsidRPr="00FE450E">
        <w:rPr>
          <w:rFonts w:cs="Times New Roman"/>
        </w:rPr>
        <w:t xml:space="preserve">2 </w:t>
      </w:r>
      <w:r w:rsidR="00FE450E">
        <w:rPr>
          <w:rFonts w:cs="Times New Roman"/>
        </w:rPr>
        <w:t>iki</w:t>
      </w:r>
      <w:r w:rsidR="00FE450E" w:rsidRPr="00FE450E">
        <w:rPr>
          <w:rFonts w:cs="Times New Roman"/>
        </w:rPr>
        <w:t xml:space="preserve"> &lt;</w:t>
      </w:r>
      <w:r w:rsidR="00FE450E">
        <w:rPr>
          <w:rFonts w:cs="Times New Roman"/>
        </w:rPr>
        <w:t> </w:t>
      </w:r>
      <w:r w:rsidR="00FE450E" w:rsidRPr="00FE450E">
        <w:rPr>
          <w:rFonts w:cs="Times New Roman"/>
        </w:rPr>
        <w:t>6</w:t>
      </w:r>
      <w:r w:rsidR="00FE450E">
        <w:rPr>
          <w:rFonts w:cs="Times New Roman"/>
        </w:rPr>
        <w:t> metų</w:t>
      </w:r>
      <w:r w:rsidR="00FE450E" w:rsidRPr="00FE450E">
        <w:rPr>
          <w:rFonts w:cs="Times New Roman"/>
        </w:rPr>
        <w:t>], 14</w:t>
      </w:r>
      <w:r w:rsidR="00FE450E">
        <w:rPr>
          <w:rFonts w:cs="Times New Roman"/>
        </w:rPr>
        <w:t> vyresnių vaikų</w:t>
      </w:r>
      <w:r w:rsidR="00FE450E" w:rsidRPr="00FE450E">
        <w:rPr>
          <w:rFonts w:cs="Times New Roman"/>
        </w:rPr>
        <w:t xml:space="preserve"> [</w:t>
      </w:r>
      <w:r w:rsidR="00FE450E">
        <w:rPr>
          <w:rFonts w:cs="Times New Roman"/>
        </w:rPr>
        <w:t xml:space="preserve">nuo </w:t>
      </w:r>
      <w:r w:rsidR="00FE450E" w:rsidRPr="00FE450E">
        <w:rPr>
          <w:rFonts w:cs="Times New Roman"/>
        </w:rPr>
        <w:t>≥</w:t>
      </w:r>
      <w:r w:rsidR="00FE450E">
        <w:rPr>
          <w:rFonts w:cs="Times New Roman"/>
        </w:rPr>
        <w:t> </w:t>
      </w:r>
      <w:r w:rsidR="00FE450E" w:rsidRPr="00FE450E">
        <w:rPr>
          <w:rFonts w:cs="Times New Roman"/>
        </w:rPr>
        <w:t xml:space="preserve">6 </w:t>
      </w:r>
      <w:r w:rsidR="00FE450E">
        <w:rPr>
          <w:rFonts w:cs="Times New Roman"/>
        </w:rPr>
        <w:t>iki</w:t>
      </w:r>
      <w:r w:rsidR="00FE450E" w:rsidRPr="00FE450E">
        <w:rPr>
          <w:rFonts w:cs="Times New Roman"/>
        </w:rPr>
        <w:t xml:space="preserve"> &lt;</w:t>
      </w:r>
      <w:r w:rsidR="00FE450E">
        <w:rPr>
          <w:rFonts w:cs="Times New Roman"/>
        </w:rPr>
        <w:t> </w:t>
      </w:r>
      <w:r w:rsidR="00FE450E" w:rsidRPr="00FE450E">
        <w:rPr>
          <w:rFonts w:cs="Times New Roman"/>
        </w:rPr>
        <w:t>12</w:t>
      </w:r>
      <w:r w:rsidR="00FE450E">
        <w:rPr>
          <w:rFonts w:cs="Times New Roman"/>
        </w:rPr>
        <w:t> metų</w:t>
      </w:r>
      <w:r w:rsidR="00FE450E" w:rsidRPr="00FE450E">
        <w:rPr>
          <w:rFonts w:cs="Times New Roman"/>
        </w:rPr>
        <w:t>], 12</w:t>
      </w:r>
      <w:r w:rsidR="00FE450E">
        <w:rPr>
          <w:rFonts w:cs="Times New Roman"/>
        </w:rPr>
        <w:t> paauglių</w:t>
      </w:r>
      <w:r w:rsidR="00FE450E" w:rsidRPr="00FE450E">
        <w:rPr>
          <w:rFonts w:cs="Times New Roman"/>
        </w:rPr>
        <w:t xml:space="preserve"> [</w:t>
      </w:r>
      <w:r w:rsidR="00FE450E">
        <w:rPr>
          <w:rFonts w:cs="Times New Roman"/>
        </w:rPr>
        <w:t xml:space="preserve">nuo </w:t>
      </w:r>
      <w:r w:rsidR="00FE450E" w:rsidRPr="00FE450E">
        <w:rPr>
          <w:rFonts w:cs="Times New Roman"/>
        </w:rPr>
        <w:t>≥</w:t>
      </w:r>
      <w:r w:rsidR="00FE450E">
        <w:rPr>
          <w:rFonts w:cs="Times New Roman"/>
        </w:rPr>
        <w:t> </w:t>
      </w:r>
      <w:r w:rsidR="00FE450E" w:rsidRPr="00FE450E">
        <w:rPr>
          <w:rFonts w:cs="Times New Roman"/>
        </w:rPr>
        <w:t xml:space="preserve">12 </w:t>
      </w:r>
      <w:r w:rsidR="00FE450E">
        <w:rPr>
          <w:rFonts w:cs="Times New Roman"/>
        </w:rPr>
        <w:t>iki</w:t>
      </w:r>
      <w:r w:rsidR="00FE450E" w:rsidRPr="00FE450E">
        <w:rPr>
          <w:rFonts w:cs="Times New Roman"/>
        </w:rPr>
        <w:t xml:space="preserve"> &lt;</w:t>
      </w:r>
      <w:r w:rsidR="00FE450E">
        <w:rPr>
          <w:rFonts w:cs="Times New Roman"/>
        </w:rPr>
        <w:t> </w:t>
      </w:r>
      <w:r w:rsidR="00FE450E" w:rsidRPr="00FE450E">
        <w:rPr>
          <w:rFonts w:cs="Times New Roman"/>
        </w:rPr>
        <w:t>17</w:t>
      </w:r>
      <w:r w:rsidR="00FE450E">
        <w:rPr>
          <w:rFonts w:cs="Times New Roman"/>
        </w:rPr>
        <w:t> metų</w:t>
      </w:r>
      <w:r w:rsidR="00FE450E" w:rsidRPr="00FE450E">
        <w:rPr>
          <w:rFonts w:cs="Times New Roman"/>
        </w:rPr>
        <w:t>])</w:t>
      </w:r>
      <w:r w:rsidRPr="00CE6E5F">
        <w:rPr>
          <w:rFonts w:cs="Times New Roman"/>
        </w:rPr>
        <w:t>, sergan</w:t>
      </w:r>
      <w:r w:rsidR="00E260B5">
        <w:rPr>
          <w:rFonts w:cs="Times New Roman"/>
        </w:rPr>
        <w:t>tys</w:t>
      </w:r>
      <w:r w:rsidRPr="00CE6E5F">
        <w:rPr>
          <w:rFonts w:cs="Times New Roman"/>
        </w:rPr>
        <w:t xml:space="preserve"> pirmini</w:t>
      </w:r>
      <w:r w:rsidR="00B2050A">
        <w:rPr>
          <w:rFonts w:cs="Times New Roman"/>
        </w:rPr>
        <w:t>u</w:t>
      </w:r>
      <w:r w:rsidRPr="00CE6E5F">
        <w:rPr>
          <w:rFonts w:cs="Times New Roman"/>
        </w:rPr>
        <w:t xml:space="preserve"> imunodeficito sindrom</w:t>
      </w:r>
      <w:r w:rsidR="00CE201A">
        <w:rPr>
          <w:rFonts w:cs="Times New Roman"/>
        </w:rPr>
        <w:t>u</w:t>
      </w:r>
      <w:r w:rsidRPr="00CE6E5F">
        <w:rPr>
          <w:rFonts w:cs="Times New Roman"/>
        </w:rPr>
        <w:t xml:space="preserve">, vartojo </w:t>
      </w:r>
      <w:proofErr w:type="spellStart"/>
      <w:r w:rsidR="00242227">
        <w:rPr>
          <w:rFonts w:cs="Times New Roman"/>
        </w:rPr>
        <w:t>c</w:t>
      </w:r>
      <w:r w:rsidRPr="00CE6E5F">
        <w:rPr>
          <w:rFonts w:cs="Times New Roman"/>
        </w:rPr>
        <w:t>utaquig</w:t>
      </w:r>
      <w:proofErr w:type="spellEnd"/>
      <w:r w:rsidRPr="00CE6E5F">
        <w:rPr>
          <w:rFonts w:cs="Times New Roman"/>
        </w:rPr>
        <w:t xml:space="preserve"> iki 64 savaičių.</w:t>
      </w:r>
    </w:p>
    <w:p w14:paraId="2B750B48" w14:textId="73EA2A6D" w:rsidR="00F62804" w:rsidRPr="00CE6E5F" w:rsidRDefault="00F62804">
      <w:pPr>
        <w:rPr>
          <w:rFonts w:cs="Times New Roman"/>
        </w:rPr>
      </w:pPr>
      <w:r w:rsidRPr="00CE6E5F">
        <w:rPr>
          <w:rFonts w:cs="Times New Roman"/>
        </w:rPr>
        <w:t xml:space="preserve">Vidutinė kiekvieną savaitę skiriama dozė buvo </w:t>
      </w:r>
      <w:r w:rsidR="00E260B5" w:rsidRPr="007B403D">
        <w:t>0,187</w:t>
      </w:r>
      <w:r w:rsidR="004A383C" w:rsidRPr="007B403D">
        <w:t> </w:t>
      </w:r>
      <w:r w:rsidR="00E260B5" w:rsidRPr="007B403D">
        <w:t>g/kg suaugusiesiems, 0,150</w:t>
      </w:r>
      <w:r w:rsidR="004A383C" w:rsidRPr="007B403D">
        <w:t> </w:t>
      </w:r>
      <w:r w:rsidR="00E260B5" w:rsidRPr="007B403D">
        <w:t>g/kg jaunesniems vaikams, 0,164</w:t>
      </w:r>
      <w:r w:rsidR="004A383C" w:rsidRPr="007B403D">
        <w:t> </w:t>
      </w:r>
      <w:r w:rsidR="00E260B5" w:rsidRPr="007B403D">
        <w:t>g/kg vyresniems vaikams ir 0,170</w:t>
      </w:r>
      <w:r w:rsidR="004A383C" w:rsidRPr="007B403D">
        <w:t> </w:t>
      </w:r>
      <w:r w:rsidR="00E260B5" w:rsidRPr="007B403D">
        <w:t>g/kg paaugliams</w:t>
      </w:r>
      <w:r w:rsidRPr="00CE6E5F">
        <w:rPr>
          <w:rFonts w:cs="Times New Roman"/>
        </w:rPr>
        <w:t xml:space="preserve">. Tiriamiesiems iš viso buvo paskirtos </w:t>
      </w:r>
      <w:r w:rsidR="00E260B5">
        <w:rPr>
          <w:rFonts w:cs="Times New Roman"/>
        </w:rPr>
        <w:t>4462</w:t>
      </w:r>
      <w:r w:rsidRPr="00CE6E5F">
        <w:rPr>
          <w:rFonts w:cs="Times New Roman"/>
        </w:rPr>
        <w:t xml:space="preserve"> kassavaitinės </w:t>
      </w:r>
      <w:proofErr w:type="spellStart"/>
      <w:r w:rsidR="00242227">
        <w:rPr>
          <w:rFonts w:cs="Times New Roman"/>
        </w:rPr>
        <w:t>c</w:t>
      </w:r>
      <w:r w:rsidRPr="00CE6E5F">
        <w:rPr>
          <w:rFonts w:cs="Times New Roman"/>
        </w:rPr>
        <w:t>utaquig</w:t>
      </w:r>
      <w:proofErr w:type="spellEnd"/>
      <w:r w:rsidRPr="00CE6E5F">
        <w:rPr>
          <w:rFonts w:cs="Times New Roman"/>
        </w:rPr>
        <w:t xml:space="preserve"> infuzijos.</w:t>
      </w:r>
    </w:p>
    <w:p w14:paraId="2EB2C855" w14:textId="5B4CC0FC" w:rsidR="008A6016" w:rsidRPr="00CE6E5F" w:rsidRDefault="008A6016">
      <w:pPr>
        <w:autoSpaceDE w:val="0"/>
        <w:autoSpaceDN w:val="0"/>
        <w:adjustRightInd w:val="0"/>
        <w:rPr>
          <w:rFonts w:cs="Times New Roman"/>
        </w:rPr>
      </w:pPr>
      <w:r w:rsidRPr="00CE6E5F">
        <w:rPr>
          <w:rFonts w:cs="Times New Roman"/>
        </w:rPr>
        <w:t xml:space="preserve">Klinikinio tyrimo laikotarpiu </w:t>
      </w:r>
      <w:proofErr w:type="spellStart"/>
      <w:r w:rsidR="00242227">
        <w:rPr>
          <w:rFonts w:cs="Times New Roman"/>
        </w:rPr>
        <w:t>c</w:t>
      </w:r>
      <w:r w:rsidRPr="00CE6E5F">
        <w:rPr>
          <w:rFonts w:cs="Times New Roman"/>
        </w:rPr>
        <w:t>utaquig</w:t>
      </w:r>
      <w:proofErr w:type="spellEnd"/>
      <w:r w:rsidRPr="00CE6E5F">
        <w:rPr>
          <w:rFonts w:cs="Times New Roman"/>
        </w:rPr>
        <w:t xml:space="preserve"> </w:t>
      </w:r>
      <w:r w:rsidR="00B2050A">
        <w:rPr>
          <w:rFonts w:cs="Times New Roman"/>
        </w:rPr>
        <w:t>vartojantiems</w:t>
      </w:r>
      <w:r w:rsidRPr="00CE6E5F">
        <w:rPr>
          <w:rFonts w:cs="Times New Roman"/>
        </w:rPr>
        <w:t xml:space="preserve"> tiriamiesiems sunkių bakterinių infekcijų nebuvo nustatyta (nei</w:t>
      </w:r>
      <w:r w:rsidR="004A383C">
        <w:rPr>
          <w:rFonts w:cs="Times New Roman"/>
        </w:rPr>
        <w:t xml:space="preserve"> </w:t>
      </w:r>
      <w:r w:rsidRPr="00CE6E5F">
        <w:rPr>
          <w:rFonts w:cs="Times New Roman"/>
        </w:rPr>
        <w:t xml:space="preserve">kaupimo / </w:t>
      </w:r>
      <w:r w:rsidR="004A383C">
        <w:rPr>
          <w:rFonts w:cs="Times New Roman"/>
        </w:rPr>
        <w:t>šalinimo</w:t>
      </w:r>
      <w:r w:rsidR="004A383C" w:rsidRPr="00CE6E5F">
        <w:rPr>
          <w:rFonts w:cs="Times New Roman"/>
        </w:rPr>
        <w:t xml:space="preserve"> </w:t>
      </w:r>
      <w:r w:rsidRPr="00CE6E5F">
        <w:rPr>
          <w:rFonts w:cs="Times New Roman"/>
        </w:rPr>
        <w:t>laikotarpiu, nei veiksmingumo laikotarpiu).</w:t>
      </w:r>
    </w:p>
    <w:p w14:paraId="0D8E9713" w14:textId="02356759" w:rsidR="00560AB5" w:rsidRPr="00CE6E5F" w:rsidRDefault="00560AB5" w:rsidP="00560AB5">
      <w:pPr>
        <w:pStyle w:val="Default"/>
        <w:rPr>
          <w:sz w:val="22"/>
          <w:szCs w:val="22"/>
          <w:lang w:val="lt-LT"/>
        </w:rPr>
      </w:pPr>
      <w:proofErr w:type="spellStart"/>
      <w:r>
        <w:rPr>
          <w:sz w:val="22"/>
          <w:szCs w:val="22"/>
          <w:lang w:val="lt-LT"/>
        </w:rPr>
        <w:t>c</w:t>
      </w:r>
      <w:r w:rsidRPr="00CE6E5F">
        <w:rPr>
          <w:sz w:val="22"/>
          <w:szCs w:val="22"/>
          <w:lang w:val="lt-LT"/>
        </w:rPr>
        <w:t>utaquig</w:t>
      </w:r>
      <w:proofErr w:type="spellEnd"/>
      <w:r w:rsidRPr="00CE6E5F">
        <w:rPr>
          <w:sz w:val="22"/>
          <w:szCs w:val="22"/>
          <w:lang w:val="lt-LT"/>
        </w:rPr>
        <w:t xml:space="preserve"> buvo vertinamas tiriant </w:t>
      </w:r>
      <w:r>
        <w:rPr>
          <w:sz w:val="22"/>
          <w:szCs w:val="22"/>
          <w:lang w:val="lt-LT"/>
        </w:rPr>
        <w:t>38</w:t>
      </w:r>
      <w:r w:rsidRPr="00CE6E5F">
        <w:rPr>
          <w:sz w:val="22"/>
          <w:szCs w:val="22"/>
          <w:lang w:val="lt-LT"/>
        </w:rPr>
        <w:t> vaikus (</w:t>
      </w:r>
      <w:r>
        <w:rPr>
          <w:sz w:val="22"/>
          <w:szCs w:val="22"/>
          <w:lang w:val="lt-LT"/>
        </w:rPr>
        <w:t>26</w:t>
      </w:r>
      <w:r w:rsidRPr="00CE6E5F">
        <w:rPr>
          <w:sz w:val="22"/>
          <w:szCs w:val="22"/>
          <w:lang w:val="lt-LT"/>
        </w:rPr>
        <w:t> vaik</w:t>
      </w:r>
      <w:r>
        <w:rPr>
          <w:sz w:val="22"/>
          <w:szCs w:val="22"/>
          <w:lang w:val="lt-LT"/>
        </w:rPr>
        <w:t>us</w:t>
      </w:r>
      <w:r w:rsidRPr="00CE6E5F">
        <w:rPr>
          <w:sz w:val="22"/>
          <w:szCs w:val="22"/>
          <w:lang w:val="lt-LT"/>
        </w:rPr>
        <w:t xml:space="preserve"> [nuo 2 iki &lt;12 metų] ir </w:t>
      </w:r>
      <w:r>
        <w:rPr>
          <w:sz w:val="22"/>
          <w:szCs w:val="22"/>
          <w:lang w:val="lt-LT"/>
        </w:rPr>
        <w:t>12</w:t>
      </w:r>
      <w:r w:rsidRPr="00CE6E5F">
        <w:rPr>
          <w:sz w:val="22"/>
          <w:szCs w:val="22"/>
          <w:lang w:val="lt-LT"/>
        </w:rPr>
        <w:t> paaugli</w:t>
      </w:r>
      <w:r>
        <w:rPr>
          <w:sz w:val="22"/>
          <w:szCs w:val="22"/>
          <w:lang w:val="lt-LT"/>
        </w:rPr>
        <w:t>ų</w:t>
      </w:r>
      <w:r w:rsidRPr="00CE6E5F">
        <w:rPr>
          <w:sz w:val="22"/>
          <w:szCs w:val="22"/>
          <w:lang w:val="lt-LT"/>
        </w:rPr>
        <w:t xml:space="preserve"> [nuo 12 iki &lt;16 metų]), sergančius pirminio imunodeficito liga. N</w:t>
      </w:r>
      <w:r>
        <w:rPr>
          <w:sz w:val="22"/>
          <w:szCs w:val="22"/>
          <w:lang w:val="lt-LT"/>
        </w:rPr>
        <w:t>ebuvo</w:t>
      </w:r>
      <w:r w:rsidRPr="00CE6E5F">
        <w:rPr>
          <w:sz w:val="22"/>
          <w:szCs w:val="22"/>
          <w:lang w:val="lt-LT"/>
        </w:rPr>
        <w:t xml:space="preserve"> vaikams specifinių dozės reikalavimų, kad būtų pasiekta norima </w:t>
      </w:r>
      <w:proofErr w:type="spellStart"/>
      <w:r w:rsidRPr="00CE6E5F">
        <w:rPr>
          <w:sz w:val="22"/>
          <w:szCs w:val="22"/>
          <w:lang w:val="lt-LT"/>
        </w:rPr>
        <w:t>IgG</w:t>
      </w:r>
      <w:proofErr w:type="spellEnd"/>
      <w:r w:rsidRPr="00CE6E5F">
        <w:rPr>
          <w:sz w:val="22"/>
          <w:szCs w:val="22"/>
          <w:lang w:val="lt-LT"/>
        </w:rPr>
        <w:t xml:space="preserve"> koncentracija serume.</w:t>
      </w:r>
    </w:p>
    <w:p w14:paraId="1BBC2E3C" w14:textId="77777777" w:rsidR="00D45C9E" w:rsidRDefault="00D45C9E">
      <w:pPr>
        <w:pStyle w:val="Default"/>
        <w:rPr>
          <w:sz w:val="22"/>
          <w:szCs w:val="22"/>
          <w:lang w:val="lt-LT"/>
        </w:rPr>
      </w:pPr>
    </w:p>
    <w:p w14:paraId="628C8BB4" w14:textId="1B475772" w:rsidR="00B227CF" w:rsidRDefault="00B227CF" w:rsidP="00B227CF">
      <w:pPr>
        <w:pStyle w:val="Default"/>
        <w:rPr>
          <w:sz w:val="22"/>
          <w:szCs w:val="22"/>
          <w:lang w:val="lt-LT"/>
        </w:rPr>
      </w:pPr>
      <w:r>
        <w:rPr>
          <w:sz w:val="22"/>
          <w:szCs w:val="22"/>
          <w:lang w:val="lt-LT"/>
        </w:rPr>
        <w:t xml:space="preserve">Tęstinis tyrimas buvo perspektyvinis, atvirasis, vienos grupės, </w:t>
      </w:r>
      <w:proofErr w:type="spellStart"/>
      <w:r>
        <w:rPr>
          <w:sz w:val="22"/>
          <w:szCs w:val="22"/>
          <w:lang w:val="lt-LT"/>
        </w:rPr>
        <w:t>daugiacentris</w:t>
      </w:r>
      <w:proofErr w:type="spellEnd"/>
      <w:r>
        <w:rPr>
          <w:sz w:val="22"/>
          <w:szCs w:val="22"/>
          <w:lang w:val="lt-LT"/>
        </w:rPr>
        <w:t xml:space="preserve"> III fazės</w:t>
      </w:r>
      <w:r w:rsidRPr="00B227CF">
        <w:rPr>
          <w:sz w:val="22"/>
          <w:szCs w:val="22"/>
          <w:lang w:val="lt-LT"/>
        </w:rPr>
        <w:t xml:space="preserve"> </w:t>
      </w:r>
      <w:r>
        <w:rPr>
          <w:sz w:val="22"/>
          <w:szCs w:val="22"/>
          <w:lang w:val="lt-LT"/>
        </w:rPr>
        <w:t>saugumo stebėjimo tyrimas, kuriame dalyvavo</w:t>
      </w:r>
      <w:r w:rsidRPr="00B227CF">
        <w:rPr>
          <w:sz w:val="22"/>
          <w:szCs w:val="22"/>
          <w:lang w:val="lt-LT"/>
        </w:rPr>
        <w:t xml:space="preserve"> 27</w:t>
      </w:r>
      <w:r>
        <w:rPr>
          <w:sz w:val="22"/>
          <w:szCs w:val="22"/>
          <w:lang w:val="lt-LT"/>
        </w:rPr>
        <w:t> </w:t>
      </w:r>
      <w:r w:rsidR="009524DE">
        <w:rPr>
          <w:sz w:val="22"/>
          <w:szCs w:val="22"/>
          <w:lang w:val="lt-LT"/>
        </w:rPr>
        <w:t xml:space="preserve">pirminiu imunodeficitu sergantys </w:t>
      </w:r>
      <w:r>
        <w:rPr>
          <w:sz w:val="22"/>
          <w:szCs w:val="22"/>
          <w:lang w:val="lt-LT"/>
        </w:rPr>
        <w:t>tiriamieji</w:t>
      </w:r>
      <w:r w:rsidRPr="00B227CF">
        <w:rPr>
          <w:sz w:val="22"/>
          <w:szCs w:val="22"/>
          <w:lang w:val="lt-LT"/>
        </w:rPr>
        <w:t xml:space="preserve"> (17</w:t>
      </w:r>
      <w:r>
        <w:rPr>
          <w:sz w:val="22"/>
          <w:szCs w:val="22"/>
          <w:lang w:val="lt-LT"/>
        </w:rPr>
        <w:t> suaugusiųjų</w:t>
      </w:r>
      <w:r w:rsidRPr="00B227CF">
        <w:rPr>
          <w:sz w:val="22"/>
          <w:szCs w:val="22"/>
          <w:lang w:val="lt-LT"/>
        </w:rPr>
        <w:t xml:space="preserve">, </w:t>
      </w:r>
      <w:r w:rsidRPr="00B227CF">
        <w:rPr>
          <w:sz w:val="22"/>
          <w:szCs w:val="22"/>
          <w:lang w:val="lt-LT"/>
        </w:rPr>
        <w:lastRenderedPageBreak/>
        <w:t>2</w:t>
      </w:r>
      <w:r>
        <w:rPr>
          <w:sz w:val="22"/>
          <w:szCs w:val="22"/>
          <w:lang w:val="lt-LT"/>
        </w:rPr>
        <w:t> jaunesni vaikai</w:t>
      </w:r>
      <w:r w:rsidRPr="00B227CF">
        <w:rPr>
          <w:sz w:val="22"/>
          <w:szCs w:val="22"/>
          <w:lang w:val="lt-LT"/>
        </w:rPr>
        <w:t xml:space="preserve"> [</w:t>
      </w:r>
      <w:r>
        <w:rPr>
          <w:sz w:val="22"/>
          <w:szCs w:val="22"/>
          <w:lang w:val="lt-LT"/>
        </w:rPr>
        <w:t xml:space="preserve">nuo </w:t>
      </w:r>
      <w:r w:rsidRPr="00B227CF">
        <w:rPr>
          <w:sz w:val="22"/>
          <w:szCs w:val="22"/>
          <w:lang w:val="lt-LT"/>
        </w:rPr>
        <w:t>≥</w:t>
      </w:r>
      <w:r>
        <w:rPr>
          <w:sz w:val="22"/>
          <w:szCs w:val="22"/>
          <w:lang w:val="lt-LT"/>
        </w:rPr>
        <w:t> </w:t>
      </w:r>
      <w:r w:rsidRPr="00B227CF">
        <w:rPr>
          <w:sz w:val="22"/>
          <w:szCs w:val="22"/>
          <w:lang w:val="lt-LT"/>
        </w:rPr>
        <w:t xml:space="preserve">2 </w:t>
      </w:r>
      <w:r>
        <w:rPr>
          <w:sz w:val="22"/>
          <w:szCs w:val="22"/>
          <w:lang w:val="lt-LT"/>
        </w:rPr>
        <w:t>iki</w:t>
      </w:r>
      <w:r w:rsidRPr="00B227CF">
        <w:rPr>
          <w:sz w:val="22"/>
          <w:szCs w:val="22"/>
          <w:lang w:val="lt-LT"/>
        </w:rPr>
        <w:t xml:space="preserve"> &lt;</w:t>
      </w:r>
      <w:r>
        <w:rPr>
          <w:sz w:val="22"/>
          <w:szCs w:val="22"/>
          <w:lang w:val="lt-LT"/>
        </w:rPr>
        <w:t> </w:t>
      </w:r>
      <w:r w:rsidRPr="00B227CF">
        <w:rPr>
          <w:sz w:val="22"/>
          <w:szCs w:val="22"/>
          <w:lang w:val="lt-LT"/>
        </w:rPr>
        <w:t>6</w:t>
      </w:r>
      <w:r>
        <w:rPr>
          <w:sz w:val="22"/>
          <w:szCs w:val="22"/>
          <w:lang w:val="lt-LT"/>
        </w:rPr>
        <w:t> metų</w:t>
      </w:r>
      <w:r w:rsidRPr="00B227CF">
        <w:rPr>
          <w:sz w:val="22"/>
          <w:szCs w:val="22"/>
          <w:lang w:val="lt-LT"/>
        </w:rPr>
        <w:t>], 4</w:t>
      </w:r>
      <w:r>
        <w:rPr>
          <w:sz w:val="22"/>
          <w:szCs w:val="22"/>
          <w:lang w:val="lt-LT"/>
        </w:rPr>
        <w:t> vyresni vaikai</w:t>
      </w:r>
      <w:r w:rsidRPr="00B227CF">
        <w:rPr>
          <w:sz w:val="22"/>
          <w:szCs w:val="22"/>
          <w:lang w:val="lt-LT"/>
        </w:rPr>
        <w:t xml:space="preserve"> [</w:t>
      </w:r>
      <w:r>
        <w:rPr>
          <w:sz w:val="22"/>
          <w:szCs w:val="22"/>
          <w:lang w:val="lt-LT"/>
        </w:rPr>
        <w:t xml:space="preserve">nuo </w:t>
      </w:r>
      <w:r w:rsidRPr="00B227CF">
        <w:rPr>
          <w:sz w:val="22"/>
          <w:szCs w:val="22"/>
          <w:lang w:val="lt-LT"/>
        </w:rPr>
        <w:t>≥</w:t>
      </w:r>
      <w:r>
        <w:rPr>
          <w:sz w:val="22"/>
          <w:szCs w:val="22"/>
          <w:lang w:val="lt-LT"/>
        </w:rPr>
        <w:t> </w:t>
      </w:r>
      <w:r w:rsidRPr="00B227CF">
        <w:rPr>
          <w:sz w:val="22"/>
          <w:szCs w:val="22"/>
          <w:lang w:val="lt-LT"/>
        </w:rPr>
        <w:t xml:space="preserve">6 </w:t>
      </w:r>
      <w:r>
        <w:rPr>
          <w:sz w:val="22"/>
          <w:szCs w:val="22"/>
          <w:lang w:val="lt-LT"/>
        </w:rPr>
        <w:t>iki</w:t>
      </w:r>
      <w:r w:rsidRPr="00B227CF">
        <w:rPr>
          <w:sz w:val="22"/>
          <w:szCs w:val="22"/>
          <w:lang w:val="lt-LT"/>
        </w:rPr>
        <w:t xml:space="preserve"> &lt;</w:t>
      </w:r>
      <w:r>
        <w:rPr>
          <w:sz w:val="22"/>
          <w:szCs w:val="22"/>
          <w:lang w:val="lt-LT"/>
        </w:rPr>
        <w:t> </w:t>
      </w:r>
      <w:r w:rsidRPr="00B227CF">
        <w:rPr>
          <w:sz w:val="22"/>
          <w:szCs w:val="22"/>
          <w:lang w:val="lt-LT"/>
        </w:rPr>
        <w:t>12</w:t>
      </w:r>
      <w:r>
        <w:rPr>
          <w:sz w:val="22"/>
          <w:szCs w:val="22"/>
          <w:lang w:val="lt-LT"/>
        </w:rPr>
        <w:t> metų</w:t>
      </w:r>
      <w:r w:rsidRPr="00B227CF">
        <w:rPr>
          <w:sz w:val="22"/>
          <w:szCs w:val="22"/>
          <w:lang w:val="lt-LT"/>
        </w:rPr>
        <w:t>], 4</w:t>
      </w:r>
      <w:r>
        <w:rPr>
          <w:sz w:val="22"/>
          <w:szCs w:val="22"/>
          <w:lang w:val="lt-LT"/>
        </w:rPr>
        <w:t> paaugliai</w:t>
      </w:r>
      <w:r w:rsidRPr="00B227CF">
        <w:rPr>
          <w:sz w:val="22"/>
          <w:szCs w:val="22"/>
          <w:lang w:val="lt-LT"/>
        </w:rPr>
        <w:t xml:space="preserve"> [</w:t>
      </w:r>
      <w:r>
        <w:rPr>
          <w:sz w:val="22"/>
          <w:szCs w:val="22"/>
          <w:lang w:val="lt-LT"/>
        </w:rPr>
        <w:t xml:space="preserve">nuo </w:t>
      </w:r>
      <w:r w:rsidRPr="00B227CF">
        <w:rPr>
          <w:sz w:val="22"/>
          <w:szCs w:val="22"/>
          <w:lang w:val="lt-LT"/>
        </w:rPr>
        <w:t>≥</w:t>
      </w:r>
      <w:r>
        <w:rPr>
          <w:sz w:val="22"/>
          <w:szCs w:val="22"/>
          <w:lang w:val="lt-LT"/>
        </w:rPr>
        <w:t> </w:t>
      </w:r>
      <w:r w:rsidRPr="00B227CF">
        <w:rPr>
          <w:sz w:val="22"/>
          <w:szCs w:val="22"/>
          <w:lang w:val="lt-LT"/>
        </w:rPr>
        <w:t xml:space="preserve">12 </w:t>
      </w:r>
      <w:r>
        <w:rPr>
          <w:sz w:val="22"/>
          <w:szCs w:val="22"/>
          <w:lang w:val="lt-LT"/>
        </w:rPr>
        <w:t>iki</w:t>
      </w:r>
      <w:r w:rsidRPr="00B227CF">
        <w:rPr>
          <w:sz w:val="22"/>
          <w:szCs w:val="22"/>
          <w:lang w:val="lt-LT"/>
        </w:rPr>
        <w:t xml:space="preserve"> &lt;</w:t>
      </w:r>
      <w:r>
        <w:rPr>
          <w:sz w:val="22"/>
          <w:szCs w:val="22"/>
          <w:lang w:val="lt-LT"/>
        </w:rPr>
        <w:t> </w:t>
      </w:r>
      <w:r w:rsidRPr="00B227CF">
        <w:rPr>
          <w:sz w:val="22"/>
          <w:szCs w:val="22"/>
          <w:lang w:val="lt-LT"/>
        </w:rPr>
        <w:t>17</w:t>
      </w:r>
      <w:r>
        <w:rPr>
          <w:sz w:val="22"/>
          <w:szCs w:val="22"/>
          <w:lang w:val="lt-LT"/>
        </w:rPr>
        <w:t> metų</w:t>
      </w:r>
      <w:r w:rsidRPr="00B227CF">
        <w:rPr>
          <w:sz w:val="22"/>
          <w:szCs w:val="22"/>
          <w:lang w:val="lt-LT"/>
        </w:rPr>
        <w:t xml:space="preserve">]). </w:t>
      </w:r>
      <w:r w:rsidR="009D19E3">
        <w:rPr>
          <w:sz w:val="22"/>
          <w:szCs w:val="22"/>
          <w:lang w:val="lt-LT"/>
        </w:rPr>
        <w:t>D</w:t>
      </w:r>
      <w:r w:rsidR="006F55F8">
        <w:rPr>
          <w:sz w:val="22"/>
          <w:szCs w:val="22"/>
          <w:lang w:val="lt-LT"/>
        </w:rPr>
        <w:t>videšimt vienas tiriamasis</w:t>
      </w:r>
      <w:r w:rsidR="009D19E3">
        <w:rPr>
          <w:sz w:val="22"/>
          <w:szCs w:val="22"/>
          <w:lang w:val="lt-LT"/>
        </w:rPr>
        <w:t xml:space="preserve"> buvo iš pradžių gydytas pagrindiniame tyrime, o</w:t>
      </w:r>
      <w:r w:rsidRPr="00B227CF">
        <w:rPr>
          <w:sz w:val="22"/>
          <w:szCs w:val="22"/>
          <w:lang w:val="lt-LT"/>
        </w:rPr>
        <w:t xml:space="preserve"> 6</w:t>
      </w:r>
      <w:r w:rsidR="009D19E3">
        <w:rPr>
          <w:sz w:val="22"/>
          <w:szCs w:val="22"/>
          <w:lang w:val="lt-LT"/>
        </w:rPr>
        <w:t xml:space="preserve"> tiriamieji </w:t>
      </w:r>
      <w:r w:rsidR="009524DE">
        <w:rPr>
          <w:sz w:val="22"/>
          <w:szCs w:val="22"/>
          <w:lang w:val="lt-LT"/>
        </w:rPr>
        <w:t xml:space="preserve">įtraukti </w:t>
      </w:r>
      <w:r w:rsidR="009D19E3">
        <w:rPr>
          <w:sz w:val="22"/>
          <w:szCs w:val="22"/>
          <w:lang w:val="lt-LT"/>
        </w:rPr>
        <w:t>nauja</w:t>
      </w:r>
      <w:r w:rsidR="009524DE">
        <w:rPr>
          <w:sz w:val="22"/>
          <w:szCs w:val="22"/>
          <w:lang w:val="lt-LT"/>
        </w:rPr>
        <w:t>i</w:t>
      </w:r>
      <w:r w:rsidRPr="00B227CF">
        <w:rPr>
          <w:sz w:val="22"/>
          <w:szCs w:val="22"/>
          <w:lang w:val="lt-LT"/>
        </w:rPr>
        <w:t xml:space="preserve">. </w:t>
      </w:r>
      <w:r w:rsidR="009D19E3">
        <w:rPr>
          <w:sz w:val="22"/>
          <w:szCs w:val="22"/>
          <w:lang w:val="lt-LT"/>
        </w:rPr>
        <w:t>Anksčiau pagrindiniame tyrime dalyvavę tiriamieji buvo stebimi iki</w:t>
      </w:r>
      <w:r w:rsidRPr="00B227CF">
        <w:rPr>
          <w:sz w:val="22"/>
          <w:szCs w:val="22"/>
          <w:lang w:val="lt-LT"/>
        </w:rPr>
        <w:t xml:space="preserve"> 4</w:t>
      </w:r>
      <w:r w:rsidR="009D19E3">
        <w:rPr>
          <w:sz w:val="22"/>
          <w:szCs w:val="22"/>
          <w:lang w:val="lt-LT"/>
        </w:rPr>
        <w:t>,</w:t>
      </w:r>
      <w:r w:rsidRPr="00B227CF">
        <w:rPr>
          <w:sz w:val="22"/>
          <w:szCs w:val="22"/>
          <w:lang w:val="lt-LT"/>
        </w:rPr>
        <w:t>5</w:t>
      </w:r>
      <w:r w:rsidR="009D19E3">
        <w:rPr>
          <w:sz w:val="22"/>
          <w:szCs w:val="22"/>
          <w:lang w:val="lt-LT"/>
        </w:rPr>
        <w:t> metų, o naujai įtraukti tiriamieji </w:t>
      </w:r>
      <w:r w:rsidR="009D19E3" w:rsidRPr="006A0A06">
        <w:rPr>
          <w:sz w:val="22"/>
          <w:szCs w:val="22"/>
          <w:lang w:val="lt-LT"/>
        </w:rPr>
        <w:t xml:space="preserve">– </w:t>
      </w:r>
      <w:r w:rsidRPr="00B227CF">
        <w:rPr>
          <w:sz w:val="22"/>
          <w:szCs w:val="22"/>
          <w:lang w:val="lt-LT"/>
        </w:rPr>
        <w:t>12</w:t>
      </w:r>
      <w:r w:rsidR="009D19E3">
        <w:rPr>
          <w:sz w:val="22"/>
          <w:szCs w:val="22"/>
          <w:lang w:val="lt-LT"/>
        </w:rPr>
        <w:t> mėnesių</w:t>
      </w:r>
      <w:r w:rsidRPr="00B227CF">
        <w:rPr>
          <w:sz w:val="22"/>
          <w:szCs w:val="22"/>
          <w:lang w:val="lt-LT"/>
        </w:rPr>
        <w:t xml:space="preserve">. </w:t>
      </w:r>
      <w:r w:rsidR="001878D9">
        <w:rPr>
          <w:sz w:val="22"/>
          <w:szCs w:val="22"/>
          <w:lang w:val="lt-LT"/>
        </w:rPr>
        <w:t xml:space="preserve">Tiriamiesiems </w:t>
      </w:r>
      <w:proofErr w:type="spellStart"/>
      <w:r w:rsidR="001878D9">
        <w:rPr>
          <w:sz w:val="22"/>
          <w:szCs w:val="22"/>
          <w:lang w:val="lt-LT"/>
        </w:rPr>
        <w:t>c</w:t>
      </w:r>
      <w:r w:rsidRPr="00B227CF">
        <w:rPr>
          <w:sz w:val="22"/>
          <w:szCs w:val="22"/>
          <w:lang w:val="lt-LT"/>
        </w:rPr>
        <w:t>utaquig</w:t>
      </w:r>
      <w:proofErr w:type="spellEnd"/>
      <w:r w:rsidRPr="00B227CF">
        <w:rPr>
          <w:sz w:val="22"/>
          <w:szCs w:val="22"/>
          <w:lang w:val="lt-LT"/>
        </w:rPr>
        <w:t xml:space="preserve"> </w:t>
      </w:r>
      <w:r w:rsidR="001878D9">
        <w:rPr>
          <w:sz w:val="22"/>
          <w:szCs w:val="22"/>
          <w:lang w:val="lt-LT"/>
        </w:rPr>
        <w:t xml:space="preserve">buvo </w:t>
      </w:r>
      <w:r w:rsidR="00134CDE">
        <w:rPr>
          <w:sz w:val="22"/>
          <w:szCs w:val="22"/>
          <w:lang w:val="lt-LT"/>
        </w:rPr>
        <w:t>skiriamas kartą per</w:t>
      </w:r>
      <w:r w:rsidR="001878D9">
        <w:rPr>
          <w:sz w:val="22"/>
          <w:szCs w:val="22"/>
          <w:lang w:val="lt-LT"/>
        </w:rPr>
        <w:t xml:space="preserve"> savaitę</w:t>
      </w:r>
      <w:r w:rsidRPr="00B227CF">
        <w:rPr>
          <w:sz w:val="22"/>
          <w:szCs w:val="22"/>
          <w:lang w:val="lt-LT"/>
        </w:rPr>
        <w:t xml:space="preserve"> (25</w:t>
      </w:r>
      <w:r w:rsidR="00F42FDF">
        <w:rPr>
          <w:sz w:val="22"/>
          <w:szCs w:val="22"/>
          <w:lang w:val="lt-LT"/>
        </w:rPr>
        <w:t> tiriamie</w:t>
      </w:r>
      <w:r w:rsidR="00875404">
        <w:rPr>
          <w:sz w:val="22"/>
          <w:szCs w:val="22"/>
          <w:lang w:val="lt-LT"/>
        </w:rPr>
        <w:t>siems</w:t>
      </w:r>
      <w:r w:rsidRPr="00B227CF">
        <w:rPr>
          <w:sz w:val="22"/>
          <w:szCs w:val="22"/>
          <w:lang w:val="lt-LT"/>
        </w:rPr>
        <w:t xml:space="preserve">) </w:t>
      </w:r>
      <w:r w:rsidR="00F42FDF">
        <w:rPr>
          <w:sz w:val="22"/>
          <w:szCs w:val="22"/>
          <w:lang w:val="lt-LT"/>
        </w:rPr>
        <w:t>arba kas antrą savaitę</w:t>
      </w:r>
      <w:r w:rsidRPr="00B227CF">
        <w:rPr>
          <w:sz w:val="22"/>
          <w:szCs w:val="22"/>
          <w:lang w:val="lt-LT"/>
        </w:rPr>
        <w:t xml:space="preserve"> (2</w:t>
      </w:r>
      <w:r w:rsidR="00F42FDF">
        <w:rPr>
          <w:sz w:val="22"/>
          <w:szCs w:val="22"/>
          <w:lang w:val="lt-LT"/>
        </w:rPr>
        <w:t> tiriamie</w:t>
      </w:r>
      <w:r w:rsidR="00875404">
        <w:rPr>
          <w:sz w:val="22"/>
          <w:szCs w:val="22"/>
          <w:lang w:val="lt-LT"/>
        </w:rPr>
        <w:t>siems</w:t>
      </w:r>
      <w:r w:rsidRPr="00B227CF">
        <w:rPr>
          <w:sz w:val="22"/>
          <w:szCs w:val="22"/>
          <w:lang w:val="lt-LT"/>
        </w:rPr>
        <w:t xml:space="preserve">). </w:t>
      </w:r>
      <w:r w:rsidR="00C041B8">
        <w:rPr>
          <w:sz w:val="22"/>
          <w:szCs w:val="22"/>
          <w:lang w:val="lt-LT"/>
        </w:rPr>
        <w:t>Vidutinė tikroji</w:t>
      </w:r>
      <w:r w:rsidRPr="00B227CF">
        <w:rPr>
          <w:sz w:val="22"/>
          <w:szCs w:val="22"/>
          <w:lang w:val="lt-LT"/>
        </w:rPr>
        <w:t xml:space="preserve"> </w:t>
      </w:r>
      <w:r w:rsidR="00C041B8">
        <w:rPr>
          <w:sz w:val="22"/>
          <w:szCs w:val="22"/>
          <w:lang w:val="lt-LT"/>
        </w:rPr>
        <w:t xml:space="preserve">vienam pacientui suleista </w:t>
      </w:r>
      <w:proofErr w:type="spellStart"/>
      <w:r w:rsidR="00C041B8">
        <w:rPr>
          <w:sz w:val="22"/>
          <w:szCs w:val="22"/>
          <w:lang w:val="lt-LT"/>
        </w:rPr>
        <w:t>c</w:t>
      </w:r>
      <w:r w:rsidRPr="00B227CF">
        <w:rPr>
          <w:sz w:val="22"/>
          <w:szCs w:val="22"/>
          <w:lang w:val="lt-LT"/>
        </w:rPr>
        <w:t>utaquig</w:t>
      </w:r>
      <w:proofErr w:type="spellEnd"/>
      <w:r w:rsidRPr="00B227CF">
        <w:rPr>
          <w:sz w:val="22"/>
          <w:szCs w:val="22"/>
          <w:lang w:val="lt-LT"/>
        </w:rPr>
        <w:t xml:space="preserve"> </w:t>
      </w:r>
      <w:r w:rsidR="00C041B8">
        <w:rPr>
          <w:sz w:val="22"/>
          <w:szCs w:val="22"/>
          <w:lang w:val="lt-LT"/>
        </w:rPr>
        <w:t>dozė jaunesniems vaikams buvo</w:t>
      </w:r>
      <w:r w:rsidRPr="00B227CF">
        <w:rPr>
          <w:sz w:val="22"/>
          <w:szCs w:val="22"/>
          <w:lang w:val="lt-LT"/>
        </w:rPr>
        <w:t xml:space="preserve"> 0</w:t>
      </w:r>
      <w:r w:rsidR="00C041B8">
        <w:rPr>
          <w:sz w:val="22"/>
          <w:szCs w:val="22"/>
          <w:lang w:val="lt-LT"/>
        </w:rPr>
        <w:t>,</w:t>
      </w:r>
      <w:r w:rsidRPr="00B227CF">
        <w:rPr>
          <w:sz w:val="22"/>
          <w:szCs w:val="22"/>
          <w:lang w:val="lt-LT"/>
        </w:rPr>
        <w:t>127</w:t>
      </w:r>
      <w:r w:rsidR="00C041B8">
        <w:rPr>
          <w:sz w:val="22"/>
          <w:szCs w:val="22"/>
          <w:lang w:val="lt-LT"/>
        </w:rPr>
        <w:t> </w:t>
      </w:r>
      <w:r w:rsidRPr="00B227CF">
        <w:rPr>
          <w:sz w:val="22"/>
          <w:szCs w:val="22"/>
          <w:lang w:val="lt-LT"/>
        </w:rPr>
        <w:t xml:space="preserve">g/kg, </w:t>
      </w:r>
      <w:r w:rsidR="00C041B8">
        <w:rPr>
          <w:sz w:val="22"/>
          <w:szCs w:val="22"/>
          <w:lang w:val="lt-LT"/>
        </w:rPr>
        <w:t>vyresniems vaikams</w:t>
      </w:r>
      <w:r w:rsidR="00501ACA">
        <w:rPr>
          <w:sz w:val="22"/>
          <w:szCs w:val="22"/>
          <w:lang w:val="lt-LT"/>
        </w:rPr>
        <w:t> </w:t>
      </w:r>
      <w:r w:rsidR="00501ACA" w:rsidRPr="006A0A06">
        <w:rPr>
          <w:lang w:val="lt-LT"/>
        </w:rPr>
        <w:t xml:space="preserve">– </w:t>
      </w:r>
      <w:r w:rsidRPr="00B227CF">
        <w:rPr>
          <w:sz w:val="22"/>
          <w:szCs w:val="22"/>
          <w:lang w:val="lt-LT"/>
        </w:rPr>
        <w:t>0</w:t>
      </w:r>
      <w:r w:rsidR="00C041B8">
        <w:rPr>
          <w:sz w:val="22"/>
          <w:szCs w:val="22"/>
          <w:lang w:val="lt-LT"/>
        </w:rPr>
        <w:t>,</w:t>
      </w:r>
      <w:r w:rsidRPr="00B227CF">
        <w:rPr>
          <w:sz w:val="22"/>
          <w:szCs w:val="22"/>
          <w:lang w:val="lt-LT"/>
        </w:rPr>
        <w:t>210</w:t>
      </w:r>
      <w:r w:rsidR="00C041B8">
        <w:rPr>
          <w:sz w:val="22"/>
          <w:szCs w:val="22"/>
          <w:lang w:val="lt-LT"/>
        </w:rPr>
        <w:t> </w:t>
      </w:r>
      <w:r w:rsidRPr="00B227CF">
        <w:rPr>
          <w:sz w:val="22"/>
          <w:szCs w:val="22"/>
          <w:lang w:val="lt-LT"/>
        </w:rPr>
        <w:t xml:space="preserve">g/kg, </w:t>
      </w:r>
      <w:r w:rsidR="00501ACA">
        <w:rPr>
          <w:sz w:val="22"/>
          <w:szCs w:val="22"/>
          <w:lang w:val="lt-LT"/>
        </w:rPr>
        <w:t>paaugliams </w:t>
      </w:r>
      <w:r w:rsidR="00501ACA" w:rsidRPr="00AC5610">
        <w:rPr>
          <w:lang w:val="lt-LT"/>
        </w:rPr>
        <w:t xml:space="preserve">– </w:t>
      </w:r>
      <w:r w:rsidRPr="00B227CF">
        <w:rPr>
          <w:sz w:val="22"/>
          <w:szCs w:val="22"/>
          <w:lang w:val="lt-LT"/>
        </w:rPr>
        <w:t>0</w:t>
      </w:r>
      <w:r w:rsidR="00C041B8">
        <w:rPr>
          <w:sz w:val="22"/>
          <w:szCs w:val="22"/>
          <w:lang w:val="lt-LT"/>
        </w:rPr>
        <w:t>,</w:t>
      </w:r>
      <w:r w:rsidRPr="00B227CF">
        <w:rPr>
          <w:sz w:val="22"/>
          <w:szCs w:val="22"/>
          <w:lang w:val="lt-LT"/>
        </w:rPr>
        <w:t>160</w:t>
      </w:r>
      <w:r w:rsidR="00C041B8">
        <w:rPr>
          <w:sz w:val="22"/>
          <w:szCs w:val="22"/>
          <w:lang w:val="lt-LT"/>
        </w:rPr>
        <w:t> </w:t>
      </w:r>
      <w:r w:rsidRPr="00B227CF">
        <w:rPr>
          <w:sz w:val="22"/>
          <w:szCs w:val="22"/>
          <w:lang w:val="lt-LT"/>
        </w:rPr>
        <w:t xml:space="preserve">g/kg </w:t>
      </w:r>
      <w:r w:rsidR="00C041B8">
        <w:rPr>
          <w:sz w:val="22"/>
          <w:szCs w:val="22"/>
          <w:lang w:val="lt-LT"/>
        </w:rPr>
        <w:t xml:space="preserve">ir </w:t>
      </w:r>
      <w:r w:rsidR="00501ACA">
        <w:rPr>
          <w:sz w:val="22"/>
          <w:szCs w:val="22"/>
          <w:lang w:val="lt-LT"/>
        </w:rPr>
        <w:t>suaugusiems pacientams </w:t>
      </w:r>
      <w:r w:rsidR="00501ACA" w:rsidRPr="006A0A06">
        <w:rPr>
          <w:lang w:val="lt-LT"/>
        </w:rPr>
        <w:t xml:space="preserve">– </w:t>
      </w:r>
      <w:r w:rsidRPr="00B227CF">
        <w:rPr>
          <w:sz w:val="22"/>
          <w:szCs w:val="22"/>
          <w:lang w:val="lt-LT"/>
        </w:rPr>
        <w:t>0</w:t>
      </w:r>
      <w:r w:rsidR="00C041B8">
        <w:rPr>
          <w:sz w:val="22"/>
          <w:szCs w:val="22"/>
          <w:lang w:val="lt-LT"/>
        </w:rPr>
        <w:t>,</w:t>
      </w:r>
      <w:r w:rsidRPr="00B227CF">
        <w:rPr>
          <w:sz w:val="22"/>
          <w:szCs w:val="22"/>
          <w:lang w:val="lt-LT"/>
        </w:rPr>
        <w:t>166</w:t>
      </w:r>
      <w:r w:rsidR="00C041B8">
        <w:rPr>
          <w:sz w:val="22"/>
          <w:szCs w:val="22"/>
          <w:lang w:val="lt-LT"/>
        </w:rPr>
        <w:t> </w:t>
      </w:r>
      <w:r w:rsidRPr="00B227CF">
        <w:rPr>
          <w:sz w:val="22"/>
          <w:szCs w:val="22"/>
          <w:lang w:val="lt-LT"/>
        </w:rPr>
        <w:t xml:space="preserve">g/kg. </w:t>
      </w:r>
      <w:r w:rsidR="00501ACA">
        <w:rPr>
          <w:sz w:val="22"/>
          <w:szCs w:val="22"/>
          <w:lang w:val="lt-LT"/>
        </w:rPr>
        <w:t>Iš viso tiriamiesiems buvo skirta bendra</w:t>
      </w:r>
      <w:r w:rsidRPr="00B227CF">
        <w:rPr>
          <w:sz w:val="22"/>
          <w:szCs w:val="22"/>
          <w:lang w:val="lt-LT"/>
        </w:rPr>
        <w:t xml:space="preserve"> 2</w:t>
      </w:r>
      <w:r w:rsidR="00501ACA">
        <w:rPr>
          <w:sz w:val="22"/>
          <w:szCs w:val="22"/>
          <w:lang w:val="lt-LT"/>
        </w:rPr>
        <w:t> </w:t>
      </w:r>
      <w:r w:rsidRPr="00B227CF">
        <w:rPr>
          <w:sz w:val="22"/>
          <w:szCs w:val="22"/>
          <w:lang w:val="lt-LT"/>
        </w:rPr>
        <w:t>777</w:t>
      </w:r>
      <w:r w:rsidR="00501ACA">
        <w:rPr>
          <w:sz w:val="22"/>
          <w:szCs w:val="22"/>
          <w:lang w:val="lt-LT"/>
        </w:rPr>
        <w:t> infuzijų dozė</w:t>
      </w:r>
      <w:r w:rsidRPr="00B227CF">
        <w:rPr>
          <w:sz w:val="22"/>
          <w:szCs w:val="22"/>
          <w:lang w:val="lt-LT"/>
        </w:rPr>
        <w:t xml:space="preserve"> (2</w:t>
      </w:r>
      <w:r w:rsidR="00501ACA">
        <w:rPr>
          <w:sz w:val="22"/>
          <w:szCs w:val="22"/>
          <w:lang w:val="lt-LT"/>
        </w:rPr>
        <w:t> </w:t>
      </w:r>
      <w:r w:rsidRPr="00B227CF">
        <w:rPr>
          <w:sz w:val="22"/>
          <w:szCs w:val="22"/>
          <w:lang w:val="lt-LT"/>
        </w:rPr>
        <w:t>740</w:t>
      </w:r>
      <w:r w:rsidR="002F63CE">
        <w:rPr>
          <w:sz w:val="22"/>
          <w:szCs w:val="22"/>
          <w:lang w:val="lt-LT"/>
        </w:rPr>
        <w:t> tiriamųjų</w:t>
      </w:r>
      <w:r w:rsidRPr="00B227CF">
        <w:rPr>
          <w:sz w:val="22"/>
          <w:szCs w:val="22"/>
          <w:lang w:val="lt-LT"/>
        </w:rPr>
        <w:t xml:space="preserve"> </w:t>
      </w:r>
      <w:r w:rsidR="00501ACA">
        <w:rPr>
          <w:sz w:val="22"/>
          <w:szCs w:val="22"/>
          <w:lang w:val="lt-LT"/>
        </w:rPr>
        <w:t xml:space="preserve">leidžiant </w:t>
      </w:r>
      <w:r w:rsidR="00134CDE">
        <w:rPr>
          <w:sz w:val="22"/>
          <w:szCs w:val="22"/>
          <w:lang w:val="lt-LT"/>
        </w:rPr>
        <w:t>kartą per</w:t>
      </w:r>
      <w:r w:rsidR="00501ACA">
        <w:rPr>
          <w:sz w:val="22"/>
          <w:szCs w:val="22"/>
          <w:lang w:val="lt-LT"/>
        </w:rPr>
        <w:t xml:space="preserve"> savaitę ir</w:t>
      </w:r>
      <w:r w:rsidRPr="00B227CF">
        <w:rPr>
          <w:sz w:val="22"/>
          <w:szCs w:val="22"/>
          <w:lang w:val="lt-LT"/>
        </w:rPr>
        <w:t xml:space="preserve"> 37</w:t>
      </w:r>
      <w:r w:rsidR="00501ACA">
        <w:rPr>
          <w:sz w:val="22"/>
          <w:szCs w:val="22"/>
          <w:lang w:val="lt-LT"/>
        </w:rPr>
        <w:t> </w:t>
      </w:r>
      <w:r w:rsidR="002F63CE">
        <w:rPr>
          <w:sz w:val="22"/>
          <w:szCs w:val="22"/>
          <w:lang w:val="lt-LT"/>
        </w:rPr>
        <w:t>tiri</w:t>
      </w:r>
      <w:r w:rsidR="00F40D70">
        <w:rPr>
          <w:sz w:val="22"/>
          <w:szCs w:val="22"/>
          <w:lang w:val="lt-LT"/>
        </w:rPr>
        <w:t>a</w:t>
      </w:r>
      <w:r w:rsidR="002F63CE">
        <w:rPr>
          <w:sz w:val="22"/>
          <w:szCs w:val="22"/>
          <w:lang w:val="lt-LT"/>
        </w:rPr>
        <w:t xml:space="preserve">miesiems </w:t>
      </w:r>
      <w:r w:rsidR="00501ACA">
        <w:rPr>
          <w:sz w:val="22"/>
          <w:szCs w:val="22"/>
          <w:lang w:val="lt-LT"/>
        </w:rPr>
        <w:t>leidžiant kas dvi savaites</w:t>
      </w:r>
      <w:r w:rsidRPr="00B227CF">
        <w:rPr>
          <w:sz w:val="22"/>
          <w:szCs w:val="22"/>
          <w:lang w:val="lt-LT"/>
        </w:rPr>
        <w:t>).</w:t>
      </w:r>
      <w:r w:rsidR="00501ACA">
        <w:rPr>
          <w:sz w:val="22"/>
          <w:szCs w:val="22"/>
          <w:lang w:val="lt-LT"/>
        </w:rPr>
        <w:t xml:space="preserve"> Nustatyta viena sunki bakterinė infekcija (SBI), pasireiškusi infekcine </w:t>
      </w:r>
      <w:proofErr w:type="spellStart"/>
      <w:r w:rsidR="00501ACA">
        <w:rPr>
          <w:sz w:val="22"/>
          <w:szCs w:val="22"/>
          <w:lang w:val="lt-LT"/>
        </w:rPr>
        <w:t>bakteriemija</w:t>
      </w:r>
      <w:proofErr w:type="spellEnd"/>
      <w:r w:rsidR="00501ACA">
        <w:rPr>
          <w:sz w:val="22"/>
          <w:szCs w:val="22"/>
          <w:lang w:val="lt-LT"/>
        </w:rPr>
        <w:t xml:space="preserve"> ir (arba) sepsiu.</w:t>
      </w:r>
    </w:p>
    <w:p w14:paraId="609630E7" w14:textId="77777777" w:rsidR="009D603D" w:rsidRPr="009D603D" w:rsidRDefault="009D603D" w:rsidP="009D603D">
      <w:pPr>
        <w:pStyle w:val="Default"/>
        <w:rPr>
          <w:sz w:val="22"/>
          <w:szCs w:val="22"/>
          <w:lang w:val="lt-LT"/>
        </w:rPr>
      </w:pPr>
    </w:p>
    <w:p w14:paraId="7CDEE7FA" w14:textId="09DA21E8" w:rsidR="009D603D" w:rsidRPr="009D603D" w:rsidRDefault="009D603D" w:rsidP="009D603D">
      <w:pPr>
        <w:pStyle w:val="Default"/>
        <w:rPr>
          <w:sz w:val="22"/>
          <w:szCs w:val="22"/>
          <w:lang w:val="lt-LT"/>
        </w:rPr>
      </w:pPr>
      <w:r>
        <w:rPr>
          <w:sz w:val="22"/>
          <w:szCs w:val="22"/>
          <w:lang w:val="lt-LT"/>
        </w:rPr>
        <w:t xml:space="preserve">Į perspektyvinį, atvirąjį, trijų grupių, </w:t>
      </w:r>
      <w:proofErr w:type="spellStart"/>
      <w:r>
        <w:rPr>
          <w:sz w:val="22"/>
          <w:szCs w:val="22"/>
          <w:lang w:val="lt-LT"/>
        </w:rPr>
        <w:t>daugiacentrį</w:t>
      </w:r>
      <w:proofErr w:type="spellEnd"/>
      <w:r>
        <w:rPr>
          <w:sz w:val="22"/>
          <w:szCs w:val="22"/>
          <w:lang w:val="lt-LT"/>
        </w:rPr>
        <w:t xml:space="preserve"> </w:t>
      </w:r>
      <w:r w:rsidRPr="009D603D">
        <w:rPr>
          <w:sz w:val="22"/>
          <w:szCs w:val="22"/>
          <w:lang w:val="lt-LT"/>
        </w:rPr>
        <w:t>III</w:t>
      </w:r>
      <w:r>
        <w:rPr>
          <w:sz w:val="22"/>
          <w:szCs w:val="22"/>
          <w:lang w:val="lt-LT"/>
        </w:rPr>
        <w:t xml:space="preserve"> fazės tyrimą, skirtą </w:t>
      </w:r>
      <w:proofErr w:type="spellStart"/>
      <w:r>
        <w:rPr>
          <w:sz w:val="22"/>
          <w:szCs w:val="22"/>
          <w:lang w:val="lt-LT"/>
        </w:rPr>
        <w:t>c</w:t>
      </w:r>
      <w:r w:rsidRPr="009D603D">
        <w:rPr>
          <w:sz w:val="22"/>
          <w:szCs w:val="22"/>
          <w:lang w:val="lt-LT"/>
        </w:rPr>
        <w:t>utaquig</w:t>
      </w:r>
      <w:proofErr w:type="spellEnd"/>
      <w:r>
        <w:rPr>
          <w:sz w:val="22"/>
          <w:szCs w:val="22"/>
          <w:lang w:val="lt-LT"/>
        </w:rPr>
        <w:t xml:space="preserve"> saugumui, toleravimui ir veiksmingumui stebėti, buvo įtraukti</w:t>
      </w:r>
      <w:r w:rsidRPr="009D603D">
        <w:rPr>
          <w:sz w:val="22"/>
          <w:szCs w:val="22"/>
          <w:lang w:val="lt-LT"/>
        </w:rPr>
        <w:t xml:space="preserve"> 64</w:t>
      </w:r>
      <w:r>
        <w:rPr>
          <w:sz w:val="22"/>
          <w:szCs w:val="22"/>
          <w:lang w:val="lt-LT"/>
        </w:rPr>
        <w:t> </w:t>
      </w:r>
      <w:r w:rsidRPr="009D603D">
        <w:rPr>
          <w:sz w:val="22"/>
          <w:szCs w:val="22"/>
          <w:lang w:val="lt-LT"/>
        </w:rPr>
        <w:t>PID</w:t>
      </w:r>
      <w:r>
        <w:rPr>
          <w:sz w:val="22"/>
          <w:szCs w:val="22"/>
          <w:lang w:val="lt-LT"/>
        </w:rPr>
        <w:t xml:space="preserve"> sergantys </w:t>
      </w:r>
      <w:r w:rsidRPr="009D603D">
        <w:rPr>
          <w:sz w:val="22"/>
          <w:szCs w:val="22"/>
          <w:lang w:val="lt-LT"/>
        </w:rPr>
        <w:t>5</w:t>
      </w:r>
      <w:r>
        <w:rPr>
          <w:sz w:val="22"/>
          <w:szCs w:val="22"/>
          <w:lang w:val="lt-LT"/>
        </w:rPr>
        <w:noBreakHyphen/>
      </w:r>
      <w:r w:rsidRPr="009D603D">
        <w:rPr>
          <w:sz w:val="22"/>
          <w:szCs w:val="22"/>
          <w:lang w:val="lt-LT"/>
        </w:rPr>
        <w:t>74</w:t>
      </w:r>
      <w:r>
        <w:rPr>
          <w:sz w:val="22"/>
          <w:szCs w:val="22"/>
          <w:lang w:val="lt-LT"/>
        </w:rPr>
        <w:t> metų tiriamieji</w:t>
      </w:r>
      <w:r w:rsidRPr="009D603D">
        <w:rPr>
          <w:sz w:val="22"/>
          <w:szCs w:val="22"/>
          <w:lang w:val="lt-LT"/>
        </w:rPr>
        <w:t xml:space="preserve"> (59</w:t>
      </w:r>
      <w:r>
        <w:rPr>
          <w:sz w:val="22"/>
          <w:szCs w:val="22"/>
          <w:lang w:val="lt-LT"/>
        </w:rPr>
        <w:t> suaugusieji</w:t>
      </w:r>
      <w:r w:rsidRPr="009D603D">
        <w:rPr>
          <w:sz w:val="22"/>
          <w:szCs w:val="22"/>
          <w:lang w:val="lt-LT"/>
        </w:rPr>
        <w:t>, 1</w:t>
      </w:r>
      <w:r>
        <w:rPr>
          <w:sz w:val="22"/>
          <w:szCs w:val="22"/>
          <w:lang w:val="lt-LT"/>
        </w:rPr>
        <w:t> jaunesnis vaikas</w:t>
      </w:r>
      <w:r w:rsidRPr="009D603D">
        <w:rPr>
          <w:sz w:val="22"/>
          <w:szCs w:val="22"/>
          <w:lang w:val="lt-LT"/>
        </w:rPr>
        <w:t xml:space="preserve"> [</w:t>
      </w:r>
      <w:r>
        <w:rPr>
          <w:sz w:val="22"/>
          <w:szCs w:val="22"/>
          <w:lang w:val="lt-LT"/>
        </w:rPr>
        <w:t xml:space="preserve">nuo </w:t>
      </w:r>
      <w:r w:rsidRPr="009D603D">
        <w:rPr>
          <w:sz w:val="22"/>
          <w:szCs w:val="22"/>
          <w:lang w:val="lt-LT"/>
        </w:rPr>
        <w:t>≥</w:t>
      </w:r>
      <w:r>
        <w:rPr>
          <w:sz w:val="22"/>
          <w:szCs w:val="22"/>
          <w:lang w:val="lt-LT"/>
        </w:rPr>
        <w:t> </w:t>
      </w:r>
      <w:r w:rsidRPr="009D603D">
        <w:rPr>
          <w:sz w:val="22"/>
          <w:szCs w:val="22"/>
          <w:lang w:val="lt-LT"/>
        </w:rPr>
        <w:t xml:space="preserve">2 </w:t>
      </w:r>
      <w:r>
        <w:rPr>
          <w:sz w:val="22"/>
          <w:szCs w:val="22"/>
          <w:lang w:val="lt-LT"/>
        </w:rPr>
        <w:t>iki</w:t>
      </w:r>
      <w:r w:rsidRPr="009D603D">
        <w:rPr>
          <w:sz w:val="22"/>
          <w:szCs w:val="22"/>
          <w:lang w:val="lt-LT"/>
        </w:rPr>
        <w:t xml:space="preserve"> &lt;</w:t>
      </w:r>
      <w:r>
        <w:rPr>
          <w:sz w:val="22"/>
          <w:szCs w:val="22"/>
          <w:lang w:val="lt-LT"/>
        </w:rPr>
        <w:t> </w:t>
      </w:r>
      <w:r w:rsidRPr="009D603D">
        <w:rPr>
          <w:sz w:val="22"/>
          <w:szCs w:val="22"/>
          <w:lang w:val="lt-LT"/>
        </w:rPr>
        <w:t>6</w:t>
      </w:r>
      <w:r>
        <w:rPr>
          <w:sz w:val="22"/>
          <w:szCs w:val="22"/>
          <w:lang w:val="lt-LT"/>
        </w:rPr>
        <w:t> metų</w:t>
      </w:r>
      <w:r w:rsidRPr="009D603D">
        <w:rPr>
          <w:sz w:val="22"/>
          <w:szCs w:val="22"/>
          <w:lang w:val="lt-LT"/>
        </w:rPr>
        <w:t>], 2</w:t>
      </w:r>
      <w:r>
        <w:rPr>
          <w:sz w:val="22"/>
          <w:szCs w:val="22"/>
          <w:lang w:val="lt-LT"/>
        </w:rPr>
        <w:t> vyresni vaikai</w:t>
      </w:r>
      <w:r w:rsidRPr="009D603D">
        <w:rPr>
          <w:sz w:val="22"/>
          <w:szCs w:val="22"/>
          <w:lang w:val="lt-LT"/>
        </w:rPr>
        <w:t xml:space="preserve"> [</w:t>
      </w:r>
      <w:r>
        <w:rPr>
          <w:sz w:val="22"/>
          <w:szCs w:val="22"/>
          <w:lang w:val="lt-LT"/>
        </w:rPr>
        <w:t xml:space="preserve">nuo </w:t>
      </w:r>
      <w:r w:rsidRPr="009D603D">
        <w:rPr>
          <w:sz w:val="22"/>
          <w:szCs w:val="22"/>
          <w:lang w:val="lt-LT"/>
        </w:rPr>
        <w:t>≥</w:t>
      </w:r>
      <w:r>
        <w:rPr>
          <w:sz w:val="22"/>
          <w:szCs w:val="22"/>
          <w:lang w:val="lt-LT"/>
        </w:rPr>
        <w:t> </w:t>
      </w:r>
      <w:r w:rsidRPr="009D603D">
        <w:rPr>
          <w:sz w:val="22"/>
          <w:szCs w:val="22"/>
          <w:lang w:val="lt-LT"/>
        </w:rPr>
        <w:t xml:space="preserve">6 </w:t>
      </w:r>
      <w:r>
        <w:rPr>
          <w:sz w:val="22"/>
          <w:szCs w:val="22"/>
          <w:lang w:val="lt-LT"/>
        </w:rPr>
        <w:t>iki</w:t>
      </w:r>
      <w:r w:rsidRPr="009D603D">
        <w:rPr>
          <w:sz w:val="22"/>
          <w:szCs w:val="22"/>
          <w:lang w:val="lt-LT"/>
        </w:rPr>
        <w:t xml:space="preserve"> &lt;</w:t>
      </w:r>
      <w:r>
        <w:rPr>
          <w:sz w:val="22"/>
          <w:szCs w:val="22"/>
          <w:lang w:val="lt-LT"/>
        </w:rPr>
        <w:t> </w:t>
      </w:r>
      <w:r w:rsidRPr="009D603D">
        <w:rPr>
          <w:sz w:val="22"/>
          <w:szCs w:val="22"/>
          <w:lang w:val="lt-LT"/>
        </w:rPr>
        <w:t>12</w:t>
      </w:r>
      <w:r>
        <w:rPr>
          <w:sz w:val="22"/>
          <w:szCs w:val="22"/>
          <w:lang w:val="lt-LT"/>
        </w:rPr>
        <w:t> metų</w:t>
      </w:r>
      <w:r w:rsidRPr="009D603D">
        <w:rPr>
          <w:sz w:val="22"/>
          <w:szCs w:val="22"/>
          <w:lang w:val="lt-LT"/>
        </w:rPr>
        <w:t>], 2</w:t>
      </w:r>
      <w:r>
        <w:rPr>
          <w:sz w:val="22"/>
          <w:szCs w:val="22"/>
          <w:lang w:val="lt-LT"/>
        </w:rPr>
        <w:t> paaugliai</w:t>
      </w:r>
      <w:r w:rsidRPr="009D603D">
        <w:rPr>
          <w:sz w:val="22"/>
          <w:szCs w:val="22"/>
          <w:lang w:val="lt-LT"/>
        </w:rPr>
        <w:t xml:space="preserve"> [</w:t>
      </w:r>
      <w:r>
        <w:rPr>
          <w:sz w:val="22"/>
          <w:szCs w:val="22"/>
          <w:lang w:val="lt-LT"/>
        </w:rPr>
        <w:t xml:space="preserve">nuo </w:t>
      </w:r>
      <w:r w:rsidRPr="009D603D">
        <w:rPr>
          <w:sz w:val="22"/>
          <w:szCs w:val="22"/>
          <w:lang w:val="lt-LT"/>
        </w:rPr>
        <w:t>≥</w:t>
      </w:r>
      <w:r>
        <w:rPr>
          <w:sz w:val="22"/>
          <w:szCs w:val="22"/>
          <w:lang w:val="lt-LT"/>
        </w:rPr>
        <w:t> </w:t>
      </w:r>
      <w:r w:rsidRPr="009D603D">
        <w:rPr>
          <w:sz w:val="22"/>
          <w:szCs w:val="22"/>
          <w:lang w:val="lt-LT"/>
        </w:rPr>
        <w:t xml:space="preserve">12 </w:t>
      </w:r>
      <w:r>
        <w:rPr>
          <w:sz w:val="22"/>
          <w:szCs w:val="22"/>
          <w:lang w:val="lt-LT"/>
        </w:rPr>
        <w:t>iki</w:t>
      </w:r>
      <w:r w:rsidRPr="009D603D">
        <w:rPr>
          <w:sz w:val="22"/>
          <w:szCs w:val="22"/>
          <w:lang w:val="lt-LT"/>
        </w:rPr>
        <w:t xml:space="preserve"> &lt;</w:t>
      </w:r>
      <w:r>
        <w:rPr>
          <w:sz w:val="22"/>
          <w:szCs w:val="22"/>
          <w:lang w:val="lt-LT"/>
        </w:rPr>
        <w:t> </w:t>
      </w:r>
      <w:r w:rsidRPr="009D603D">
        <w:rPr>
          <w:sz w:val="22"/>
          <w:szCs w:val="22"/>
          <w:lang w:val="lt-LT"/>
        </w:rPr>
        <w:t>17</w:t>
      </w:r>
      <w:r>
        <w:rPr>
          <w:sz w:val="22"/>
          <w:szCs w:val="22"/>
          <w:lang w:val="lt-LT"/>
        </w:rPr>
        <w:t> metų</w:t>
      </w:r>
      <w:r w:rsidRPr="009D603D">
        <w:rPr>
          <w:sz w:val="22"/>
          <w:szCs w:val="22"/>
          <w:lang w:val="lt-LT"/>
        </w:rPr>
        <w:t>]).</w:t>
      </w:r>
    </w:p>
    <w:p w14:paraId="0E766EC4" w14:textId="5EBEDB74" w:rsidR="009D603D" w:rsidRPr="009D603D" w:rsidRDefault="002F63CE" w:rsidP="009D603D">
      <w:pPr>
        <w:pStyle w:val="Default"/>
        <w:rPr>
          <w:sz w:val="22"/>
          <w:szCs w:val="22"/>
          <w:lang w:val="lt-LT"/>
        </w:rPr>
      </w:pPr>
      <w:r>
        <w:rPr>
          <w:sz w:val="22"/>
          <w:szCs w:val="22"/>
          <w:lang w:val="lt-LT"/>
        </w:rPr>
        <w:t>Užbaig</w:t>
      </w:r>
      <w:r w:rsidR="00E117B1">
        <w:rPr>
          <w:sz w:val="22"/>
          <w:szCs w:val="22"/>
          <w:lang w:val="lt-LT"/>
        </w:rPr>
        <w:t>ę</w:t>
      </w:r>
      <w:r w:rsidR="009D603D" w:rsidRPr="009D603D">
        <w:rPr>
          <w:sz w:val="22"/>
          <w:szCs w:val="22"/>
          <w:lang w:val="lt-LT"/>
        </w:rPr>
        <w:t xml:space="preserve"> 4</w:t>
      </w:r>
      <w:r>
        <w:rPr>
          <w:sz w:val="22"/>
          <w:szCs w:val="22"/>
          <w:lang w:val="lt-LT"/>
        </w:rPr>
        <w:t> savaičių stabilizavimo etapą</w:t>
      </w:r>
      <w:r w:rsidR="009D603D" w:rsidRPr="009D603D">
        <w:rPr>
          <w:sz w:val="22"/>
          <w:szCs w:val="22"/>
          <w:lang w:val="lt-LT"/>
        </w:rPr>
        <w:t xml:space="preserve">, </w:t>
      </w:r>
      <w:r w:rsidR="00E117B1">
        <w:rPr>
          <w:sz w:val="22"/>
          <w:szCs w:val="22"/>
          <w:lang w:val="lt-LT"/>
        </w:rPr>
        <w:t xml:space="preserve">tiriamieji </w:t>
      </w:r>
      <w:r w:rsidR="00E81F68">
        <w:rPr>
          <w:sz w:val="22"/>
          <w:szCs w:val="22"/>
          <w:lang w:val="lt-LT"/>
        </w:rPr>
        <w:t>pradėjo gydymo etap</w:t>
      </w:r>
      <w:r w:rsidR="00E117B1">
        <w:rPr>
          <w:sz w:val="22"/>
          <w:szCs w:val="22"/>
          <w:lang w:val="lt-LT"/>
        </w:rPr>
        <w:t>ą</w:t>
      </w:r>
      <w:r w:rsidR="00E81F68">
        <w:rPr>
          <w:sz w:val="22"/>
          <w:szCs w:val="22"/>
          <w:lang w:val="lt-LT"/>
        </w:rPr>
        <w:t xml:space="preserve"> su</w:t>
      </w:r>
      <w:r w:rsidR="009D603D" w:rsidRPr="009D603D">
        <w:rPr>
          <w:sz w:val="22"/>
          <w:szCs w:val="22"/>
          <w:lang w:val="lt-LT"/>
        </w:rPr>
        <w:t xml:space="preserve"> 24</w:t>
      </w:r>
      <w:r w:rsidR="00E81F68">
        <w:rPr>
          <w:sz w:val="22"/>
          <w:szCs w:val="22"/>
          <w:lang w:val="lt-LT"/>
        </w:rPr>
        <w:t> savaičių stebėjimo laikotarpiu</w:t>
      </w:r>
      <w:r w:rsidR="00E117B1">
        <w:rPr>
          <w:sz w:val="22"/>
          <w:szCs w:val="22"/>
          <w:lang w:val="lt-LT"/>
        </w:rPr>
        <w:t xml:space="preserve"> ir buvo paskirti</w:t>
      </w:r>
      <w:r w:rsidR="00E81F68">
        <w:rPr>
          <w:sz w:val="22"/>
          <w:szCs w:val="22"/>
          <w:lang w:val="lt-LT"/>
        </w:rPr>
        <w:t xml:space="preserve"> į vieną iš</w:t>
      </w:r>
      <w:r w:rsidR="009D603D" w:rsidRPr="009D603D">
        <w:rPr>
          <w:sz w:val="22"/>
          <w:szCs w:val="22"/>
          <w:lang w:val="lt-LT"/>
        </w:rPr>
        <w:t xml:space="preserve"> 3</w:t>
      </w:r>
      <w:r w:rsidR="00E81F68">
        <w:rPr>
          <w:sz w:val="22"/>
          <w:szCs w:val="22"/>
          <w:lang w:val="lt-LT"/>
        </w:rPr>
        <w:t> kohortų</w:t>
      </w:r>
      <w:r w:rsidR="009D603D" w:rsidRPr="009D603D">
        <w:rPr>
          <w:sz w:val="22"/>
          <w:szCs w:val="22"/>
          <w:lang w:val="lt-LT"/>
        </w:rPr>
        <w:t>:</w:t>
      </w:r>
    </w:p>
    <w:p w14:paraId="7083FBF0" w14:textId="1FEB1923" w:rsidR="009D603D" w:rsidRPr="009D603D" w:rsidRDefault="009D603D" w:rsidP="00AC5610">
      <w:pPr>
        <w:pStyle w:val="Default"/>
        <w:numPr>
          <w:ilvl w:val="0"/>
          <w:numId w:val="38"/>
        </w:numPr>
        <w:ind w:left="720"/>
        <w:rPr>
          <w:sz w:val="22"/>
          <w:szCs w:val="22"/>
          <w:lang w:val="lt-LT"/>
        </w:rPr>
      </w:pPr>
      <w:r w:rsidRPr="009D603D">
        <w:rPr>
          <w:sz w:val="22"/>
          <w:szCs w:val="22"/>
          <w:lang w:val="lt-LT"/>
        </w:rPr>
        <w:t>1</w:t>
      </w:r>
      <w:r w:rsidR="00D03286">
        <w:rPr>
          <w:sz w:val="22"/>
          <w:szCs w:val="22"/>
          <w:lang w:val="lt-LT"/>
        </w:rPr>
        <w:t xml:space="preserve"> kohortoje buvo vertinamas </w:t>
      </w:r>
      <w:r w:rsidR="00875404">
        <w:rPr>
          <w:sz w:val="22"/>
          <w:szCs w:val="22"/>
          <w:lang w:val="lt-LT"/>
        </w:rPr>
        <w:t xml:space="preserve">tirpalo </w:t>
      </w:r>
      <w:r w:rsidR="00D03286">
        <w:rPr>
          <w:sz w:val="22"/>
          <w:szCs w:val="22"/>
          <w:lang w:val="lt-LT"/>
        </w:rPr>
        <w:t>tūrio didinimas vienoje vietoje iki ne daugiau kaip</w:t>
      </w:r>
      <w:r w:rsidRPr="009D603D">
        <w:rPr>
          <w:sz w:val="22"/>
          <w:szCs w:val="22"/>
          <w:lang w:val="lt-LT"/>
        </w:rPr>
        <w:t xml:space="preserve"> 100</w:t>
      </w:r>
      <w:r w:rsidR="00D03286">
        <w:rPr>
          <w:sz w:val="22"/>
          <w:szCs w:val="22"/>
          <w:lang w:val="lt-LT"/>
        </w:rPr>
        <w:t> </w:t>
      </w:r>
      <w:r w:rsidRPr="009D603D">
        <w:rPr>
          <w:sz w:val="22"/>
          <w:szCs w:val="22"/>
          <w:lang w:val="lt-LT"/>
        </w:rPr>
        <w:t>ml/</w:t>
      </w:r>
      <w:r w:rsidR="00D03286">
        <w:rPr>
          <w:sz w:val="22"/>
          <w:szCs w:val="22"/>
          <w:lang w:val="lt-LT"/>
        </w:rPr>
        <w:t>vietai</w:t>
      </w:r>
      <w:r w:rsidR="00E51A74">
        <w:rPr>
          <w:sz w:val="22"/>
          <w:szCs w:val="22"/>
          <w:lang w:val="lt-LT"/>
        </w:rPr>
        <w:t>;</w:t>
      </w:r>
    </w:p>
    <w:p w14:paraId="126522DF" w14:textId="1A7AD496" w:rsidR="009D603D" w:rsidRPr="009D603D" w:rsidRDefault="009D603D" w:rsidP="00AC5610">
      <w:pPr>
        <w:pStyle w:val="Default"/>
        <w:numPr>
          <w:ilvl w:val="0"/>
          <w:numId w:val="38"/>
        </w:numPr>
        <w:ind w:left="720"/>
        <w:rPr>
          <w:sz w:val="22"/>
          <w:szCs w:val="22"/>
          <w:lang w:val="lt-LT"/>
        </w:rPr>
      </w:pPr>
      <w:r w:rsidRPr="009D603D">
        <w:rPr>
          <w:sz w:val="22"/>
          <w:szCs w:val="22"/>
          <w:lang w:val="lt-LT"/>
        </w:rPr>
        <w:t>2</w:t>
      </w:r>
      <w:r w:rsidR="00D03286">
        <w:rPr>
          <w:sz w:val="22"/>
          <w:szCs w:val="22"/>
          <w:lang w:val="lt-LT"/>
        </w:rPr>
        <w:t> kohort</w:t>
      </w:r>
      <w:r w:rsidR="00E51A74">
        <w:rPr>
          <w:sz w:val="22"/>
          <w:szCs w:val="22"/>
          <w:lang w:val="lt-LT"/>
        </w:rPr>
        <w:t>oje buvo</w:t>
      </w:r>
      <w:r w:rsidR="00D03286" w:rsidRPr="00D03286">
        <w:rPr>
          <w:sz w:val="22"/>
          <w:szCs w:val="22"/>
          <w:lang w:val="lt-LT"/>
        </w:rPr>
        <w:t xml:space="preserve"> </w:t>
      </w:r>
      <w:r w:rsidR="00D03286">
        <w:rPr>
          <w:sz w:val="22"/>
          <w:szCs w:val="22"/>
          <w:lang w:val="lt-LT"/>
        </w:rPr>
        <w:t>vertinamas infuzijos srauto greičio didinimas vienoje vietoje iki ne daugiau kaip</w:t>
      </w:r>
      <w:r w:rsidR="00D03286" w:rsidRPr="009D603D">
        <w:rPr>
          <w:sz w:val="22"/>
          <w:szCs w:val="22"/>
          <w:lang w:val="lt-LT"/>
        </w:rPr>
        <w:t xml:space="preserve"> 100</w:t>
      </w:r>
      <w:r w:rsidR="00D03286">
        <w:rPr>
          <w:sz w:val="22"/>
          <w:szCs w:val="22"/>
          <w:lang w:val="lt-LT"/>
        </w:rPr>
        <w:t> </w:t>
      </w:r>
      <w:r w:rsidR="00D03286" w:rsidRPr="009D603D">
        <w:rPr>
          <w:sz w:val="22"/>
          <w:szCs w:val="22"/>
          <w:lang w:val="lt-LT"/>
        </w:rPr>
        <w:t>ml/</w:t>
      </w:r>
      <w:r w:rsidR="00E51A74">
        <w:rPr>
          <w:sz w:val="22"/>
          <w:szCs w:val="22"/>
          <w:lang w:val="lt-LT"/>
        </w:rPr>
        <w:t>val./</w:t>
      </w:r>
      <w:r w:rsidR="00D03286">
        <w:rPr>
          <w:sz w:val="22"/>
          <w:szCs w:val="22"/>
          <w:lang w:val="lt-LT"/>
        </w:rPr>
        <w:t>vietai</w:t>
      </w:r>
      <w:r w:rsidRPr="009D603D">
        <w:rPr>
          <w:sz w:val="22"/>
          <w:szCs w:val="22"/>
          <w:lang w:val="lt-LT"/>
        </w:rPr>
        <w:t xml:space="preserve"> </w:t>
      </w:r>
      <w:r w:rsidR="00E51A74">
        <w:rPr>
          <w:sz w:val="22"/>
          <w:szCs w:val="22"/>
          <w:lang w:val="lt-LT"/>
        </w:rPr>
        <w:t>arba</w:t>
      </w:r>
      <w:r w:rsidRPr="009D603D">
        <w:rPr>
          <w:sz w:val="22"/>
          <w:szCs w:val="22"/>
          <w:lang w:val="lt-LT"/>
        </w:rPr>
        <w:t xml:space="preserve"> </w:t>
      </w:r>
      <w:r w:rsidR="00E51A74">
        <w:rPr>
          <w:sz w:val="22"/>
          <w:szCs w:val="22"/>
          <w:lang w:val="lt-LT"/>
        </w:rPr>
        <w:t xml:space="preserve">iki didžiausio </w:t>
      </w:r>
      <w:r w:rsidR="000D1191">
        <w:rPr>
          <w:sz w:val="22"/>
          <w:szCs w:val="22"/>
          <w:lang w:val="lt-LT"/>
        </w:rPr>
        <w:t>infuzijos pompa</w:t>
      </w:r>
      <w:r w:rsidR="00E51A74">
        <w:rPr>
          <w:sz w:val="22"/>
          <w:szCs w:val="22"/>
          <w:lang w:val="lt-LT"/>
        </w:rPr>
        <w:t xml:space="preserve"> pasiekiamo srauto greičio</w:t>
      </w:r>
      <w:r w:rsidRPr="009D603D">
        <w:rPr>
          <w:sz w:val="22"/>
          <w:szCs w:val="22"/>
          <w:lang w:val="lt-LT"/>
        </w:rPr>
        <w:t>.</w:t>
      </w:r>
    </w:p>
    <w:p w14:paraId="4CF78214" w14:textId="41B2A61B" w:rsidR="009D603D" w:rsidRPr="009D603D" w:rsidRDefault="009D603D" w:rsidP="00AC5610">
      <w:pPr>
        <w:pStyle w:val="Default"/>
        <w:numPr>
          <w:ilvl w:val="0"/>
          <w:numId w:val="38"/>
        </w:numPr>
        <w:ind w:left="720"/>
        <w:rPr>
          <w:sz w:val="22"/>
          <w:szCs w:val="22"/>
          <w:lang w:val="lt-LT"/>
        </w:rPr>
      </w:pPr>
      <w:r w:rsidRPr="009D603D">
        <w:rPr>
          <w:sz w:val="22"/>
          <w:szCs w:val="22"/>
          <w:lang w:val="lt-LT"/>
        </w:rPr>
        <w:t>3</w:t>
      </w:r>
      <w:r w:rsidR="00D03286">
        <w:rPr>
          <w:sz w:val="22"/>
          <w:szCs w:val="22"/>
          <w:lang w:val="lt-LT"/>
        </w:rPr>
        <w:t> </w:t>
      </w:r>
      <w:r w:rsidR="00E51A74">
        <w:rPr>
          <w:sz w:val="22"/>
          <w:szCs w:val="22"/>
          <w:lang w:val="lt-LT"/>
        </w:rPr>
        <w:t xml:space="preserve">kohortoje buvo vertinamas </w:t>
      </w:r>
      <w:proofErr w:type="spellStart"/>
      <w:r w:rsidR="00E51A74">
        <w:rPr>
          <w:sz w:val="22"/>
          <w:szCs w:val="22"/>
          <w:lang w:val="lt-LT"/>
        </w:rPr>
        <w:t>c</w:t>
      </w:r>
      <w:r w:rsidRPr="009D603D">
        <w:rPr>
          <w:sz w:val="22"/>
          <w:szCs w:val="22"/>
          <w:lang w:val="lt-LT"/>
        </w:rPr>
        <w:t>utaquig</w:t>
      </w:r>
      <w:proofErr w:type="spellEnd"/>
      <w:r w:rsidRPr="009D603D">
        <w:rPr>
          <w:sz w:val="22"/>
          <w:szCs w:val="22"/>
          <w:lang w:val="lt-LT"/>
        </w:rPr>
        <w:t xml:space="preserve"> </w:t>
      </w:r>
      <w:r w:rsidR="00E51A74">
        <w:rPr>
          <w:sz w:val="22"/>
          <w:szCs w:val="22"/>
          <w:lang w:val="lt-LT"/>
        </w:rPr>
        <w:t xml:space="preserve">vartojimas kas antrą savaitę leidžiant dozę, atitinkančią dvigubą nuo paciento svorio priklausomą </w:t>
      </w:r>
      <w:r w:rsidRPr="009D603D">
        <w:rPr>
          <w:sz w:val="22"/>
          <w:szCs w:val="22"/>
          <w:lang w:val="lt-LT"/>
        </w:rPr>
        <w:t xml:space="preserve">(mg/kg) </w:t>
      </w:r>
      <w:r w:rsidR="00F40D70">
        <w:rPr>
          <w:sz w:val="22"/>
          <w:szCs w:val="22"/>
          <w:lang w:val="lt-LT"/>
        </w:rPr>
        <w:t>kartą per</w:t>
      </w:r>
      <w:r w:rsidR="00E51A74">
        <w:rPr>
          <w:sz w:val="22"/>
          <w:szCs w:val="22"/>
          <w:lang w:val="lt-LT"/>
        </w:rPr>
        <w:t xml:space="preserve"> savait</w:t>
      </w:r>
      <w:r w:rsidR="00F40D70">
        <w:rPr>
          <w:sz w:val="22"/>
          <w:szCs w:val="22"/>
          <w:lang w:val="lt-LT"/>
        </w:rPr>
        <w:t>ę skiriamą</w:t>
      </w:r>
      <w:r w:rsidR="00E51A74">
        <w:rPr>
          <w:sz w:val="22"/>
          <w:szCs w:val="22"/>
          <w:lang w:val="lt-LT"/>
        </w:rPr>
        <w:t xml:space="preserve"> dozę</w:t>
      </w:r>
      <w:r w:rsidRPr="009D603D">
        <w:rPr>
          <w:sz w:val="22"/>
          <w:szCs w:val="22"/>
          <w:lang w:val="lt-LT"/>
        </w:rPr>
        <w:t>.</w:t>
      </w:r>
    </w:p>
    <w:p w14:paraId="4E461487" w14:textId="77777777" w:rsidR="009D603D" w:rsidRPr="009D603D" w:rsidRDefault="009D603D" w:rsidP="009D603D">
      <w:pPr>
        <w:pStyle w:val="Default"/>
        <w:rPr>
          <w:sz w:val="22"/>
          <w:szCs w:val="22"/>
          <w:lang w:val="lt-LT"/>
        </w:rPr>
      </w:pPr>
    </w:p>
    <w:p w14:paraId="7A227C24" w14:textId="6E20E26D" w:rsidR="009D603D" w:rsidRDefault="00B76429" w:rsidP="009D603D">
      <w:pPr>
        <w:pStyle w:val="Default"/>
        <w:rPr>
          <w:sz w:val="22"/>
          <w:szCs w:val="22"/>
          <w:lang w:val="lt-LT"/>
        </w:rPr>
      </w:pPr>
      <w:r>
        <w:rPr>
          <w:sz w:val="22"/>
          <w:szCs w:val="22"/>
          <w:lang w:val="lt-LT"/>
        </w:rPr>
        <w:t>Sudėtinė pirminė vertinamoji baigtis buvo palyginti</w:t>
      </w:r>
      <w:r w:rsidR="009D603D" w:rsidRPr="009D603D">
        <w:rPr>
          <w:sz w:val="22"/>
          <w:szCs w:val="22"/>
          <w:lang w:val="lt-LT"/>
        </w:rPr>
        <w:t xml:space="preserve"> </w:t>
      </w:r>
      <w:r w:rsidR="00E117B1">
        <w:rPr>
          <w:sz w:val="22"/>
          <w:szCs w:val="22"/>
          <w:lang w:val="lt-LT"/>
        </w:rPr>
        <w:t>kartą per</w:t>
      </w:r>
      <w:r>
        <w:rPr>
          <w:sz w:val="22"/>
          <w:szCs w:val="22"/>
          <w:lang w:val="lt-LT"/>
        </w:rPr>
        <w:t xml:space="preserve"> savaitę skiriamų infuzijų ir kas antrą savaitę skiriamų infuzijų mažiausiąsias </w:t>
      </w:r>
      <w:proofErr w:type="spellStart"/>
      <w:r w:rsidRPr="009D603D">
        <w:rPr>
          <w:sz w:val="22"/>
          <w:szCs w:val="22"/>
          <w:lang w:val="lt-LT"/>
        </w:rPr>
        <w:t>IgG</w:t>
      </w:r>
      <w:proofErr w:type="spellEnd"/>
      <w:r w:rsidRPr="009D603D">
        <w:rPr>
          <w:sz w:val="22"/>
          <w:szCs w:val="22"/>
          <w:lang w:val="lt-LT"/>
        </w:rPr>
        <w:t xml:space="preserve"> </w:t>
      </w:r>
      <w:r>
        <w:rPr>
          <w:sz w:val="22"/>
          <w:szCs w:val="22"/>
          <w:lang w:val="lt-LT"/>
        </w:rPr>
        <w:t>koncentracijas</w:t>
      </w:r>
      <w:r w:rsidR="009D603D" w:rsidRPr="009D603D">
        <w:rPr>
          <w:sz w:val="22"/>
          <w:szCs w:val="22"/>
          <w:lang w:val="lt-LT"/>
        </w:rPr>
        <w:t xml:space="preserve"> </w:t>
      </w:r>
      <w:r>
        <w:rPr>
          <w:sz w:val="22"/>
          <w:szCs w:val="22"/>
          <w:lang w:val="lt-LT"/>
        </w:rPr>
        <w:t>ir įvertinti didesnio infuzi</w:t>
      </w:r>
      <w:r w:rsidR="00C31AEF">
        <w:rPr>
          <w:sz w:val="22"/>
          <w:szCs w:val="22"/>
          <w:lang w:val="lt-LT"/>
        </w:rPr>
        <w:t>nio tirpalo</w:t>
      </w:r>
      <w:r>
        <w:rPr>
          <w:sz w:val="22"/>
          <w:szCs w:val="22"/>
          <w:lang w:val="lt-LT"/>
        </w:rPr>
        <w:t xml:space="preserve"> tūrio ir didesnio infuzijos greičio kiekvienoje infuzijos vietoje bei </w:t>
      </w:r>
      <w:r w:rsidR="00F40D70">
        <w:rPr>
          <w:sz w:val="22"/>
          <w:szCs w:val="22"/>
          <w:lang w:val="lt-LT"/>
        </w:rPr>
        <w:t>kas antrą savaitę vartojamos dozės saugumą ir toleravimą</w:t>
      </w:r>
      <w:r w:rsidR="009D603D" w:rsidRPr="009D603D">
        <w:rPr>
          <w:sz w:val="22"/>
          <w:szCs w:val="22"/>
          <w:lang w:val="lt-LT"/>
        </w:rPr>
        <w:t>.</w:t>
      </w:r>
    </w:p>
    <w:p w14:paraId="36CC4D38" w14:textId="77777777" w:rsidR="00C31AEF" w:rsidRDefault="00C31AEF" w:rsidP="009D603D">
      <w:pPr>
        <w:pStyle w:val="Default"/>
        <w:rPr>
          <w:sz w:val="22"/>
          <w:szCs w:val="22"/>
          <w:lang w:val="lt-LT"/>
        </w:rPr>
      </w:pPr>
    </w:p>
    <w:p w14:paraId="3DA22667" w14:textId="7A2559BC" w:rsidR="00C31AEF" w:rsidRPr="00C31AEF" w:rsidRDefault="00C31AEF" w:rsidP="00C31AEF">
      <w:pPr>
        <w:pStyle w:val="Default"/>
        <w:rPr>
          <w:sz w:val="22"/>
          <w:szCs w:val="22"/>
          <w:lang w:val="lt-LT"/>
        </w:rPr>
      </w:pPr>
      <w:r>
        <w:rPr>
          <w:sz w:val="22"/>
          <w:szCs w:val="22"/>
          <w:lang w:val="lt-LT"/>
        </w:rPr>
        <w:t>Iš viso tiriamiesiems buvo skirtos</w:t>
      </w:r>
      <w:r w:rsidRPr="00C31AEF">
        <w:rPr>
          <w:sz w:val="22"/>
          <w:szCs w:val="22"/>
          <w:lang w:val="lt-LT"/>
        </w:rPr>
        <w:t xml:space="preserve"> 1</w:t>
      </w:r>
      <w:r>
        <w:rPr>
          <w:sz w:val="22"/>
          <w:szCs w:val="22"/>
          <w:lang w:val="lt-LT"/>
        </w:rPr>
        <w:t> </w:t>
      </w:r>
      <w:r w:rsidRPr="00C31AEF">
        <w:rPr>
          <w:sz w:val="22"/>
          <w:szCs w:val="22"/>
          <w:lang w:val="lt-LT"/>
        </w:rPr>
        <w:t>338</w:t>
      </w:r>
      <w:r>
        <w:rPr>
          <w:sz w:val="22"/>
          <w:szCs w:val="22"/>
          <w:lang w:val="lt-LT"/>
        </w:rPr>
        <w:t> infuzijos</w:t>
      </w:r>
      <w:r w:rsidRPr="00C31AEF">
        <w:rPr>
          <w:sz w:val="22"/>
          <w:szCs w:val="22"/>
          <w:lang w:val="lt-LT"/>
        </w:rPr>
        <w:t xml:space="preserve"> (1</w:t>
      </w:r>
      <w:r>
        <w:rPr>
          <w:sz w:val="22"/>
          <w:szCs w:val="22"/>
          <w:lang w:val="lt-LT"/>
        </w:rPr>
        <w:t> kohortoje </w:t>
      </w:r>
      <w:r w:rsidRPr="00AC5610">
        <w:rPr>
          <w:sz w:val="22"/>
          <w:szCs w:val="22"/>
          <w:lang w:val="lt-LT"/>
        </w:rPr>
        <w:t xml:space="preserve">– </w:t>
      </w:r>
      <w:r w:rsidRPr="00C31AEF">
        <w:rPr>
          <w:sz w:val="22"/>
          <w:szCs w:val="22"/>
          <w:lang w:val="lt-LT"/>
        </w:rPr>
        <w:t>386, 2</w:t>
      </w:r>
      <w:r>
        <w:rPr>
          <w:sz w:val="22"/>
          <w:szCs w:val="22"/>
          <w:lang w:val="lt-LT"/>
        </w:rPr>
        <w:t> kohortoje </w:t>
      </w:r>
      <w:r w:rsidRPr="006A0A06">
        <w:rPr>
          <w:sz w:val="22"/>
          <w:szCs w:val="22"/>
          <w:lang w:val="lt-LT"/>
        </w:rPr>
        <w:t xml:space="preserve">– </w:t>
      </w:r>
      <w:r w:rsidRPr="00C31AEF">
        <w:rPr>
          <w:sz w:val="22"/>
          <w:szCs w:val="22"/>
          <w:lang w:val="lt-LT"/>
        </w:rPr>
        <w:t>396, 3</w:t>
      </w:r>
      <w:r>
        <w:rPr>
          <w:sz w:val="22"/>
          <w:szCs w:val="22"/>
          <w:lang w:val="lt-LT"/>
        </w:rPr>
        <w:t> kohortoje </w:t>
      </w:r>
      <w:r w:rsidRPr="00AC5610">
        <w:rPr>
          <w:sz w:val="22"/>
          <w:szCs w:val="22"/>
          <w:lang w:val="lt-LT"/>
        </w:rPr>
        <w:t xml:space="preserve">– </w:t>
      </w:r>
      <w:r w:rsidRPr="00C31AEF">
        <w:rPr>
          <w:sz w:val="22"/>
          <w:szCs w:val="22"/>
          <w:lang w:val="lt-LT"/>
        </w:rPr>
        <w:t>556). 1</w:t>
      </w:r>
      <w:r>
        <w:rPr>
          <w:sz w:val="22"/>
          <w:szCs w:val="22"/>
          <w:lang w:val="lt-LT"/>
        </w:rPr>
        <w:t> kohortoje</w:t>
      </w:r>
      <w:r w:rsidRPr="00C31AEF">
        <w:rPr>
          <w:sz w:val="22"/>
          <w:szCs w:val="22"/>
          <w:lang w:val="lt-LT"/>
        </w:rPr>
        <w:t xml:space="preserve"> (n</w:t>
      </w:r>
      <w:r>
        <w:rPr>
          <w:sz w:val="22"/>
          <w:szCs w:val="22"/>
          <w:lang w:val="lt-LT"/>
        </w:rPr>
        <w:t> </w:t>
      </w:r>
      <w:r w:rsidRPr="00C31AEF">
        <w:rPr>
          <w:sz w:val="22"/>
          <w:szCs w:val="22"/>
          <w:lang w:val="lt-LT"/>
        </w:rPr>
        <w:t>=</w:t>
      </w:r>
      <w:r>
        <w:rPr>
          <w:sz w:val="22"/>
          <w:szCs w:val="22"/>
          <w:lang w:val="lt-LT"/>
        </w:rPr>
        <w:t> </w:t>
      </w:r>
      <w:r w:rsidRPr="00C31AEF">
        <w:rPr>
          <w:sz w:val="22"/>
          <w:szCs w:val="22"/>
          <w:lang w:val="lt-LT"/>
        </w:rPr>
        <w:t>15</w:t>
      </w:r>
      <w:r>
        <w:rPr>
          <w:sz w:val="22"/>
          <w:szCs w:val="22"/>
          <w:lang w:val="lt-LT"/>
        </w:rPr>
        <w:t> suaugusiųjų</w:t>
      </w:r>
      <w:r w:rsidRPr="00C31AEF">
        <w:rPr>
          <w:sz w:val="22"/>
          <w:szCs w:val="22"/>
          <w:lang w:val="lt-LT"/>
        </w:rPr>
        <w:t xml:space="preserve">) </w:t>
      </w:r>
      <w:r w:rsidR="00D67BBC">
        <w:rPr>
          <w:sz w:val="22"/>
          <w:szCs w:val="22"/>
          <w:lang w:val="lt-LT"/>
        </w:rPr>
        <w:t xml:space="preserve">vidutinis didžiausias realizuotasis </w:t>
      </w:r>
      <w:r w:rsidR="00E117B1">
        <w:rPr>
          <w:sz w:val="22"/>
          <w:szCs w:val="22"/>
          <w:lang w:val="lt-LT"/>
        </w:rPr>
        <w:t xml:space="preserve">tirpalo </w:t>
      </w:r>
      <w:r w:rsidR="00D67BBC">
        <w:rPr>
          <w:sz w:val="22"/>
          <w:szCs w:val="22"/>
          <w:lang w:val="lt-LT"/>
        </w:rPr>
        <w:t>tūris vienoje vietoje buvo</w:t>
      </w:r>
      <w:r w:rsidRPr="00C31AEF">
        <w:rPr>
          <w:sz w:val="22"/>
          <w:szCs w:val="22"/>
          <w:lang w:val="lt-LT"/>
        </w:rPr>
        <w:t xml:space="preserve"> 69</w:t>
      </w:r>
      <w:r w:rsidR="00D67BBC">
        <w:rPr>
          <w:sz w:val="22"/>
          <w:szCs w:val="22"/>
          <w:lang w:val="lt-LT"/>
        </w:rPr>
        <w:t>,</w:t>
      </w:r>
      <w:r w:rsidRPr="00C31AEF">
        <w:rPr>
          <w:sz w:val="22"/>
          <w:szCs w:val="22"/>
          <w:lang w:val="lt-LT"/>
        </w:rPr>
        <w:t>4</w:t>
      </w:r>
      <w:r w:rsidR="00D67BBC">
        <w:rPr>
          <w:sz w:val="22"/>
          <w:szCs w:val="22"/>
          <w:lang w:val="lt-LT"/>
        </w:rPr>
        <w:t> </w:t>
      </w:r>
      <w:r w:rsidRPr="00C31AEF">
        <w:rPr>
          <w:sz w:val="22"/>
          <w:szCs w:val="22"/>
          <w:lang w:val="lt-LT"/>
        </w:rPr>
        <w:t>ml/</w:t>
      </w:r>
      <w:r w:rsidR="00D67BBC">
        <w:rPr>
          <w:sz w:val="22"/>
          <w:szCs w:val="22"/>
          <w:lang w:val="lt-LT"/>
        </w:rPr>
        <w:t>vietai, esant</w:t>
      </w:r>
      <w:r w:rsidRPr="00C31AEF">
        <w:rPr>
          <w:sz w:val="22"/>
          <w:szCs w:val="22"/>
          <w:lang w:val="lt-LT"/>
        </w:rPr>
        <w:t xml:space="preserve"> 108</w:t>
      </w:r>
      <w:r w:rsidR="00D67BBC">
        <w:rPr>
          <w:sz w:val="22"/>
          <w:szCs w:val="22"/>
          <w:lang w:val="lt-LT"/>
        </w:rPr>
        <w:t> </w:t>
      </w:r>
      <w:r w:rsidRPr="00C31AEF">
        <w:rPr>
          <w:sz w:val="22"/>
          <w:szCs w:val="22"/>
          <w:lang w:val="lt-LT"/>
        </w:rPr>
        <w:t>ml/</w:t>
      </w:r>
      <w:r w:rsidR="00D67BBC">
        <w:rPr>
          <w:sz w:val="22"/>
          <w:szCs w:val="22"/>
          <w:lang w:val="lt-LT"/>
        </w:rPr>
        <w:t>vietai didžiausiam tūriui</w:t>
      </w:r>
      <w:r w:rsidRPr="00C31AEF">
        <w:rPr>
          <w:sz w:val="22"/>
          <w:szCs w:val="22"/>
          <w:lang w:val="lt-LT"/>
        </w:rPr>
        <w:t xml:space="preserve">. </w:t>
      </w:r>
      <w:r w:rsidR="00D67BBC">
        <w:rPr>
          <w:sz w:val="22"/>
          <w:szCs w:val="22"/>
          <w:lang w:val="lt-LT"/>
        </w:rPr>
        <w:t>Viena trečioji tiriamųjų dalis</w:t>
      </w:r>
      <w:r w:rsidRPr="00C31AEF">
        <w:rPr>
          <w:sz w:val="22"/>
          <w:szCs w:val="22"/>
          <w:lang w:val="lt-LT"/>
        </w:rPr>
        <w:t xml:space="preserve"> (5/15; 33</w:t>
      </w:r>
      <w:r w:rsidR="00D67BBC">
        <w:rPr>
          <w:sz w:val="22"/>
          <w:szCs w:val="22"/>
          <w:lang w:val="lt-LT"/>
        </w:rPr>
        <w:t>,</w:t>
      </w:r>
      <w:r w:rsidRPr="00C31AEF">
        <w:rPr>
          <w:sz w:val="22"/>
          <w:szCs w:val="22"/>
          <w:lang w:val="lt-LT"/>
        </w:rPr>
        <w:t>3</w:t>
      </w:r>
      <w:r w:rsidR="00D67BBC">
        <w:rPr>
          <w:sz w:val="22"/>
          <w:szCs w:val="22"/>
          <w:lang w:val="lt-LT"/>
        </w:rPr>
        <w:t> </w:t>
      </w:r>
      <w:r w:rsidRPr="00C31AEF">
        <w:rPr>
          <w:sz w:val="22"/>
          <w:szCs w:val="22"/>
          <w:lang w:val="lt-LT"/>
        </w:rPr>
        <w:t xml:space="preserve">%) </w:t>
      </w:r>
      <w:r w:rsidR="00D67BBC">
        <w:rPr>
          <w:sz w:val="22"/>
          <w:szCs w:val="22"/>
          <w:lang w:val="lt-LT"/>
        </w:rPr>
        <w:t>pasiekė</w:t>
      </w:r>
      <w:r w:rsidRPr="00C31AEF">
        <w:rPr>
          <w:sz w:val="22"/>
          <w:szCs w:val="22"/>
          <w:lang w:val="lt-LT"/>
        </w:rPr>
        <w:t xml:space="preserve"> ≥</w:t>
      </w:r>
      <w:r w:rsidR="00D67BBC">
        <w:rPr>
          <w:sz w:val="22"/>
          <w:szCs w:val="22"/>
          <w:lang w:val="lt-LT"/>
        </w:rPr>
        <w:t> </w:t>
      </w:r>
      <w:r w:rsidRPr="00C31AEF">
        <w:rPr>
          <w:sz w:val="22"/>
          <w:szCs w:val="22"/>
          <w:lang w:val="lt-LT"/>
        </w:rPr>
        <w:t>90</w:t>
      </w:r>
      <w:r w:rsidR="00D67BBC">
        <w:rPr>
          <w:sz w:val="22"/>
          <w:szCs w:val="22"/>
          <w:lang w:val="lt-LT"/>
        </w:rPr>
        <w:t> </w:t>
      </w:r>
      <w:r w:rsidRPr="00C31AEF">
        <w:rPr>
          <w:sz w:val="22"/>
          <w:szCs w:val="22"/>
          <w:lang w:val="lt-LT"/>
        </w:rPr>
        <w:t xml:space="preserve">% </w:t>
      </w:r>
      <w:proofErr w:type="spellStart"/>
      <w:r w:rsidR="00D67BBC">
        <w:rPr>
          <w:sz w:val="22"/>
          <w:szCs w:val="22"/>
          <w:lang w:val="lt-LT"/>
        </w:rPr>
        <w:t>leistinojo</w:t>
      </w:r>
      <w:proofErr w:type="spellEnd"/>
      <w:r w:rsidR="00D67BBC">
        <w:rPr>
          <w:sz w:val="22"/>
          <w:szCs w:val="22"/>
          <w:lang w:val="lt-LT"/>
        </w:rPr>
        <w:t xml:space="preserve"> didžiausio</w:t>
      </w:r>
      <w:r w:rsidR="00201B6F">
        <w:rPr>
          <w:sz w:val="22"/>
          <w:szCs w:val="22"/>
          <w:lang w:val="lt-LT"/>
        </w:rPr>
        <w:t xml:space="preserve"> tirpalo tūrio, kuris buvo</w:t>
      </w:r>
      <w:r w:rsidRPr="00C31AEF">
        <w:rPr>
          <w:sz w:val="22"/>
          <w:szCs w:val="22"/>
          <w:lang w:val="lt-LT"/>
        </w:rPr>
        <w:t xml:space="preserve"> 100</w:t>
      </w:r>
      <w:r w:rsidR="00D67BBC">
        <w:rPr>
          <w:sz w:val="22"/>
          <w:szCs w:val="22"/>
          <w:lang w:val="lt-LT"/>
        </w:rPr>
        <w:t> </w:t>
      </w:r>
      <w:r w:rsidRPr="00C31AEF">
        <w:rPr>
          <w:sz w:val="22"/>
          <w:szCs w:val="22"/>
          <w:lang w:val="lt-LT"/>
        </w:rPr>
        <w:t>ml/</w:t>
      </w:r>
      <w:r w:rsidR="00D67BBC">
        <w:rPr>
          <w:sz w:val="22"/>
          <w:szCs w:val="22"/>
          <w:lang w:val="lt-LT"/>
        </w:rPr>
        <w:t>vietai</w:t>
      </w:r>
      <w:r w:rsidRPr="00C31AEF">
        <w:rPr>
          <w:sz w:val="22"/>
          <w:szCs w:val="22"/>
          <w:lang w:val="lt-LT"/>
        </w:rPr>
        <w:t xml:space="preserve">, </w:t>
      </w:r>
      <w:r w:rsidR="00667351">
        <w:rPr>
          <w:sz w:val="22"/>
          <w:szCs w:val="22"/>
          <w:lang w:val="lt-LT"/>
        </w:rPr>
        <w:t>kitas trečdalis pasiekė nuo</w:t>
      </w:r>
      <w:r w:rsidRPr="00C31AEF">
        <w:rPr>
          <w:sz w:val="22"/>
          <w:szCs w:val="22"/>
          <w:lang w:val="lt-LT"/>
        </w:rPr>
        <w:t xml:space="preserve"> 50</w:t>
      </w:r>
      <w:r w:rsidR="00667351">
        <w:rPr>
          <w:sz w:val="22"/>
          <w:szCs w:val="22"/>
          <w:lang w:val="lt-LT"/>
        </w:rPr>
        <w:t> </w:t>
      </w:r>
      <w:r w:rsidRPr="00C31AEF">
        <w:rPr>
          <w:sz w:val="22"/>
          <w:szCs w:val="22"/>
          <w:lang w:val="lt-LT"/>
        </w:rPr>
        <w:t xml:space="preserve">% </w:t>
      </w:r>
      <w:r w:rsidR="00667351">
        <w:rPr>
          <w:sz w:val="22"/>
          <w:szCs w:val="22"/>
          <w:lang w:val="lt-LT"/>
        </w:rPr>
        <w:t>iki</w:t>
      </w:r>
      <w:r w:rsidRPr="00C31AEF">
        <w:rPr>
          <w:sz w:val="22"/>
          <w:szCs w:val="22"/>
          <w:lang w:val="lt-LT"/>
        </w:rPr>
        <w:t xml:space="preserve"> &lt;</w:t>
      </w:r>
      <w:r w:rsidR="00667351">
        <w:rPr>
          <w:sz w:val="22"/>
          <w:szCs w:val="22"/>
          <w:lang w:val="lt-LT"/>
        </w:rPr>
        <w:t> </w:t>
      </w:r>
      <w:r w:rsidRPr="00C31AEF">
        <w:rPr>
          <w:sz w:val="22"/>
          <w:szCs w:val="22"/>
          <w:lang w:val="lt-LT"/>
        </w:rPr>
        <w:t>90</w:t>
      </w:r>
      <w:r w:rsidR="00667351">
        <w:rPr>
          <w:sz w:val="22"/>
          <w:szCs w:val="22"/>
          <w:lang w:val="lt-LT"/>
        </w:rPr>
        <w:t> </w:t>
      </w:r>
      <w:r w:rsidRPr="00C31AEF">
        <w:rPr>
          <w:sz w:val="22"/>
          <w:szCs w:val="22"/>
          <w:lang w:val="lt-LT"/>
        </w:rPr>
        <w:t xml:space="preserve">% </w:t>
      </w:r>
      <w:proofErr w:type="spellStart"/>
      <w:r w:rsidR="00667351">
        <w:rPr>
          <w:sz w:val="22"/>
          <w:szCs w:val="22"/>
          <w:lang w:val="lt-LT"/>
        </w:rPr>
        <w:t>leistinojo</w:t>
      </w:r>
      <w:proofErr w:type="spellEnd"/>
      <w:r w:rsidR="00667351">
        <w:rPr>
          <w:sz w:val="22"/>
          <w:szCs w:val="22"/>
          <w:lang w:val="lt-LT"/>
        </w:rPr>
        <w:t xml:space="preserve"> didžiausio </w:t>
      </w:r>
      <w:r w:rsidR="00E117B1">
        <w:rPr>
          <w:sz w:val="22"/>
          <w:szCs w:val="22"/>
          <w:lang w:val="lt-LT"/>
        </w:rPr>
        <w:t xml:space="preserve">tirpalo </w:t>
      </w:r>
      <w:r w:rsidR="00667351">
        <w:rPr>
          <w:sz w:val="22"/>
          <w:szCs w:val="22"/>
          <w:lang w:val="lt-LT"/>
        </w:rPr>
        <w:t xml:space="preserve">tūrio ir dar vienas trečdalis pasiekė </w:t>
      </w:r>
      <w:r w:rsidRPr="00C31AEF">
        <w:rPr>
          <w:sz w:val="22"/>
          <w:szCs w:val="22"/>
          <w:lang w:val="lt-LT"/>
        </w:rPr>
        <w:t>&lt;</w:t>
      </w:r>
      <w:r w:rsidR="00667351">
        <w:rPr>
          <w:sz w:val="22"/>
          <w:szCs w:val="22"/>
          <w:lang w:val="lt-LT"/>
        </w:rPr>
        <w:t> </w:t>
      </w:r>
      <w:r w:rsidRPr="00C31AEF">
        <w:rPr>
          <w:sz w:val="22"/>
          <w:szCs w:val="22"/>
          <w:lang w:val="lt-LT"/>
        </w:rPr>
        <w:t>50</w:t>
      </w:r>
      <w:r w:rsidR="00667351">
        <w:rPr>
          <w:sz w:val="22"/>
          <w:szCs w:val="22"/>
          <w:lang w:val="lt-LT"/>
        </w:rPr>
        <w:t> </w:t>
      </w:r>
      <w:r w:rsidRPr="00C31AEF">
        <w:rPr>
          <w:sz w:val="22"/>
          <w:szCs w:val="22"/>
          <w:lang w:val="lt-LT"/>
        </w:rPr>
        <w:t xml:space="preserve">% </w:t>
      </w:r>
      <w:proofErr w:type="spellStart"/>
      <w:r w:rsidR="00667351">
        <w:rPr>
          <w:sz w:val="22"/>
          <w:szCs w:val="22"/>
          <w:lang w:val="lt-LT"/>
        </w:rPr>
        <w:t>leistinojo</w:t>
      </w:r>
      <w:proofErr w:type="spellEnd"/>
      <w:r w:rsidR="00667351">
        <w:rPr>
          <w:sz w:val="22"/>
          <w:szCs w:val="22"/>
          <w:lang w:val="lt-LT"/>
        </w:rPr>
        <w:t xml:space="preserve"> didžiausio </w:t>
      </w:r>
      <w:r w:rsidR="00E117B1">
        <w:rPr>
          <w:sz w:val="22"/>
          <w:szCs w:val="22"/>
          <w:lang w:val="lt-LT"/>
        </w:rPr>
        <w:t xml:space="preserve">tirpalo </w:t>
      </w:r>
      <w:r w:rsidR="00667351">
        <w:rPr>
          <w:sz w:val="22"/>
          <w:szCs w:val="22"/>
          <w:lang w:val="lt-LT"/>
        </w:rPr>
        <w:t>tūrio</w:t>
      </w:r>
      <w:r w:rsidRPr="00C31AEF">
        <w:rPr>
          <w:sz w:val="22"/>
          <w:szCs w:val="22"/>
          <w:lang w:val="lt-LT"/>
        </w:rPr>
        <w:t xml:space="preserve">. </w:t>
      </w:r>
      <w:r w:rsidR="00667351">
        <w:rPr>
          <w:sz w:val="22"/>
          <w:szCs w:val="22"/>
          <w:lang w:val="lt-LT"/>
        </w:rPr>
        <w:t xml:space="preserve">Didžiausio realizuotojo srauto </w:t>
      </w:r>
      <w:r w:rsidR="00237823">
        <w:rPr>
          <w:sz w:val="22"/>
          <w:szCs w:val="22"/>
          <w:lang w:val="lt-LT"/>
        </w:rPr>
        <w:t>greičio</w:t>
      </w:r>
      <w:r w:rsidR="00667351">
        <w:rPr>
          <w:sz w:val="22"/>
          <w:szCs w:val="22"/>
          <w:lang w:val="lt-LT"/>
        </w:rPr>
        <w:t xml:space="preserve"> mediana vienam tiriamajam buvo </w:t>
      </w:r>
      <w:r w:rsidRPr="00C31AEF">
        <w:rPr>
          <w:sz w:val="22"/>
          <w:szCs w:val="22"/>
          <w:lang w:val="lt-LT"/>
        </w:rPr>
        <w:t>56</w:t>
      </w:r>
      <w:r w:rsidR="00667351">
        <w:rPr>
          <w:sz w:val="22"/>
          <w:szCs w:val="22"/>
          <w:lang w:val="lt-LT"/>
        </w:rPr>
        <w:t>,</w:t>
      </w:r>
      <w:r w:rsidRPr="00C31AEF">
        <w:rPr>
          <w:sz w:val="22"/>
          <w:szCs w:val="22"/>
          <w:lang w:val="lt-LT"/>
        </w:rPr>
        <w:t>9</w:t>
      </w:r>
      <w:r w:rsidR="00667351">
        <w:rPr>
          <w:sz w:val="22"/>
          <w:szCs w:val="22"/>
          <w:lang w:val="lt-LT"/>
        </w:rPr>
        <w:t> </w:t>
      </w:r>
      <w:r w:rsidRPr="00C31AEF">
        <w:rPr>
          <w:sz w:val="22"/>
          <w:szCs w:val="22"/>
          <w:lang w:val="lt-LT"/>
        </w:rPr>
        <w:t>ml/</w:t>
      </w:r>
      <w:r w:rsidR="00667351">
        <w:rPr>
          <w:sz w:val="22"/>
          <w:szCs w:val="22"/>
          <w:lang w:val="lt-LT"/>
        </w:rPr>
        <w:t>val.</w:t>
      </w:r>
      <w:r w:rsidRPr="00C31AEF">
        <w:rPr>
          <w:sz w:val="22"/>
          <w:szCs w:val="22"/>
          <w:lang w:val="lt-LT"/>
        </w:rPr>
        <w:t xml:space="preserve">, </w:t>
      </w:r>
      <w:r w:rsidR="00667351">
        <w:rPr>
          <w:sz w:val="22"/>
          <w:szCs w:val="22"/>
          <w:lang w:val="lt-LT"/>
        </w:rPr>
        <w:t>svyruojant nuo</w:t>
      </w:r>
      <w:r w:rsidRPr="00C31AEF">
        <w:rPr>
          <w:sz w:val="22"/>
          <w:szCs w:val="22"/>
          <w:lang w:val="lt-LT"/>
        </w:rPr>
        <w:t xml:space="preserve"> 34</w:t>
      </w:r>
      <w:r w:rsidR="00667351">
        <w:rPr>
          <w:sz w:val="22"/>
          <w:szCs w:val="22"/>
          <w:lang w:val="lt-LT"/>
        </w:rPr>
        <w:t>,</w:t>
      </w:r>
      <w:r w:rsidRPr="00C31AEF">
        <w:rPr>
          <w:sz w:val="22"/>
          <w:szCs w:val="22"/>
          <w:lang w:val="lt-LT"/>
        </w:rPr>
        <w:t>0</w:t>
      </w:r>
      <w:r w:rsidR="00667351">
        <w:rPr>
          <w:sz w:val="22"/>
          <w:szCs w:val="22"/>
          <w:lang w:val="lt-LT"/>
        </w:rPr>
        <w:t> </w:t>
      </w:r>
      <w:r w:rsidRPr="00C31AEF">
        <w:rPr>
          <w:sz w:val="22"/>
          <w:szCs w:val="22"/>
          <w:lang w:val="lt-LT"/>
        </w:rPr>
        <w:t>ml/</w:t>
      </w:r>
      <w:r w:rsidR="00667351">
        <w:rPr>
          <w:sz w:val="22"/>
          <w:szCs w:val="22"/>
          <w:lang w:val="lt-LT"/>
        </w:rPr>
        <w:t>val. iki</w:t>
      </w:r>
      <w:r w:rsidRPr="00C31AEF">
        <w:rPr>
          <w:sz w:val="22"/>
          <w:szCs w:val="22"/>
          <w:lang w:val="lt-LT"/>
        </w:rPr>
        <w:t xml:space="preserve"> 94</w:t>
      </w:r>
      <w:r w:rsidR="00667351">
        <w:rPr>
          <w:sz w:val="22"/>
          <w:szCs w:val="22"/>
          <w:lang w:val="lt-LT"/>
        </w:rPr>
        <w:t>,</w:t>
      </w:r>
      <w:r w:rsidRPr="00C31AEF">
        <w:rPr>
          <w:sz w:val="22"/>
          <w:szCs w:val="22"/>
          <w:lang w:val="lt-LT"/>
        </w:rPr>
        <w:t>7</w:t>
      </w:r>
      <w:r w:rsidR="00667351">
        <w:rPr>
          <w:sz w:val="22"/>
          <w:szCs w:val="22"/>
          <w:lang w:val="lt-LT"/>
        </w:rPr>
        <w:t> </w:t>
      </w:r>
      <w:r w:rsidRPr="00C31AEF">
        <w:rPr>
          <w:sz w:val="22"/>
          <w:szCs w:val="22"/>
          <w:lang w:val="lt-LT"/>
        </w:rPr>
        <w:t>ml/</w:t>
      </w:r>
      <w:r w:rsidR="00667351">
        <w:rPr>
          <w:sz w:val="22"/>
          <w:szCs w:val="22"/>
          <w:lang w:val="lt-LT"/>
        </w:rPr>
        <w:t>val.</w:t>
      </w:r>
    </w:p>
    <w:p w14:paraId="10A804FA" w14:textId="15966B57" w:rsidR="00C31AEF" w:rsidRPr="00C31AEF" w:rsidRDefault="00C31AEF" w:rsidP="00C31AEF">
      <w:pPr>
        <w:pStyle w:val="Default"/>
        <w:rPr>
          <w:sz w:val="22"/>
          <w:szCs w:val="22"/>
          <w:lang w:val="lt-LT"/>
        </w:rPr>
      </w:pPr>
      <w:r w:rsidRPr="00C31AEF">
        <w:rPr>
          <w:sz w:val="22"/>
          <w:szCs w:val="22"/>
          <w:lang w:val="lt-LT"/>
        </w:rPr>
        <w:t>2</w:t>
      </w:r>
      <w:r w:rsidR="00667351">
        <w:rPr>
          <w:sz w:val="22"/>
          <w:szCs w:val="22"/>
          <w:lang w:val="lt-LT"/>
        </w:rPr>
        <w:t> kohortoje</w:t>
      </w:r>
      <w:r w:rsidR="00667351" w:rsidRPr="00C31AEF">
        <w:rPr>
          <w:sz w:val="22"/>
          <w:szCs w:val="22"/>
          <w:lang w:val="lt-LT"/>
        </w:rPr>
        <w:t xml:space="preserve"> (n</w:t>
      </w:r>
      <w:r w:rsidR="00667351">
        <w:rPr>
          <w:sz w:val="22"/>
          <w:szCs w:val="22"/>
          <w:lang w:val="lt-LT"/>
        </w:rPr>
        <w:t> </w:t>
      </w:r>
      <w:r w:rsidR="00667351" w:rsidRPr="00C31AEF">
        <w:rPr>
          <w:sz w:val="22"/>
          <w:szCs w:val="22"/>
          <w:lang w:val="lt-LT"/>
        </w:rPr>
        <w:t>=</w:t>
      </w:r>
      <w:r w:rsidR="00667351">
        <w:rPr>
          <w:sz w:val="22"/>
          <w:szCs w:val="22"/>
          <w:lang w:val="lt-LT"/>
        </w:rPr>
        <w:t> </w:t>
      </w:r>
      <w:r w:rsidRPr="00C31AEF">
        <w:rPr>
          <w:sz w:val="22"/>
          <w:szCs w:val="22"/>
          <w:lang w:val="lt-LT"/>
        </w:rPr>
        <w:t>15</w:t>
      </w:r>
      <w:r w:rsidR="00AE2D09">
        <w:rPr>
          <w:sz w:val="22"/>
          <w:szCs w:val="22"/>
          <w:lang w:val="lt-LT"/>
        </w:rPr>
        <w:t>;</w:t>
      </w:r>
      <w:r w:rsidRPr="00C31AEF">
        <w:rPr>
          <w:sz w:val="22"/>
          <w:szCs w:val="22"/>
          <w:lang w:val="lt-LT"/>
        </w:rPr>
        <w:t xml:space="preserve"> 13</w:t>
      </w:r>
      <w:r w:rsidR="00667351">
        <w:rPr>
          <w:sz w:val="22"/>
          <w:szCs w:val="22"/>
          <w:lang w:val="lt-LT"/>
        </w:rPr>
        <w:t> suaugusiųjų</w:t>
      </w:r>
      <w:r w:rsidRPr="00C31AEF">
        <w:rPr>
          <w:sz w:val="22"/>
          <w:szCs w:val="22"/>
          <w:lang w:val="lt-LT"/>
        </w:rPr>
        <w:t>, 1</w:t>
      </w:r>
      <w:r w:rsidR="00667351">
        <w:rPr>
          <w:sz w:val="22"/>
          <w:szCs w:val="22"/>
          <w:lang w:val="lt-LT"/>
        </w:rPr>
        <w:t> vyresnis vaikas</w:t>
      </w:r>
      <w:r w:rsidRPr="00C31AEF">
        <w:rPr>
          <w:sz w:val="22"/>
          <w:szCs w:val="22"/>
          <w:lang w:val="lt-LT"/>
        </w:rPr>
        <w:t xml:space="preserve"> [</w:t>
      </w:r>
      <w:r w:rsidR="00667351">
        <w:rPr>
          <w:sz w:val="22"/>
          <w:szCs w:val="22"/>
          <w:lang w:val="lt-LT"/>
        </w:rPr>
        <w:t xml:space="preserve">nuo </w:t>
      </w:r>
      <w:r w:rsidRPr="00C31AEF">
        <w:rPr>
          <w:sz w:val="22"/>
          <w:szCs w:val="22"/>
          <w:lang w:val="lt-LT"/>
        </w:rPr>
        <w:t>≥</w:t>
      </w:r>
      <w:r w:rsidR="00667351">
        <w:rPr>
          <w:sz w:val="22"/>
          <w:szCs w:val="22"/>
          <w:lang w:val="lt-LT"/>
        </w:rPr>
        <w:t> </w:t>
      </w:r>
      <w:r w:rsidRPr="00C31AEF">
        <w:rPr>
          <w:sz w:val="22"/>
          <w:szCs w:val="22"/>
          <w:lang w:val="lt-LT"/>
        </w:rPr>
        <w:t xml:space="preserve">6 </w:t>
      </w:r>
      <w:r w:rsidR="00667351">
        <w:rPr>
          <w:sz w:val="22"/>
          <w:szCs w:val="22"/>
          <w:lang w:val="lt-LT"/>
        </w:rPr>
        <w:t>iki</w:t>
      </w:r>
      <w:r w:rsidRPr="00C31AEF">
        <w:rPr>
          <w:sz w:val="22"/>
          <w:szCs w:val="22"/>
          <w:lang w:val="lt-LT"/>
        </w:rPr>
        <w:t xml:space="preserve"> &lt;</w:t>
      </w:r>
      <w:r w:rsidR="00667351">
        <w:rPr>
          <w:sz w:val="22"/>
          <w:szCs w:val="22"/>
          <w:lang w:val="lt-LT"/>
        </w:rPr>
        <w:t> </w:t>
      </w:r>
      <w:r w:rsidRPr="00C31AEF">
        <w:rPr>
          <w:sz w:val="22"/>
          <w:szCs w:val="22"/>
          <w:lang w:val="lt-LT"/>
        </w:rPr>
        <w:t>12</w:t>
      </w:r>
      <w:r w:rsidR="00667351">
        <w:rPr>
          <w:sz w:val="22"/>
          <w:szCs w:val="22"/>
          <w:lang w:val="lt-LT"/>
        </w:rPr>
        <w:t> metų</w:t>
      </w:r>
      <w:r w:rsidRPr="00C31AEF">
        <w:rPr>
          <w:sz w:val="22"/>
          <w:szCs w:val="22"/>
          <w:lang w:val="lt-LT"/>
        </w:rPr>
        <w:t>], 1</w:t>
      </w:r>
      <w:r w:rsidR="00667351">
        <w:rPr>
          <w:sz w:val="22"/>
          <w:szCs w:val="22"/>
          <w:lang w:val="lt-LT"/>
        </w:rPr>
        <w:t> paauglys</w:t>
      </w:r>
      <w:r w:rsidRPr="00C31AEF">
        <w:rPr>
          <w:sz w:val="22"/>
          <w:szCs w:val="22"/>
          <w:lang w:val="lt-LT"/>
        </w:rPr>
        <w:t xml:space="preserve"> [</w:t>
      </w:r>
      <w:r w:rsidR="00667351">
        <w:rPr>
          <w:sz w:val="22"/>
          <w:szCs w:val="22"/>
          <w:lang w:val="lt-LT"/>
        </w:rPr>
        <w:t xml:space="preserve">nuo </w:t>
      </w:r>
      <w:r w:rsidRPr="00C31AEF">
        <w:rPr>
          <w:sz w:val="22"/>
          <w:szCs w:val="22"/>
          <w:lang w:val="lt-LT"/>
        </w:rPr>
        <w:t>≥</w:t>
      </w:r>
      <w:r w:rsidR="00667351">
        <w:rPr>
          <w:sz w:val="22"/>
          <w:szCs w:val="22"/>
          <w:lang w:val="lt-LT"/>
        </w:rPr>
        <w:t> </w:t>
      </w:r>
      <w:r w:rsidRPr="00C31AEF">
        <w:rPr>
          <w:sz w:val="22"/>
          <w:szCs w:val="22"/>
          <w:lang w:val="lt-LT"/>
        </w:rPr>
        <w:t xml:space="preserve">12 </w:t>
      </w:r>
      <w:r w:rsidR="00667351">
        <w:rPr>
          <w:sz w:val="22"/>
          <w:szCs w:val="22"/>
          <w:lang w:val="lt-LT"/>
        </w:rPr>
        <w:t>iki</w:t>
      </w:r>
      <w:r w:rsidRPr="00C31AEF">
        <w:rPr>
          <w:sz w:val="22"/>
          <w:szCs w:val="22"/>
          <w:lang w:val="lt-LT"/>
        </w:rPr>
        <w:t xml:space="preserve"> &lt;</w:t>
      </w:r>
      <w:r w:rsidR="00667351">
        <w:rPr>
          <w:sz w:val="22"/>
          <w:szCs w:val="22"/>
          <w:lang w:val="lt-LT"/>
        </w:rPr>
        <w:t> </w:t>
      </w:r>
      <w:r w:rsidRPr="00C31AEF">
        <w:rPr>
          <w:sz w:val="22"/>
          <w:szCs w:val="22"/>
          <w:lang w:val="lt-LT"/>
        </w:rPr>
        <w:t>17</w:t>
      </w:r>
      <w:r w:rsidR="00667351">
        <w:rPr>
          <w:sz w:val="22"/>
          <w:szCs w:val="22"/>
          <w:lang w:val="lt-LT"/>
        </w:rPr>
        <w:t> metų</w:t>
      </w:r>
      <w:r w:rsidRPr="00C31AEF">
        <w:rPr>
          <w:sz w:val="22"/>
          <w:szCs w:val="22"/>
          <w:lang w:val="lt-LT"/>
        </w:rPr>
        <w:t xml:space="preserve">]) </w:t>
      </w:r>
      <w:r w:rsidR="00667351">
        <w:rPr>
          <w:sz w:val="22"/>
          <w:szCs w:val="22"/>
          <w:lang w:val="lt-LT"/>
        </w:rPr>
        <w:t>vidutinis didžiausias realizuotasis srauto greitis vienoje vietoje buvo</w:t>
      </w:r>
      <w:r w:rsidR="00667351" w:rsidRPr="00C31AEF">
        <w:rPr>
          <w:sz w:val="22"/>
          <w:szCs w:val="22"/>
          <w:lang w:val="lt-LT"/>
        </w:rPr>
        <w:t xml:space="preserve"> </w:t>
      </w:r>
      <w:r w:rsidRPr="00C31AEF">
        <w:rPr>
          <w:sz w:val="22"/>
          <w:szCs w:val="22"/>
          <w:lang w:val="lt-LT"/>
        </w:rPr>
        <w:t>42</w:t>
      </w:r>
      <w:r w:rsidR="00667351">
        <w:rPr>
          <w:sz w:val="22"/>
          <w:szCs w:val="22"/>
          <w:lang w:val="lt-LT"/>
        </w:rPr>
        <w:t>,</w:t>
      </w:r>
      <w:r w:rsidRPr="00C31AEF">
        <w:rPr>
          <w:sz w:val="22"/>
          <w:szCs w:val="22"/>
          <w:lang w:val="lt-LT"/>
        </w:rPr>
        <w:t>1</w:t>
      </w:r>
      <w:r w:rsidR="00667351">
        <w:rPr>
          <w:sz w:val="22"/>
          <w:szCs w:val="22"/>
          <w:lang w:val="lt-LT"/>
        </w:rPr>
        <w:t> </w:t>
      </w:r>
      <w:r w:rsidRPr="00C31AEF">
        <w:rPr>
          <w:sz w:val="22"/>
          <w:szCs w:val="22"/>
          <w:lang w:val="lt-LT"/>
        </w:rPr>
        <w:t>ml/</w:t>
      </w:r>
      <w:r w:rsidR="00667351">
        <w:rPr>
          <w:sz w:val="22"/>
          <w:szCs w:val="22"/>
          <w:lang w:val="lt-LT"/>
        </w:rPr>
        <w:t>val.</w:t>
      </w:r>
      <w:r w:rsidRPr="00C31AEF">
        <w:rPr>
          <w:sz w:val="22"/>
          <w:szCs w:val="22"/>
          <w:lang w:val="lt-LT"/>
        </w:rPr>
        <w:t>/</w:t>
      </w:r>
      <w:r w:rsidR="00667351">
        <w:rPr>
          <w:sz w:val="22"/>
          <w:szCs w:val="22"/>
          <w:lang w:val="lt-LT"/>
        </w:rPr>
        <w:t>vietai,</w:t>
      </w:r>
      <w:r w:rsidRPr="00C31AEF">
        <w:rPr>
          <w:sz w:val="22"/>
          <w:szCs w:val="22"/>
          <w:lang w:val="lt-LT"/>
        </w:rPr>
        <w:t xml:space="preserve"> </w:t>
      </w:r>
      <w:r w:rsidR="00667351">
        <w:rPr>
          <w:sz w:val="22"/>
          <w:szCs w:val="22"/>
          <w:lang w:val="lt-LT"/>
        </w:rPr>
        <w:t>esant</w:t>
      </w:r>
      <w:r w:rsidR="00667351" w:rsidRPr="00C31AEF">
        <w:rPr>
          <w:sz w:val="22"/>
          <w:szCs w:val="22"/>
          <w:lang w:val="lt-LT"/>
        </w:rPr>
        <w:t xml:space="preserve"> </w:t>
      </w:r>
      <w:r w:rsidRPr="00C31AEF">
        <w:rPr>
          <w:sz w:val="22"/>
          <w:szCs w:val="22"/>
          <w:lang w:val="lt-LT"/>
        </w:rPr>
        <w:t>67</w:t>
      </w:r>
      <w:r w:rsidR="00667351">
        <w:rPr>
          <w:sz w:val="22"/>
          <w:szCs w:val="22"/>
          <w:lang w:val="lt-LT"/>
        </w:rPr>
        <w:t>,</w:t>
      </w:r>
      <w:r w:rsidRPr="00C31AEF">
        <w:rPr>
          <w:sz w:val="22"/>
          <w:szCs w:val="22"/>
          <w:lang w:val="lt-LT"/>
        </w:rPr>
        <w:t>5</w:t>
      </w:r>
      <w:r w:rsidR="00667351">
        <w:rPr>
          <w:sz w:val="22"/>
          <w:szCs w:val="22"/>
          <w:lang w:val="lt-LT"/>
        </w:rPr>
        <w:t> </w:t>
      </w:r>
      <w:r w:rsidR="00667351" w:rsidRPr="00C31AEF">
        <w:rPr>
          <w:sz w:val="22"/>
          <w:szCs w:val="22"/>
          <w:lang w:val="lt-LT"/>
        </w:rPr>
        <w:t>ml/</w:t>
      </w:r>
      <w:r w:rsidR="00667351">
        <w:rPr>
          <w:sz w:val="22"/>
          <w:szCs w:val="22"/>
          <w:lang w:val="lt-LT"/>
        </w:rPr>
        <w:t>val.</w:t>
      </w:r>
      <w:r w:rsidR="00667351" w:rsidRPr="00C31AEF">
        <w:rPr>
          <w:sz w:val="22"/>
          <w:szCs w:val="22"/>
          <w:lang w:val="lt-LT"/>
        </w:rPr>
        <w:t>/</w:t>
      </w:r>
      <w:r w:rsidR="00667351">
        <w:rPr>
          <w:sz w:val="22"/>
          <w:szCs w:val="22"/>
          <w:lang w:val="lt-LT"/>
        </w:rPr>
        <w:t>vietai didžiausiam srauto</w:t>
      </w:r>
      <w:r w:rsidR="00237823">
        <w:rPr>
          <w:sz w:val="22"/>
          <w:szCs w:val="22"/>
          <w:lang w:val="lt-LT"/>
        </w:rPr>
        <w:t xml:space="preserve"> greičiui</w:t>
      </w:r>
      <w:r w:rsidRPr="00C31AEF">
        <w:rPr>
          <w:sz w:val="22"/>
          <w:szCs w:val="22"/>
          <w:lang w:val="lt-LT"/>
        </w:rPr>
        <w:t>. 73</w:t>
      </w:r>
      <w:r w:rsidR="00237823">
        <w:rPr>
          <w:sz w:val="22"/>
          <w:szCs w:val="22"/>
          <w:lang w:val="lt-LT"/>
        </w:rPr>
        <w:t>,</w:t>
      </w:r>
      <w:r w:rsidRPr="00C31AEF">
        <w:rPr>
          <w:sz w:val="22"/>
          <w:szCs w:val="22"/>
          <w:lang w:val="lt-LT"/>
        </w:rPr>
        <w:t>3</w:t>
      </w:r>
      <w:r w:rsidR="00237823">
        <w:rPr>
          <w:sz w:val="22"/>
          <w:szCs w:val="22"/>
          <w:lang w:val="lt-LT"/>
        </w:rPr>
        <w:t> </w:t>
      </w:r>
      <w:r w:rsidRPr="00C31AEF">
        <w:rPr>
          <w:sz w:val="22"/>
          <w:szCs w:val="22"/>
          <w:lang w:val="lt-LT"/>
        </w:rPr>
        <w:t xml:space="preserve">% </w:t>
      </w:r>
      <w:r w:rsidR="00237823">
        <w:rPr>
          <w:sz w:val="22"/>
          <w:szCs w:val="22"/>
          <w:lang w:val="lt-LT"/>
        </w:rPr>
        <w:t xml:space="preserve">tiriamųjų pasiekė </w:t>
      </w:r>
      <w:r w:rsidRPr="00C31AEF">
        <w:rPr>
          <w:sz w:val="22"/>
          <w:szCs w:val="22"/>
          <w:lang w:val="lt-LT"/>
        </w:rPr>
        <w:t>&lt;</w:t>
      </w:r>
      <w:r w:rsidR="00237823">
        <w:rPr>
          <w:sz w:val="22"/>
          <w:szCs w:val="22"/>
          <w:lang w:val="lt-LT"/>
        </w:rPr>
        <w:t> </w:t>
      </w:r>
      <w:r w:rsidRPr="00C31AEF">
        <w:rPr>
          <w:sz w:val="22"/>
          <w:szCs w:val="22"/>
          <w:lang w:val="lt-LT"/>
        </w:rPr>
        <w:t>50</w:t>
      </w:r>
      <w:r w:rsidR="00C91CBE">
        <w:rPr>
          <w:sz w:val="22"/>
          <w:szCs w:val="22"/>
          <w:lang w:val="lt-LT"/>
        </w:rPr>
        <w:t> </w:t>
      </w:r>
      <w:r w:rsidRPr="00C31AEF">
        <w:rPr>
          <w:sz w:val="22"/>
          <w:szCs w:val="22"/>
          <w:lang w:val="lt-LT"/>
        </w:rPr>
        <w:t xml:space="preserve">% </w:t>
      </w:r>
      <w:proofErr w:type="spellStart"/>
      <w:r w:rsidR="00237823">
        <w:rPr>
          <w:sz w:val="22"/>
          <w:szCs w:val="22"/>
          <w:lang w:val="lt-LT"/>
        </w:rPr>
        <w:t>leistinojo</w:t>
      </w:r>
      <w:proofErr w:type="spellEnd"/>
      <w:r w:rsidR="00237823">
        <w:rPr>
          <w:sz w:val="22"/>
          <w:szCs w:val="22"/>
          <w:lang w:val="lt-LT"/>
        </w:rPr>
        <w:t xml:space="preserve"> didžiausio srauto greičio vienoje vietoje, kuris buvo</w:t>
      </w:r>
      <w:r w:rsidRPr="00C31AEF">
        <w:rPr>
          <w:sz w:val="22"/>
          <w:szCs w:val="22"/>
          <w:lang w:val="lt-LT"/>
        </w:rPr>
        <w:t xml:space="preserve"> 100</w:t>
      </w:r>
      <w:r w:rsidR="00237823">
        <w:rPr>
          <w:sz w:val="22"/>
          <w:szCs w:val="22"/>
          <w:lang w:val="lt-LT"/>
        </w:rPr>
        <w:t> </w:t>
      </w:r>
      <w:r w:rsidR="00237823" w:rsidRPr="00C31AEF">
        <w:rPr>
          <w:sz w:val="22"/>
          <w:szCs w:val="22"/>
          <w:lang w:val="lt-LT"/>
        </w:rPr>
        <w:t>ml/</w:t>
      </w:r>
      <w:r w:rsidR="00237823">
        <w:rPr>
          <w:sz w:val="22"/>
          <w:szCs w:val="22"/>
          <w:lang w:val="lt-LT"/>
        </w:rPr>
        <w:t>val.</w:t>
      </w:r>
      <w:r w:rsidR="00237823" w:rsidRPr="00C31AEF">
        <w:rPr>
          <w:sz w:val="22"/>
          <w:szCs w:val="22"/>
          <w:lang w:val="lt-LT"/>
        </w:rPr>
        <w:t>/</w:t>
      </w:r>
      <w:r w:rsidR="00237823">
        <w:rPr>
          <w:sz w:val="22"/>
          <w:szCs w:val="22"/>
          <w:lang w:val="lt-LT"/>
        </w:rPr>
        <w:t>vietai, o likusioji</w:t>
      </w:r>
      <w:r w:rsidRPr="00C31AEF">
        <w:rPr>
          <w:sz w:val="22"/>
          <w:szCs w:val="22"/>
          <w:lang w:val="lt-LT"/>
        </w:rPr>
        <w:t xml:space="preserve"> 26</w:t>
      </w:r>
      <w:r w:rsidR="00237823">
        <w:rPr>
          <w:sz w:val="22"/>
          <w:szCs w:val="22"/>
          <w:lang w:val="lt-LT"/>
        </w:rPr>
        <w:t>,</w:t>
      </w:r>
      <w:r w:rsidRPr="00C31AEF">
        <w:rPr>
          <w:sz w:val="22"/>
          <w:szCs w:val="22"/>
          <w:lang w:val="lt-LT"/>
        </w:rPr>
        <w:t>7</w:t>
      </w:r>
      <w:r w:rsidR="00237823">
        <w:rPr>
          <w:sz w:val="22"/>
          <w:szCs w:val="22"/>
          <w:lang w:val="lt-LT"/>
        </w:rPr>
        <w:t> </w:t>
      </w:r>
      <w:r w:rsidRPr="00C31AEF">
        <w:rPr>
          <w:sz w:val="22"/>
          <w:szCs w:val="22"/>
          <w:lang w:val="lt-LT"/>
        </w:rPr>
        <w:t xml:space="preserve">% </w:t>
      </w:r>
      <w:r w:rsidR="00237823">
        <w:rPr>
          <w:sz w:val="22"/>
          <w:szCs w:val="22"/>
          <w:lang w:val="lt-LT"/>
        </w:rPr>
        <w:t>dalis pasiekė nuo</w:t>
      </w:r>
      <w:r w:rsidRPr="00C31AEF">
        <w:rPr>
          <w:sz w:val="22"/>
          <w:szCs w:val="22"/>
          <w:lang w:val="lt-LT"/>
        </w:rPr>
        <w:t xml:space="preserve"> 50</w:t>
      </w:r>
      <w:r w:rsidR="00237823">
        <w:rPr>
          <w:sz w:val="22"/>
          <w:szCs w:val="22"/>
          <w:lang w:val="lt-LT"/>
        </w:rPr>
        <w:t> </w:t>
      </w:r>
      <w:r w:rsidRPr="00C31AEF">
        <w:rPr>
          <w:sz w:val="22"/>
          <w:szCs w:val="22"/>
          <w:lang w:val="lt-LT"/>
        </w:rPr>
        <w:t xml:space="preserve">% </w:t>
      </w:r>
      <w:r w:rsidR="00237823">
        <w:rPr>
          <w:sz w:val="22"/>
          <w:szCs w:val="22"/>
          <w:lang w:val="lt-LT"/>
        </w:rPr>
        <w:t>iki</w:t>
      </w:r>
      <w:r w:rsidRPr="00C31AEF">
        <w:rPr>
          <w:sz w:val="22"/>
          <w:szCs w:val="22"/>
          <w:lang w:val="lt-LT"/>
        </w:rPr>
        <w:t xml:space="preserve"> 75</w:t>
      </w:r>
      <w:r w:rsidR="00237823">
        <w:rPr>
          <w:sz w:val="22"/>
          <w:szCs w:val="22"/>
          <w:lang w:val="lt-LT"/>
        </w:rPr>
        <w:t> </w:t>
      </w:r>
      <w:r w:rsidRPr="00C31AEF">
        <w:rPr>
          <w:sz w:val="22"/>
          <w:szCs w:val="22"/>
          <w:lang w:val="lt-LT"/>
        </w:rPr>
        <w:t xml:space="preserve">% </w:t>
      </w:r>
      <w:proofErr w:type="spellStart"/>
      <w:r w:rsidR="00237823">
        <w:rPr>
          <w:sz w:val="22"/>
          <w:szCs w:val="22"/>
          <w:lang w:val="lt-LT"/>
        </w:rPr>
        <w:t>leistinojo</w:t>
      </w:r>
      <w:proofErr w:type="spellEnd"/>
      <w:r w:rsidR="00237823">
        <w:rPr>
          <w:sz w:val="22"/>
          <w:szCs w:val="22"/>
          <w:lang w:val="lt-LT"/>
        </w:rPr>
        <w:t xml:space="preserve"> didžiausio srauto greičio</w:t>
      </w:r>
      <w:r w:rsidRPr="00C31AEF">
        <w:rPr>
          <w:sz w:val="22"/>
          <w:szCs w:val="22"/>
          <w:lang w:val="lt-LT"/>
        </w:rPr>
        <w:t xml:space="preserve">. </w:t>
      </w:r>
      <w:r w:rsidR="00237823">
        <w:rPr>
          <w:sz w:val="22"/>
          <w:szCs w:val="22"/>
          <w:lang w:val="lt-LT"/>
        </w:rPr>
        <w:t xml:space="preserve">Didžiausio realizuotojo srauto greičio mediana vienam tiriamajam buvo </w:t>
      </w:r>
      <w:r w:rsidRPr="00C31AEF">
        <w:rPr>
          <w:sz w:val="22"/>
          <w:szCs w:val="22"/>
          <w:lang w:val="lt-LT"/>
        </w:rPr>
        <w:t>135</w:t>
      </w:r>
      <w:r w:rsidR="00237823">
        <w:rPr>
          <w:sz w:val="22"/>
          <w:szCs w:val="22"/>
          <w:lang w:val="lt-LT"/>
        </w:rPr>
        <w:t>,</w:t>
      </w:r>
      <w:r w:rsidRPr="00C31AEF">
        <w:rPr>
          <w:sz w:val="22"/>
          <w:szCs w:val="22"/>
          <w:lang w:val="lt-LT"/>
        </w:rPr>
        <w:t>0</w:t>
      </w:r>
      <w:r w:rsidR="007D0231">
        <w:rPr>
          <w:sz w:val="22"/>
          <w:szCs w:val="22"/>
          <w:lang w:val="lt-LT"/>
        </w:rPr>
        <w:t> </w:t>
      </w:r>
      <w:r w:rsidR="007D0231" w:rsidRPr="00C31AEF">
        <w:rPr>
          <w:sz w:val="22"/>
          <w:szCs w:val="22"/>
          <w:lang w:val="lt-LT"/>
        </w:rPr>
        <w:t>ml/</w:t>
      </w:r>
      <w:r w:rsidR="007D0231">
        <w:rPr>
          <w:sz w:val="22"/>
          <w:szCs w:val="22"/>
          <w:lang w:val="lt-LT"/>
        </w:rPr>
        <w:t>val.</w:t>
      </w:r>
      <w:r w:rsidR="007D0231" w:rsidRPr="00C31AEF">
        <w:rPr>
          <w:sz w:val="22"/>
          <w:szCs w:val="22"/>
          <w:lang w:val="lt-LT"/>
        </w:rPr>
        <w:t xml:space="preserve">, </w:t>
      </w:r>
      <w:r w:rsidR="007D0231">
        <w:rPr>
          <w:sz w:val="22"/>
          <w:szCs w:val="22"/>
          <w:lang w:val="lt-LT"/>
        </w:rPr>
        <w:t>svyruojant nuo</w:t>
      </w:r>
      <w:r w:rsidR="007D0231" w:rsidRPr="00C31AEF">
        <w:rPr>
          <w:sz w:val="22"/>
          <w:szCs w:val="22"/>
          <w:lang w:val="lt-LT"/>
        </w:rPr>
        <w:t xml:space="preserve"> </w:t>
      </w:r>
      <w:r w:rsidRPr="00C31AEF">
        <w:rPr>
          <w:sz w:val="22"/>
          <w:szCs w:val="22"/>
          <w:lang w:val="lt-LT"/>
        </w:rPr>
        <w:t>51</w:t>
      </w:r>
      <w:r w:rsidR="007D0231">
        <w:rPr>
          <w:sz w:val="22"/>
          <w:szCs w:val="22"/>
          <w:lang w:val="lt-LT"/>
        </w:rPr>
        <w:t>,</w:t>
      </w:r>
      <w:r w:rsidRPr="00C31AEF">
        <w:rPr>
          <w:sz w:val="22"/>
          <w:szCs w:val="22"/>
          <w:lang w:val="lt-LT"/>
        </w:rPr>
        <w:t>4</w:t>
      </w:r>
      <w:r w:rsidR="007D0231">
        <w:rPr>
          <w:sz w:val="22"/>
          <w:szCs w:val="22"/>
          <w:lang w:val="lt-LT"/>
        </w:rPr>
        <w:t> </w:t>
      </w:r>
      <w:r w:rsidR="007D0231" w:rsidRPr="00C31AEF">
        <w:rPr>
          <w:sz w:val="22"/>
          <w:szCs w:val="22"/>
          <w:lang w:val="lt-LT"/>
        </w:rPr>
        <w:t>ml/</w:t>
      </w:r>
      <w:r w:rsidR="007D0231">
        <w:rPr>
          <w:sz w:val="22"/>
          <w:szCs w:val="22"/>
          <w:lang w:val="lt-LT"/>
        </w:rPr>
        <w:t>val. iki</w:t>
      </w:r>
      <w:r w:rsidR="007D0231" w:rsidRPr="00C31AEF">
        <w:rPr>
          <w:sz w:val="22"/>
          <w:szCs w:val="22"/>
          <w:lang w:val="lt-LT"/>
        </w:rPr>
        <w:t xml:space="preserve"> </w:t>
      </w:r>
      <w:r w:rsidRPr="00C31AEF">
        <w:rPr>
          <w:sz w:val="22"/>
          <w:szCs w:val="22"/>
          <w:lang w:val="lt-LT"/>
        </w:rPr>
        <w:t>192</w:t>
      </w:r>
      <w:r w:rsidR="007D0231">
        <w:rPr>
          <w:sz w:val="22"/>
          <w:szCs w:val="22"/>
          <w:lang w:val="lt-LT"/>
        </w:rPr>
        <w:t>,</w:t>
      </w:r>
      <w:r w:rsidRPr="00C31AEF">
        <w:rPr>
          <w:sz w:val="22"/>
          <w:szCs w:val="22"/>
          <w:lang w:val="lt-LT"/>
        </w:rPr>
        <w:t>0</w:t>
      </w:r>
      <w:r w:rsidR="007D0231">
        <w:rPr>
          <w:sz w:val="22"/>
          <w:szCs w:val="22"/>
          <w:lang w:val="lt-LT"/>
        </w:rPr>
        <w:t> </w:t>
      </w:r>
      <w:r w:rsidR="007D0231" w:rsidRPr="00C31AEF">
        <w:rPr>
          <w:sz w:val="22"/>
          <w:szCs w:val="22"/>
          <w:lang w:val="lt-LT"/>
        </w:rPr>
        <w:t>ml/</w:t>
      </w:r>
      <w:r w:rsidR="007D0231">
        <w:rPr>
          <w:sz w:val="22"/>
          <w:szCs w:val="22"/>
          <w:lang w:val="lt-LT"/>
        </w:rPr>
        <w:t>val.</w:t>
      </w:r>
    </w:p>
    <w:p w14:paraId="18D3B035" w14:textId="2F6FFAAD" w:rsidR="00C31AEF" w:rsidRPr="00C31AEF" w:rsidRDefault="00C31AEF" w:rsidP="00C31AEF">
      <w:pPr>
        <w:pStyle w:val="Default"/>
        <w:rPr>
          <w:sz w:val="22"/>
          <w:szCs w:val="22"/>
          <w:lang w:val="lt-LT"/>
        </w:rPr>
      </w:pPr>
      <w:r w:rsidRPr="00C31AEF">
        <w:rPr>
          <w:sz w:val="22"/>
          <w:szCs w:val="22"/>
          <w:lang w:val="lt-LT"/>
        </w:rPr>
        <w:t>3</w:t>
      </w:r>
      <w:r w:rsidR="0084630C">
        <w:rPr>
          <w:sz w:val="22"/>
          <w:szCs w:val="22"/>
          <w:lang w:val="lt-LT"/>
        </w:rPr>
        <w:t> kohortoje</w:t>
      </w:r>
      <w:r w:rsidR="0084630C" w:rsidRPr="00C31AEF">
        <w:rPr>
          <w:sz w:val="22"/>
          <w:szCs w:val="22"/>
          <w:lang w:val="lt-LT"/>
        </w:rPr>
        <w:t xml:space="preserve"> (n</w:t>
      </w:r>
      <w:r w:rsidR="0084630C">
        <w:rPr>
          <w:sz w:val="22"/>
          <w:szCs w:val="22"/>
          <w:lang w:val="lt-LT"/>
        </w:rPr>
        <w:t> </w:t>
      </w:r>
      <w:r w:rsidR="0084630C" w:rsidRPr="00C31AEF">
        <w:rPr>
          <w:sz w:val="22"/>
          <w:szCs w:val="22"/>
          <w:lang w:val="lt-LT"/>
        </w:rPr>
        <w:t>=</w:t>
      </w:r>
      <w:r w:rsidR="0084630C">
        <w:rPr>
          <w:sz w:val="22"/>
          <w:szCs w:val="22"/>
          <w:lang w:val="lt-LT"/>
        </w:rPr>
        <w:t> </w:t>
      </w:r>
      <w:r w:rsidRPr="00C31AEF">
        <w:rPr>
          <w:sz w:val="22"/>
          <w:szCs w:val="22"/>
          <w:lang w:val="lt-LT"/>
        </w:rPr>
        <w:t>34</w:t>
      </w:r>
      <w:r w:rsidR="00AE2D09">
        <w:rPr>
          <w:sz w:val="22"/>
          <w:szCs w:val="22"/>
          <w:lang w:val="lt-LT"/>
        </w:rPr>
        <w:t>;</w:t>
      </w:r>
      <w:r w:rsidRPr="00C31AEF">
        <w:rPr>
          <w:sz w:val="22"/>
          <w:szCs w:val="22"/>
          <w:lang w:val="lt-LT"/>
        </w:rPr>
        <w:t xml:space="preserve"> 31</w:t>
      </w:r>
      <w:r w:rsidR="0084630C">
        <w:rPr>
          <w:sz w:val="22"/>
          <w:szCs w:val="22"/>
          <w:lang w:val="lt-LT"/>
        </w:rPr>
        <w:t> suaugusysis</w:t>
      </w:r>
      <w:r w:rsidRPr="00C31AEF">
        <w:rPr>
          <w:sz w:val="22"/>
          <w:szCs w:val="22"/>
          <w:lang w:val="lt-LT"/>
        </w:rPr>
        <w:t>, 1</w:t>
      </w:r>
      <w:r w:rsidR="0084630C">
        <w:rPr>
          <w:sz w:val="22"/>
          <w:szCs w:val="22"/>
          <w:lang w:val="lt-LT"/>
        </w:rPr>
        <w:t> jaunesnis vaikas</w:t>
      </w:r>
      <w:r w:rsidR="0084630C" w:rsidRPr="00C31AEF">
        <w:rPr>
          <w:sz w:val="22"/>
          <w:szCs w:val="22"/>
          <w:lang w:val="lt-LT"/>
        </w:rPr>
        <w:t xml:space="preserve"> [</w:t>
      </w:r>
      <w:r w:rsidR="0084630C">
        <w:rPr>
          <w:sz w:val="22"/>
          <w:szCs w:val="22"/>
          <w:lang w:val="lt-LT"/>
        </w:rPr>
        <w:t xml:space="preserve">nuo </w:t>
      </w:r>
      <w:r w:rsidRPr="00C31AEF">
        <w:rPr>
          <w:sz w:val="22"/>
          <w:szCs w:val="22"/>
          <w:lang w:val="lt-LT"/>
        </w:rPr>
        <w:t>≥</w:t>
      </w:r>
      <w:r w:rsidR="0084630C">
        <w:rPr>
          <w:sz w:val="22"/>
          <w:szCs w:val="22"/>
          <w:lang w:val="lt-LT"/>
        </w:rPr>
        <w:t> </w:t>
      </w:r>
      <w:r w:rsidRPr="00C31AEF">
        <w:rPr>
          <w:sz w:val="22"/>
          <w:szCs w:val="22"/>
          <w:lang w:val="lt-LT"/>
        </w:rPr>
        <w:t xml:space="preserve">2 </w:t>
      </w:r>
      <w:r w:rsidR="0084630C">
        <w:rPr>
          <w:sz w:val="22"/>
          <w:szCs w:val="22"/>
          <w:lang w:val="lt-LT"/>
        </w:rPr>
        <w:t>iki</w:t>
      </w:r>
      <w:r w:rsidRPr="00C31AEF">
        <w:rPr>
          <w:sz w:val="22"/>
          <w:szCs w:val="22"/>
          <w:lang w:val="lt-LT"/>
        </w:rPr>
        <w:t xml:space="preserve"> &lt;</w:t>
      </w:r>
      <w:r w:rsidR="0084630C">
        <w:rPr>
          <w:sz w:val="22"/>
          <w:szCs w:val="22"/>
          <w:lang w:val="lt-LT"/>
        </w:rPr>
        <w:t> </w:t>
      </w:r>
      <w:r w:rsidRPr="00C31AEF">
        <w:rPr>
          <w:sz w:val="22"/>
          <w:szCs w:val="22"/>
          <w:lang w:val="lt-LT"/>
        </w:rPr>
        <w:t>6</w:t>
      </w:r>
      <w:r w:rsidR="0084630C">
        <w:rPr>
          <w:sz w:val="22"/>
          <w:szCs w:val="22"/>
          <w:lang w:val="lt-LT"/>
        </w:rPr>
        <w:t> metų</w:t>
      </w:r>
      <w:r w:rsidRPr="00C31AEF">
        <w:rPr>
          <w:sz w:val="22"/>
          <w:szCs w:val="22"/>
          <w:lang w:val="lt-LT"/>
        </w:rPr>
        <w:t xml:space="preserve">], </w:t>
      </w:r>
      <w:r w:rsidR="0084630C" w:rsidRPr="00C31AEF">
        <w:rPr>
          <w:sz w:val="22"/>
          <w:szCs w:val="22"/>
          <w:lang w:val="lt-LT"/>
        </w:rPr>
        <w:t>1</w:t>
      </w:r>
      <w:r w:rsidR="0084630C">
        <w:rPr>
          <w:sz w:val="22"/>
          <w:szCs w:val="22"/>
          <w:lang w:val="lt-LT"/>
        </w:rPr>
        <w:t> vyresnis vaikas</w:t>
      </w:r>
      <w:r w:rsidR="0084630C" w:rsidRPr="00C31AEF">
        <w:rPr>
          <w:sz w:val="22"/>
          <w:szCs w:val="22"/>
          <w:lang w:val="lt-LT"/>
        </w:rPr>
        <w:t xml:space="preserve"> [</w:t>
      </w:r>
      <w:r w:rsidR="0084630C">
        <w:rPr>
          <w:sz w:val="22"/>
          <w:szCs w:val="22"/>
          <w:lang w:val="lt-LT"/>
        </w:rPr>
        <w:t xml:space="preserve">nuo </w:t>
      </w:r>
      <w:r w:rsidR="0084630C" w:rsidRPr="00C31AEF">
        <w:rPr>
          <w:sz w:val="22"/>
          <w:szCs w:val="22"/>
          <w:lang w:val="lt-LT"/>
        </w:rPr>
        <w:t>≥</w:t>
      </w:r>
      <w:r w:rsidR="0084630C">
        <w:rPr>
          <w:sz w:val="22"/>
          <w:szCs w:val="22"/>
          <w:lang w:val="lt-LT"/>
        </w:rPr>
        <w:t> </w:t>
      </w:r>
      <w:r w:rsidR="0084630C" w:rsidRPr="00C31AEF">
        <w:rPr>
          <w:sz w:val="22"/>
          <w:szCs w:val="22"/>
          <w:lang w:val="lt-LT"/>
        </w:rPr>
        <w:t xml:space="preserve">6 </w:t>
      </w:r>
      <w:r w:rsidR="0084630C">
        <w:rPr>
          <w:sz w:val="22"/>
          <w:szCs w:val="22"/>
          <w:lang w:val="lt-LT"/>
        </w:rPr>
        <w:t>iki</w:t>
      </w:r>
      <w:r w:rsidR="0084630C" w:rsidRPr="00C31AEF">
        <w:rPr>
          <w:sz w:val="22"/>
          <w:szCs w:val="22"/>
          <w:lang w:val="lt-LT"/>
        </w:rPr>
        <w:t xml:space="preserve"> &lt;</w:t>
      </w:r>
      <w:r w:rsidR="0084630C">
        <w:rPr>
          <w:sz w:val="22"/>
          <w:szCs w:val="22"/>
          <w:lang w:val="lt-LT"/>
        </w:rPr>
        <w:t> </w:t>
      </w:r>
      <w:r w:rsidR="0084630C" w:rsidRPr="00C31AEF">
        <w:rPr>
          <w:sz w:val="22"/>
          <w:szCs w:val="22"/>
          <w:lang w:val="lt-LT"/>
        </w:rPr>
        <w:t>12</w:t>
      </w:r>
      <w:r w:rsidR="0084630C">
        <w:rPr>
          <w:sz w:val="22"/>
          <w:szCs w:val="22"/>
          <w:lang w:val="lt-LT"/>
        </w:rPr>
        <w:t> metų</w:t>
      </w:r>
      <w:r w:rsidR="0084630C" w:rsidRPr="00C31AEF">
        <w:rPr>
          <w:sz w:val="22"/>
          <w:szCs w:val="22"/>
          <w:lang w:val="lt-LT"/>
        </w:rPr>
        <w:t>], 1</w:t>
      </w:r>
      <w:r w:rsidR="0084630C">
        <w:rPr>
          <w:sz w:val="22"/>
          <w:szCs w:val="22"/>
          <w:lang w:val="lt-LT"/>
        </w:rPr>
        <w:t> paauglys</w:t>
      </w:r>
      <w:r w:rsidR="0084630C" w:rsidRPr="00C31AEF">
        <w:rPr>
          <w:sz w:val="22"/>
          <w:szCs w:val="22"/>
          <w:lang w:val="lt-LT"/>
        </w:rPr>
        <w:t xml:space="preserve"> [</w:t>
      </w:r>
      <w:r w:rsidR="0084630C">
        <w:rPr>
          <w:sz w:val="22"/>
          <w:szCs w:val="22"/>
          <w:lang w:val="lt-LT"/>
        </w:rPr>
        <w:t xml:space="preserve">nuo </w:t>
      </w:r>
      <w:r w:rsidR="0084630C" w:rsidRPr="00C31AEF">
        <w:rPr>
          <w:sz w:val="22"/>
          <w:szCs w:val="22"/>
          <w:lang w:val="lt-LT"/>
        </w:rPr>
        <w:t>≥</w:t>
      </w:r>
      <w:r w:rsidR="0084630C">
        <w:rPr>
          <w:sz w:val="22"/>
          <w:szCs w:val="22"/>
          <w:lang w:val="lt-LT"/>
        </w:rPr>
        <w:t> </w:t>
      </w:r>
      <w:r w:rsidR="0084630C" w:rsidRPr="00C31AEF">
        <w:rPr>
          <w:sz w:val="22"/>
          <w:szCs w:val="22"/>
          <w:lang w:val="lt-LT"/>
        </w:rPr>
        <w:t xml:space="preserve">12 </w:t>
      </w:r>
      <w:r w:rsidR="0084630C">
        <w:rPr>
          <w:sz w:val="22"/>
          <w:szCs w:val="22"/>
          <w:lang w:val="lt-LT"/>
        </w:rPr>
        <w:t>iki</w:t>
      </w:r>
      <w:r w:rsidR="0084630C" w:rsidRPr="00C31AEF">
        <w:rPr>
          <w:sz w:val="22"/>
          <w:szCs w:val="22"/>
          <w:lang w:val="lt-LT"/>
        </w:rPr>
        <w:t xml:space="preserve"> &lt;</w:t>
      </w:r>
      <w:r w:rsidR="0084630C">
        <w:rPr>
          <w:sz w:val="22"/>
          <w:szCs w:val="22"/>
          <w:lang w:val="lt-LT"/>
        </w:rPr>
        <w:t> </w:t>
      </w:r>
      <w:r w:rsidR="0084630C" w:rsidRPr="00C31AEF">
        <w:rPr>
          <w:sz w:val="22"/>
          <w:szCs w:val="22"/>
          <w:lang w:val="lt-LT"/>
        </w:rPr>
        <w:t>17</w:t>
      </w:r>
      <w:r w:rsidR="0084630C">
        <w:rPr>
          <w:sz w:val="22"/>
          <w:szCs w:val="22"/>
          <w:lang w:val="lt-LT"/>
        </w:rPr>
        <w:t> metų</w:t>
      </w:r>
      <w:r w:rsidR="0084630C" w:rsidRPr="00C31AEF">
        <w:rPr>
          <w:sz w:val="22"/>
          <w:szCs w:val="22"/>
          <w:lang w:val="lt-LT"/>
        </w:rPr>
        <w:t>])</w:t>
      </w:r>
      <w:r w:rsidRPr="00C31AEF">
        <w:rPr>
          <w:sz w:val="22"/>
          <w:szCs w:val="22"/>
          <w:lang w:val="lt-LT"/>
        </w:rPr>
        <w:t xml:space="preserve"> </w:t>
      </w:r>
      <w:r w:rsidR="0084630C">
        <w:rPr>
          <w:sz w:val="22"/>
          <w:szCs w:val="22"/>
          <w:lang w:val="lt-LT"/>
        </w:rPr>
        <w:t>vidutinės</w:t>
      </w:r>
      <w:r w:rsidRPr="00C31AEF">
        <w:rPr>
          <w:sz w:val="22"/>
          <w:szCs w:val="22"/>
          <w:lang w:val="lt-LT"/>
        </w:rPr>
        <w:t xml:space="preserve"> (S</w:t>
      </w:r>
      <w:r w:rsidR="0084630C">
        <w:rPr>
          <w:sz w:val="22"/>
          <w:szCs w:val="22"/>
          <w:lang w:val="lt-LT"/>
        </w:rPr>
        <w:t>N</w:t>
      </w:r>
      <w:r w:rsidRPr="00C31AEF">
        <w:rPr>
          <w:sz w:val="22"/>
          <w:szCs w:val="22"/>
          <w:lang w:val="lt-LT"/>
        </w:rPr>
        <w:t xml:space="preserve">) </w:t>
      </w:r>
      <w:r w:rsidR="0084630C">
        <w:rPr>
          <w:sz w:val="22"/>
          <w:szCs w:val="22"/>
          <w:lang w:val="lt-LT"/>
        </w:rPr>
        <w:t>bendros mažiausiosios</w:t>
      </w:r>
      <w:r w:rsidRPr="00C31AEF">
        <w:rPr>
          <w:sz w:val="22"/>
          <w:szCs w:val="22"/>
          <w:lang w:val="lt-LT"/>
        </w:rPr>
        <w:t xml:space="preserve"> </w:t>
      </w:r>
      <w:proofErr w:type="spellStart"/>
      <w:r w:rsidRPr="00C31AEF">
        <w:rPr>
          <w:sz w:val="22"/>
          <w:szCs w:val="22"/>
          <w:lang w:val="lt-LT"/>
        </w:rPr>
        <w:t>IgG</w:t>
      </w:r>
      <w:proofErr w:type="spellEnd"/>
      <w:r w:rsidRPr="00C31AEF">
        <w:rPr>
          <w:sz w:val="22"/>
          <w:szCs w:val="22"/>
          <w:lang w:val="lt-LT"/>
        </w:rPr>
        <w:t xml:space="preserve"> </w:t>
      </w:r>
      <w:r w:rsidR="0084630C">
        <w:rPr>
          <w:sz w:val="22"/>
          <w:szCs w:val="22"/>
          <w:lang w:val="lt-LT"/>
        </w:rPr>
        <w:t>koncentracijos sumažėjimas</w:t>
      </w:r>
      <w:r w:rsidRPr="00C31AEF">
        <w:rPr>
          <w:sz w:val="22"/>
          <w:szCs w:val="22"/>
          <w:lang w:val="lt-LT"/>
        </w:rPr>
        <w:t xml:space="preserve"> </w:t>
      </w:r>
      <w:r w:rsidR="0084630C">
        <w:rPr>
          <w:sz w:val="22"/>
          <w:szCs w:val="22"/>
          <w:lang w:val="lt-LT"/>
        </w:rPr>
        <w:t xml:space="preserve">buvo nustatytas dozę vartojant kas antrą savaitę </w:t>
      </w:r>
      <w:r w:rsidRPr="00C31AEF">
        <w:rPr>
          <w:sz w:val="22"/>
          <w:szCs w:val="22"/>
          <w:lang w:val="lt-LT"/>
        </w:rPr>
        <w:t>(9</w:t>
      </w:r>
      <w:r w:rsidR="0084630C">
        <w:rPr>
          <w:sz w:val="22"/>
          <w:szCs w:val="22"/>
          <w:lang w:val="lt-LT"/>
        </w:rPr>
        <w:t>,</w:t>
      </w:r>
      <w:r w:rsidRPr="00C31AEF">
        <w:rPr>
          <w:sz w:val="22"/>
          <w:szCs w:val="22"/>
          <w:lang w:val="lt-LT"/>
        </w:rPr>
        <w:t>927 [2</w:t>
      </w:r>
      <w:r w:rsidR="0084630C">
        <w:rPr>
          <w:sz w:val="22"/>
          <w:szCs w:val="22"/>
          <w:lang w:val="lt-LT"/>
        </w:rPr>
        <w:t>,</w:t>
      </w:r>
      <w:r w:rsidRPr="00C31AEF">
        <w:rPr>
          <w:sz w:val="22"/>
          <w:szCs w:val="22"/>
          <w:lang w:val="lt-LT"/>
        </w:rPr>
        <w:t>0146]</w:t>
      </w:r>
      <w:r w:rsidR="0084630C">
        <w:rPr>
          <w:sz w:val="22"/>
          <w:szCs w:val="22"/>
          <w:lang w:val="lt-LT"/>
        </w:rPr>
        <w:t> </w:t>
      </w:r>
      <w:r w:rsidRPr="00C31AEF">
        <w:rPr>
          <w:sz w:val="22"/>
          <w:szCs w:val="22"/>
          <w:lang w:val="lt-LT"/>
        </w:rPr>
        <w:t>g/l)</w:t>
      </w:r>
      <w:r w:rsidR="0084630C">
        <w:rPr>
          <w:sz w:val="22"/>
          <w:szCs w:val="22"/>
          <w:lang w:val="lt-LT"/>
        </w:rPr>
        <w:t>, palyginti su kartą per savaitę vartojama doze</w:t>
      </w:r>
      <w:r w:rsidRPr="00C31AEF">
        <w:rPr>
          <w:sz w:val="22"/>
          <w:szCs w:val="22"/>
          <w:lang w:val="lt-LT"/>
        </w:rPr>
        <w:t xml:space="preserve"> (10</w:t>
      </w:r>
      <w:r w:rsidR="0084630C">
        <w:rPr>
          <w:sz w:val="22"/>
          <w:szCs w:val="22"/>
          <w:lang w:val="lt-LT"/>
        </w:rPr>
        <w:t>,</w:t>
      </w:r>
      <w:r w:rsidRPr="00C31AEF">
        <w:rPr>
          <w:sz w:val="22"/>
          <w:szCs w:val="22"/>
          <w:lang w:val="lt-LT"/>
        </w:rPr>
        <w:t>364 [1</w:t>
      </w:r>
      <w:r w:rsidR="0084630C">
        <w:rPr>
          <w:sz w:val="22"/>
          <w:szCs w:val="22"/>
          <w:lang w:val="lt-LT"/>
        </w:rPr>
        <w:t>,</w:t>
      </w:r>
      <w:r w:rsidRPr="00C31AEF">
        <w:rPr>
          <w:sz w:val="22"/>
          <w:szCs w:val="22"/>
          <w:lang w:val="lt-LT"/>
        </w:rPr>
        <w:t>9632]</w:t>
      </w:r>
      <w:r w:rsidR="0084630C">
        <w:rPr>
          <w:sz w:val="22"/>
          <w:szCs w:val="22"/>
          <w:lang w:val="lt-LT"/>
        </w:rPr>
        <w:t> </w:t>
      </w:r>
      <w:r w:rsidRPr="00C31AEF">
        <w:rPr>
          <w:sz w:val="22"/>
          <w:szCs w:val="22"/>
          <w:lang w:val="lt-LT"/>
        </w:rPr>
        <w:t>g/l) (p</w:t>
      </w:r>
      <w:r w:rsidR="0084630C">
        <w:rPr>
          <w:sz w:val="22"/>
          <w:szCs w:val="22"/>
          <w:lang w:val="lt-LT"/>
        </w:rPr>
        <w:t> </w:t>
      </w:r>
      <w:r w:rsidRPr="00C31AEF">
        <w:rPr>
          <w:sz w:val="22"/>
          <w:szCs w:val="22"/>
          <w:lang w:val="lt-LT"/>
        </w:rPr>
        <w:t>=</w:t>
      </w:r>
      <w:r w:rsidR="0084630C">
        <w:rPr>
          <w:sz w:val="22"/>
          <w:szCs w:val="22"/>
          <w:lang w:val="lt-LT"/>
        </w:rPr>
        <w:t> </w:t>
      </w:r>
      <w:r w:rsidRPr="00C31AEF">
        <w:rPr>
          <w:sz w:val="22"/>
          <w:szCs w:val="22"/>
          <w:lang w:val="lt-LT"/>
        </w:rPr>
        <w:t>0</w:t>
      </w:r>
      <w:r w:rsidR="0084630C">
        <w:rPr>
          <w:sz w:val="22"/>
          <w:szCs w:val="22"/>
          <w:lang w:val="lt-LT"/>
        </w:rPr>
        <w:t>,</w:t>
      </w:r>
      <w:r w:rsidRPr="00C31AEF">
        <w:rPr>
          <w:sz w:val="22"/>
          <w:szCs w:val="22"/>
          <w:lang w:val="lt-LT"/>
        </w:rPr>
        <w:t xml:space="preserve">0017; </w:t>
      </w:r>
      <w:r w:rsidR="00F76AB8">
        <w:rPr>
          <w:sz w:val="22"/>
          <w:szCs w:val="22"/>
          <w:lang w:val="lt-LT"/>
        </w:rPr>
        <w:t>vienpusė</w:t>
      </w:r>
      <w:r w:rsidRPr="00C31AEF">
        <w:rPr>
          <w:sz w:val="22"/>
          <w:szCs w:val="22"/>
          <w:lang w:val="lt-LT"/>
        </w:rPr>
        <w:t xml:space="preserve"> 97</w:t>
      </w:r>
      <w:r w:rsidR="00F76AB8">
        <w:rPr>
          <w:sz w:val="22"/>
          <w:szCs w:val="22"/>
          <w:lang w:val="lt-LT"/>
        </w:rPr>
        <w:t>,</w:t>
      </w:r>
      <w:r w:rsidRPr="00C31AEF">
        <w:rPr>
          <w:sz w:val="22"/>
          <w:szCs w:val="22"/>
          <w:lang w:val="lt-LT"/>
        </w:rPr>
        <w:t>5</w:t>
      </w:r>
      <w:r w:rsidR="00F76AB8">
        <w:rPr>
          <w:sz w:val="22"/>
          <w:szCs w:val="22"/>
          <w:lang w:val="lt-LT"/>
        </w:rPr>
        <w:t> </w:t>
      </w:r>
      <w:r w:rsidRPr="00C31AEF">
        <w:rPr>
          <w:sz w:val="22"/>
          <w:szCs w:val="22"/>
          <w:lang w:val="lt-LT"/>
        </w:rPr>
        <w:t xml:space="preserve">% </w:t>
      </w:r>
      <w:r w:rsidR="00F76AB8">
        <w:rPr>
          <w:sz w:val="22"/>
          <w:szCs w:val="22"/>
          <w:lang w:val="lt-LT"/>
        </w:rPr>
        <w:t xml:space="preserve">apatinė </w:t>
      </w:r>
      <w:proofErr w:type="spellStart"/>
      <w:r w:rsidR="00F76AB8">
        <w:rPr>
          <w:sz w:val="22"/>
          <w:szCs w:val="22"/>
          <w:lang w:val="lt-LT"/>
        </w:rPr>
        <w:t>pasikliautinoji</w:t>
      </w:r>
      <w:proofErr w:type="spellEnd"/>
      <w:r w:rsidR="00F76AB8">
        <w:rPr>
          <w:sz w:val="22"/>
          <w:szCs w:val="22"/>
          <w:lang w:val="lt-LT"/>
        </w:rPr>
        <w:t xml:space="preserve"> riba</w:t>
      </w:r>
      <w:r w:rsidRPr="00C31AEF">
        <w:rPr>
          <w:sz w:val="22"/>
          <w:szCs w:val="22"/>
          <w:lang w:val="lt-LT"/>
        </w:rPr>
        <w:t xml:space="preserve"> [</w:t>
      </w:r>
      <w:r w:rsidR="00F76AB8">
        <w:rPr>
          <w:sz w:val="22"/>
          <w:szCs w:val="22"/>
          <w:lang w:val="lt-LT"/>
        </w:rPr>
        <w:t>APR</w:t>
      </w:r>
      <w:r w:rsidRPr="00C31AEF">
        <w:rPr>
          <w:sz w:val="22"/>
          <w:szCs w:val="22"/>
          <w:lang w:val="lt-LT"/>
        </w:rPr>
        <w:t>]</w:t>
      </w:r>
      <w:r w:rsidR="00F76AB8">
        <w:rPr>
          <w:sz w:val="22"/>
          <w:szCs w:val="22"/>
          <w:lang w:val="lt-LT"/>
        </w:rPr>
        <w:t> </w:t>
      </w:r>
      <w:r w:rsidRPr="00C31AEF">
        <w:rPr>
          <w:sz w:val="22"/>
          <w:szCs w:val="22"/>
          <w:lang w:val="lt-LT"/>
        </w:rPr>
        <w:t>=-0</w:t>
      </w:r>
      <w:r w:rsidR="00F76AB8">
        <w:rPr>
          <w:sz w:val="22"/>
          <w:szCs w:val="22"/>
          <w:lang w:val="lt-LT"/>
        </w:rPr>
        <w:t>,</w:t>
      </w:r>
      <w:r w:rsidRPr="00C31AEF">
        <w:rPr>
          <w:sz w:val="22"/>
          <w:szCs w:val="22"/>
          <w:lang w:val="lt-LT"/>
        </w:rPr>
        <w:t xml:space="preserve">799). </w:t>
      </w:r>
      <w:r w:rsidR="00F76AB8">
        <w:rPr>
          <w:sz w:val="22"/>
          <w:szCs w:val="22"/>
          <w:lang w:val="lt-LT"/>
        </w:rPr>
        <w:t xml:space="preserve">Didžiausio realizuotojo srauto greičio mediana vienam tiriamajam buvo </w:t>
      </w:r>
      <w:r w:rsidRPr="00C31AEF">
        <w:rPr>
          <w:sz w:val="22"/>
          <w:szCs w:val="22"/>
          <w:lang w:val="lt-LT"/>
        </w:rPr>
        <w:t>93</w:t>
      </w:r>
      <w:r w:rsidR="00F76AB8">
        <w:rPr>
          <w:sz w:val="22"/>
          <w:szCs w:val="22"/>
          <w:lang w:val="lt-LT"/>
        </w:rPr>
        <w:t>,</w:t>
      </w:r>
      <w:r w:rsidRPr="00C31AEF">
        <w:rPr>
          <w:sz w:val="22"/>
          <w:szCs w:val="22"/>
          <w:lang w:val="lt-LT"/>
        </w:rPr>
        <w:t>5</w:t>
      </w:r>
      <w:r w:rsidR="00F76AB8">
        <w:rPr>
          <w:sz w:val="22"/>
          <w:szCs w:val="22"/>
          <w:lang w:val="lt-LT"/>
        </w:rPr>
        <w:t> </w:t>
      </w:r>
      <w:r w:rsidR="00F76AB8" w:rsidRPr="00C31AEF">
        <w:rPr>
          <w:sz w:val="22"/>
          <w:szCs w:val="22"/>
          <w:lang w:val="lt-LT"/>
        </w:rPr>
        <w:t>ml/</w:t>
      </w:r>
      <w:r w:rsidR="00F76AB8">
        <w:rPr>
          <w:sz w:val="22"/>
          <w:szCs w:val="22"/>
          <w:lang w:val="lt-LT"/>
        </w:rPr>
        <w:t>val.</w:t>
      </w:r>
      <w:r w:rsidR="00F76AB8" w:rsidRPr="00C31AEF">
        <w:rPr>
          <w:sz w:val="22"/>
          <w:szCs w:val="22"/>
          <w:lang w:val="lt-LT"/>
        </w:rPr>
        <w:t xml:space="preserve">, </w:t>
      </w:r>
      <w:r w:rsidR="00F76AB8">
        <w:rPr>
          <w:sz w:val="22"/>
          <w:szCs w:val="22"/>
          <w:lang w:val="lt-LT"/>
        </w:rPr>
        <w:t>svyruojant nuo</w:t>
      </w:r>
      <w:r w:rsidR="00F76AB8" w:rsidRPr="00C31AEF">
        <w:rPr>
          <w:sz w:val="22"/>
          <w:szCs w:val="22"/>
          <w:lang w:val="lt-LT"/>
        </w:rPr>
        <w:t xml:space="preserve"> </w:t>
      </w:r>
      <w:r w:rsidRPr="00C31AEF">
        <w:rPr>
          <w:sz w:val="22"/>
          <w:szCs w:val="22"/>
          <w:lang w:val="lt-LT"/>
        </w:rPr>
        <w:t>24</w:t>
      </w:r>
      <w:r w:rsidR="00F76AB8">
        <w:rPr>
          <w:sz w:val="22"/>
          <w:szCs w:val="22"/>
          <w:lang w:val="lt-LT"/>
        </w:rPr>
        <w:t>,</w:t>
      </w:r>
      <w:r w:rsidRPr="00C31AEF">
        <w:rPr>
          <w:sz w:val="22"/>
          <w:szCs w:val="22"/>
          <w:lang w:val="lt-LT"/>
        </w:rPr>
        <w:t>3</w:t>
      </w:r>
      <w:r w:rsidR="00F76AB8">
        <w:rPr>
          <w:sz w:val="22"/>
          <w:szCs w:val="22"/>
          <w:lang w:val="lt-LT"/>
        </w:rPr>
        <w:t> </w:t>
      </w:r>
      <w:r w:rsidR="00F76AB8" w:rsidRPr="00C31AEF">
        <w:rPr>
          <w:sz w:val="22"/>
          <w:szCs w:val="22"/>
          <w:lang w:val="lt-LT"/>
        </w:rPr>
        <w:t>ml/</w:t>
      </w:r>
      <w:r w:rsidR="00F76AB8">
        <w:rPr>
          <w:sz w:val="22"/>
          <w:szCs w:val="22"/>
          <w:lang w:val="lt-LT"/>
        </w:rPr>
        <w:t>val. iki</w:t>
      </w:r>
      <w:r w:rsidR="00F76AB8" w:rsidRPr="00C31AEF">
        <w:rPr>
          <w:sz w:val="22"/>
          <w:szCs w:val="22"/>
          <w:lang w:val="lt-LT"/>
        </w:rPr>
        <w:t xml:space="preserve"> </w:t>
      </w:r>
      <w:r w:rsidRPr="00C31AEF">
        <w:rPr>
          <w:sz w:val="22"/>
          <w:szCs w:val="22"/>
          <w:lang w:val="lt-LT"/>
        </w:rPr>
        <w:t>145</w:t>
      </w:r>
      <w:r w:rsidR="00F76AB8">
        <w:rPr>
          <w:sz w:val="22"/>
          <w:szCs w:val="22"/>
          <w:lang w:val="lt-LT"/>
        </w:rPr>
        <w:t>,</w:t>
      </w:r>
      <w:r w:rsidRPr="00C31AEF">
        <w:rPr>
          <w:sz w:val="22"/>
          <w:szCs w:val="22"/>
          <w:lang w:val="lt-LT"/>
        </w:rPr>
        <w:t>9</w:t>
      </w:r>
      <w:r w:rsidR="00F76AB8">
        <w:rPr>
          <w:sz w:val="22"/>
          <w:szCs w:val="22"/>
          <w:lang w:val="lt-LT"/>
        </w:rPr>
        <w:t> </w:t>
      </w:r>
      <w:r w:rsidR="00F76AB8" w:rsidRPr="00C31AEF">
        <w:rPr>
          <w:sz w:val="22"/>
          <w:szCs w:val="22"/>
          <w:lang w:val="lt-LT"/>
        </w:rPr>
        <w:t>ml/</w:t>
      </w:r>
      <w:r w:rsidR="00F76AB8">
        <w:rPr>
          <w:sz w:val="22"/>
          <w:szCs w:val="22"/>
          <w:lang w:val="lt-LT"/>
        </w:rPr>
        <w:t>val.</w:t>
      </w:r>
    </w:p>
    <w:p w14:paraId="0C1B9C60" w14:textId="3309B0EB" w:rsidR="00C31AEF" w:rsidRPr="00C31AEF" w:rsidRDefault="00637BA6" w:rsidP="00C31AEF">
      <w:pPr>
        <w:pStyle w:val="Default"/>
        <w:rPr>
          <w:sz w:val="22"/>
          <w:szCs w:val="22"/>
          <w:lang w:val="lt-LT"/>
        </w:rPr>
      </w:pPr>
      <w:r>
        <w:rPr>
          <w:sz w:val="22"/>
          <w:szCs w:val="22"/>
          <w:lang w:val="lt-LT"/>
        </w:rPr>
        <w:t>Vidutinė tikroji</w:t>
      </w:r>
      <w:r w:rsidR="00DC797F">
        <w:rPr>
          <w:sz w:val="22"/>
          <w:szCs w:val="22"/>
          <w:lang w:val="lt-LT"/>
        </w:rPr>
        <w:t xml:space="preserve"> pagal kūno svorį suleista </w:t>
      </w:r>
      <w:proofErr w:type="spellStart"/>
      <w:r w:rsidR="00DC797F">
        <w:rPr>
          <w:sz w:val="22"/>
          <w:szCs w:val="22"/>
          <w:lang w:val="lt-LT"/>
        </w:rPr>
        <w:t>c</w:t>
      </w:r>
      <w:r w:rsidR="00C31AEF" w:rsidRPr="00C31AEF">
        <w:rPr>
          <w:sz w:val="22"/>
          <w:szCs w:val="22"/>
          <w:lang w:val="lt-LT"/>
        </w:rPr>
        <w:t>utaquig</w:t>
      </w:r>
      <w:proofErr w:type="spellEnd"/>
      <w:r w:rsidR="00C31AEF" w:rsidRPr="00C31AEF">
        <w:rPr>
          <w:sz w:val="22"/>
          <w:szCs w:val="22"/>
          <w:lang w:val="lt-LT"/>
        </w:rPr>
        <w:t xml:space="preserve"> </w:t>
      </w:r>
      <w:r w:rsidR="00DC797F">
        <w:rPr>
          <w:sz w:val="22"/>
          <w:szCs w:val="22"/>
          <w:lang w:val="lt-LT"/>
        </w:rPr>
        <w:t xml:space="preserve">dozė </w:t>
      </w:r>
      <w:r w:rsidR="00DC797F" w:rsidRPr="00C31AEF">
        <w:rPr>
          <w:sz w:val="22"/>
          <w:szCs w:val="22"/>
          <w:lang w:val="lt-LT"/>
        </w:rPr>
        <w:t>1</w:t>
      </w:r>
      <w:r w:rsidR="00DC797F">
        <w:rPr>
          <w:sz w:val="22"/>
          <w:szCs w:val="22"/>
          <w:lang w:val="lt-LT"/>
        </w:rPr>
        <w:t> kohortoje atitinkamai buvo</w:t>
      </w:r>
      <w:r w:rsidR="00C31AEF" w:rsidRPr="00C31AEF">
        <w:rPr>
          <w:sz w:val="22"/>
          <w:szCs w:val="22"/>
          <w:lang w:val="lt-LT"/>
        </w:rPr>
        <w:t xml:space="preserve"> 0</w:t>
      </w:r>
      <w:r w:rsidR="00DC797F">
        <w:rPr>
          <w:sz w:val="22"/>
          <w:szCs w:val="22"/>
          <w:lang w:val="lt-LT"/>
        </w:rPr>
        <w:t>,</w:t>
      </w:r>
      <w:r w:rsidR="00C31AEF" w:rsidRPr="00C31AEF">
        <w:rPr>
          <w:sz w:val="22"/>
          <w:szCs w:val="22"/>
          <w:lang w:val="lt-LT"/>
        </w:rPr>
        <w:t>143</w:t>
      </w:r>
      <w:r w:rsidR="00DC797F">
        <w:rPr>
          <w:sz w:val="22"/>
          <w:szCs w:val="22"/>
          <w:lang w:val="lt-LT"/>
        </w:rPr>
        <w:t> </w:t>
      </w:r>
      <w:r w:rsidR="00C31AEF" w:rsidRPr="00C31AEF">
        <w:rPr>
          <w:sz w:val="22"/>
          <w:szCs w:val="22"/>
          <w:lang w:val="lt-LT"/>
        </w:rPr>
        <w:t xml:space="preserve">g/kg, </w:t>
      </w:r>
      <w:r w:rsidR="00DC797F" w:rsidRPr="00C31AEF">
        <w:rPr>
          <w:sz w:val="22"/>
          <w:szCs w:val="22"/>
          <w:lang w:val="lt-LT"/>
        </w:rPr>
        <w:t>2</w:t>
      </w:r>
      <w:r w:rsidR="00DC797F">
        <w:rPr>
          <w:sz w:val="22"/>
          <w:szCs w:val="22"/>
          <w:lang w:val="lt-LT"/>
        </w:rPr>
        <w:t> kohortoje </w:t>
      </w:r>
      <w:r w:rsidR="00DC797F" w:rsidRPr="00C91CBE">
        <w:rPr>
          <w:sz w:val="22"/>
          <w:szCs w:val="22"/>
          <w:lang w:val="lt-LT"/>
        </w:rPr>
        <w:t xml:space="preserve">– </w:t>
      </w:r>
      <w:r w:rsidR="00C31AEF" w:rsidRPr="00C31AEF">
        <w:rPr>
          <w:sz w:val="22"/>
          <w:szCs w:val="22"/>
          <w:lang w:val="lt-LT"/>
        </w:rPr>
        <w:t>0</w:t>
      </w:r>
      <w:r w:rsidR="00DC797F">
        <w:rPr>
          <w:sz w:val="22"/>
          <w:szCs w:val="22"/>
          <w:lang w:val="lt-LT"/>
        </w:rPr>
        <w:t>,</w:t>
      </w:r>
      <w:r w:rsidR="00C31AEF" w:rsidRPr="00C31AEF">
        <w:rPr>
          <w:sz w:val="22"/>
          <w:szCs w:val="22"/>
          <w:lang w:val="lt-LT"/>
        </w:rPr>
        <w:t>157</w:t>
      </w:r>
      <w:r w:rsidR="00DC797F">
        <w:rPr>
          <w:sz w:val="22"/>
          <w:szCs w:val="22"/>
          <w:lang w:val="lt-LT"/>
        </w:rPr>
        <w:t> </w:t>
      </w:r>
      <w:r w:rsidR="00C31AEF" w:rsidRPr="00C31AEF">
        <w:rPr>
          <w:sz w:val="22"/>
          <w:szCs w:val="22"/>
          <w:lang w:val="lt-LT"/>
        </w:rPr>
        <w:t xml:space="preserve">g/kg </w:t>
      </w:r>
      <w:r w:rsidR="00DC797F">
        <w:rPr>
          <w:sz w:val="22"/>
          <w:szCs w:val="22"/>
          <w:lang w:val="lt-LT"/>
        </w:rPr>
        <w:t>ir</w:t>
      </w:r>
      <w:r w:rsidR="00C31AEF" w:rsidRPr="00C31AEF">
        <w:rPr>
          <w:sz w:val="22"/>
          <w:szCs w:val="22"/>
          <w:lang w:val="lt-LT"/>
        </w:rPr>
        <w:t xml:space="preserve"> </w:t>
      </w:r>
      <w:r w:rsidR="00DC797F" w:rsidRPr="00C31AEF">
        <w:rPr>
          <w:sz w:val="22"/>
          <w:szCs w:val="22"/>
          <w:lang w:val="lt-LT"/>
        </w:rPr>
        <w:t>3</w:t>
      </w:r>
      <w:r w:rsidR="00DC797F">
        <w:rPr>
          <w:sz w:val="22"/>
          <w:szCs w:val="22"/>
          <w:lang w:val="lt-LT"/>
        </w:rPr>
        <w:t> kohortoje </w:t>
      </w:r>
      <w:r w:rsidR="00DC797F" w:rsidRPr="00C91CBE">
        <w:rPr>
          <w:sz w:val="22"/>
          <w:szCs w:val="22"/>
          <w:lang w:val="lt-LT"/>
        </w:rPr>
        <w:t xml:space="preserve">– </w:t>
      </w:r>
      <w:r w:rsidR="00C31AEF" w:rsidRPr="00C31AEF">
        <w:rPr>
          <w:sz w:val="22"/>
          <w:szCs w:val="22"/>
          <w:lang w:val="lt-LT"/>
        </w:rPr>
        <w:t>0</w:t>
      </w:r>
      <w:r w:rsidR="00DC797F">
        <w:rPr>
          <w:sz w:val="22"/>
          <w:szCs w:val="22"/>
          <w:lang w:val="lt-LT"/>
        </w:rPr>
        <w:t>,</w:t>
      </w:r>
      <w:r w:rsidR="00C31AEF" w:rsidRPr="00C31AEF">
        <w:rPr>
          <w:sz w:val="22"/>
          <w:szCs w:val="22"/>
          <w:lang w:val="lt-LT"/>
        </w:rPr>
        <w:t>256</w:t>
      </w:r>
      <w:r w:rsidR="00DC797F">
        <w:rPr>
          <w:sz w:val="22"/>
          <w:szCs w:val="22"/>
          <w:lang w:val="lt-LT"/>
        </w:rPr>
        <w:t> </w:t>
      </w:r>
      <w:r w:rsidR="00C31AEF" w:rsidRPr="00C31AEF">
        <w:rPr>
          <w:sz w:val="22"/>
          <w:szCs w:val="22"/>
          <w:lang w:val="lt-LT"/>
        </w:rPr>
        <w:t>g/kg.</w:t>
      </w:r>
    </w:p>
    <w:p w14:paraId="1FE7B695" w14:textId="7A370674" w:rsidR="00C31AEF" w:rsidRDefault="00C31AEF" w:rsidP="00C31AEF">
      <w:pPr>
        <w:pStyle w:val="Default"/>
        <w:rPr>
          <w:sz w:val="22"/>
          <w:szCs w:val="22"/>
          <w:lang w:val="lt-LT"/>
        </w:rPr>
      </w:pPr>
      <w:r w:rsidRPr="00C31AEF">
        <w:rPr>
          <w:sz w:val="22"/>
          <w:szCs w:val="22"/>
          <w:lang w:val="lt-LT"/>
        </w:rPr>
        <w:t>T</w:t>
      </w:r>
      <w:r w:rsidR="00E93DDB">
        <w:rPr>
          <w:sz w:val="22"/>
          <w:szCs w:val="22"/>
          <w:lang w:val="lt-LT"/>
        </w:rPr>
        <w:t xml:space="preserve">yrimo metu </w:t>
      </w:r>
      <w:r w:rsidRPr="00C31AEF">
        <w:rPr>
          <w:sz w:val="22"/>
          <w:szCs w:val="22"/>
          <w:lang w:val="lt-LT"/>
        </w:rPr>
        <w:t>SBI</w:t>
      </w:r>
      <w:r w:rsidR="00E93DDB">
        <w:rPr>
          <w:sz w:val="22"/>
          <w:szCs w:val="22"/>
          <w:lang w:val="lt-LT"/>
        </w:rPr>
        <w:t xml:space="preserve"> nenustatyta, o bendras</w:t>
      </w:r>
      <w:r w:rsidRPr="00C31AEF">
        <w:rPr>
          <w:sz w:val="22"/>
          <w:szCs w:val="22"/>
          <w:lang w:val="lt-LT"/>
        </w:rPr>
        <w:t xml:space="preserve"> SBI </w:t>
      </w:r>
      <w:r w:rsidR="00E93DDB">
        <w:rPr>
          <w:sz w:val="22"/>
          <w:szCs w:val="22"/>
          <w:lang w:val="lt-LT"/>
        </w:rPr>
        <w:t>dažnis</w:t>
      </w:r>
      <w:r w:rsidRPr="00C31AEF">
        <w:rPr>
          <w:sz w:val="22"/>
          <w:szCs w:val="22"/>
          <w:lang w:val="lt-LT"/>
        </w:rPr>
        <w:t xml:space="preserve"> per </w:t>
      </w:r>
      <w:r w:rsidR="009342ED">
        <w:rPr>
          <w:sz w:val="22"/>
          <w:szCs w:val="22"/>
          <w:lang w:val="lt-LT"/>
        </w:rPr>
        <w:t>sutartinius asmens metus</w:t>
      </w:r>
      <w:r w:rsidRPr="00C31AEF">
        <w:rPr>
          <w:sz w:val="22"/>
          <w:szCs w:val="22"/>
          <w:lang w:val="lt-LT"/>
        </w:rPr>
        <w:t xml:space="preserve"> </w:t>
      </w:r>
      <w:r w:rsidR="009342ED">
        <w:rPr>
          <w:sz w:val="22"/>
          <w:szCs w:val="22"/>
          <w:lang w:val="lt-LT"/>
        </w:rPr>
        <w:t>buvo</w:t>
      </w:r>
      <w:r w:rsidR="009342ED" w:rsidRPr="00C31AEF">
        <w:rPr>
          <w:sz w:val="22"/>
          <w:szCs w:val="22"/>
          <w:lang w:val="lt-LT"/>
        </w:rPr>
        <w:t xml:space="preserve"> 0</w:t>
      </w:r>
      <w:r w:rsidR="009342ED">
        <w:rPr>
          <w:sz w:val="22"/>
          <w:szCs w:val="22"/>
          <w:lang w:val="lt-LT"/>
        </w:rPr>
        <w:t>,</w:t>
      </w:r>
      <w:r w:rsidR="009342ED" w:rsidRPr="00C31AEF">
        <w:rPr>
          <w:sz w:val="22"/>
          <w:szCs w:val="22"/>
          <w:lang w:val="lt-LT"/>
        </w:rPr>
        <w:t xml:space="preserve">00 </w:t>
      </w:r>
      <w:r w:rsidRPr="00C31AEF">
        <w:rPr>
          <w:sz w:val="22"/>
          <w:szCs w:val="22"/>
          <w:lang w:val="lt-LT"/>
        </w:rPr>
        <w:t>(98</w:t>
      </w:r>
      <w:r w:rsidR="009342ED">
        <w:rPr>
          <w:sz w:val="22"/>
          <w:szCs w:val="22"/>
          <w:lang w:val="lt-LT"/>
        </w:rPr>
        <w:t> </w:t>
      </w:r>
      <w:r w:rsidRPr="00C31AEF">
        <w:rPr>
          <w:sz w:val="22"/>
          <w:szCs w:val="22"/>
          <w:lang w:val="lt-LT"/>
        </w:rPr>
        <w:t xml:space="preserve">% </w:t>
      </w:r>
      <w:r w:rsidR="009342ED">
        <w:rPr>
          <w:sz w:val="22"/>
          <w:szCs w:val="22"/>
          <w:lang w:val="lt-LT"/>
        </w:rPr>
        <w:t>P</w:t>
      </w:r>
      <w:r w:rsidRPr="00C31AEF">
        <w:rPr>
          <w:sz w:val="22"/>
          <w:szCs w:val="22"/>
          <w:lang w:val="lt-LT"/>
        </w:rPr>
        <w:t xml:space="preserve">I </w:t>
      </w:r>
      <w:r w:rsidR="009342ED">
        <w:rPr>
          <w:sz w:val="22"/>
          <w:szCs w:val="22"/>
          <w:lang w:val="lt-LT"/>
        </w:rPr>
        <w:t>viršutinė riba</w:t>
      </w:r>
      <w:r w:rsidRPr="00C31AEF">
        <w:rPr>
          <w:sz w:val="22"/>
          <w:szCs w:val="22"/>
          <w:lang w:val="lt-LT"/>
        </w:rPr>
        <w:t xml:space="preserve"> [</w:t>
      </w:r>
      <w:r w:rsidR="009342ED">
        <w:rPr>
          <w:sz w:val="22"/>
          <w:szCs w:val="22"/>
          <w:lang w:val="lt-LT"/>
        </w:rPr>
        <w:t>alternatyvusis metodas</w:t>
      </w:r>
      <w:r w:rsidRPr="00C31AEF">
        <w:rPr>
          <w:sz w:val="22"/>
          <w:szCs w:val="22"/>
          <w:lang w:val="lt-LT"/>
        </w:rPr>
        <w:t>]</w:t>
      </w:r>
      <w:r w:rsidR="00201B6F">
        <w:rPr>
          <w:sz w:val="22"/>
          <w:szCs w:val="22"/>
          <w:lang w:val="lt-LT"/>
        </w:rPr>
        <w:t> </w:t>
      </w:r>
      <w:r w:rsidRPr="00C31AEF">
        <w:rPr>
          <w:sz w:val="22"/>
          <w:szCs w:val="22"/>
          <w:lang w:val="lt-LT"/>
        </w:rPr>
        <w:t>= 0</w:t>
      </w:r>
      <w:r w:rsidR="009342ED">
        <w:rPr>
          <w:sz w:val="22"/>
          <w:szCs w:val="22"/>
          <w:lang w:val="lt-LT"/>
        </w:rPr>
        <w:t>,</w:t>
      </w:r>
      <w:r w:rsidRPr="00C31AEF">
        <w:rPr>
          <w:sz w:val="22"/>
          <w:szCs w:val="22"/>
          <w:lang w:val="lt-LT"/>
        </w:rPr>
        <w:t>135 [</w:t>
      </w:r>
      <w:r w:rsidR="009342ED" w:rsidRPr="00C31AEF">
        <w:rPr>
          <w:sz w:val="22"/>
          <w:szCs w:val="22"/>
          <w:lang w:val="lt-LT"/>
        </w:rPr>
        <w:t>1</w:t>
      </w:r>
      <w:r w:rsidR="009342ED">
        <w:rPr>
          <w:sz w:val="22"/>
          <w:szCs w:val="22"/>
          <w:lang w:val="lt-LT"/>
        </w:rPr>
        <w:t> kohortoje </w:t>
      </w:r>
      <w:r w:rsidR="009342ED" w:rsidRPr="00C91CBE">
        <w:rPr>
          <w:sz w:val="22"/>
          <w:szCs w:val="22"/>
          <w:lang w:val="lt-LT"/>
        </w:rPr>
        <w:t xml:space="preserve">– </w:t>
      </w:r>
      <w:r w:rsidRPr="00C31AEF">
        <w:rPr>
          <w:sz w:val="22"/>
          <w:szCs w:val="22"/>
          <w:lang w:val="lt-LT"/>
        </w:rPr>
        <w:t>0</w:t>
      </w:r>
      <w:r w:rsidR="009342ED">
        <w:rPr>
          <w:sz w:val="22"/>
          <w:szCs w:val="22"/>
          <w:lang w:val="lt-LT"/>
        </w:rPr>
        <w:t>,</w:t>
      </w:r>
      <w:r w:rsidRPr="00C31AEF">
        <w:rPr>
          <w:sz w:val="22"/>
          <w:szCs w:val="22"/>
          <w:lang w:val="lt-LT"/>
        </w:rPr>
        <w:t xml:space="preserve">614, </w:t>
      </w:r>
      <w:r w:rsidR="009342ED" w:rsidRPr="00C31AEF">
        <w:rPr>
          <w:sz w:val="22"/>
          <w:szCs w:val="22"/>
          <w:lang w:val="lt-LT"/>
        </w:rPr>
        <w:t>2</w:t>
      </w:r>
      <w:r w:rsidR="009342ED">
        <w:rPr>
          <w:sz w:val="22"/>
          <w:szCs w:val="22"/>
          <w:lang w:val="lt-LT"/>
        </w:rPr>
        <w:t> kohortoje </w:t>
      </w:r>
      <w:r w:rsidR="009342ED" w:rsidRPr="00C91CBE">
        <w:rPr>
          <w:sz w:val="22"/>
          <w:szCs w:val="22"/>
          <w:lang w:val="lt-LT"/>
        </w:rPr>
        <w:t xml:space="preserve">– </w:t>
      </w:r>
      <w:r w:rsidRPr="00C31AEF">
        <w:rPr>
          <w:sz w:val="22"/>
          <w:szCs w:val="22"/>
          <w:lang w:val="lt-LT"/>
        </w:rPr>
        <w:t>0</w:t>
      </w:r>
      <w:r w:rsidR="009342ED">
        <w:rPr>
          <w:sz w:val="22"/>
          <w:szCs w:val="22"/>
          <w:lang w:val="lt-LT"/>
        </w:rPr>
        <w:t>,</w:t>
      </w:r>
      <w:r w:rsidRPr="00C31AEF">
        <w:rPr>
          <w:sz w:val="22"/>
          <w:szCs w:val="22"/>
          <w:lang w:val="lt-LT"/>
        </w:rPr>
        <w:t>602</w:t>
      </w:r>
      <w:r w:rsidR="009342ED">
        <w:rPr>
          <w:sz w:val="22"/>
          <w:szCs w:val="22"/>
          <w:lang w:val="lt-LT"/>
        </w:rPr>
        <w:t xml:space="preserve"> ir </w:t>
      </w:r>
      <w:r w:rsidR="009342ED" w:rsidRPr="00C31AEF">
        <w:rPr>
          <w:sz w:val="22"/>
          <w:szCs w:val="22"/>
          <w:lang w:val="lt-LT"/>
        </w:rPr>
        <w:t>3</w:t>
      </w:r>
      <w:r w:rsidR="009342ED">
        <w:rPr>
          <w:sz w:val="22"/>
          <w:szCs w:val="22"/>
          <w:lang w:val="lt-LT"/>
        </w:rPr>
        <w:t> kohortoje </w:t>
      </w:r>
      <w:r w:rsidR="009342ED" w:rsidRPr="00C91CBE">
        <w:rPr>
          <w:sz w:val="22"/>
          <w:szCs w:val="22"/>
          <w:lang w:val="lt-LT"/>
        </w:rPr>
        <w:t>–</w:t>
      </w:r>
      <w:r w:rsidRPr="00C31AEF">
        <w:rPr>
          <w:sz w:val="22"/>
          <w:szCs w:val="22"/>
          <w:lang w:val="lt-LT"/>
        </w:rPr>
        <w:t xml:space="preserve"> 0</w:t>
      </w:r>
      <w:r w:rsidR="009342ED">
        <w:rPr>
          <w:sz w:val="22"/>
          <w:szCs w:val="22"/>
          <w:lang w:val="lt-LT"/>
        </w:rPr>
        <w:t>,</w:t>
      </w:r>
      <w:r w:rsidRPr="00C31AEF">
        <w:rPr>
          <w:sz w:val="22"/>
          <w:szCs w:val="22"/>
          <w:lang w:val="lt-LT"/>
        </w:rPr>
        <w:t>244])</w:t>
      </w:r>
      <w:r w:rsidR="009342ED">
        <w:rPr>
          <w:sz w:val="22"/>
          <w:szCs w:val="22"/>
          <w:lang w:val="lt-LT"/>
        </w:rPr>
        <w:t>.</w:t>
      </w:r>
    </w:p>
    <w:p w14:paraId="17991AB4" w14:textId="77777777" w:rsidR="00B227CF" w:rsidRPr="00CE6E5F" w:rsidRDefault="00B227CF">
      <w:pPr>
        <w:pStyle w:val="Default"/>
        <w:rPr>
          <w:sz w:val="22"/>
          <w:szCs w:val="22"/>
          <w:lang w:val="lt-LT"/>
        </w:rPr>
      </w:pPr>
    </w:p>
    <w:p w14:paraId="1D4686F8" w14:textId="77777777" w:rsidR="00D45C9E" w:rsidRPr="00CE6E5F" w:rsidRDefault="00FB1A76">
      <w:pPr>
        <w:keepNext/>
        <w:rPr>
          <w:rFonts w:cs="Times New Roman"/>
          <w:u w:val="single"/>
        </w:rPr>
      </w:pPr>
      <w:r w:rsidRPr="00CE6E5F">
        <w:rPr>
          <w:rFonts w:cs="Times New Roman"/>
          <w:u w:val="single"/>
        </w:rPr>
        <w:t>Vaikų populiacija</w:t>
      </w:r>
    </w:p>
    <w:p w14:paraId="35B4A366" w14:textId="77777777" w:rsidR="00D45C9E" w:rsidRPr="00CE6E5F" w:rsidRDefault="00D45C9E">
      <w:pPr>
        <w:rPr>
          <w:rFonts w:cs="Times New Roman"/>
        </w:rPr>
      </w:pPr>
      <w:r w:rsidRPr="00CE6E5F">
        <w:rPr>
          <w:rFonts w:cs="Times New Roman"/>
        </w:rPr>
        <w:t xml:space="preserve">Nebuvo pastebėta jokių </w:t>
      </w:r>
      <w:proofErr w:type="spellStart"/>
      <w:r w:rsidRPr="00CE6E5F">
        <w:rPr>
          <w:rFonts w:cs="Times New Roman"/>
        </w:rPr>
        <w:t>farmakodinaminių</w:t>
      </w:r>
      <w:proofErr w:type="spellEnd"/>
      <w:r w:rsidRPr="00CE6E5F">
        <w:rPr>
          <w:rFonts w:cs="Times New Roman"/>
        </w:rPr>
        <w:t xml:space="preserve"> savybių skirtumų tarp suaugusiųjų ir vaikų bei paauglių.</w:t>
      </w:r>
    </w:p>
    <w:p w14:paraId="6DED4895" w14:textId="77777777" w:rsidR="003169D1" w:rsidRPr="00CE6E5F" w:rsidRDefault="003169D1">
      <w:pPr>
        <w:rPr>
          <w:rFonts w:cs="Times New Roman"/>
        </w:rPr>
      </w:pPr>
    </w:p>
    <w:p w14:paraId="430675BD" w14:textId="77777777" w:rsidR="00FD7C97" w:rsidRPr="00CE6E5F" w:rsidRDefault="003169D1" w:rsidP="00CE6E5F">
      <w:pPr>
        <w:pStyle w:val="Antrat2"/>
      </w:pPr>
      <w:r w:rsidRPr="00CE6E5F">
        <w:t>5.2</w:t>
      </w:r>
      <w:r w:rsidRPr="00CE6E5F">
        <w:tab/>
      </w:r>
      <w:proofErr w:type="spellStart"/>
      <w:r w:rsidRPr="00CE6E5F">
        <w:t>Farmakokinetinės</w:t>
      </w:r>
      <w:proofErr w:type="spellEnd"/>
      <w:r w:rsidRPr="00CE6E5F">
        <w:t xml:space="preserve"> savybės</w:t>
      </w:r>
    </w:p>
    <w:p w14:paraId="43F0661B" w14:textId="35158C71" w:rsidR="00C51983" w:rsidRPr="007B403D" w:rsidRDefault="00C51983" w:rsidP="00C51983">
      <w:pPr>
        <w:pStyle w:val="Default"/>
        <w:rPr>
          <w:sz w:val="22"/>
          <w:lang w:val="lt-LT"/>
        </w:rPr>
      </w:pPr>
    </w:p>
    <w:p w14:paraId="280631CA" w14:textId="14958E44" w:rsidR="00B00512" w:rsidRPr="00E44406" w:rsidRDefault="00B00512" w:rsidP="00B00512">
      <w:pPr>
        <w:rPr>
          <w:rFonts w:cs="Times New Roman"/>
        </w:rPr>
      </w:pPr>
      <w:r w:rsidRPr="00E44406">
        <w:rPr>
          <w:rFonts w:cs="Times New Roman"/>
        </w:rPr>
        <w:t>Klinikini</w:t>
      </w:r>
      <w:r w:rsidR="00CE201A">
        <w:rPr>
          <w:rFonts w:cs="Times New Roman"/>
        </w:rPr>
        <w:t>o</w:t>
      </w:r>
      <w:r w:rsidRPr="00E44406">
        <w:rPr>
          <w:rFonts w:cs="Times New Roman"/>
        </w:rPr>
        <w:t xml:space="preserve"> III fazės tyrim</w:t>
      </w:r>
      <w:r>
        <w:rPr>
          <w:rFonts w:cs="Times New Roman"/>
        </w:rPr>
        <w:t>o metu</w:t>
      </w:r>
      <w:r w:rsidRPr="00E44406">
        <w:rPr>
          <w:rFonts w:cs="Times New Roman"/>
        </w:rPr>
        <w:t xml:space="preserve"> buvo atliktas papildomas farmakokinetikos (FK) tyrimas, kuriame dalyvavo 37 tiriamieji, sergantys PID. Kraujo mėginiai FK tyrimui buvo paimti prieš pradedant vartoti </w:t>
      </w:r>
      <w:proofErr w:type="spellStart"/>
      <w:r>
        <w:rPr>
          <w:rFonts w:cs="Times New Roman"/>
        </w:rPr>
        <w:t>cutaquig</w:t>
      </w:r>
      <w:proofErr w:type="spellEnd"/>
      <w:r w:rsidRPr="00E44406">
        <w:rPr>
          <w:rFonts w:cs="Times New Roman"/>
        </w:rPr>
        <w:t xml:space="preserve"> (I</w:t>
      </w:r>
      <w:r w:rsidR="00600EC1">
        <w:rPr>
          <w:rFonts w:cs="Times New Roman"/>
        </w:rPr>
        <w:t>VIG</w:t>
      </w:r>
      <w:r w:rsidRPr="00E44406">
        <w:rPr>
          <w:rFonts w:cs="Times New Roman"/>
        </w:rPr>
        <w:t xml:space="preserve"> </w:t>
      </w:r>
      <w:r w:rsidR="00600EC1">
        <w:rPr>
          <w:rFonts w:cs="Times New Roman"/>
        </w:rPr>
        <w:t>profilis,</w:t>
      </w:r>
      <w:r w:rsidRPr="00E44406">
        <w:rPr>
          <w:rFonts w:cs="Times New Roman"/>
        </w:rPr>
        <w:t xml:space="preserve"> PK</w:t>
      </w:r>
      <w:r w:rsidRPr="00E44406">
        <w:rPr>
          <w:rFonts w:cs="Times New Roman"/>
          <w:vertAlign w:val="subscript"/>
        </w:rPr>
        <w:t>IV</w:t>
      </w:r>
      <w:r w:rsidRPr="00E44406">
        <w:rPr>
          <w:rFonts w:cs="Times New Roman"/>
        </w:rPr>
        <w:t xml:space="preserve">), po 11-tos </w:t>
      </w:r>
      <w:proofErr w:type="spellStart"/>
      <w:r>
        <w:rPr>
          <w:rFonts w:cs="Times New Roman"/>
        </w:rPr>
        <w:t>cutaquig</w:t>
      </w:r>
      <w:proofErr w:type="spellEnd"/>
      <w:r w:rsidRPr="00E44406">
        <w:rPr>
          <w:rFonts w:cs="Times New Roman"/>
        </w:rPr>
        <w:t xml:space="preserve"> infuzijos (pirmosios infuzijos po oda </w:t>
      </w:r>
      <w:r w:rsidR="00600EC1">
        <w:rPr>
          <w:rFonts w:cs="Times New Roman"/>
        </w:rPr>
        <w:t>profilis,</w:t>
      </w:r>
      <w:r w:rsidRPr="00E44406">
        <w:rPr>
          <w:rFonts w:cs="Times New Roman"/>
        </w:rPr>
        <w:t xml:space="preserve"> FK</w:t>
      </w:r>
      <w:r w:rsidRPr="00E44406">
        <w:rPr>
          <w:rFonts w:cs="Times New Roman"/>
          <w:vertAlign w:val="subscript"/>
        </w:rPr>
        <w:t>PO1</w:t>
      </w:r>
      <w:r w:rsidRPr="00E44406">
        <w:rPr>
          <w:rFonts w:cs="Times New Roman"/>
        </w:rPr>
        <w:t xml:space="preserve">) ir po 28-os </w:t>
      </w:r>
      <w:proofErr w:type="spellStart"/>
      <w:r>
        <w:rPr>
          <w:rFonts w:cs="Times New Roman"/>
        </w:rPr>
        <w:t>cutaquig</w:t>
      </w:r>
      <w:proofErr w:type="spellEnd"/>
      <w:r w:rsidRPr="00E44406">
        <w:rPr>
          <w:rFonts w:cs="Times New Roman"/>
        </w:rPr>
        <w:t xml:space="preserve"> infuzijos (antrosios infuzijos po oda </w:t>
      </w:r>
      <w:r w:rsidR="00600EC1">
        <w:rPr>
          <w:rFonts w:cs="Times New Roman"/>
        </w:rPr>
        <w:t>profilis,</w:t>
      </w:r>
      <w:r w:rsidRPr="00E44406">
        <w:rPr>
          <w:rFonts w:cs="Times New Roman"/>
        </w:rPr>
        <w:t xml:space="preserve"> FK</w:t>
      </w:r>
      <w:r w:rsidRPr="00E44406">
        <w:rPr>
          <w:rFonts w:cs="Times New Roman"/>
          <w:vertAlign w:val="subscript"/>
        </w:rPr>
        <w:t>PO</w:t>
      </w:r>
      <w:r w:rsidR="00CE201A">
        <w:rPr>
          <w:rFonts w:cs="Times New Roman"/>
          <w:vertAlign w:val="subscript"/>
        </w:rPr>
        <w:t>2</w:t>
      </w:r>
      <w:r w:rsidRPr="00E44406">
        <w:rPr>
          <w:rFonts w:cs="Times New Roman"/>
        </w:rPr>
        <w:t>). Papildomo FK tyrimo tikslas buvo palyginti plot</w:t>
      </w:r>
      <w:r w:rsidR="00600EC1">
        <w:rPr>
          <w:rFonts w:cs="Times New Roman"/>
        </w:rPr>
        <w:t>us</w:t>
      </w:r>
      <w:r w:rsidRPr="00E44406">
        <w:rPr>
          <w:rFonts w:cs="Times New Roman"/>
        </w:rPr>
        <w:t xml:space="preserve"> po kreiv</w:t>
      </w:r>
      <w:r w:rsidR="00600EC1">
        <w:rPr>
          <w:rFonts w:cs="Times New Roman"/>
        </w:rPr>
        <w:t>ėmis</w:t>
      </w:r>
      <w:r w:rsidRPr="00E44406">
        <w:rPr>
          <w:rFonts w:cs="Times New Roman"/>
        </w:rPr>
        <w:t xml:space="preserve"> (</w:t>
      </w:r>
      <w:proofErr w:type="spellStart"/>
      <w:r w:rsidRPr="00E44406">
        <w:rPr>
          <w:rFonts w:cs="Times New Roman"/>
        </w:rPr>
        <w:t>AUCs</w:t>
      </w:r>
      <w:proofErr w:type="spellEnd"/>
      <w:r w:rsidRPr="00E44406">
        <w:rPr>
          <w:rFonts w:cs="Times New Roman"/>
        </w:rPr>
        <w:t>) po infuzijos po oda ir į veną</w:t>
      </w:r>
      <w:r w:rsidR="00600EC1">
        <w:rPr>
          <w:rFonts w:cs="Times New Roman"/>
        </w:rPr>
        <w:t>,</w:t>
      </w:r>
      <w:r w:rsidRPr="00E44406">
        <w:rPr>
          <w:rFonts w:cs="Times New Roman"/>
        </w:rPr>
        <w:t xml:space="preserve"> naudojant</w:t>
      </w:r>
      <w:r w:rsidR="00235954">
        <w:rPr>
          <w:rFonts w:cs="Times New Roman"/>
        </w:rPr>
        <w:t xml:space="preserve"> 1,5</w:t>
      </w:r>
      <w:r w:rsidRPr="00E44406">
        <w:rPr>
          <w:rFonts w:cs="Times New Roman"/>
        </w:rPr>
        <w:t xml:space="preserve"> dozės koregavimo </w:t>
      </w:r>
      <w:r w:rsidR="00235954">
        <w:rPr>
          <w:rFonts w:cs="Times New Roman"/>
        </w:rPr>
        <w:t>koeficientą</w:t>
      </w:r>
      <w:r w:rsidRPr="00E44406">
        <w:rPr>
          <w:rFonts w:cs="Times New Roman"/>
        </w:rPr>
        <w:t xml:space="preserve"> (DK</w:t>
      </w:r>
      <w:r w:rsidR="00235954">
        <w:rPr>
          <w:rFonts w:cs="Times New Roman"/>
        </w:rPr>
        <w:t>K</w:t>
      </w:r>
      <w:r w:rsidRPr="00E44406">
        <w:rPr>
          <w:rFonts w:cs="Times New Roman"/>
        </w:rPr>
        <w:t xml:space="preserve">). Naudojant populiacijos FK modelį buvo </w:t>
      </w:r>
      <w:r w:rsidR="00235954">
        <w:rPr>
          <w:rFonts w:cs="Times New Roman"/>
        </w:rPr>
        <w:t>įvertint</w:t>
      </w:r>
      <w:r w:rsidR="00600EC1">
        <w:rPr>
          <w:rFonts w:cs="Times New Roman"/>
        </w:rPr>
        <w:t>i</w:t>
      </w:r>
      <w:r w:rsidRPr="00E44406">
        <w:rPr>
          <w:rFonts w:cs="Times New Roman"/>
        </w:rPr>
        <w:t xml:space="preserve"> FK parametra</w:t>
      </w:r>
      <w:r w:rsidR="00600EC1">
        <w:rPr>
          <w:rFonts w:cs="Times New Roman"/>
        </w:rPr>
        <w:t>i</w:t>
      </w:r>
      <w:r w:rsidRPr="00E44406">
        <w:rPr>
          <w:rFonts w:cs="Times New Roman"/>
        </w:rPr>
        <w:t xml:space="preserve"> ir </w:t>
      </w:r>
      <w:r w:rsidR="00600EC1">
        <w:rPr>
          <w:rFonts w:cs="Times New Roman"/>
        </w:rPr>
        <w:t>atliktos</w:t>
      </w:r>
      <w:r w:rsidRPr="00E44406">
        <w:rPr>
          <w:rFonts w:cs="Times New Roman"/>
        </w:rPr>
        <w:t xml:space="preserve"> modelio </w:t>
      </w:r>
      <w:r w:rsidR="00600EC1">
        <w:rPr>
          <w:rFonts w:cs="Times New Roman"/>
        </w:rPr>
        <w:t>simuliacijos</w:t>
      </w:r>
      <w:r w:rsidRPr="00E44406">
        <w:rPr>
          <w:rFonts w:cs="Times New Roman"/>
        </w:rPr>
        <w:t>.</w:t>
      </w:r>
    </w:p>
    <w:p w14:paraId="7889E94E" w14:textId="77777777" w:rsidR="00C51983" w:rsidRDefault="00C51983">
      <w:pPr>
        <w:pStyle w:val="Default"/>
        <w:rPr>
          <w:sz w:val="22"/>
          <w:szCs w:val="22"/>
          <w:lang w:val="lt-LT"/>
        </w:rPr>
      </w:pPr>
    </w:p>
    <w:p w14:paraId="5DC84AD2" w14:textId="77777777" w:rsidR="00EC0C42" w:rsidRPr="00C520C1" w:rsidRDefault="00EC0C42">
      <w:pPr>
        <w:pStyle w:val="Default"/>
        <w:rPr>
          <w:sz w:val="22"/>
          <w:szCs w:val="22"/>
          <w:u w:val="single"/>
          <w:lang w:val="lt-LT"/>
        </w:rPr>
      </w:pPr>
      <w:r w:rsidRPr="00C520C1">
        <w:rPr>
          <w:sz w:val="22"/>
          <w:szCs w:val="22"/>
          <w:u w:val="single"/>
          <w:lang w:val="lt-LT"/>
        </w:rPr>
        <w:t>Absorbcija ir pasiskirstymas</w:t>
      </w:r>
    </w:p>
    <w:p w14:paraId="67EB534C" w14:textId="2A945FDC" w:rsidR="00FD7C97" w:rsidRPr="00CE6E5F" w:rsidRDefault="00AF7F4E">
      <w:pPr>
        <w:pStyle w:val="Default"/>
        <w:rPr>
          <w:sz w:val="22"/>
          <w:szCs w:val="22"/>
          <w:lang w:val="lt-LT"/>
        </w:rPr>
      </w:pPr>
      <w:r>
        <w:rPr>
          <w:sz w:val="22"/>
          <w:szCs w:val="22"/>
          <w:lang w:val="lt-LT"/>
        </w:rPr>
        <w:t>Suleidus</w:t>
      </w:r>
      <w:r w:rsidR="00FD7C97" w:rsidRPr="00CE6E5F">
        <w:rPr>
          <w:sz w:val="22"/>
          <w:szCs w:val="22"/>
          <w:lang w:val="lt-LT"/>
        </w:rPr>
        <w:t xml:space="preserve"> </w:t>
      </w:r>
      <w:proofErr w:type="spellStart"/>
      <w:r w:rsidR="00242227">
        <w:rPr>
          <w:sz w:val="22"/>
          <w:szCs w:val="22"/>
          <w:lang w:val="lt-LT"/>
        </w:rPr>
        <w:t>c</w:t>
      </w:r>
      <w:r w:rsidR="007345A2" w:rsidRPr="00CE6E5F">
        <w:rPr>
          <w:sz w:val="22"/>
          <w:szCs w:val="22"/>
          <w:lang w:val="lt-LT"/>
        </w:rPr>
        <w:t>utaquig</w:t>
      </w:r>
      <w:proofErr w:type="spellEnd"/>
      <w:r w:rsidR="00FD7C97" w:rsidRPr="00CE6E5F">
        <w:rPr>
          <w:sz w:val="22"/>
          <w:szCs w:val="22"/>
          <w:lang w:val="lt-LT"/>
        </w:rPr>
        <w:t xml:space="preserve"> po oda, didžiausia koncentracija serume susidaro apytiksliai po 2 dienų. </w:t>
      </w:r>
    </w:p>
    <w:p w14:paraId="6B01FA17" w14:textId="4BB05C93" w:rsidR="00B00512" w:rsidRPr="007B403D" w:rsidRDefault="00B00512" w:rsidP="00C51983">
      <w:pPr>
        <w:pStyle w:val="Default"/>
        <w:rPr>
          <w:rFonts w:ascii="TimesNewRomanPSMT" w:hAnsi="TimesNewRomanPSMT"/>
          <w:lang w:val="lt-LT"/>
        </w:rPr>
      </w:pPr>
    </w:p>
    <w:p w14:paraId="21A3CC3C" w14:textId="5BD07D39" w:rsidR="00B00512" w:rsidRDefault="00F73047" w:rsidP="00B00512">
      <w:pPr>
        <w:rPr>
          <w:rFonts w:cs="Times New Roman"/>
        </w:rPr>
      </w:pPr>
      <w:r>
        <w:rPr>
          <w:rFonts w:cs="Times New Roman"/>
        </w:rPr>
        <w:t xml:space="preserve">Dėl laipsniškos absorbcijos suleidus </w:t>
      </w:r>
      <w:proofErr w:type="spellStart"/>
      <w:r>
        <w:rPr>
          <w:rFonts w:cs="Times New Roman"/>
        </w:rPr>
        <w:t>Ig</w:t>
      </w:r>
      <w:proofErr w:type="spellEnd"/>
      <w:r>
        <w:rPr>
          <w:rFonts w:cs="Times New Roman"/>
        </w:rPr>
        <w:t xml:space="preserve"> po oda,</w:t>
      </w:r>
      <w:r w:rsidR="003948DE">
        <w:rPr>
          <w:rFonts w:cs="Times New Roman"/>
        </w:rPr>
        <w:t xml:space="preserve"> nusistovėjus </w:t>
      </w:r>
      <w:proofErr w:type="spellStart"/>
      <w:r w:rsidR="003948DE">
        <w:rPr>
          <w:rFonts w:cs="Times New Roman"/>
        </w:rPr>
        <w:t>pusiausvyr</w:t>
      </w:r>
      <w:r w:rsidR="000E66D7">
        <w:rPr>
          <w:rFonts w:cs="Times New Roman"/>
        </w:rPr>
        <w:t>inei</w:t>
      </w:r>
      <w:proofErr w:type="spellEnd"/>
      <w:r w:rsidR="000E66D7">
        <w:rPr>
          <w:rFonts w:cs="Times New Roman"/>
        </w:rPr>
        <w:t xml:space="preserve"> koncentracijai</w:t>
      </w:r>
      <w:r>
        <w:rPr>
          <w:rFonts w:cs="Times New Roman"/>
        </w:rPr>
        <w:t xml:space="preserve"> jo pasiski</w:t>
      </w:r>
      <w:r w:rsidR="003948DE">
        <w:rPr>
          <w:rFonts w:cs="Times New Roman"/>
        </w:rPr>
        <w:t>rs</w:t>
      </w:r>
      <w:r>
        <w:rPr>
          <w:rFonts w:cs="Times New Roman"/>
        </w:rPr>
        <w:t xml:space="preserve">tymas yra tolygesnis ir svyravimas mažesnis nei suleidus </w:t>
      </w:r>
      <w:proofErr w:type="spellStart"/>
      <w:r>
        <w:rPr>
          <w:rFonts w:cs="Times New Roman"/>
        </w:rPr>
        <w:t>Ig</w:t>
      </w:r>
      <w:proofErr w:type="spellEnd"/>
      <w:r>
        <w:rPr>
          <w:rFonts w:cs="Times New Roman"/>
        </w:rPr>
        <w:t xml:space="preserve"> </w:t>
      </w:r>
      <w:r w:rsidR="003948DE">
        <w:rPr>
          <w:rFonts w:cs="Times New Roman"/>
        </w:rPr>
        <w:t xml:space="preserve">į veną. </w:t>
      </w:r>
      <w:r w:rsidR="00B00512" w:rsidRPr="00E44406">
        <w:rPr>
          <w:rFonts w:cs="Times New Roman"/>
        </w:rPr>
        <w:t xml:space="preserve">Po </w:t>
      </w:r>
      <w:proofErr w:type="spellStart"/>
      <w:r w:rsidR="00B00512" w:rsidRPr="00E44406">
        <w:rPr>
          <w:rFonts w:cs="Times New Roman"/>
        </w:rPr>
        <w:t>I</w:t>
      </w:r>
      <w:r w:rsidR="00B00512">
        <w:rPr>
          <w:rFonts w:cs="Times New Roman"/>
        </w:rPr>
        <w:t>g</w:t>
      </w:r>
      <w:proofErr w:type="spellEnd"/>
      <w:r w:rsidR="00B00512" w:rsidRPr="00E44406">
        <w:rPr>
          <w:rFonts w:cs="Times New Roman"/>
        </w:rPr>
        <w:t xml:space="preserve"> infuzijos po od</w:t>
      </w:r>
      <w:r w:rsidR="00B00512">
        <w:rPr>
          <w:rFonts w:cs="Times New Roman"/>
        </w:rPr>
        <w:t>a</w:t>
      </w:r>
      <w:r w:rsidR="00B00512" w:rsidRPr="00E44406">
        <w:rPr>
          <w:rFonts w:cs="Times New Roman"/>
        </w:rPr>
        <w:t xml:space="preserve"> </w:t>
      </w:r>
      <w:proofErr w:type="spellStart"/>
      <w:r w:rsidR="00B00512" w:rsidRPr="00E44406">
        <w:rPr>
          <w:rFonts w:cs="Times New Roman"/>
        </w:rPr>
        <w:t>C</w:t>
      </w:r>
      <w:r w:rsidR="00B00512" w:rsidRPr="00540233">
        <w:rPr>
          <w:rFonts w:cs="Times New Roman"/>
          <w:vertAlign w:val="subscript"/>
        </w:rPr>
        <w:t>max</w:t>
      </w:r>
      <w:proofErr w:type="spellEnd"/>
      <w:r w:rsidR="00B00512" w:rsidRPr="00E44406">
        <w:rPr>
          <w:rFonts w:cs="Times New Roman"/>
        </w:rPr>
        <w:t xml:space="preserve"> </w:t>
      </w:r>
      <w:r w:rsidR="000E66D7">
        <w:rPr>
          <w:rFonts w:cs="Times New Roman"/>
        </w:rPr>
        <w:t>vidurkis</w:t>
      </w:r>
      <w:r w:rsidR="00B00512">
        <w:rPr>
          <w:rFonts w:cs="Times New Roman"/>
        </w:rPr>
        <w:t xml:space="preserve"> </w:t>
      </w:r>
      <w:r w:rsidR="00B00512" w:rsidRPr="00E44406">
        <w:rPr>
          <w:rFonts w:cs="Times New Roman"/>
        </w:rPr>
        <w:t xml:space="preserve">buvo </w:t>
      </w:r>
      <w:r w:rsidR="00B00512">
        <w:rPr>
          <w:rFonts w:cs="Times New Roman"/>
        </w:rPr>
        <w:t>mažesn</w:t>
      </w:r>
      <w:r w:rsidR="000E66D7">
        <w:rPr>
          <w:rFonts w:cs="Times New Roman"/>
        </w:rPr>
        <w:t>is</w:t>
      </w:r>
      <w:r w:rsidR="00B00512">
        <w:rPr>
          <w:rFonts w:cs="Times New Roman"/>
        </w:rPr>
        <w:t xml:space="preserve"> </w:t>
      </w:r>
      <w:bookmarkStart w:id="1" w:name="_Hlk88568406"/>
      <w:r w:rsidR="00B00512">
        <w:rPr>
          <w:rFonts w:cs="Times New Roman"/>
        </w:rPr>
        <w:t>(</w:t>
      </w:r>
      <w:bookmarkStart w:id="2" w:name="_Hlk93501304"/>
      <w:r w:rsidR="00B00512" w:rsidRPr="00E44406">
        <w:rPr>
          <w:rFonts w:cs="Times New Roman"/>
        </w:rPr>
        <w:t>FK</w:t>
      </w:r>
      <w:r w:rsidR="00CE201A">
        <w:rPr>
          <w:rFonts w:cs="Times New Roman"/>
          <w:vertAlign w:val="subscript"/>
        </w:rPr>
        <w:t>PO</w:t>
      </w:r>
      <w:r w:rsidR="00B00512" w:rsidRPr="00540233">
        <w:rPr>
          <w:rFonts w:cs="Times New Roman"/>
          <w:vertAlign w:val="subscript"/>
        </w:rPr>
        <w:t>1</w:t>
      </w:r>
      <w:r w:rsidR="00B00512" w:rsidRPr="00E44406">
        <w:rPr>
          <w:rFonts w:cs="Times New Roman"/>
        </w:rPr>
        <w:t xml:space="preserve"> </w:t>
      </w:r>
      <w:r w:rsidR="00B00512">
        <w:rPr>
          <w:rFonts w:cs="Times New Roman"/>
        </w:rPr>
        <w:t>ir</w:t>
      </w:r>
      <w:r w:rsidR="00B00512" w:rsidRPr="00E44406">
        <w:rPr>
          <w:rFonts w:cs="Times New Roman"/>
        </w:rPr>
        <w:t xml:space="preserve"> FK</w:t>
      </w:r>
      <w:r w:rsidR="00CE201A">
        <w:rPr>
          <w:rFonts w:cs="Times New Roman"/>
          <w:vertAlign w:val="subscript"/>
        </w:rPr>
        <w:t>PO</w:t>
      </w:r>
      <w:r w:rsidR="00B00512" w:rsidRPr="00540233">
        <w:rPr>
          <w:rFonts w:cs="Times New Roman"/>
          <w:vertAlign w:val="subscript"/>
        </w:rPr>
        <w:t>2</w:t>
      </w:r>
      <w:r w:rsidR="00B00512" w:rsidRPr="00E44406">
        <w:rPr>
          <w:rFonts w:cs="Times New Roman"/>
        </w:rPr>
        <w:t xml:space="preserve"> </w:t>
      </w:r>
      <w:bookmarkEnd w:id="1"/>
      <w:bookmarkEnd w:id="2"/>
      <w:r w:rsidR="00B00512">
        <w:rPr>
          <w:rFonts w:cs="Times New Roman"/>
        </w:rPr>
        <w:t xml:space="preserve">atitinkamai </w:t>
      </w:r>
      <w:r w:rsidR="00B00512" w:rsidRPr="00E44406">
        <w:rPr>
          <w:rFonts w:cs="Times New Roman"/>
        </w:rPr>
        <w:t>13,2 ± 3,4</w:t>
      </w:r>
      <w:r w:rsidR="000E66D7">
        <w:rPr>
          <w:rFonts w:cs="Times New Roman"/>
        </w:rPr>
        <w:t> </w:t>
      </w:r>
      <w:r w:rsidR="00B00512" w:rsidRPr="00E44406">
        <w:rPr>
          <w:rFonts w:cs="Times New Roman"/>
        </w:rPr>
        <w:t>g/l ir 13,5 ± 3,7</w:t>
      </w:r>
      <w:r w:rsidR="000E66D7">
        <w:rPr>
          <w:rFonts w:cs="Times New Roman"/>
        </w:rPr>
        <w:t> </w:t>
      </w:r>
      <w:r w:rsidR="00B00512" w:rsidRPr="00E44406">
        <w:rPr>
          <w:rFonts w:cs="Times New Roman"/>
        </w:rPr>
        <w:t xml:space="preserve">g/l), </w:t>
      </w:r>
      <w:r w:rsidR="00B00512">
        <w:rPr>
          <w:rFonts w:cs="Times New Roman"/>
        </w:rPr>
        <w:t xml:space="preserve">lyginant su </w:t>
      </w:r>
      <w:proofErr w:type="spellStart"/>
      <w:r w:rsidR="00B00512">
        <w:rPr>
          <w:rFonts w:cs="Times New Roman"/>
        </w:rPr>
        <w:t>Ig</w:t>
      </w:r>
      <w:proofErr w:type="spellEnd"/>
      <w:r w:rsidR="00B00512">
        <w:rPr>
          <w:rFonts w:cs="Times New Roman"/>
        </w:rPr>
        <w:t xml:space="preserve"> infuzijos į veną pabaigoje</w:t>
      </w:r>
      <w:r w:rsidR="00B00512" w:rsidRPr="00E44406">
        <w:rPr>
          <w:rFonts w:cs="Times New Roman"/>
        </w:rPr>
        <w:t xml:space="preserve"> (18</w:t>
      </w:r>
      <w:r w:rsidR="000E66D7">
        <w:rPr>
          <w:rFonts w:cs="Times New Roman"/>
        </w:rPr>
        <w:t>,</w:t>
      </w:r>
      <w:r w:rsidR="00B00512" w:rsidRPr="00E44406">
        <w:rPr>
          <w:rFonts w:cs="Times New Roman"/>
        </w:rPr>
        <w:t>0 ± 4</w:t>
      </w:r>
      <w:r w:rsidR="000E66D7">
        <w:rPr>
          <w:rFonts w:cs="Times New Roman"/>
        </w:rPr>
        <w:t>,</w:t>
      </w:r>
      <w:r w:rsidR="00B00512" w:rsidRPr="00E44406">
        <w:rPr>
          <w:rFonts w:cs="Times New Roman"/>
        </w:rPr>
        <w:t>5 g/l). Atitinkamai,</w:t>
      </w:r>
      <w:r w:rsidR="0065506C">
        <w:rPr>
          <w:rFonts w:cs="Times New Roman"/>
        </w:rPr>
        <w:t xml:space="preserve"> </w:t>
      </w:r>
      <w:r w:rsidR="00B00512" w:rsidRPr="00E44406">
        <w:rPr>
          <w:rFonts w:cs="Times New Roman"/>
        </w:rPr>
        <w:t>vidutin</w:t>
      </w:r>
      <w:r w:rsidR="000E66D7">
        <w:rPr>
          <w:rFonts w:cs="Times New Roman"/>
        </w:rPr>
        <w:t>ės</w:t>
      </w:r>
      <w:r w:rsidR="00B00512" w:rsidRPr="00E44406">
        <w:rPr>
          <w:rFonts w:cs="Times New Roman"/>
        </w:rPr>
        <w:t xml:space="preserve"> </w:t>
      </w:r>
      <w:proofErr w:type="spellStart"/>
      <w:r w:rsidR="00B00512" w:rsidRPr="00E44406">
        <w:rPr>
          <w:rFonts w:cs="Times New Roman"/>
        </w:rPr>
        <w:t>IgG</w:t>
      </w:r>
      <w:proofErr w:type="spellEnd"/>
      <w:r w:rsidR="00B00512" w:rsidRPr="00E44406">
        <w:rPr>
          <w:rFonts w:cs="Times New Roman"/>
        </w:rPr>
        <w:t xml:space="preserve"> ir </w:t>
      </w:r>
      <w:proofErr w:type="spellStart"/>
      <w:r w:rsidR="00B00512" w:rsidRPr="00E44406">
        <w:rPr>
          <w:rFonts w:cs="Times New Roman"/>
        </w:rPr>
        <w:t>IgG</w:t>
      </w:r>
      <w:proofErr w:type="spellEnd"/>
      <w:r w:rsidR="00B00512" w:rsidRPr="00E44406">
        <w:rPr>
          <w:rFonts w:cs="Times New Roman"/>
        </w:rPr>
        <w:t xml:space="preserve"> poklasių mažiausi</w:t>
      </w:r>
      <w:r w:rsidR="000E66D7">
        <w:rPr>
          <w:rFonts w:cs="Times New Roman"/>
        </w:rPr>
        <w:t>osio</w:t>
      </w:r>
      <w:r w:rsidR="00B00512" w:rsidRPr="00E44406">
        <w:rPr>
          <w:rFonts w:cs="Times New Roman"/>
        </w:rPr>
        <w:t>s k</w:t>
      </w:r>
      <w:r w:rsidR="000E66D7">
        <w:rPr>
          <w:rFonts w:cs="Times New Roman"/>
        </w:rPr>
        <w:t>oncentracijos</w:t>
      </w:r>
      <w:r w:rsidR="00B00512" w:rsidRPr="00E44406">
        <w:rPr>
          <w:rFonts w:cs="Times New Roman"/>
        </w:rPr>
        <w:t xml:space="preserve"> serume po infuzijos po oda buvo </w:t>
      </w:r>
      <w:r w:rsidR="00B00512">
        <w:rPr>
          <w:rFonts w:cs="Times New Roman"/>
        </w:rPr>
        <w:t>didesn</w:t>
      </w:r>
      <w:r w:rsidR="00DC7B0A">
        <w:rPr>
          <w:rFonts w:cs="Times New Roman"/>
        </w:rPr>
        <w:t>ė</w:t>
      </w:r>
      <w:r w:rsidR="00B00512">
        <w:rPr>
          <w:rFonts w:cs="Times New Roman"/>
        </w:rPr>
        <w:t>s</w:t>
      </w:r>
      <w:r w:rsidR="00B00512" w:rsidRPr="00E44406">
        <w:rPr>
          <w:rFonts w:cs="Times New Roman"/>
        </w:rPr>
        <w:t xml:space="preserve"> (FK</w:t>
      </w:r>
      <w:r w:rsidR="00CE201A">
        <w:rPr>
          <w:rFonts w:cs="Times New Roman"/>
          <w:vertAlign w:val="subscript"/>
        </w:rPr>
        <w:t>PO</w:t>
      </w:r>
      <w:r w:rsidR="00B00512" w:rsidRPr="001239BB">
        <w:rPr>
          <w:rFonts w:cs="Times New Roman"/>
          <w:vertAlign w:val="subscript"/>
        </w:rPr>
        <w:t>1</w:t>
      </w:r>
      <w:r w:rsidR="00B00512" w:rsidRPr="00E44406">
        <w:rPr>
          <w:rFonts w:cs="Times New Roman"/>
        </w:rPr>
        <w:t xml:space="preserve"> </w:t>
      </w:r>
      <w:r w:rsidR="00B00512">
        <w:rPr>
          <w:rFonts w:cs="Times New Roman"/>
        </w:rPr>
        <w:t>ir</w:t>
      </w:r>
      <w:r w:rsidR="00B00512" w:rsidRPr="00E44406">
        <w:rPr>
          <w:rFonts w:cs="Times New Roman"/>
        </w:rPr>
        <w:t xml:space="preserve"> FK</w:t>
      </w:r>
      <w:r w:rsidR="00CE201A">
        <w:rPr>
          <w:rFonts w:cs="Times New Roman"/>
          <w:vertAlign w:val="subscript"/>
        </w:rPr>
        <w:t>PO</w:t>
      </w:r>
      <w:r w:rsidR="00B00512" w:rsidRPr="001239BB">
        <w:rPr>
          <w:rFonts w:cs="Times New Roman"/>
          <w:vertAlign w:val="subscript"/>
        </w:rPr>
        <w:t>2</w:t>
      </w:r>
      <w:r w:rsidR="00B00512" w:rsidRPr="00E44406">
        <w:rPr>
          <w:rFonts w:cs="Times New Roman"/>
        </w:rPr>
        <w:t xml:space="preserve"> </w:t>
      </w:r>
      <w:r w:rsidR="00B00512">
        <w:rPr>
          <w:rFonts w:cs="Times New Roman"/>
        </w:rPr>
        <w:t xml:space="preserve">atitinkamai </w:t>
      </w:r>
      <w:r w:rsidR="00B00512" w:rsidRPr="00E44406">
        <w:rPr>
          <w:rFonts w:cs="Times New Roman"/>
        </w:rPr>
        <w:t>11,5</w:t>
      </w:r>
      <w:r w:rsidR="00B00512">
        <w:rPr>
          <w:rFonts w:cs="Times New Roman"/>
        </w:rPr>
        <w:t xml:space="preserve"> ir</w:t>
      </w:r>
      <w:r w:rsidR="00B00512" w:rsidRPr="00E44406">
        <w:rPr>
          <w:rFonts w:cs="Times New Roman"/>
        </w:rPr>
        <w:t xml:space="preserve"> 11,7</w:t>
      </w:r>
      <w:r w:rsidR="00DC7B0A">
        <w:rPr>
          <w:rFonts w:cs="Times New Roman"/>
        </w:rPr>
        <w:t> </w:t>
      </w:r>
      <w:r w:rsidR="00B00512" w:rsidRPr="00E44406">
        <w:rPr>
          <w:rFonts w:cs="Times New Roman"/>
        </w:rPr>
        <w:t>g/l</w:t>
      </w:r>
      <w:r w:rsidR="00B00512">
        <w:rPr>
          <w:rFonts w:cs="Times New Roman"/>
        </w:rPr>
        <w:t xml:space="preserve">; </w:t>
      </w:r>
      <w:r w:rsidR="00B00512" w:rsidRPr="00E44406">
        <w:rPr>
          <w:rFonts w:cs="Times New Roman"/>
        </w:rPr>
        <w:t xml:space="preserve">bendras </w:t>
      </w:r>
      <w:r w:rsidR="00B00512">
        <w:rPr>
          <w:rFonts w:cs="Times New Roman"/>
        </w:rPr>
        <w:t>svyravimas</w:t>
      </w:r>
      <w:r w:rsidR="00B00512" w:rsidRPr="00E44406">
        <w:rPr>
          <w:rFonts w:cs="Times New Roman"/>
        </w:rPr>
        <w:t xml:space="preserve"> nuo 6,5 iki 18,9 g/l, </w:t>
      </w:r>
      <w:r w:rsidR="00B00512">
        <w:rPr>
          <w:rFonts w:cs="Times New Roman"/>
        </w:rPr>
        <w:t>lyginant</w:t>
      </w:r>
      <w:r w:rsidR="00B00512" w:rsidRPr="00E44406">
        <w:rPr>
          <w:rFonts w:cs="Times New Roman"/>
        </w:rPr>
        <w:t xml:space="preserve"> su 10,1 g/l </w:t>
      </w:r>
      <w:proofErr w:type="spellStart"/>
      <w:r w:rsidR="00B00512" w:rsidRPr="00E44406">
        <w:rPr>
          <w:rFonts w:cs="Times New Roman"/>
        </w:rPr>
        <w:t>I</w:t>
      </w:r>
      <w:r w:rsidR="00B00512">
        <w:rPr>
          <w:rFonts w:cs="Times New Roman"/>
        </w:rPr>
        <w:t>g</w:t>
      </w:r>
      <w:proofErr w:type="spellEnd"/>
      <w:r w:rsidR="00B00512" w:rsidRPr="00E44406">
        <w:rPr>
          <w:rFonts w:cs="Times New Roman"/>
        </w:rPr>
        <w:t xml:space="preserve"> infuzijos į veną pabaigoje; intervalas nuo 6,5 iki 14,3 g/l</w:t>
      </w:r>
      <w:r w:rsidR="00B00512">
        <w:rPr>
          <w:rFonts w:cs="Times New Roman"/>
        </w:rPr>
        <w:t>)</w:t>
      </w:r>
      <w:r w:rsidR="00B00512" w:rsidRPr="00E44406">
        <w:rPr>
          <w:rFonts w:cs="Times New Roman"/>
        </w:rPr>
        <w:t>.</w:t>
      </w:r>
    </w:p>
    <w:p w14:paraId="38C3737E" w14:textId="77777777" w:rsidR="00B00512" w:rsidRDefault="00B00512" w:rsidP="00B00512">
      <w:pPr>
        <w:rPr>
          <w:rStyle w:val="jlqj4b"/>
        </w:rPr>
      </w:pPr>
    </w:p>
    <w:p w14:paraId="5A5089A2" w14:textId="192E4C5F" w:rsidR="00B00512" w:rsidRDefault="00B00512" w:rsidP="00B00512">
      <w:pPr>
        <w:rPr>
          <w:rStyle w:val="jlqj4b"/>
        </w:rPr>
      </w:pPr>
      <w:r>
        <w:rPr>
          <w:rStyle w:val="jlqj4b"/>
        </w:rPr>
        <w:t xml:space="preserve">Apskaičiuota, kad po oda </w:t>
      </w:r>
      <w:r w:rsidR="00DC7B0A">
        <w:rPr>
          <w:rStyle w:val="jlqj4b"/>
        </w:rPr>
        <w:t xml:space="preserve">leidžiamo </w:t>
      </w:r>
      <w:proofErr w:type="spellStart"/>
      <w:r w:rsidR="00DC7B0A" w:rsidRPr="00DC7B0A">
        <w:t>Ig</w:t>
      </w:r>
      <w:proofErr w:type="spellEnd"/>
      <w:r w:rsidR="00DC7B0A" w:rsidRPr="00DC7B0A">
        <w:t xml:space="preserve"> </w:t>
      </w:r>
      <w:proofErr w:type="spellStart"/>
      <w:r>
        <w:rPr>
          <w:rStyle w:val="jlqj4b"/>
        </w:rPr>
        <w:t>bio</w:t>
      </w:r>
      <w:r w:rsidR="00F60644">
        <w:rPr>
          <w:rStyle w:val="jlqj4b"/>
        </w:rPr>
        <w:t>prieinamumas</w:t>
      </w:r>
      <w:proofErr w:type="spellEnd"/>
      <w:r>
        <w:rPr>
          <w:rStyle w:val="jlqj4b"/>
        </w:rPr>
        <w:t xml:space="preserve"> 75 % atitinka 1,3 dozės korekcijos koeficientą, kad būtų pasiekta vienoda AUC ekspozicija leidžiant </w:t>
      </w:r>
      <w:proofErr w:type="spellStart"/>
      <w:r>
        <w:rPr>
          <w:rStyle w:val="jlqj4b"/>
        </w:rPr>
        <w:t>Ig</w:t>
      </w:r>
      <w:proofErr w:type="spellEnd"/>
      <w:r>
        <w:rPr>
          <w:rStyle w:val="jlqj4b"/>
        </w:rPr>
        <w:t xml:space="preserve"> pagal kūno svorį po oda ir į veną.</w:t>
      </w:r>
    </w:p>
    <w:p w14:paraId="0F872A2A" w14:textId="77777777" w:rsidR="00B00512" w:rsidRPr="00E44406" w:rsidRDefault="00B00512" w:rsidP="00B00512">
      <w:pPr>
        <w:rPr>
          <w:rFonts w:cs="Times New Roman"/>
        </w:rPr>
      </w:pPr>
    </w:p>
    <w:p w14:paraId="40B502B5" w14:textId="1D18330B" w:rsidR="00B00512" w:rsidRPr="0001139B" w:rsidRDefault="00606EBF" w:rsidP="00B00512">
      <w:r>
        <w:rPr>
          <w:rFonts w:cs="Times New Roman"/>
        </w:rPr>
        <w:t>K</w:t>
      </w:r>
      <w:r w:rsidR="00B00512" w:rsidRPr="00E44406">
        <w:rPr>
          <w:rFonts w:cs="Times New Roman"/>
        </w:rPr>
        <w:t>linikinio tyrimo duomen</w:t>
      </w:r>
      <w:r>
        <w:rPr>
          <w:rFonts w:cs="Times New Roman"/>
        </w:rPr>
        <w:t>ys</w:t>
      </w:r>
      <w:r w:rsidR="00B00512" w:rsidRPr="00E44406">
        <w:rPr>
          <w:rFonts w:cs="Times New Roman"/>
        </w:rPr>
        <w:t>, gaut</w:t>
      </w:r>
      <w:r w:rsidR="0065506C">
        <w:rPr>
          <w:rFonts w:cs="Times New Roman"/>
        </w:rPr>
        <w:t>i</w:t>
      </w:r>
      <w:r w:rsidR="00B00512" w:rsidRPr="00E44406">
        <w:rPr>
          <w:rFonts w:cs="Times New Roman"/>
        </w:rPr>
        <w:t xml:space="preserve"> </w:t>
      </w:r>
      <w:proofErr w:type="spellStart"/>
      <w:r w:rsidR="00F70CD0">
        <w:rPr>
          <w:rFonts w:cs="Times New Roman"/>
        </w:rPr>
        <w:t>c</w:t>
      </w:r>
      <w:r w:rsidR="00B00512">
        <w:rPr>
          <w:rFonts w:cs="Times New Roman"/>
        </w:rPr>
        <w:t>utaquig</w:t>
      </w:r>
      <w:proofErr w:type="spellEnd"/>
      <w:r w:rsidR="00B00512" w:rsidRPr="00E44406">
        <w:rPr>
          <w:rFonts w:cs="Times New Roman"/>
        </w:rPr>
        <w:t xml:space="preserve"> vartojant kartą per savaitę</w:t>
      </w:r>
      <w:r w:rsidR="00DC7B0A">
        <w:rPr>
          <w:rFonts w:cs="Times New Roman"/>
        </w:rPr>
        <w:t xml:space="preserve"> bei</w:t>
      </w:r>
      <w:r w:rsidR="00B00512" w:rsidRPr="00E44406">
        <w:rPr>
          <w:rFonts w:cs="Times New Roman"/>
        </w:rPr>
        <w:t xml:space="preserve"> </w:t>
      </w:r>
      <w:r w:rsidR="00DC7B0A">
        <w:rPr>
          <w:rFonts w:cs="Times New Roman"/>
        </w:rPr>
        <w:t>farmakokinetika</w:t>
      </w:r>
      <w:r w:rsidR="00B00512" w:rsidRPr="00E44406">
        <w:rPr>
          <w:rFonts w:cs="Times New Roman"/>
        </w:rPr>
        <w:t xml:space="preserve"> </w:t>
      </w:r>
      <w:r w:rsidR="00F70CD0">
        <w:rPr>
          <w:rFonts w:cs="Times New Roman"/>
        </w:rPr>
        <w:t>pagrįstas</w:t>
      </w:r>
      <w:r w:rsidR="00B00512" w:rsidRPr="00E44406">
        <w:rPr>
          <w:rFonts w:cs="Times New Roman"/>
        </w:rPr>
        <w:t xml:space="preserve"> modeliavimas ir </w:t>
      </w:r>
      <w:r w:rsidR="00DC7B0A">
        <w:rPr>
          <w:rFonts w:cs="Times New Roman"/>
        </w:rPr>
        <w:t>simuliacijos</w:t>
      </w:r>
      <w:r w:rsidR="00B00512" w:rsidRPr="00E44406">
        <w:rPr>
          <w:rFonts w:cs="Times New Roman"/>
        </w:rPr>
        <w:t xml:space="preserve"> parodė, kad pagal kūno svorį koreguota dozė nenaudojant DK</w:t>
      </w:r>
      <w:r w:rsidR="00F70CD0">
        <w:rPr>
          <w:rFonts w:cs="Times New Roman"/>
        </w:rPr>
        <w:t>K</w:t>
      </w:r>
      <w:r w:rsidR="00B00512" w:rsidRPr="00E44406">
        <w:rPr>
          <w:rFonts w:cs="Times New Roman"/>
        </w:rPr>
        <w:t xml:space="preserve"> mažesn</w:t>
      </w:r>
      <w:r>
        <w:rPr>
          <w:rFonts w:cs="Times New Roman"/>
        </w:rPr>
        <w:t>iam</w:t>
      </w:r>
      <w:r w:rsidR="00B00512" w:rsidRPr="00E44406">
        <w:rPr>
          <w:rFonts w:cs="Times New Roman"/>
        </w:rPr>
        <w:t xml:space="preserve"> po oda </w:t>
      </w:r>
      <w:r w:rsidR="00F70CD0">
        <w:rPr>
          <w:rFonts w:cs="Times New Roman"/>
        </w:rPr>
        <w:t>leidžiamo vaistinio</w:t>
      </w:r>
      <w:r w:rsidR="00B00512" w:rsidRPr="00E44406">
        <w:rPr>
          <w:rFonts w:cs="Times New Roman"/>
        </w:rPr>
        <w:t xml:space="preserve"> preparato </w:t>
      </w:r>
      <w:proofErr w:type="spellStart"/>
      <w:r w:rsidR="00B00512" w:rsidRPr="00E44406">
        <w:rPr>
          <w:rFonts w:cs="Times New Roman"/>
        </w:rPr>
        <w:t>bio</w:t>
      </w:r>
      <w:r w:rsidR="00900D94">
        <w:rPr>
          <w:rFonts w:cs="Times New Roman"/>
        </w:rPr>
        <w:t>prieinamumui</w:t>
      </w:r>
      <w:proofErr w:type="spellEnd"/>
      <w:r>
        <w:rPr>
          <w:rFonts w:cs="Times New Roman"/>
        </w:rPr>
        <w:t>,</w:t>
      </w:r>
      <w:r w:rsidR="00B00512" w:rsidRPr="0001139B">
        <w:t xml:space="preserve"> leistų palaikyti sistemin</w:t>
      </w:r>
      <w:r w:rsidR="00900D94">
        <w:t>ę</w:t>
      </w:r>
      <w:r w:rsidR="00B00512" w:rsidRPr="0001139B">
        <w:t xml:space="preserve"> </w:t>
      </w:r>
      <w:proofErr w:type="spellStart"/>
      <w:r w:rsidR="00B00512" w:rsidRPr="0001139B">
        <w:t>IgG</w:t>
      </w:r>
      <w:proofErr w:type="spellEnd"/>
      <w:r w:rsidR="00B00512" w:rsidRPr="0001139B">
        <w:t xml:space="preserve"> </w:t>
      </w:r>
      <w:r w:rsidR="00900D94">
        <w:t>ekspoziciją</w:t>
      </w:r>
      <w:r w:rsidR="00B00512" w:rsidRPr="0001139B">
        <w:t xml:space="preserve"> terapiniame intervale, dozę vartojant intervalais</w:t>
      </w:r>
      <w:r w:rsidR="008F62B4" w:rsidRPr="008F62B4">
        <w:t xml:space="preserve"> </w:t>
      </w:r>
      <w:r w:rsidR="008F62B4" w:rsidRPr="0001139B">
        <w:t>iki 1 savaitės</w:t>
      </w:r>
      <w:r w:rsidR="00B00512" w:rsidRPr="0001139B">
        <w:t xml:space="preserve">, įskaitant vartojimą dažniau </w:t>
      </w:r>
      <w:r w:rsidR="00900D94">
        <w:t>kaip</w:t>
      </w:r>
      <w:r w:rsidR="00B00512" w:rsidRPr="0001139B">
        <w:t xml:space="preserve"> kartą per savaitę (pvz., kartą per parą).</w:t>
      </w:r>
      <w:r w:rsidR="008139BE">
        <w:t xml:space="preserve"> </w:t>
      </w:r>
      <w:r w:rsidR="00B00512" w:rsidRPr="0001139B">
        <w:t xml:space="preserve">Ilgesni intervalai tarp dozių </w:t>
      </w:r>
      <w:bookmarkStart w:id="3" w:name="_Hlk88571009"/>
      <w:r w:rsidR="00B00512" w:rsidRPr="0001139B">
        <w:t>(ypač esant nedidel</w:t>
      </w:r>
      <w:r w:rsidR="00900D94">
        <w:t>e</w:t>
      </w:r>
      <w:r w:rsidR="00B00512" w:rsidRPr="0001139B">
        <w:t xml:space="preserve">i </w:t>
      </w:r>
      <w:r w:rsidR="008F62B4">
        <w:t>pradin</w:t>
      </w:r>
      <w:r w:rsidR="00900D94">
        <w:t>e</w:t>
      </w:r>
      <w:r w:rsidR="008F62B4">
        <w:t>i</w:t>
      </w:r>
      <w:r w:rsidR="00B00512" w:rsidRPr="0001139B">
        <w:t xml:space="preserve"> </w:t>
      </w:r>
      <w:proofErr w:type="spellStart"/>
      <w:r w:rsidR="00B00512" w:rsidRPr="0001139B">
        <w:t>IgG</w:t>
      </w:r>
      <w:proofErr w:type="spellEnd"/>
      <w:r w:rsidR="00B00512" w:rsidRPr="0001139B">
        <w:t xml:space="preserve"> k</w:t>
      </w:r>
      <w:r w:rsidR="00900D94">
        <w:t>oncentracijai</w:t>
      </w:r>
      <w:r w:rsidR="00B00512" w:rsidRPr="0001139B">
        <w:t xml:space="preserve">) didina </w:t>
      </w:r>
      <w:proofErr w:type="spellStart"/>
      <w:r w:rsidR="00B00512" w:rsidRPr="0001139B">
        <w:t>IgG</w:t>
      </w:r>
      <w:proofErr w:type="spellEnd"/>
      <w:r w:rsidR="00B00512" w:rsidRPr="0001139B">
        <w:t xml:space="preserve"> </w:t>
      </w:r>
      <w:r w:rsidR="008F62B4">
        <w:t>mažiausiosios koncentracijos</w:t>
      </w:r>
      <w:r w:rsidR="00B00512" w:rsidRPr="0001139B">
        <w:t xml:space="preserve"> </w:t>
      </w:r>
      <w:r w:rsidR="005D7284">
        <w:t>nukritimo</w:t>
      </w:r>
      <w:r w:rsidR="00B00512" w:rsidRPr="0001139B">
        <w:t xml:space="preserve"> </w:t>
      </w:r>
      <w:r w:rsidR="008F62B4">
        <w:t xml:space="preserve">žemiau </w:t>
      </w:r>
      <w:r w:rsidR="00B00512" w:rsidRPr="0001139B">
        <w:t>5 g/l riziką</w:t>
      </w:r>
      <w:bookmarkEnd w:id="3"/>
      <w:r w:rsidR="00B00512" w:rsidRPr="0001139B">
        <w:t>.</w:t>
      </w:r>
    </w:p>
    <w:p w14:paraId="7B35B995" w14:textId="77777777" w:rsidR="00B00512" w:rsidRPr="0001139B" w:rsidRDefault="00B00512" w:rsidP="00B00512"/>
    <w:p w14:paraId="571D958B" w14:textId="3993402F" w:rsidR="00B00512" w:rsidRPr="00E44406" w:rsidRDefault="00B00512" w:rsidP="00B00512">
      <w:pPr>
        <w:rPr>
          <w:i/>
          <w:iCs/>
        </w:rPr>
      </w:pPr>
      <w:r w:rsidRPr="00E44406">
        <w:rPr>
          <w:i/>
          <w:iCs/>
        </w:rPr>
        <w:t xml:space="preserve">Pavyzdys: darant prielaidą, kad </w:t>
      </w:r>
      <w:proofErr w:type="spellStart"/>
      <w:r w:rsidRPr="00E44406">
        <w:rPr>
          <w:i/>
          <w:iCs/>
        </w:rPr>
        <w:t>IgG</w:t>
      </w:r>
      <w:proofErr w:type="spellEnd"/>
      <w:r w:rsidRPr="00E44406">
        <w:rPr>
          <w:i/>
          <w:iCs/>
        </w:rPr>
        <w:t xml:space="preserve"> </w:t>
      </w:r>
      <w:r w:rsidR="008F62B4">
        <w:rPr>
          <w:i/>
          <w:iCs/>
        </w:rPr>
        <w:t>pradinis</w:t>
      </w:r>
      <w:r w:rsidRPr="00E44406">
        <w:rPr>
          <w:i/>
          <w:iCs/>
        </w:rPr>
        <w:t xml:space="preserve"> lygis yra 4,0 g/l, o dozės k</w:t>
      </w:r>
      <w:r w:rsidR="008139BE">
        <w:rPr>
          <w:i/>
          <w:iCs/>
        </w:rPr>
        <w:t>orekcijos koeficientas</w:t>
      </w:r>
      <w:r w:rsidRPr="00E44406">
        <w:rPr>
          <w:i/>
          <w:iCs/>
        </w:rPr>
        <w:t xml:space="preserve"> į veną </w:t>
      </w:r>
      <w:r w:rsidR="008139BE">
        <w:rPr>
          <w:i/>
          <w:iCs/>
        </w:rPr>
        <w:t>leidžiamą vaistinį</w:t>
      </w:r>
      <w:r w:rsidRPr="00E44406">
        <w:rPr>
          <w:i/>
          <w:iCs/>
        </w:rPr>
        <w:t xml:space="preserve"> preparatą keičiant </w:t>
      </w:r>
      <w:r w:rsidR="008139BE">
        <w:rPr>
          <w:i/>
          <w:iCs/>
        </w:rPr>
        <w:t>leidžiamu</w:t>
      </w:r>
      <w:r w:rsidRPr="00E44406">
        <w:rPr>
          <w:i/>
          <w:iCs/>
        </w:rPr>
        <w:t xml:space="preserve"> po oda yra 1,0, numatoma, kad esant 2 savaičių intervalui tarp dozių, pacientų dalis, kuriems </w:t>
      </w:r>
      <w:proofErr w:type="spellStart"/>
      <w:r w:rsidRPr="00E44406">
        <w:rPr>
          <w:i/>
          <w:iCs/>
        </w:rPr>
        <w:t>IgG</w:t>
      </w:r>
      <w:proofErr w:type="spellEnd"/>
      <w:r w:rsidRPr="00E44406">
        <w:rPr>
          <w:i/>
          <w:iCs/>
        </w:rPr>
        <w:t xml:space="preserve"> mažiausi</w:t>
      </w:r>
      <w:r w:rsidR="008F62B4">
        <w:rPr>
          <w:i/>
          <w:iCs/>
        </w:rPr>
        <w:t>oji</w:t>
      </w:r>
      <w:r w:rsidRPr="00E44406">
        <w:rPr>
          <w:i/>
          <w:iCs/>
        </w:rPr>
        <w:t xml:space="preserve"> k</w:t>
      </w:r>
      <w:r w:rsidR="008F62B4">
        <w:rPr>
          <w:i/>
          <w:iCs/>
        </w:rPr>
        <w:t>oncentracija</w:t>
      </w:r>
      <w:r w:rsidRPr="00E44406">
        <w:rPr>
          <w:i/>
          <w:iCs/>
        </w:rPr>
        <w:t xml:space="preserve"> </w:t>
      </w:r>
      <w:r w:rsidR="008F62B4">
        <w:rPr>
          <w:i/>
          <w:iCs/>
        </w:rPr>
        <w:t>nukris</w:t>
      </w:r>
      <w:r w:rsidRPr="00E44406">
        <w:rPr>
          <w:i/>
          <w:iCs/>
        </w:rPr>
        <w:t xml:space="preserve"> </w:t>
      </w:r>
      <w:r w:rsidR="008F62B4">
        <w:rPr>
          <w:i/>
          <w:iCs/>
        </w:rPr>
        <w:t>žemiau</w:t>
      </w:r>
      <w:r w:rsidRPr="00E44406">
        <w:rPr>
          <w:i/>
          <w:iCs/>
        </w:rPr>
        <w:t xml:space="preserve"> 5 g/l, padidės iki 4 %, palyginti su 1,4 %, kai intervalas tarp dozių bus ≤ 1</w:t>
      </w:r>
      <w:r w:rsidR="008F62B4">
        <w:rPr>
          <w:i/>
          <w:iCs/>
        </w:rPr>
        <w:t xml:space="preserve"> </w:t>
      </w:r>
      <w:r w:rsidRPr="00E44406">
        <w:rPr>
          <w:i/>
          <w:iCs/>
        </w:rPr>
        <w:t>sav.</w:t>
      </w:r>
    </w:p>
    <w:p w14:paraId="0DE27DEF" w14:textId="77777777" w:rsidR="00C51983" w:rsidRPr="00CE6E5F" w:rsidRDefault="00C51983">
      <w:pPr>
        <w:pStyle w:val="Default"/>
        <w:rPr>
          <w:sz w:val="22"/>
          <w:szCs w:val="22"/>
          <w:lang w:val="lt-LT"/>
        </w:rPr>
      </w:pPr>
    </w:p>
    <w:p w14:paraId="4505E4E8" w14:textId="77777777" w:rsidR="00EC0C42" w:rsidRPr="00C520C1" w:rsidRDefault="00EC0C42">
      <w:pPr>
        <w:pStyle w:val="Default"/>
        <w:rPr>
          <w:sz w:val="22"/>
          <w:szCs w:val="22"/>
          <w:u w:val="single"/>
          <w:lang w:val="lt-LT"/>
        </w:rPr>
      </w:pPr>
      <w:r w:rsidRPr="00C520C1">
        <w:rPr>
          <w:sz w:val="22"/>
          <w:szCs w:val="22"/>
          <w:u w:val="single"/>
          <w:lang w:val="lt-LT"/>
        </w:rPr>
        <w:t>Eliminacija</w:t>
      </w:r>
    </w:p>
    <w:p w14:paraId="2D263959" w14:textId="4B1E7E4B" w:rsidR="003E516B" w:rsidRPr="0001139B" w:rsidRDefault="00FD7C97" w:rsidP="003E516B">
      <w:pPr>
        <w:pStyle w:val="Default"/>
        <w:rPr>
          <w:sz w:val="22"/>
          <w:szCs w:val="22"/>
          <w:lang w:val="lt-LT"/>
        </w:rPr>
      </w:pPr>
      <w:proofErr w:type="spellStart"/>
      <w:r w:rsidRPr="00C520C1">
        <w:rPr>
          <w:sz w:val="22"/>
          <w:szCs w:val="22"/>
          <w:lang w:val="lt-LT"/>
        </w:rPr>
        <w:t>IgG</w:t>
      </w:r>
      <w:proofErr w:type="spellEnd"/>
      <w:r w:rsidRPr="00C520C1">
        <w:rPr>
          <w:sz w:val="22"/>
          <w:szCs w:val="22"/>
          <w:lang w:val="lt-LT"/>
        </w:rPr>
        <w:t xml:space="preserve"> ir </w:t>
      </w:r>
      <w:proofErr w:type="spellStart"/>
      <w:r w:rsidRPr="00C520C1">
        <w:rPr>
          <w:sz w:val="22"/>
          <w:szCs w:val="22"/>
          <w:lang w:val="lt-LT"/>
        </w:rPr>
        <w:t>IgG</w:t>
      </w:r>
      <w:proofErr w:type="spellEnd"/>
      <w:r w:rsidRPr="00C520C1">
        <w:rPr>
          <w:sz w:val="22"/>
          <w:szCs w:val="22"/>
          <w:lang w:val="lt-LT"/>
        </w:rPr>
        <w:t xml:space="preserve"> kompleksai suskaidomi </w:t>
      </w:r>
      <w:proofErr w:type="spellStart"/>
      <w:r w:rsidRPr="00C520C1">
        <w:rPr>
          <w:sz w:val="22"/>
          <w:szCs w:val="22"/>
          <w:lang w:val="lt-LT"/>
        </w:rPr>
        <w:t>retikuloendotelinės</w:t>
      </w:r>
      <w:proofErr w:type="spellEnd"/>
      <w:r w:rsidRPr="00C520C1">
        <w:rPr>
          <w:sz w:val="22"/>
          <w:szCs w:val="22"/>
          <w:lang w:val="lt-LT"/>
        </w:rPr>
        <w:t xml:space="preserve"> sistemos ląstelėse.</w:t>
      </w:r>
      <w:r w:rsidR="003E516B" w:rsidRPr="00900D94">
        <w:rPr>
          <w:sz w:val="22"/>
          <w:szCs w:val="22"/>
          <w:lang w:val="lt-LT"/>
        </w:rPr>
        <w:t xml:space="preserve"> Populiacijos FK</w:t>
      </w:r>
      <w:r w:rsidR="003E516B" w:rsidRPr="0001139B">
        <w:rPr>
          <w:sz w:val="22"/>
          <w:szCs w:val="22"/>
          <w:lang w:val="lt-LT"/>
        </w:rPr>
        <w:t xml:space="preserve"> model</w:t>
      </w:r>
      <w:r w:rsidR="005D7284">
        <w:rPr>
          <w:sz w:val="22"/>
          <w:szCs w:val="22"/>
          <w:lang w:val="lt-LT"/>
        </w:rPr>
        <w:t>iu</w:t>
      </w:r>
      <w:r w:rsidR="003E516B" w:rsidRPr="0001139B">
        <w:rPr>
          <w:sz w:val="22"/>
          <w:szCs w:val="22"/>
          <w:lang w:val="lt-LT"/>
        </w:rPr>
        <w:t xml:space="preserve"> apskaičiuota</w:t>
      </w:r>
      <w:r w:rsidR="00684F40">
        <w:rPr>
          <w:sz w:val="22"/>
          <w:szCs w:val="22"/>
          <w:lang w:val="lt-LT"/>
        </w:rPr>
        <w:t>, kad</w:t>
      </w:r>
      <w:r w:rsidR="003E516B" w:rsidRPr="0001139B">
        <w:rPr>
          <w:sz w:val="22"/>
          <w:szCs w:val="22"/>
          <w:lang w:val="lt-LT"/>
        </w:rPr>
        <w:t xml:space="preserve"> </w:t>
      </w:r>
      <w:proofErr w:type="spellStart"/>
      <w:r w:rsidR="003E516B" w:rsidRPr="0001139B">
        <w:rPr>
          <w:sz w:val="22"/>
          <w:szCs w:val="22"/>
          <w:lang w:val="lt-LT"/>
        </w:rPr>
        <w:t>IgG</w:t>
      </w:r>
      <w:proofErr w:type="spellEnd"/>
      <w:r w:rsidR="003E516B" w:rsidRPr="0001139B">
        <w:rPr>
          <w:sz w:val="22"/>
          <w:szCs w:val="22"/>
          <w:lang w:val="lt-LT"/>
        </w:rPr>
        <w:t xml:space="preserve"> pu</w:t>
      </w:r>
      <w:r w:rsidR="00684F40">
        <w:rPr>
          <w:sz w:val="22"/>
          <w:szCs w:val="22"/>
          <w:lang w:val="lt-LT"/>
        </w:rPr>
        <w:t>sinės eliminacijos laiko mediana</w:t>
      </w:r>
      <w:r w:rsidR="003E516B" w:rsidRPr="0001139B">
        <w:rPr>
          <w:sz w:val="22"/>
          <w:szCs w:val="22"/>
          <w:lang w:val="lt-LT"/>
        </w:rPr>
        <w:t xml:space="preserve"> po </w:t>
      </w:r>
      <w:proofErr w:type="spellStart"/>
      <w:r w:rsidR="005D7284">
        <w:rPr>
          <w:sz w:val="22"/>
          <w:szCs w:val="22"/>
          <w:lang w:val="lt-LT"/>
        </w:rPr>
        <w:t>c</w:t>
      </w:r>
      <w:r w:rsidR="003E516B">
        <w:rPr>
          <w:sz w:val="22"/>
          <w:szCs w:val="22"/>
          <w:lang w:val="lt-LT"/>
        </w:rPr>
        <w:t>utaquig</w:t>
      </w:r>
      <w:proofErr w:type="spellEnd"/>
      <w:r w:rsidR="003E516B" w:rsidRPr="0001139B">
        <w:rPr>
          <w:sz w:val="22"/>
          <w:szCs w:val="22"/>
          <w:lang w:val="lt-LT"/>
        </w:rPr>
        <w:t xml:space="preserve"> vartojimo PID sergantiems pacientams </w:t>
      </w:r>
      <w:r w:rsidR="00684F40" w:rsidRPr="0001139B">
        <w:rPr>
          <w:sz w:val="22"/>
          <w:szCs w:val="22"/>
          <w:lang w:val="lt-LT"/>
        </w:rPr>
        <w:t xml:space="preserve">yra 16 </w:t>
      </w:r>
      <w:r w:rsidR="00761314">
        <w:rPr>
          <w:sz w:val="22"/>
          <w:szCs w:val="22"/>
          <w:lang w:val="lt-LT"/>
        </w:rPr>
        <w:t>(</w:t>
      </w:r>
      <w:r w:rsidR="00684F40" w:rsidRPr="0001139B">
        <w:rPr>
          <w:sz w:val="22"/>
          <w:szCs w:val="22"/>
          <w:lang w:val="lt-LT"/>
        </w:rPr>
        <w:t>9</w:t>
      </w:r>
      <w:r w:rsidR="00684F40">
        <w:rPr>
          <w:sz w:val="22"/>
          <w:szCs w:val="22"/>
          <w:lang w:val="lt-LT"/>
        </w:rPr>
        <w:t>,</w:t>
      </w:r>
      <w:r w:rsidR="00684F40" w:rsidRPr="0001139B">
        <w:rPr>
          <w:sz w:val="22"/>
          <w:szCs w:val="22"/>
          <w:lang w:val="lt-LT"/>
        </w:rPr>
        <w:t>2</w:t>
      </w:r>
      <w:r w:rsidR="005D7284">
        <w:rPr>
          <w:sz w:val="22"/>
          <w:szCs w:val="22"/>
          <w:lang w:val="lt-LT"/>
        </w:rPr>
        <w:t>–</w:t>
      </w:r>
      <w:r w:rsidR="00684F40" w:rsidRPr="0001139B">
        <w:rPr>
          <w:sz w:val="22"/>
          <w:szCs w:val="22"/>
          <w:lang w:val="lt-LT"/>
        </w:rPr>
        <w:t>36</w:t>
      </w:r>
      <w:r w:rsidR="00684F40">
        <w:rPr>
          <w:sz w:val="22"/>
          <w:szCs w:val="22"/>
          <w:lang w:val="lt-LT"/>
        </w:rPr>
        <w:t>,</w:t>
      </w:r>
      <w:r w:rsidR="00684F40" w:rsidRPr="0001139B">
        <w:rPr>
          <w:sz w:val="22"/>
          <w:szCs w:val="22"/>
          <w:lang w:val="lt-LT"/>
        </w:rPr>
        <w:t>3</w:t>
      </w:r>
      <w:r w:rsidR="00761314">
        <w:rPr>
          <w:sz w:val="22"/>
          <w:szCs w:val="22"/>
          <w:lang w:val="lt-LT"/>
        </w:rPr>
        <w:t>)</w:t>
      </w:r>
      <w:r w:rsidR="00684F40" w:rsidRPr="0001139B">
        <w:rPr>
          <w:sz w:val="22"/>
          <w:szCs w:val="22"/>
          <w:lang w:val="lt-LT"/>
        </w:rPr>
        <w:t xml:space="preserve"> dienų</w:t>
      </w:r>
      <w:r w:rsidR="00684F40">
        <w:rPr>
          <w:sz w:val="22"/>
          <w:szCs w:val="22"/>
          <w:lang w:val="lt-LT"/>
        </w:rPr>
        <w:t xml:space="preserve">, </w:t>
      </w:r>
      <w:r w:rsidR="003E516B" w:rsidRPr="0001139B">
        <w:rPr>
          <w:sz w:val="22"/>
          <w:szCs w:val="22"/>
          <w:lang w:val="lt-LT"/>
        </w:rPr>
        <w:t xml:space="preserve">darant prielaidą, kad endogeninė </w:t>
      </w:r>
      <w:proofErr w:type="spellStart"/>
      <w:r w:rsidR="003E516B" w:rsidRPr="0001139B">
        <w:rPr>
          <w:sz w:val="22"/>
          <w:szCs w:val="22"/>
          <w:lang w:val="lt-LT"/>
        </w:rPr>
        <w:t>IgG</w:t>
      </w:r>
      <w:proofErr w:type="spellEnd"/>
      <w:r w:rsidR="003E516B" w:rsidRPr="0001139B">
        <w:rPr>
          <w:sz w:val="22"/>
          <w:szCs w:val="22"/>
          <w:lang w:val="lt-LT"/>
        </w:rPr>
        <w:t xml:space="preserve"> gamyba nevyksta</w:t>
      </w:r>
      <w:r w:rsidR="00684F40">
        <w:rPr>
          <w:sz w:val="22"/>
          <w:szCs w:val="22"/>
          <w:lang w:val="lt-LT"/>
        </w:rPr>
        <w:t>.</w:t>
      </w:r>
    </w:p>
    <w:p w14:paraId="11C2EF66" w14:textId="77777777" w:rsidR="00D45C9E" w:rsidRPr="00CE6E5F" w:rsidRDefault="00D45C9E" w:rsidP="00540233">
      <w:pPr>
        <w:jc w:val="both"/>
      </w:pPr>
    </w:p>
    <w:p w14:paraId="4265A607" w14:textId="77777777" w:rsidR="00580B7B" w:rsidRPr="007B403D" w:rsidRDefault="00D45C9E" w:rsidP="005D7A3F">
      <w:pPr>
        <w:pStyle w:val="Default"/>
        <w:rPr>
          <w:sz w:val="22"/>
          <w:lang w:val="lt-LT"/>
        </w:rPr>
      </w:pPr>
      <w:r w:rsidRPr="00CE6E5F">
        <w:rPr>
          <w:sz w:val="22"/>
          <w:szCs w:val="22"/>
          <w:u w:val="single"/>
          <w:lang w:val="lt-LT"/>
        </w:rPr>
        <w:t xml:space="preserve">Vaikų populiacija </w:t>
      </w:r>
    </w:p>
    <w:p w14:paraId="619AC596" w14:textId="0DB59BC4" w:rsidR="005D7A3F" w:rsidRPr="0001139B" w:rsidRDefault="005D7A3F" w:rsidP="005D7A3F">
      <w:pPr>
        <w:pStyle w:val="Default"/>
        <w:rPr>
          <w:sz w:val="22"/>
          <w:szCs w:val="22"/>
          <w:lang w:val="lt-LT"/>
        </w:rPr>
      </w:pPr>
      <w:r w:rsidRPr="0001139B">
        <w:rPr>
          <w:sz w:val="22"/>
          <w:szCs w:val="22"/>
          <w:lang w:val="lt-LT"/>
        </w:rPr>
        <w:t>Klinikiniu požiūriu reikšmingų farmakokinetikos parametrų skirtumų tarp PID tyrime dalyvavusių sergančių suaugusiųjų ir vaikų nepastebėta.</w:t>
      </w:r>
    </w:p>
    <w:p w14:paraId="48B5EBC5" w14:textId="0642A5E4" w:rsidR="00AD0A38" w:rsidRPr="00CE6E5F" w:rsidRDefault="00D45C9E">
      <w:pPr>
        <w:pStyle w:val="Default"/>
        <w:rPr>
          <w:sz w:val="22"/>
          <w:szCs w:val="22"/>
          <w:lang w:val="lt-LT"/>
        </w:rPr>
      </w:pPr>
      <w:r w:rsidRPr="00CE6E5F">
        <w:rPr>
          <w:sz w:val="22"/>
          <w:szCs w:val="22"/>
          <w:lang w:val="lt-LT"/>
        </w:rPr>
        <w:t xml:space="preserve">FK pagrindu atliktas modeliavimas ir imitavimas, atliktas su klinikinio tyrimo, kuriame buvo skiriama kassavaitinė </w:t>
      </w:r>
      <w:proofErr w:type="spellStart"/>
      <w:r w:rsidR="00242227">
        <w:rPr>
          <w:sz w:val="22"/>
          <w:szCs w:val="22"/>
          <w:lang w:val="lt-LT"/>
        </w:rPr>
        <w:t>c</w:t>
      </w:r>
      <w:r w:rsidRPr="00CE6E5F">
        <w:rPr>
          <w:sz w:val="22"/>
          <w:szCs w:val="22"/>
          <w:lang w:val="lt-LT"/>
        </w:rPr>
        <w:t>utaquig</w:t>
      </w:r>
      <w:proofErr w:type="spellEnd"/>
      <w:r w:rsidRPr="00CE6E5F">
        <w:rPr>
          <w:sz w:val="22"/>
          <w:szCs w:val="22"/>
          <w:lang w:val="lt-LT"/>
        </w:rPr>
        <w:t xml:space="preserve"> dozė, duomenimis, rodo, kad pagal kūno svorį pakoreguotas dozavimas yra pakankamas sistemin</w:t>
      </w:r>
      <w:r w:rsidR="00705478">
        <w:rPr>
          <w:sz w:val="22"/>
          <w:szCs w:val="22"/>
          <w:lang w:val="lt-LT"/>
        </w:rPr>
        <w:t>ei</w:t>
      </w:r>
      <w:r w:rsidRPr="00CE6E5F">
        <w:rPr>
          <w:sz w:val="22"/>
          <w:szCs w:val="22"/>
          <w:lang w:val="lt-LT"/>
        </w:rPr>
        <w:t xml:space="preserve"> </w:t>
      </w:r>
      <w:proofErr w:type="spellStart"/>
      <w:r w:rsidRPr="00CE6E5F">
        <w:rPr>
          <w:sz w:val="22"/>
          <w:szCs w:val="22"/>
          <w:lang w:val="lt-LT"/>
        </w:rPr>
        <w:t>IgG</w:t>
      </w:r>
      <w:proofErr w:type="spellEnd"/>
      <w:r w:rsidRPr="00CE6E5F">
        <w:rPr>
          <w:sz w:val="22"/>
          <w:szCs w:val="22"/>
          <w:lang w:val="lt-LT"/>
        </w:rPr>
        <w:t xml:space="preserve"> </w:t>
      </w:r>
      <w:r w:rsidR="00705478">
        <w:rPr>
          <w:sz w:val="22"/>
          <w:szCs w:val="22"/>
          <w:lang w:val="lt-LT"/>
        </w:rPr>
        <w:t>ekspozicijai</w:t>
      </w:r>
      <w:r w:rsidRPr="00CE6E5F">
        <w:rPr>
          <w:sz w:val="22"/>
          <w:szCs w:val="22"/>
          <w:lang w:val="lt-LT"/>
        </w:rPr>
        <w:t xml:space="preserve"> palaikyti terapiniame intervale, nepriklausomai nuo amžiaus.</w:t>
      </w:r>
    </w:p>
    <w:p w14:paraId="0622B39F" w14:textId="77777777" w:rsidR="00D45C9E" w:rsidRPr="00CE6E5F" w:rsidRDefault="00D45C9E">
      <w:pPr>
        <w:pStyle w:val="Default"/>
        <w:rPr>
          <w:sz w:val="22"/>
          <w:szCs w:val="22"/>
          <w:lang w:val="lt-LT"/>
        </w:rPr>
      </w:pPr>
    </w:p>
    <w:p w14:paraId="7C518013" w14:textId="77777777" w:rsidR="00FD7C97" w:rsidRPr="00CE6E5F" w:rsidRDefault="003169D1" w:rsidP="00CE6E5F">
      <w:pPr>
        <w:pStyle w:val="Antrat2"/>
      </w:pPr>
      <w:r w:rsidRPr="00CE6E5F">
        <w:t>5.3</w:t>
      </w:r>
      <w:r w:rsidRPr="00CE6E5F">
        <w:tab/>
      </w:r>
      <w:proofErr w:type="spellStart"/>
      <w:r w:rsidRPr="00CE6E5F">
        <w:t>Ikiklinikinių</w:t>
      </w:r>
      <w:proofErr w:type="spellEnd"/>
      <w:r w:rsidRPr="00CE6E5F">
        <w:t xml:space="preserve"> saugumo tyrimų duomenys</w:t>
      </w:r>
    </w:p>
    <w:p w14:paraId="5DAB4446" w14:textId="77777777" w:rsidR="003169D1" w:rsidRPr="00CE6E5F" w:rsidRDefault="003169D1">
      <w:pPr>
        <w:pStyle w:val="Text"/>
        <w:spacing w:before="0" w:after="0"/>
        <w:jc w:val="left"/>
        <w:rPr>
          <w:color w:val="auto"/>
          <w:sz w:val="22"/>
          <w:szCs w:val="22"/>
          <w:lang w:val="lt-LT"/>
        </w:rPr>
      </w:pPr>
    </w:p>
    <w:p w14:paraId="0E671683" w14:textId="1BE527C0" w:rsidR="00F82FA0" w:rsidRPr="00CE6E5F" w:rsidRDefault="00F82FA0">
      <w:pPr>
        <w:pStyle w:val="Text"/>
        <w:spacing w:before="0" w:after="0"/>
        <w:jc w:val="left"/>
        <w:rPr>
          <w:iCs/>
          <w:sz w:val="22"/>
          <w:szCs w:val="22"/>
          <w:lang w:val="lt-LT"/>
        </w:rPr>
      </w:pPr>
      <w:r w:rsidRPr="00CE6E5F">
        <w:rPr>
          <w:color w:val="auto"/>
          <w:sz w:val="22"/>
          <w:szCs w:val="22"/>
          <w:lang w:val="lt-LT"/>
        </w:rPr>
        <w:t>Imunoglobulinai yra normali</w:t>
      </w:r>
      <w:r w:rsidR="00984B4D" w:rsidRPr="00CE6E5F">
        <w:rPr>
          <w:color w:val="auto"/>
          <w:sz w:val="22"/>
          <w:szCs w:val="22"/>
          <w:lang w:val="lt-LT"/>
        </w:rPr>
        <w:t xml:space="preserve"> </w:t>
      </w:r>
      <w:r w:rsidRPr="00CE6E5F">
        <w:rPr>
          <w:sz w:val="22"/>
          <w:szCs w:val="22"/>
          <w:lang w:val="lt-LT"/>
        </w:rPr>
        <w:t xml:space="preserve">žmogaus </w:t>
      </w:r>
      <w:r w:rsidRPr="00CE6E5F">
        <w:rPr>
          <w:color w:val="auto"/>
          <w:sz w:val="22"/>
          <w:szCs w:val="22"/>
          <w:lang w:val="lt-LT"/>
        </w:rPr>
        <w:t>plazmos</w:t>
      </w:r>
      <w:r w:rsidRPr="00CE6E5F">
        <w:rPr>
          <w:sz w:val="22"/>
          <w:szCs w:val="22"/>
          <w:lang w:val="lt-LT"/>
        </w:rPr>
        <w:t xml:space="preserve"> sudedamoji dalis</w:t>
      </w:r>
      <w:r w:rsidRPr="00CE6E5F">
        <w:rPr>
          <w:color w:val="auto"/>
          <w:sz w:val="22"/>
          <w:szCs w:val="22"/>
          <w:lang w:val="lt-LT"/>
        </w:rPr>
        <w:t>.</w:t>
      </w:r>
      <w:r w:rsidR="00BC7914">
        <w:rPr>
          <w:sz w:val="22"/>
          <w:szCs w:val="22"/>
          <w:lang w:val="lt-LT"/>
        </w:rPr>
        <w:t xml:space="preserve"> </w:t>
      </w:r>
      <w:r w:rsidR="00BC7914" w:rsidRPr="00BC7914">
        <w:rPr>
          <w:noProof/>
          <w:snapToGrid w:val="0"/>
          <w:color w:val="auto"/>
          <w:sz w:val="22"/>
          <w:szCs w:val="24"/>
          <w:lang w:val="lt-LT"/>
        </w:rPr>
        <w:t>Įprastų farmakologinio saugumo</w:t>
      </w:r>
      <w:r w:rsidR="00BC7914">
        <w:rPr>
          <w:noProof/>
          <w:snapToGrid w:val="0"/>
          <w:color w:val="auto"/>
          <w:sz w:val="22"/>
          <w:szCs w:val="24"/>
          <w:lang w:val="lt-LT"/>
        </w:rPr>
        <w:t xml:space="preserve"> ir vietinio toleravimo</w:t>
      </w:r>
      <w:r w:rsidR="00BC7914" w:rsidRPr="00BC7914">
        <w:rPr>
          <w:noProof/>
          <w:snapToGrid w:val="0"/>
          <w:color w:val="auto"/>
          <w:sz w:val="22"/>
          <w:szCs w:val="24"/>
          <w:lang w:val="lt-LT"/>
        </w:rPr>
        <w:t xml:space="preserve"> ikiklinikinių tyrimų duomenys specifinio pavojaus žmogui nerodo</w:t>
      </w:r>
      <w:r w:rsidRPr="00CE6E5F">
        <w:rPr>
          <w:sz w:val="22"/>
          <w:szCs w:val="22"/>
          <w:lang w:val="lt-LT"/>
        </w:rPr>
        <w:t>. Kadangi klinikinė patirtis nerodo</w:t>
      </w:r>
      <w:r w:rsidR="00BC7914">
        <w:rPr>
          <w:sz w:val="22"/>
          <w:szCs w:val="22"/>
          <w:lang w:val="lt-LT"/>
        </w:rPr>
        <w:t xml:space="preserve"> imunoglobulinų galimo </w:t>
      </w:r>
      <w:proofErr w:type="spellStart"/>
      <w:r w:rsidR="00BC7914">
        <w:rPr>
          <w:sz w:val="22"/>
          <w:szCs w:val="22"/>
          <w:lang w:val="lt-LT"/>
        </w:rPr>
        <w:t>kancerogeniškumo</w:t>
      </w:r>
      <w:proofErr w:type="spellEnd"/>
      <w:r w:rsidR="00BC7914">
        <w:rPr>
          <w:sz w:val="22"/>
          <w:szCs w:val="22"/>
          <w:lang w:val="lt-LT"/>
        </w:rPr>
        <w:t xml:space="preserve"> ar </w:t>
      </w:r>
      <w:proofErr w:type="spellStart"/>
      <w:r w:rsidR="00BC7914">
        <w:rPr>
          <w:sz w:val="22"/>
          <w:szCs w:val="22"/>
          <w:lang w:val="lt-LT"/>
        </w:rPr>
        <w:t>mutageniškumo</w:t>
      </w:r>
      <w:proofErr w:type="spellEnd"/>
      <w:r w:rsidRPr="00CE6E5F">
        <w:rPr>
          <w:sz w:val="22"/>
          <w:szCs w:val="22"/>
          <w:lang w:val="lt-LT"/>
        </w:rPr>
        <w:t>, heterogeninių rūšių eksperimentini</w:t>
      </w:r>
      <w:r w:rsidR="00415B10">
        <w:rPr>
          <w:sz w:val="22"/>
          <w:szCs w:val="22"/>
          <w:lang w:val="lt-LT"/>
        </w:rPr>
        <w:t>ų</w:t>
      </w:r>
      <w:r w:rsidRPr="00CE6E5F">
        <w:rPr>
          <w:sz w:val="22"/>
          <w:szCs w:val="22"/>
          <w:lang w:val="lt-LT"/>
        </w:rPr>
        <w:t xml:space="preserve"> tyrim</w:t>
      </w:r>
      <w:r w:rsidR="00415B10">
        <w:rPr>
          <w:sz w:val="22"/>
          <w:szCs w:val="22"/>
          <w:lang w:val="lt-LT"/>
        </w:rPr>
        <w:t>ų</w:t>
      </w:r>
      <w:r w:rsidRPr="00CE6E5F">
        <w:rPr>
          <w:sz w:val="22"/>
          <w:szCs w:val="22"/>
          <w:lang w:val="lt-LT"/>
        </w:rPr>
        <w:t xml:space="preserve"> nebuvo atlikt</w:t>
      </w:r>
      <w:r w:rsidR="00415B10">
        <w:rPr>
          <w:sz w:val="22"/>
          <w:szCs w:val="22"/>
          <w:lang w:val="lt-LT"/>
        </w:rPr>
        <w:t>a</w:t>
      </w:r>
      <w:r w:rsidRPr="00CE6E5F">
        <w:rPr>
          <w:sz w:val="22"/>
          <w:szCs w:val="22"/>
          <w:lang w:val="lt-LT"/>
        </w:rPr>
        <w:t>.</w:t>
      </w:r>
    </w:p>
    <w:p w14:paraId="23D75457" w14:textId="77777777" w:rsidR="003169D1" w:rsidRPr="00CE6E5F" w:rsidRDefault="003169D1">
      <w:pPr>
        <w:pStyle w:val="Text"/>
        <w:spacing w:before="0" w:after="0"/>
        <w:jc w:val="left"/>
        <w:rPr>
          <w:iCs/>
          <w:sz w:val="22"/>
          <w:szCs w:val="22"/>
          <w:lang w:val="lt-LT"/>
        </w:rPr>
      </w:pPr>
    </w:p>
    <w:p w14:paraId="16CB62A7" w14:textId="77777777" w:rsidR="003169D1" w:rsidRPr="00CE6E5F" w:rsidRDefault="003169D1">
      <w:pPr>
        <w:pStyle w:val="Text"/>
        <w:spacing w:before="0" w:after="0"/>
        <w:jc w:val="left"/>
        <w:rPr>
          <w:color w:val="auto"/>
          <w:sz w:val="22"/>
          <w:szCs w:val="22"/>
          <w:lang w:val="lt-LT"/>
        </w:rPr>
      </w:pPr>
    </w:p>
    <w:p w14:paraId="13945A5E" w14:textId="77777777" w:rsidR="00FD7C97" w:rsidRPr="00CE6E5F" w:rsidRDefault="003169D1" w:rsidP="00CE6E5F">
      <w:pPr>
        <w:pStyle w:val="Antrat1"/>
      </w:pPr>
      <w:r w:rsidRPr="00CE6E5F">
        <w:lastRenderedPageBreak/>
        <w:t>6.</w:t>
      </w:r>
      <w:r w:rsidRPr="00CE6E5F">
        <w:tab/>
        <w:t>FARMACINĖ INFORMACIJA</w:t>
      </w:r>
    </w:p>
    <w:p w14:paraId="3D5B7661" w14:textId="77777777" w:rsidR="003169D1" w:rsidRPr="00CE6E5F" w:rsidRDefault="003169D1" w:rsidP="00CE6E5F">
      <w:pPr>
        <w:pStyle w:val="Text"/>
        <w:keepNext/>
        <w:spacing w:before="0" w:after="0"/>
        <w:jc w:val="left"/>
        <w:rPr>
          <w:color w:val="auto"/>
          <w:sz w:val="22"/>
          <w:szCs w:val="22"/>
          <w:lang w:val="lt-LT"/>
        </w:rPr>
      </w:pPr>
    </w:p>
    <w:p w14:paraId="78D943D9" w14:textId="77777777" w:rsidR="00FD7C97" w:rsidRPr="00CE6E5F" w:rsidRDefault="003169D1" w:rsidP="00CE6E5F">
      <w:pPr>
        <w:pStyle w:val="Antrat2"/>
      </w:pPr>
      <w:r w:rsidRPr="00CE6E5F">
        <w:t>6.1.</w:t>
      </w:r>
      <w:r w:rsidRPr="00CE6E5F">
        <w:tab/>
        <w:t>Pagalbinių medžiagų sąrašas</w:t>
      </w:r>
    </w:p>
    <w:p w14:paraId="420CC927" w14:textId="77777777" w:rsidR="003169D1" w:rsidRPr="00CE6E5F" w:rsidRDefault="003169D1" w:rsidP="00316E67">
      <w:pPr>
        <w:pStyle w:val="Default"/>
        <w:rPr>
          <w:iCs/>
          <w:sz w:val="22"/>
          <w:szCs w:val="22"/>
          <w:lang w:val="lt-LT"/>
        </w:rPr>
      </w:pPr>
    </w:p>
    <w:p w14:paraId="7F8DB79A" w14:textId="5F68E87D" w:rsidR="00CD4499" w:rsidRDefault="009463F6" w:rsidP="00316E67">
      <w:pPr>
        <w:pStyle w:val="Default"/>
        <w:rPr>
          <w:sz w:val="22"/>
          <w:szCs w:val="22"/>
          <w:lang w:val="lt-LT"/>
        </w:rPr>
      </w:pPr>
      <w:proofErr w:type="spellStart"/>
      <w:r w:rsidRPr="00CE6E5F">
        <w:rPr>
          <w:sz w:val="22"/>
          <w:szCs w:val="22"/>
          <w:lang w:val="lt-LT"/>
        </w:rPr>
        <w:t>Maltozė</w:t>
      </w:r>
      <w:proofErr w:type="spellEnd"/>
      <w:r w:rsidRPr="00CE6E5F">
        <w:rPr>
          <w:sz w:val="22"/>
          <w:szCs w:val="22"/>
          <w:lang w:val="lt-LT"/>
        </w:rPr>
        <w:t xml:space="preserve"> </w:t>
      </w:r>
    </w:p>
    <w:p w14:paraId="7AC9985C" w14:textId="1BFFFEA8" w:rsidR="00CD4499" w:rsidRDefault="00CD4499" w:rsidP="00316E67">
      <w:pPr>
        <w:pStyle w:val="Default"/>
        <w:rPr>
          <w:sz w:val="22"/>
          <w:szCs w:val="22"/>
          <w:lang w:val="lt-LT"/>
        </w:rPr>
      </w:pPr>
      <w:proofErr w:type="spellStart"/>
      <w:r>
        <w:rPr>
          <w:sz w:val="22"/>
          <w:szCs w:val="22"/>
          <w:lang w:val="lt-LT"/>
        </w:rPr>
        <w:t>P</w:t>
      </w:r>
      <w:r w:rsidR="009463F6" w:rsidRPr="00CE6E5F">
        <w:rPr>
          <w:sz w:val="22"/>
          <w:szCs w:val="22"/>
          <w:lang w:val="lt-LT"/>
        </w:rPr>
        <w:t>olisorbatas</w:t>
      </w:r>
      <w:proofErr w:type="spellEnd"/>
      <w:r w:rsidR="009463F6" w:rsidRPr="00CE6E5F">
        <w:rPr>
          <w:sz w:val="22"/>
          <w:szCs w:val="22"/>
          <w:lang w:val="lt-LT"/>
        </w:rPr>
        <w:t xml:space="preserve"> 80 </w:t>
      </w:r>
    </w:p>
    <w:p w14:paraId="22E706B9" w14:textId="46D925D5" w:rsidR="00FD7C97" w:rsidRPr="00CE6E5F" w:rsidRDefault="00CD4499" w:rsidP="00316E67">
      <w:pPr>
        <w:pStyle w:val="Default"/>
        <w:rPr>
          <w:iCs/>
          <w:sz w:val="22"/>
          <w:szCs w:val="22"/>
          <w:lang w:val="lt-LT"/>
        </w:rPr>
      </w:pPr>
      <w:r>
        <w:rPr>
          <w:sz w:val="22"/>
          <w:szCs w:val="22"/>
          <w:lang w:val="lt-LT"/>
        </w:rPr>
        <w:t>I</w:t>
      </w:r>
      <w:r w:rsidR="009463F6" w:rsidRPr="00CE6E5F">
        <w:rPr>
          <w:sz w:val="22"/>
          <w:szCs w:val="22"/>
          <w:lang w:val="lt-LT"/>
        </w:rPr>
        <w:t>njekcinis vanduo.</w:t>
      </w:r>
    </w:p>
    <w:p w14:paraId="13F9A015" w14:textId="77777777" w:rsidR="00451251" w:rsidRPr="00CE6E5F" w:rsidRDefault="00451251" w:rsidP="00316E67">
      <w:pPr>
        <w:pStyle w:val="Default"/>
        <w:rPr>
          <w:sz w:val="22"/>
          <w:szCs w:val="22"/>
          <w:lang w:val="lt-LT"/>
        </w:rPr>
      </w:pPr>
    </w:p>
    <w:p w14:paraId="6A7EF3EF" w14:textId="77777777" w:rsidR="00FD7C97" w:rsidRPr="00CE6E5F" w:rsidRDefault="00FB1A76" w:rsidP="00CE6E5F">
      <w:pPr>
        <w:pStyle w:val="Antrat2"/>
      </w:pPr>
      <w:r w:rsidRPr="00CE6E5F">
        <w:t>6.2</w:t>
      </w:r>
      <w:r w:rsidRPr="00CE6E5F">
        <w:tab/>
        <w:t>Nesuderinamumas</w:t>
      </w:r>
    </w:p>
    <w:p w14:paraId="2360FB68" w14:textId="77777777" w:rsidR="00451251" w:rsidRPr="00CA00D3" w:rsidRDefault="00451251">
      <w:pPr>
        <w:pStyle w:val="Default"/>
        <w:rPr>
          <w:sz w:val="22"/>
          <w:szCs w:val="22"/>
          <w:lang w:val="lt-LT"/>
        </w:rPr>
      </w:pPr>
    </w:p>
    <w:p w14:paraId="5A99879E" w14:textId="77777777" w:rsidR="00FD7C97" w:rsidRPr="00CA00D3" w:rsidRDefault="00CD2B28">
      <w:pPr>
        <w:pStyle w:val="Default"/>
        <w:rPr>
          <w:sz w:val="22"/>
          <w:szCs w:val="22"/>
          <w:lang w:val="lt-LT"/>
        </w:rPr>
      </w:pPr>
      <w:r w:rsidRPr="00E773DA">
        <w:rPr>
          <w:noProof/>
          <w:sz w:val="22"/>
          <w:szCs w:val="22"/>
          <w:lang w:val="lt-LT"/>
        </w:rPr>
        <w:t>Suderinamumo tyrimų neatlikta, todėl šio vaistinio preparato maišyti su kitais negalima.</w:t>
      </w:r>
    </w:p>
    <w:p w14:paraId="4EF49323" w14:textId="77777777" w:rsidR="00451251" w:rsidRPr="00190017" w:rsidRDefault="00451251">
      <w:pPr>
        <w:pStyle w:val="Default"/>
        <w:rPr>
          <w:sz w:val="22"/>
          <w:szCs w:val="22"/>
          <w:highlight w:val="cyan"/>
          <w:lang w:val="lt-LT"/>
        </w:rPr>
      </w:pPr>
    </w:p>
    <w:p w14:paraId="17BD7E48" w14:textId="77777777" w:rsidR="00FD7C97" w:rsidRPr="00CE6E5F" w:rsidRDefault="00FB1A76" w:rsidP="00CE6E5F">
      <w:pPr>
        <w:pStyle w:val="Antrat2"/>
      </w:pPr>
      <w:r w:rsidRPr="00CE6E5F">
        <w:t>6.3</w:t>
      </w:r>
      <w:r w:rsidRPr="00CE6E5F">
        <w:tab/>
        <w:t xml:space="preserve">Tinkamumo laikas </w:t>
      </w:r>
    </w:p>
    <w:p w14:paraId="5BA25E74" w14:textId="77777777" w:rsidR="00FB1A76" w:rsidRPr="00CE6E5F" w:rsidRDefault="00FB1A76">
      <w:pPr>
        <w:pStyle w:val="Default"/>
        <w:rPr>
          <w:sz w:val="22"/>
          <w:szCs w:val="22"/>
          <w:lang w:val="lt-LT"/>
        </w:rPr>
      </w:pPr>
    </w:p>
    <w:p w14:paraId="7F0E8139" w14:textId="4CA83B3A" w:rsidR="008F0AAA" w:rsidRPr="00CE6E5F" w:rsidRDefault="00CA1165">
      <w:pPr>
        <w:pStyle w:val="Default"/>
        <w:rPr>
          <w:sz w:val="22"/>
          <w:szCs w:val="22"/>
          <w:lang w:val="lt-LT"/>
        </w:rPr>
      </w:pPr>
      <w:r>
        <w:rPr>
          <w:sz w:val="22"/>
          <w:szCs w:val="22"/>
          <w:lang w:val="lt-LT"/>
        </w:rPr>
        <w:t>3</w:t>
      </w:r>
      <w:r w:rsidRPr="00CE6E5F">
        <w:rPr>
          <w:sz w:val="22"/>
          <w:szCs w:val="22"/>
          <w:lang w:val="lt-LT"/>
        </w:rPr>
        <w:t> </w:t>
      </w:r>
      <w:r w:rsidR="008F0AAA" w:rsidRPr="00CE6E5F">
        <w:rPr>
          <w:sz w:val="22"/>
          <w:szCs w:val="22"/>
          <w:lang w:val="lt-LT"/>
        </w:rPr>
        <w:t>metai</w:t>
      </w:r>
      <w:r w:rsidR="0056543F">
        <w:rPr>
          <w:sz w:val="22"/>
          <w:szCs w:val="22"/>
          <w:lang w:val="lt-LT"/>
        </w:rPr>
        <w:t>.</w:t>
      </w:r>
    </w:p>
    <w:p w14:paraId="6A8055ED" w14:textId="205FBE6F" w:rsidR="00084133" w:rsidRPr="00CE6E5F" w:rsidRDefault="00084133">
      <w:pPr>
        <w:pStyle w:val="Default"/>
        <w:rPr>
          <w:sz w:val="22"/>
          <w:szCs w:val="22"/>
          <w:lang w:val="lt-LT"/>
        </w:rPr>
      </w:pPr>
      <w:r w:rsidRPr="00CE6E5F">
        <w:rPr>
          <w:sz w:val="22"/>
          <w:szCs w:val="22"/>
          <w:lang w:val="lt-LT"/>
        </w:rPr>
        <w:t>Atidarius flakoną,</w:t>
      </w:r>
      <w:r w:rsidR="0056543F">
        <w:rPr>
          <w:sz w:val="22"/>
          <w:szCs w:val="22"/>
          <w:lang w:val="lt-LT"/>
        </w:rPr>
        <w:t xml:space="preserve"> injekcinį</w:t>
      </w:r>
      <w:r w:rsidRPr="00CE6E5F">
        <w:rPr>
          <w:sz w:val="22"/>
          <w:szCs w:val="22"/>
          <w:lang w:val="lt-LT"/>
        </w:rPr>
        <w:t xml:space="preserve"> tirpalą reikia suvartoti nedelsiant.</w:t>
      </w:r>
    </w:p>
    <w:p w14:paraId="586D466E" w14:textId="77777777" w:rsidR="00FB1A76" w:rsidRPr="00CE6E5F" w:rsidRDefault="00FB1A76">
      <w:pPr>
        <w:pStyle w:val="Default"/>
        <w:rPr>
          <w:sz w:val="22"/>
          <w:szCs w:val="22"/>
          <w:lang w:val="lt-LT"/>
        </w:rPr>
      </w:pPr>
    </w:p>
    <w:p w14:paraId="7333C1ED" w14:textId="77777777" w:rsidR="00FD7C97" w:rsidRPr="00CE6E5F" w:rsidRDefault="00FB1A76" w:rsidP="00CE6E5F">
      <w:pPr>
        <w:pStyle w:val="Antrat2"/>
      </w:pPr>
      <w:r w:rsidRPr="00CE6E5F">
        <w:t>6.4</w:t>
      </w:r>
      <w:r w:rsidRPr="00CE6E5F">
        <w:tab/>
        <w:t>Specialios laikymo sąlygos</w:t>
      </w:r>
    </w:p>
    <w:p w14:paraId="23A38461" w14:textId="77777777" w:rsidR="00FB1A76" w:rsidRPr="00CE6E5F" w:rsidRDefault="00FB1A76">
      <w:pPr>
        <w:pStyle w:val="Default"/>
        <w:rPr>
          <w:sz w:val="22"/>
          <w:szCs w:val="22"/>
          <w:lang w:val="lt-LT"/>
        </w:rPr>
      </w:pPr>
    </w:p>
    <w:p w14:paraId="531A4AA3" w14:textId="77777777" w:rsidR="00084133" w:rsidRPr="00CE6E5F" w:rsidRDefault="003A0D34">
      <w:pPr>
        <w:pStyle w:val="Default"/>
        <w:rPr>
          <w:sz w:val="22"/>
          <w:szCs w:val="22"/>
          <w:lang w:val="lt-LT"/>
        </w:rPr>
      </w:pPr>
      <w:r w:rsidRPr="00CE6E5F">
        <w:rPr>
          <w:sz w:val="22"/>
          <w:szCs w:val="22"/>
          <w:lang w:val="lt-LT"/>
        </w:rPr>
        <w:t>Laikyti šaldytuve (2 </w:t>
      </w:r>
      <w:r w:rsidRPr="00CE6E5F">
        <w:rPr>
          <w:sz w:val="22"/>
          <w:szCs w:val="22"/>
          <w:lang w:val="lt-LT"/>
        </w:rPr>
        <w:sym w:font="Symbol" w:char="F0B0"/>
      </w:r>
      <w:r w:rsidRPr="00CE6E5F">
        <w:rPr>
          <w:sz w:val="22"/>
          <w:szCs w:val="22"/>
          <w:lang w:val="lt-LT"/>
        </w:rPr>
        <w:t>C – 8 </w:t>
      </w:r>
      <w:r w:rsidRPr="00CE6E5F">
        <w:rPr>
          <w:sz w:val="22"/>
          <w:szCs w:val="22"/>
          <w:lang w:val="lt-LT"/>
        </w:rPr>
        <w:sym w:font="Symbol" w:char="F0B0"/>
      </w:r>
      <w:r w:rsidRPr="00CE6E5F">
        <w:rPr>
          <w:sz w:val="22"/>
          <w:szCs w:val="22"/>
          <w:lang w:val="lt-LT"/>
        </w:rPr>
        <w:t xml:space="preserve">C). </w:t>
      </w:r>
    </w:p>
    <w:p w14:paraId="32AE4168" w14:textId="77777777" w:rsidR="00084133" w:rsidRPr="00CE6E5F" w:rsidRDefault="00B639A2">
      <w:pPr>
        <w:pStyle w:val="Default"/>
        <w:rPr>
          <w:sz w:val="22"/>
          <w:szCs w:val="22"/>
          <w:lang w:val="lt-LT"/>
        </w:rPr>
      </w:pPr>
      <w:r w:rsidRPr="00CE6E5F">
        <w:rPr>
          <w:sz w:val="22"/>
          <w:szCs w:val="22"/>
          <w:lang w:val="lt-LT"/>
        </w:rPr>
        <w:t xml:space="preserve">Negalima užšaldyti. </w:t>
      </w:r>
    </w:p>
    <w:p w14:paraId="621005BA" w14:textId="77777777" w:rsidR="003A0D34" w:rsidRPr="00CE6E5F" w:rsidRDefault="00B639A2">
      <w:pPr>
        <w:pStyle w:val="Default"/>
        <w:rPr>
          <w:sz w:val="22"/>
          <w:szCs w:val="22"/>
          <w:lang w:val="lt-LT"/>
        </w:rPr>
      </w:pPr>
      <w:r w:rsidRPr="00CE6E5F">
        <w:rPr>
          <w:sz w:val="22"/>
          <w:szCs w:val="22"/>
          <w:lang w:val="lt-LT"/>
        </w:rPr>
        <w:t>Flakoną laikyti išorinėje dėžutėje, kad</w:t>
      </w:r>
      <w:r w:rsidR="00CD2B28">
        <w:rPr>
          <w:sz w:val="22"/>
          <w:szCs w:val="22"/>
          <w:lang w:val="lt-LT"/>
        </w:rPr>
        <w:t xml:space="preserve"> vaistinis</w:t>
      </w:r>
      <w:r w:rsidRPr="00CE6E5F">
        <w:rPr>
          <w:sz w:val="22"/>
          <w:szCs w:val="22"/>
          <w:lang w:val="lt-LT"/>
        </w:rPr>
        <w:t xml:space="preserve"> preparatas būtų apsaugotas nuo šviesos.</w:t>
      </w:r>
    </w:p>
    <w:p w14:paraId="1BB88D56" w14:textId="68DECC86" w:rsidR="00384C56" w:rsidRDefault="00561C25">
      <w:pPr>
        <w:pStyle w:val="Default"/>
        <w:rPr>
          <w:sz w:val="22"/>
          <w:szCs w:val="22"/>
          <w:lang w:val="lt-LT"/>
        </w:rPr>
      </w:pPr>
      <w:r>
        <w:rPr>
          <w:sz w:val="22"/>
          <w:szCs w:val="22"/>
          <w:lang w:val="lt-LT"/>
        </w:rPr>
        <w:t>Vaistinį p</w:t>
      </w:r>
      <w:r w:rsidR="00384C56" w:rsidRPr="00C020BF">
        <w:rPr>
          <w:sz w:val="22"/>
          <w:szCs w:val="22"/>
          <w:lang w:val="lt-LT"/>
        </w:rPr>
        <w:t xml:space="preserve">reparatą iki tinkamumo laiko pabaigos </w:t>
      </w:r>
      <w:r w:rsidR="00384C56">
        <w:rPr>
          <w:sz w:val="22"/>
          <w:szCs w:val="22"/>
          <w:lang w:val="lt-LT"/>
        </w:rPr>
        <w:t>kambario temperatūroje (</w:t>
      </w:r>
      <w:r w:rsidR="00384C56" w:rsidRPr="00C020BF">
        <w:rPr>
          <w:sz w:val="22"/>
          <w:szCs w:val="22"/>
          <w:lang w:val="lt-LT"/>
        </w:rPr>
        <w:t>ne aukštesnėje kaip 25</w:t>
      </w:r>
      <w:r w:rsidR="00384C56">
        <w:rPr>
          <w:sz w:val="22"/>
          <w:szCs w:val="22"/>
          <w:lang w:val="lt-LT"/>
        </w:rPr>
        <w:t> </w:t>
      </w:r>
      <w:r w:rsidR="00384C56" w:rsidRPr="00C020BF">
        <w:rPr>
          <w:sz w:val="22"/>
          <w:szCs w:val="22"/>
          <w:lang w:val="lt-LT"/>
        </w:rPr>
        <w:t>°C</w:t>
      </w:r>
      <w:r w:rsidR="00384C56">
        <w:rPr>
          <w:sz w:val="22"/>
          <w:szCs w:val="22"/>
          <w:lang w:val="lt-LT"/>
        </w:rPr>
        <w:t>)</w:t>
      </w:r>
      <w:r w:rsidR="00384C56" w:rsidRPr="00C020BF">
        <w:rPr>
          <w:sz w:val="22"/>
          <w:szCs w:val="22"/>
          <w:lang w:val="lt-LT"/>
        </w:rPr>
        <w:t xml:space="preserve"> galima laikyti ne ilgiau kaip </w:t>
      </w:r>
      <w:r w:rsidR="009D4DEF">
        <w:rPr>
          <w:sz w:val="22"/>
          <w:szCs w:val="22"/>
          <w:lang w:val="lt-LT"/>
        </w:rPr>
        <w:t>9 </w:t>
      </w:r>
      <w:r w:rsidR="00384C56" w:rsidRPr="00C020BF">
        <w:rPr>
          <w:sz w:val="22"/>
          <w:szCs w:val="22"/>
          <w:lang w:val="lt-LT"/>
        </w:rPr>
        <w:t xml:space="preserve">mėnesius; šiuo laikotarpiu </w:t>
      </w:r>
      <w:r>
        <w:rPr>
          <w:sz w:val="22"/>
          <w:szCs w:val="22"/>
          <w:lang w:val="lt-LT"/>
        </w:rPr>
        <w:t xml:space="preserve">vaistinio </w:t>
      </w:r>
      <w:r w:rsidR="00384C56" w:rsidRPr="00C020BF">
        <w:rPr>
          <w:sz w:val="22"/>
          <w:szCs w:val="22"/>
          <w:lang w:val="lt-LT"/>
        </w:rPr>
        <w:t xml:space="preserve">preparato vėl dėti į šaldytuvą negalima, </w:t>
      </w:r>
      <w:r w:rsidR="00384C56">
        <w:rPr>
          <w:sz w:val="22"/>
          <w:szCs w:val="22"/>
          <w:lang w:val="lt-LT"/>
        </w:rPr>
        <w:t>o jam pasibaigus</w:t>
      </w:r>
      <w:r w:rsidR="00384C56" w:rsidRPr="00C020BF">
        <w:rPr>
          <w:sz w:val="22"/>
          <w:szCs w:val="22"/>
          <w:lang w:val="lt-LT"/>
        </w:rPr>
        <w:t xml:space="preserve"> </w:t>
      </w:r>
      <w:r w:rsidR="00D63F65">
        <w:rPr>
          <w:sz w:val="22"/>
          <w:szCs w:val="22"/>
          <w:lang w:val="lt-LT"/>
        </w:rPr>
        <w:t xml:space="preserve">- </w:t>
      </w:r>
      <w:r w:rsidR="00384C56" w:rsidRPr="00C020BF">
        <w:rPr>
          <w:sz w:val="22"/>
          <w:szCs w:val="22"/>
          <w:lang w:val="lt-LT"/>
        </w:rPr>
        <w:t xml:space="preserve">nesuvartotą </w:t>
      </w:r>
      <w:r>
        <w:rPr>
          <w:sz w:val="22"/>
          <w:szCs w:val="22"/>
          <w:lang w:val="lt-LT"/>
        </w:rPr>
        <w:t xml:space="preserve">vaistinį </w:t>
      </w:r>
      <w:r w:rsidR="00384C56" w:rsidRPr="00C020BF">
        <w:rPr>
          <w:sz w:val="22"/>
          <w:szCs w:val="22"/>
          <w:lang w:val="lt-LT"/>
        </w:rPr>
        <w:t>preparatą reikia sunaikinti.</w:t>
      </w:r>
    </w:p>
    <w:p w14:paraId="1212CAC7" w14:textId="77777777" w:rsidR="00084133" w:rsidRPr="00CE6E5F" w:rsidRDefault="00084133">
      <w:pPr>
        <w:pStyle w:val="Default"/>
        <w:rPr>
          <w:sz w:val="22"/>
          <w:szCs w:val="22"/>
          <w:lang w:val="lt-LT"/>
        </w:rPr>
      </w:pPr>
      <w:r w:rsidRPr="00CE6E5F">
        <w:rPr>
          <w:sz w:val="22"/>
          <w:szCs w:val="22"/>
          <w:lang w:val="lt-LT"/>
        </w:rPr>
        <w:t>Pirmą kartą atidaryto vaistinio preparato laikymo sąlygos pateikiamos 6.3</w:t>
      </w:r>
      <w:r w:rsidR="00CD2B28">
        <w:rPr>
          <w:sz w:val="22"/>
          <w:szCs w:val="22"/>
          <w:lang w:val="lt-LT"/>
        </w:rPr>
        <w:t xml:space="preserve"> </w:t>
      </w:r>
      <w:r w:rsidRPr="00CE6E5F">
        <w:rPr>
          <w:sz w:val="22"/>
          <w:szCs w:val="22"/>
          <w:lang w:val="lt-LT"/>
        </w:rPr>
        <w:t>skyriuje.</w:t>
      </w:r>
    </w:p>
    <w:p w14:paraId="75F9E00C" w14:textId="77777777" w:rsidR="00FD7C97" w:rsidRPr="00CE6E5F" w:rsidRDefault="00FD7C97">
      <w:pPr>
        <w:pStyle w:val="Default"/>
        <w:rPr>
          <w:sz w:val="22"/>
          <w:szCs w:val="22"/>
          <w:lang w:val="lt-LT"/>
        </w:rPr>
      </w:pPr>
    </w:p>
    <w:p w14:paraId="0E152F90" w14:textId="77777777" w:rsidR="00FD7C97" w:rsidRPr="00CE6E5F" w:rsidRDefault="00FB1A76" w:rsidP="00CE6E5F">
      <w:pPr>
        <w:pStyle w:val="Antrat2"/>
      </w:pPr>
      <w:r w:rsidRPr="00CE6E5F">
        <w:t>6.5</w:t>
      </w:r>
      <w:r w:rsidRPr="00CE6E5F">
        <w:tab/>
      </w:r>
      <w:proofErr w:type="spellStart"/>
      <w:r w:rsidRPr="00CE6E5F">
        <w:t>Talpyklės</w:t>
      </w:r>
      <w:proofErr w:type="spellEnd"/>
      <w:r w:rsidRPr="00CE6E5F">
        <w:t xml:space="preserve"> pobūdis ir jos turinys</w:t>
      </w:r>
    </w:p>
    <w:p w14:paraId="5DCE5CE2" w14:textId="77777777" w:rsidR="00FB1A76" w:rsidRPr="00CE6E5F" w:rsidRDefault="00FB1A76">
      <w:pPr>
        <w:pStyle w:val="Default"/>
        <w:rPr>
          <w:iCs/>
          <w:sz w:val="22"/>
          <w:szCs w:val="22"/>
          <w:lang w:val="lt-LT"/>
        </w:rPr>
      </w:pPr>
    </w:p>
    <w:p w14:paraId="50CE456F" w14:textId="534B2345" w:rsidR="00FD7C97" w:rsidRDefault="00D63F65">
      <w:pPr>
        <w:pStyle w:val="Default"/>
        <w:rPr>
          <w:sz w:val="22"/>
          <w:szCs w:val="22"/>
          <w:lang w:val="lt-LT"/>
        </w:rPr>
      </w:pPr>
      <w:r>
        <w:rPr>
          <w:sz w:val="22"/>
          <w:szCs w:val="22"/>
          <w:lang w:val="lt-LT"/>
        </w:rPr>
        <w:t>Flakonas (</w:t>
      </w:r>
      <w:r w:rsidRPr="00CE6E5F">
        <w:rPr>
          <w:sz w:val="22"/>
          <w:szCs w:val="22"/>
          <w:lang w:val="lt-LT"/>
        </w:rPr>
        <w:t>I tipo stiklo)</w:t>
      </w:r>
      <w:r>
        <w:rPr>
          <w:sz w:val="22"/>
          <w:szCs w:val="22"/>
          <w:lang w:val="lt-LT"/>
        </w:rPr>
        <w:t xml:space="preserve"> </w:t>
      </w:r>
      <w:r w:rsidRPr="00CE6E5F">
        <w:rPr>
          <w:sz w:val="22"/>
          <w:szCs w:val="22"/>
          <w:lang w:val="lt-LT"/>
        </w:rPr>
        <w:t xml:space="preserve">su </w:t>
      </w:r>
      <w:proofErr w:type="spellStart"/>
      <w:r w:rsidRPr="00CE6E5F">
        <w:rPr>
          <w:sz w:val="22"/>
          <w:szCs w:val="22"/>
          <w:lang w:val="lt-LT"/>
        </w:rPr>
        <w:t>brombutilo</w:t>
      </w:r>
      <w:proofErr w:type="spellEnd"/>
      <w:r w:rsidRPr="00CE6E5F">
        <w:rPr>
          <w:sz w:val="22"/>
          <w:szCs w:val="22"/>
          <w:lang w:val="lt-LT"/>
        </w:rPr>
        <w:t xml:space="preserve"> gumos kamščiu</w:t>
      </w:r>
      <w:r>
        <w:rPr>
          <w:sz w:val="22"/>
          <w:szCs w:val="22"/>
          <w:lang w:val="lt-LT"/>
        </w:rPr>
        <w:t>, kuriame yra</w:t>
      </w:r>
      <w:r w:rsidRPr="00CE6E5F">
        <w:rPr>
          <w:sz w:val="22"/>
          <w:szCs w:val="22"/>
          <w:lang w:val="lt-LT"/>
        </w:rPr>
        <w:t xml:space="preserve"> </w:t>
      </w:r>
      <w:r w:rsidR="0069577D" w:rsidRPr="00CE6E5F">
        <w:rPr>
          <w:sz w:val="22"/>
          <w:szCs w:val="22"/>
          <w:lang w:val="lt-LT"/>
        </w:rPr>
        <w:t>6</w:t>
      </w:r>
      <w:r w:rsidR="00190017">
        <w:rPr>
          <w:sz w:val="22"/>
          <w:szCs w:val="22"/>
          <w:lang w:val="lt-LT"/>
        </w:rPr>
        <w:t> ml</w:t>
      </w:r>
      <w:r w:rsidR="0069577D" w:rsidRPr="00CE6E5F">
        <w:rPr>
          <w:sz w:val="22"/>
          <w:szCs w:val="22"/>
          <w:lang w:val="lt-LT"/>
        </w:rPr>
        <w:t>, 10</w:t>
      </w:r>
      <w:r w:rsidR="00190017">
        <w:rPr>
          <w:sz w:val="22"/>
          <w:szCs w:val="22"/>
          <w:lang w:val="lt-LT"/>
        </w:rPr>
        <w:t> ml</w:t>
      </w:r>
      <w:r w:rsidR="0069577D" w:rsidRPr="00CE6E5F">
        <w:rPr>
          <w:sz w:val="22"/>
          <w:szCs w:val="22"/>
          <w:lang w:val="lt-LT"/>
        </w:rPr>
        <w:t>, 12</w:t>
      </w:r>
      <w:r w:rsidR="00190017">
        <w:rPr>
          <w:sz w:val="22"/>
          <w:szCs w:val="22"/>
          <w:lang w:val="lt-LT"/>
        </w:rPr>
        <w:t> ml</w:t>
      </w:r>
      <w:r w:rsidR="0069577D" w:rsidRPr="00CE6E5F">
        <w:rPr>
          <w:sz w:val="22"/>
          <w:szCs w:val="22"/>
          <w:lang w:val="lt-LT"/>
        </w:rPr>
        <w:t>, 20</w:t>
      </w:r>
      <w:r w:rsidR="00190017">
        <w:rPr>
          <w:sz w:val="22"/>
          <w:szCs w:val="22"/>
          <w:lang w:val="lt-LT"/>
        </w:rPr>
        <w:t> ml</w:t>
      </w:r>
      <w:r w:rsidR="0069577D" w:rsidRPr="00CE6E5F">
        <w:rPr>
          <w:sz w:val="22"/>
          <w:szCs w:val="22"/>
          <w:lang w:val="lt-LT"/>
        </w:rPr>
        <w:t>, 24</w:t>
      </w:r>
      <w:r w:rsidR="00190017">
        <w:rPr>
          <w:sz w:val="22"/>
          <w:szCs w:val="22"/>
          <w:lang w:val="lt-LT"/>
        </w:rPr>
        <w:t> ml</w:t>
      </w:r>
      <w:r w:rsidR="0069577D" w:rsidRPr="00CE6E5F">
        <w:rPr>
          <w:sz w:val="22"/>
          <w:szCs w:val="22"/>
          <w:lang w:val="lt-LT"/>
        </w:rPr>
        <w:t xml:space="preserve"> arba 48 ml tirpalo</w:t>
      </w:r>
      <w:r>
        <w:rPr>
          <w:sz w:val="22"/>
          <w:szCs w:val="22"/>
          <w:lang w:val="lt-LT"/>
        </w:rPr>
        <w:t>.</w:t>
      </w:r>
      <w:r w:rsidR="0069577D" w:rsidRPr="00CE6E5F">
        <w:rPr>
          <w:sz w:val="22"/>
          <w:szCs w:val="22"/>
          <w:lang w:val="lt-LT"/>
        </w:rPr>
        <w:t xml:space="preserve">  </w:t>
      </w:r>
      <w:r>
        <w:rPr>
          <w:sz w:val="22"/>
          <w:szCs w:val="22"/>
          <w:lang w:val="lt-LT"/>
        </w:rPr>
        <w:t>P</w:t>
      </w:r>
      <w:r w:rsidR="0069577D" w:rsidRPr="00CE6E5F">
        <w:rPr>
          <w:sz w:val="22"/>
          <w:szCs w:val="22"/>
          <w:lang w:val="lt-LT"/>
        </w:rPr>
        <w:t>akuotės dydis – 1</w:t>
      </w:r>
      <w:r w:rsidR="00436FA0">
        <w:rPr>
          <w:sz w:val="22"/>
          <w:szCs w:val="22"/>
          <w:lang w:val="lt-LT"/>
        </w:rPr>
        <w:t>,</w:t>
      </w:r>
      <w:r w:rsidR="0069577D" w:rsidRPr="00CE6E5F">
        <w:rPr>
          <w:sz w:val="22"/>
          <w:szCs w:val="22"/>
          <w:lang w:val="lt-LT"/>
        </w:rPr>
        <w:t xml:space="preserve"> 10</w:t>
      </w:r>
      <w:r w:rsidR="00436FA0">
        <w:rPr>
          <w:sz w:val="22"/>
          <w:szCs w:val="22"/>
          <w:lang w:val="lt-LT"/>
        </w:rPr>
        <w:t xml:space="preserve"> arba 20</w:t>
      </w:r>
      <w:r w:rsidR="00C67081">
        <w:rPr>
          <w:sz w:val="22"/>
          <w:szCs w:val="22"/>
          <w:lang w:val="lt-LT"/>
        </w:rPr>
        <w:t xml:space="preserve"> flakonų</w:t>
      </w:r>
      <w:r w:rsidR="0069577D" w:rsidRPr="00CE6E5F">
        <w:rPr>
          <w:sz w:val="22"/>
          <w:szCs w:val="22"/>
          <w:lang w:val="lt-LT"/>
        </w:rPr>
        <w:t>.</w:t>
      </w:r>
    </w:p>
    <w:p w14:paraId="39AE837A" w14:textId="77777777" w:rsidR="00C67081" w:rsidRPr="00CE6E5F" w:rsidRDefault="00C67081">
      <w:pPr>
        <w:pStyle w:val="Default"/>
        <w:rPr>
          <w:iCs/>
          <w:sz w:val="22"/>
          <w:szCs w:val="22"/>
          <w:lang w:val="lt-LT"/>
        </w:rPr>
      </w:pPr>
    </w:p>
    <w:p w14:paraId="144A8C6B" w14:textId="77777777" w:rsidR="00A20A3A" w:rsidRPr="00CE6E5F" w:rsidRDefault="00A20A3A">
      <w:pPr>
        <w:pStyle w:val="Default"/>
        <w:rPr>
          <w:sz w:val="22"/>
          <w:szCs w:val="22"/>
          <w:lang w:val="lt-LT"/>
        </w:rPr>
      </w:pPr>
      <w:r w:rsidRPr="00CE6E5F">
        <w:rPr>
          <w:sz w:val="22"/>
          <w:szCs w:val="22"/>
          <w:lang w:val="lt-LT"/>
        </w:rPr>
        <w:t>Gali būti tiekiamos ne visų dydžių pakuotės.</w:t>
      </w:r>
    </w:p>
    <w:p w14:paraId="0AF9973A" w14:textId="77777777" w:rsidR="00FB1A76" w:rsidRPr="00CE6E5F" w:rsidRDefault="00FB1A76">
      <w:pPr>
        <w:pStyle w:val="Default"/>
        <w:rPr>
          <w:sz w:val="22"/>
          <w:szCs w:val="22"/>
          <w:lang w:val="lt-LT"/>
        </w:rPr>
      </w:pPr>
    </w:p>
    <w:p w14:paraId="242B41F2" w14:textId="77777777" w:rsidR="00FD7C97" w:rsidRPr="00CE6E5F" w:rsidRDefault="00FB1A76" w:rsidP="00CE6E5F">
      <w:pPr>
        <w:pStyle w:val="Antrat2"/>
      </w:pPr>
      <w:r w:rsidRPr="00CE6E5F">
        <w:t>6.6</w:t>
      </w:r>
      <w:r w:rsidRPr="00CE6E5F">
        <w:tab/>
        <w:t xml:space="preserve">Specialūs reikalavimai atliekoms tvarkyti ir vaistiniam preparatui ruošti </w:t>
      </w:r>
    </w:p>
    <w:p w14:paraId="2A8DAB65" w14:textId="77777777" w:rsidR="00FB1A76" w:rsidRPr="00CE6E5F" w:rsidRDefault="00FB1A76">
      <w:pPr>
        <w:pStyle w:val="Default"/>
        <w:rPr>
          <w:sz w:val="22"/>
          <w:szCs w:val="22"/>
          <w:lang w:val="lt-LT"/>
        </w:rPr>
      </w:pPr>
    </w:p>
    <w:p w14:paraId="17F50A4D" w14:textId="77777777" w:rsidR="00FD7C97" w:rsidRPr="00CE6E5F" w:rsidRDefault="00FD7C97">
      <w:pPr>
        <w:pStyle w:val="Default"/>
        <w:rPr>
          <w:sz w:val="22"/>
          <w:szCs w:val="22"/>
          <w:lang w:val="lt-LT"/>
        </w:rPr>
      </w:pPr>
      <w:r w:rsidRPr="00CE6E5F">
        <w:rPr>
          <w:sz w:val="22"/>
          <w:szCs w:val="22"/>
          <w:lang w:val="lt-LT"/>
        </w:rPr>
        <w:t xml:space="preserve">Prieš vartojant šis vaistinis preparatas turi būti sušildytas iki kambario arba kūno temperatūros. </w:t>
      </w:r>
    </w:p>
    <w:p w14:paraId="2E98DFD3" w14:textId="0494F0E7" w:rsidR="009F46BE" w:rsidRPr="00CE6E5F" w:rsidRDefault="00FD7C97">
      <w:pPr>
        <w:pStyle w:val="Default"/>
        <w:rPr>
          <w:sz w:val="22"/>
          <w:szCs w:val="22"/>
          <w:lang w:val="lt-LT"/>
        </w:rPr>
      </w:pPr>
      <w:r w:rsidRPr="00CE6E5F">
        <w:rPr>
          <w:sz w:val="22"/>
          <w:szCs w:val="22"/>
          <w:lang w:val="lt-LT"/>
        </w:rPr>
        <w:t xml:space="preserve">Prieš </w:t>
      </w:r>
      <w:r w:rsidR="00C67081">
        <w:rPr>
          <w:sz w:val="22"/>
          <w:szCs w:val="22"/>
          <w:lang w:val="lt-LT"/>
        </w:rPr>
        <w:t>vartojant</w:t>
      </w:r>
      <w:r w:rsidRPr="00CE6E5F">
        <w:rPr>
          <w:sz w:val="22"/>
          <w:szCs w:val="22"/>
          <w:lang w:val="lt-LT"/>
        </w:rPr>
        <w:t xml:space="preserve"> vaistinį preparatą, reikia apžiūrėti, ar nėra likę neištirpusių </w:t>
      </w:r>
      <w:r w:rsidR="00C67081">
        <w:rPr>
          <w:sz w:val="22"/>
          <w:szCs w:val="22"/>
          <w:lang w:val="lt-LT"/>
        </w:rPr>
        <w:t xml:space="preserve">matomų </w:t>
      </w:r>
      <w:r w:rsidRPr="00CE6E5F">
        <w:rPr>
          <w:sz w:val="22"/>
          <w:szCs w:val="22"/>
          <w:lang w:val="lt-LT"/>
        </w:rPr>
        <w:t xml:space="preserve">dalelių, ar nepakitusi tirpalo spalva. </w:t>
      </w:r>
    </w:p>
    <w:p w14:paraId="39CF6FCE" w14:textId="60EA716F" w:rsidR="00FD7C97" w:rsidRPr="00CE6E5F" w:rsidRDefault="00FD7C97">
      <w:pPr>
        <w:pStyle w:val="Default"/>
        <w:rPr>
          <w:sz w:val="22"/>
          <w:szCs w:val="22"/>
          <w:lang w:val="lt-LT"/>
        </w:rPr>
      </w:pPr>
      <w:r w:rsidRPr="00CE6E5F">
        <w:rPr>
          <w:sz w:val="22"/>
          <w:szCs w:val="22"/>
          <w:lang w:val="lt-LT"/>
        </w:rPr>
        <w:t xml:space="preserve">Jei tirpalas yra drumstas arba jame yra </w:t>
      </w:r>
      <w:r w:rsidR="00C67081">
        <w:rPr>
          <w:sz w:val="22"/>
          <w:szCs w:val="22"/>
          <w:lang w:val="lt-LT"/>
        </w:rPr>
        <w:t>matomų</w:t>
      </w:r>
      <w:r w:rsidRPr="00CE6E5F">
        <w:rPr>
          <w:sz w:val="22"/>
          <w:szCs w:val="22"/>
          <w:lang w:val="lt-LT"/>
        </w:rPr>
        <w:t xml:space="preserve"> dalelių, jo vartoti negalima. </w:t>
      </w:r>
    </w:p>
    <w:p w14:paraId="6600F69E" w14:textId="77777777" w:rsidR="00C50D24" w:rsidRPr="00CE6E5F" w:rsidRDefault="00C50D24">
      <w:pPr>
        <w:pStyle w:val="Default"/>
        <w:rPr>
          <w:sz w:val="22"/>
          <w:szCs w:val="22"/>
          <w:lang w:val="lt-LT"/>
        </w:rPr>
      </w:pPr>
    </w:p>
    <w:p w14:paraId="4E0201DC" w14:textId="77777777" w:rsidR="00FD7C97" w:rsidRPr="00CE6E5F" w:rsidRDefault="00FD7C97">
      <w:pPr>
        <w:pStyle w:val="Default"/>
        <w:rPr>
          <w:sz w:val="22"/>
          <w:szCs w:val="22"/>
          <w:lang w:val="lt-LT"/>
        </w:rPr>
      </w:pPr>
      <w:r w:rsidRPr="00CE6E5F">
        <w:rPr>
          <w:sz w:val="22"/>
          <w:szCs w:val="22"/>
          <w:lang w:val="lt-LT"/>
        </w:rPr>
        <w:t>Nesuvartotą vaistinį preparatą ar atliekas reikia tvarkyti laikantis vietinių reikalavimų.</w:t>
      </w:r>
    </w:p>
    <w:p w14:paraId="3E0E356E" w14:textId="77777777" w:rsidR="00FB1A76" w:rsidRPr="00CE6E5F" w:rsidRDefault="00FB1A76">
      <w:pPr>
        <w:pStyle w:val="Default"/>
        <w:rPr>
          <w:sz w:val="22"/>
          <w:szCs w:val="22"/>
          <w:lang w:val="lt-LT"/>
        </w:rPr>
      </w:pPr>
    </w:p>
    <w:p w14:paraId="42249500" w14:textId="77777777" w:rsidR="00FB1A76" w:rsidRPr="00CE6E5F" w:rsidRDefault="00FB1A76">
      <w:pPr>
        <w:pStyle w:val="Default"/>
        <w:rPr>
          <w:sz w:val="22"/>
          <w:szCs w:val="22"/>
          <w:lang w:val="lt-LT"/>
        </w:rPr>
      </w:pPr>
    </w:p>
    <w:p w14:paraId="10750B40" w14:textId="77777777" w:rsidR="00FD7C97" w:rsidRPr="00CE6E5F" w:rsidRDefault="00FB1A76" w:rsidP="00CE6E5F">
      <w:pPr>
        <w:pStyle w:val="Antrat1"/>
      </w:pPr>
      <w:r w:rsidRPr="00CE6E5F">
        <w:t>7.</w:t>
      </w:r>
      <w:r w:rsidRPr="00CE6E5F">
        <w:tab/>
        <w:t xml:space="preserve">REGISTRUOTOJAS </w:t>
      </w:r>
    </w:p>
    <w:p w14:paraId="753D5F74" w14:textId="77777777" w:rsidR="00FB1A76" w:rsidRPr="00CE6E5F" w:rsidRDefault="00FB1A76">
      <w:pPr>
        <w:pStyle w:val="Default"/>
        <w:rPr>
          <w:iCs/>
          <w:sz w:val="22"/>
          <w:szCs w:val="22"/>
          <w:lang w:val="lt-LT"/>
        </w:rPr>
      </w:pPr>
    </w:p>
    <w:p w14:paraId="4E83D0BD" w14:textId="77777777" w:rsidR="00A76070" w:rsidRPr="00CE6E5F" w:rsidRDefault="00A76070">
      <w:pPr>
        <w:pStyle w:val="Default"/>
        <w:rPr>
          <w:sz w:val="22"/>
          <w:szCs w:val="22"/>
          <w:lang w:val="lt-LT"/>
        </w:rPr>
      </w:pPr>
      <w:proofErr w:type="spellStart"/>
      <w:r w:rsidRPr="00CE6E5F">
        <w:rPr>
          <w:sz w:val="22"/>
          <w:szCs w:val="22"/>
          <w:lang w:val="lt-LT"/>
        </w:rPr>
        <w:t>Octapharma</w:t>
      </w:r>
      <w:proofErr w:type="spellEnd"/>
      <w:r w:rsidRPr="00CE6E5F">
        <w:rPr>
          <w:sz w:val="22"/>
          <w:szCs w:val="22"/>
          <w:lang w:val="lt-LT"/>
        </w:rPr>
        <w:t xml:space="preserve"> (IP) SPRL</w:t>
      </w:r>
    </w:p>
    <w:p w14:paraId="31EBB635" w14:textId="69B3D86A" w:rsidR="00A76070" w:rsidRPr="00CE6E5F" w:rsidRDefault="00AF168F">
      <w:pPr>
        <w:pStyle w:val="Default"/>
        <w:rPr>
          <w:sz w:val="22"/>
          <w:szCs w:val="22"/>
          <w:lang w:val="lt-LT"/>
        </w:rPr>
      </w:pPr>
      <w:proofErr w:type="spellStart"/>
      <w:r>
        <w:rPr>
          <w:sz w:val="22"/>
          <w:szCs w:val="22"/>
          <w:lang w:val="lt-LT"/>
        </w:rPr>
        <w:t>Route</w:t>
      </w:r>
      <w:proofErr w:type="spellEnd"/>
      <w:r>
        <w:rPr>
          <w:sz w:val="22"/>
          <w:szCs w:val="22"/>
          <w:lang w:val="lt-LT"/>
        </w:rPr>
        <w:t xml:space="preserve"> de </w:t>
      </w:r>
      <w:proofErr w:type="spellStart"/>
      <w:r>
        <w:rPr>
          <w:sz w:val="22"/>
          <w:szCs w:val="22"/>
          <w:lang w:val="lt-LT"/>
        </w:rPr>
        <w:t>Lennik</w:t>
      </w:r>
      <w:proofErr w:type="spellEnd"/>
      <w:r>
        <w:rPr>
          <w:sz w:val="22"/>
          <w:szCs w:val="22"/>
          <w:lang w:val="lt-LT"/>
        </w:rPr>
        <w:t xml:space="preserve"> 451</w:t>
      </w:r>
    </w:p>
    <w:p w14:paraId="3AB9D709" w14:textId="77777777" w:rsidR="00A76070" w:rsidRPr="00CE6E5F" w:rsidRDefault="00A76070">
      <w:pPr>
        <w:pStyle w:val="Default"/>
        <w:rPr>
          <w:sz w:val="22"/>
          <w:szCs w:val="22"/>
          <w:lang w:val="lt-LT"/>
        </w:rPr>
      </w:pPr>
      <w:r w:rsidRPr="00CE6E5F">
        <w:rPr>
          <w:sz w:val="22"/>
          <w:szCs w:val="22"/>
          <w:lang w:val="lt-LT"/>
        </w:rPr>
        <w:t xml:space="preserve">1070 </w:t>
      </w:r>
      <w:proofErr w:type="spellStart"/>
      <w:r w:rsidRPr="00CE6E5F">
        <w:rPr>
          <w:sz w:val="22"/>
          <w:szCs w:val="22"/>
          <w:lang w:val="lt-LT"/>
        </w:rPr>
        <w:t>Brussels</w:t>
      </w:r>
      <w:proofErr w:type="spellEnd"/>
      <w:r w:rsidRPr="00CE6E5F">
        <w:rPr>
          <w:sz w:val="22"/>
          <w:szCs w:val="22"/>
          <w:lang w:val="lt-LT"/>
        </w:rPr>
        <w:t xml:space="preserve"> (Anderlecht)</w:t>
      </w:r>
    </w:p>
    <w:p w14:paraId="067B4E90" w14:textId="77777777" w:rsidR="00A76070" w:rsidRPr="00CE6E5F" w:rsidRDefault="00A76070">
      <w:pPr>
        <w:pStyle w:val="Default"/>
        <w:rPr>
          <w:sz w:val="22"/>
          <w:szCs w:val="22"/>
          <w:lang w:val="lt-LT"/>
        </w:rPr>
      </w:pPr>
      <w:r w:rsidRPr="00CE6E5F">
        <w:rPr>
          <w:sz w:val="22"/>
          <w:szCs w:val="22"/>
          <w:lang w:val="lt-LT"/>
        </w:rPr>
        <w:t>Belgija</w:t>
      </w:r>
    </w:p>
    <w:p w14:paraId="43819911" w14:textId="77777777" w:rsidR="00FB1A76" w:rsidRPr="00CE6E5F" w:rsidRDefault="00FB1A76">
      <w:pPr>
        <w:pStyle w:val="Default"/>
        <w:rPr>
          <w:sz w:val="22"/>
          <w:szCs w:val="22"/>
          <w:lang w:val="lt-LT"/>
        </w:rPr>
      </w:pPr>
    </w:p>
    <w:p w14:paraId="5DDA0833" w14:textId="77777777" w:rsidR="00FB1A76" w:rsidRPr="00CE6E5F" w:rsidRDefault="00FB1A76">
      <w:pPr>
        <w:pStyle w:val="Default"/>
        <w:rPr>
          <w:sz w:val="22"/>
          <w:szCs w:val="22"/>
          <w:lang w:val="lt-LT"/>
        </w:rPr>
      </w:pPr>
    </w:p>
    <w:p w14:paraId="1079835E" w14:textId="77777777" w:rsidR="00FD7C97" w:rsidRPr="00CE6E5F" w:rsidRDefault="00FB1A76" w:rsidP="00CE6E5F">
      <w:pPr>
        <w:pStyle w:val="Antrat1"/>
      </w:pPr>
      <w:r w:rsidRPr="00CE6E5F">
        <w:t>8.</w:t>
      </w:r>
      <w:r w:rsidRPr="00CE6E5F">
        <w:tab/>
        <w:t xml:space="preserve">REGISTRACIJOS PAŽYMĖJIMO NUMERIS (-IAI) </w:t>
      </w:r>
    </w:p>
    <w:p w14:paraId="20B163C6" w14:textId="77777777" w:rsidR="00FB1A76" w:rsidRPr="00CE6E5F" w:rsidRDefault="00FB1A76">
      <w:pPr>
        <w:pStyle w:val="Default"/>
        <w:rPr>
          <w:iCs/>
          <w:sz w:val="22"/>
          <w:szCs w:val="22"/>
          <w:lang w:val="lt-LT"/>
        </w:rPr>
      </w:pPr>
    </w:p>
    <w:p w14:paraId="5EFD58EA"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LT/1/22/4893/001 – 6 ml, N1 </w:t>
      </w:r>
    </w:p>
    <w:p w14:paraId="3849029E"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LT/1/22/4893/002 – 6 ml, N10 </w:t>
      </w:r>
    </w:p>
    <w:p w14:paraId="63F639AB"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LT/1/22/4893/003 – 6 ml, N20 </w:t>
      </w:r>
    </w:p>
    <w:p w14:paraId="780F3FE4"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lastRenderedPageBreak/>
        <w:t xml:space="preserve">LT/1/22/4893/004 – 10 ml, N1 </w:t>
      </w:r>
    </w:p>
    <w:p w14:paraId="7C1307CF"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LT/1/22/4893/005 – 10 ml, N10 </w:t>
      </w:r>
    </w:p>
    <w:p w14:paraId="011F8551"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LT/1/22/4893/006 – 10 ml, N20 </w:t>
      </w:r>
    </w:p>
    <w:p w14:paraId="314A244E"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LT/1/22/4893/007 – 12 ml, N1 </w:t>
      </w:r>
    </w:p>
    <w:p w14:paraId="045FA0CD"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LT/1/22/4893/008 – 12 ml, N10 </w:t>
      </w:r>
    </w:p>
    <w:p w14:paraId="63A89CFE"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LT/1/22/4893/009 – 12 ml, N20 </w:t>
      </w:r>
    </w:p>
    <w:p w14:paraId="569BAD87"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LT/1/22/4893/010 – 20 ml, N1 </w:t>
      </w:r>
    </w:p>
    <w:p w14:paraId="2D5CEFC2"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LT/1/22/4893/011 – 20 ml, N10 </w:t>
      </w:r>
    </w:p>
    <w:p w14:paraId="6166A58A"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LT/1/22/4893/012 – 20 ml, N20 </w:t>
      </w:r>
    </w:p>
    <w:p w14:paraId="39E98496"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LT/1/22/4893/013 – 24 ml, N1 </w:t>
      </w:r>
    </w:p>
    <w:p w14:paraId="4E904615"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LT/1/22/4893/014 – 24 ml, N10 </w:t>
      </w:r>
    </w:p>
    <w:p w14:paraId="0FDD7A6F"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LT/1/22/4893/015 – 24 ml, N20 </w:t>
      </w:r>
    </w:p>
    <w:p w14:paraId="3EAEAFE5"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LT/1/22/4893/016 – 48 ml, N1 </w:t>
      </w:r>
    </w:p>
    <w:p w14:paraId="4E9EA72D" w14:textId="77777777" w:rsidR="00A840BC" w:rsidRPr="00A840BC" w:rsidRDefault="00A840BC" w:rsidP="00A840BC">
      <w:pPr>
        <w:autoSpaceDE w:val="0"/>
        <w:autoSpaceDN w:val="0"/>
        <w:adjustRightInd w:val="0"/>
        <w:rPr>
          <w:rFonts w:cs="Times New Roman"/>
          <w:color w:val="000000"/>
          <w:sz w:val="23"/>
          <w:szCs w:val="23"/>
        </w:rPr>
      </w:pPr>
      <w:r w:rsidRPr="00A840BC">
        <w:rPr>
          <w:rFonts w:cs="Times New Roman"/>
          <w:color w:val="000000"/>
          <w:sz w:val="23"/>
          <w:szCs w:val="23"/>
        </w:rPr>
        <w:t xml:space="preserve">LT/1/22/4893/017 – 48 ml, N10 </w:t>
      </w:r>
    </w:p>
    <w:p w14:paraId="445CE9E8" w14:textId="50D78081" w:rsidR="00227692" w:rsidRDefault="00A840BC" w:rsidP="00A840BC">
      <w:pPr>
        <w:pStyle w:val="Default"/>
        <w:rPr>
          <w:sz w:val="23"/>
          <w:szCs w:val="23"/>
          <w:lang w:val="pt-PT"/>
        </w:rPr>
      </w:pPr>
      <w:r w:rsidRPr="00AC5610">
        <w:rPr>
          <w:sz w:val="23"/>
          <w:szCs w:val="23"/>
          <w:lang w:val="pt-PT"/>
        </w:rPr>
        <w:t xml:space="preserve">LT/1/22/4893/018 – 48 ml, N20 </w:t>
      </w:r>
    </w:p>
    <w:p w14:paraId="59692F9C" w14:textId="77777777" w:rsidR="00460DE2" w:rsidRDefault="00460DE2" w:rsidP="00A840BC">
      <w:pPr>
        <w:pStyle w:val="Default"/>
        <w:rPr>
          <w:sz w:val="22"/>
          <w:szCs w:val="22"/>
          <w:lang w:val="lt-LT"/>
        </w:rPr>
      </w:pPr>
    </w:p>
    <w:p w14:paraId="3B86473E" w14:textId="77777777" w:rsidR="00227692" w:rsidRPr="00CE6E5F" w:rsidRDefault="00227692">
      <w:pPr>
        <w:pStyle w:val="Default"/>
        <w:rPr>
          <w:sz w:val="22"/>
          <w:szCs w:val="22"/>
          <w:lang w:val="lt-LT"/>
        </w:rPr>
      </w:pPr>
    </w:p>
    <w:p w14:paraId="2967E6D3" w14:textId="77777777" w:rsidR="00FD7C97" w:rsidRPr="00CE6E5F" w:rsidRDefault="00FB1A76" w:rsidP="00CE6E5F">
      <w:pPr>
        <w:pStyle w:val="Antrat1"/>
      </w:pPr>
      <w:r w:rsidRPr="00CE6E5F">
        <w:t>9.</w:t>
      </w:r>
      <w:r w:rsidRPr="00CE6E5F">
        <w:tab/>
        <w:t xml:space="preserve">REGISTRAVIMO / PERREGISTRAVIMO DATA </w:t>
      </w:r>
    </w:p>
    <w:p w14:paraId="120EE334" w14:textId="77777777" w:rsidR="00FB1A76" w:rsidRPr="00CE6E5F" w:rsidRDefault="00FB1A76">
      <w:pPr>
        <w:pStyle w:val="Default"/>
        <w:rPr>
          <w:iCs/>
          <w:sz w:val="22"/>
          <w:szCs w:val="22"/>
          <w:lang w:val="lt-LT"/>
        </w:rPr>
      </w:pPr>
    </w:p>
    <w:p w14:paraId="602EFE5B" w14:textId="4A2EE7A9" w:rsidR="009F46BE" w:rsidRPr="00CE6E5F" w:rsidRDefault="00F027D0">
      <w:pPr>
        <w:pStyle w:val="Default"/>
        <w:rPr>
          <w:i/>
          <w:iCs/>
          <w:sz w:val="22"/>
          <w:szCs w:val="22"/>
          <w:lang w:val="lt-LT"/>
        </w:rPr>
      </w:pPr>
      <w:r w:rsidRPr="00F027D0">
        <w:rPr>
          <w:rFonts w:eastAsia="Times New Roman"/>
          <w:noProof/>
          <w:snapToGrid w:val="0"/>
          <w:color w:val="auto"/>
          <w:sz w:val="22"/>
          <w:lang w:val="lt-LT"/>
        </w:rPr>
        <w:t xml:space="preserve">Registravimo data </w:t>
      </w:r>
      <w:r w:rsidR="00A840BC">
        <w:rPr>
          <w:rFonts w:eastAsia="Times New Roman"/>
          <w:noProof/>
          <w:snapToGrid w:val="0"/>
          <w:color w:val="auto"/>
          <w:sz w:val="22"/>
          <w:lang w:val="lt-LT"/>
        </w:rPr>
        <w:t>2022 m. vasario 3 d.</w:t>
      </w:r>
    </w:p>
    <w:p w14:paraId="05E0D94E" w14:textId="52A99544" w:rsidR="00FB1A76" w:rsidRPr="00C43FBC" w:rsidRDefault="00C43FBC">
      <w:pPr>
        <w:pStyle w:val="Default"/>
        <w:rPr>
          <w:sz w:val="22"/>
          <w:szCs w:val="22"/>
          <w:lang w:val="lt-LT"/>
        </w:rPr>
      </w:pPr>
      <w:r w:rsidRPr="00C43FBC">
        <w:rPr>
          <w:sz w:val="22"/>
          <w:szCs w:val="22"/>
          <w:lang w:val="lt-LT"/>
        </w:rPr>
        <w:t xml:space="preserve">Paskutinio perregistravimo data </w:t>
      </w:r>
      <w:r w:rsidR="00460DE2">
        <w:rPr>
          <w:sz w:val="22"/>
          <w:szCs w:val="22"/>
          <w:lang w:val="lt-LT"/>
        </w:rPr>
        <w:t>2024 m. balandžio 30 d.</w:t>
      </w:r>
    </w:p>
    <w:p w14:paraId="786ED0D8" w14:textId="77777777" w:rsidR="00C43FBC" w:rsidRPr="00CE6E5F" w:rsidRDefault="00C43FBC">
      <w:pPr>
        <w:pStyle w:val="Default"/>
        <w:rPr>
          <w:iCs/>
          <w:sz w:val="22"/>
          <w:szCs w:val="22"/>
          <w:lang w:val="lt-LT"/>
        </w:rPr>
      </w:pPr>
    </w:p>
    <w:p w14:paraId="1DFD3C8F" w14:textId="77777777" w:rsidR="00FB1A76" w:rsidRPr="00CE6E5F" w:rsidRDefault="00FB1A76">
      <w:pPr>
        <w:pStyle w:val="Default"/>
        <w:rPr>
          <w:sz w:val="22"/>
          <w:szCs w:val="22"/>
          <w:lang w:val="lt-LT"/>
        </w:rPr>
      </w:pPr>
    </w:p>
    <w:p w14:paraId="17090EC5" w14:textId="77777777" w:rsidR="00FD7C97" w:rsidRDefault="00FB1A76" w:rsidP="00CE6E5F">
      <w:pPr>
        <w:pStyle w:val="Antrat1"/>
      </w:pPr>
      <w:r w:rsidRPr="00CE6E5F">
        <w:t>10.</w:t>
      </w:r>
      <w:r w:rsidRPr="00CE6E5F">
        <w:tab/>
        <w:t xml:space="preserve">TEKSTO PERŽIŪROS DATA </w:t>
      </w:r>
    </w:p>
    <w:p w14:paraId="22BBC9D3" w14:textId="77777777" w:rsidR="00460DE2" w:rsidRDefault="00460DE2" w:rsidP="00460DE2"/>
    <w:p w14:paraId="73186603" w14:textId="52ED9D3D" w:rsidR="00460DE2" w:rsidRPr="00460DE2" w:rsidRDefault="00EF2F87" w:rsidP="00460DE2">
      <w:r>
        <w:t xml:space="preserve">2025 m. </w:t>
      </w:r>
      <w:r w:rsidR="00092889" w:rsidRPr="00092889">
        <w:t>birželio</w:t>
      </w:r>
      <w:r>
        <w:t xml:space="preserve"> 1 d</w:t>
      </w:r>
      <w:r w:rsidR="00460DE2">
        <w:t>.</w:t>
      </w:r>
    </w:p>
    <w:p w14:paraId="518866B8" w14:textId="77777777" w:rsidR="00984AD0" w:rsidRPr="00091F91" w:rsidRDefault="00984AD0">
      <w:pPr>
        <w:pStyle w:val="Default"/>
        <w:rPr>
          <w:sz w:val="22"/>
          <w:szCs w:val="22"/>
          <w:lang w:val="lt-LT"/>
        </w:rPr>
      </w:pPr>
    </w:p>
    <w:p w14:paraId="27DB5EF7" w14:textId="77777777" w:rsidR="00227692" w:rsidRPr="00CE6E5F" w:rsidRDefault="00227692">
      <w:pPr>
        <w:rPr>
          <w:rFonts w:cs="Times New Roman"/>
          <w:color w:val="000000"/>
        </w:rPr>
      </w:pPr>
    </w:p>
    <w:p w14:paraId="25D6FC27" w14:textId="09507CA5" w:rsidR="00C8263D" w:rsidRDefault="00C8263D">
      <w:pPr>
        <w:rPr>
          <w:rFonts w:cs="Times New Roman"/>
          <w:color w:val="000000"/>
        </w:rPr>
      </w:pPr>
      <w:r w:rsidRPr="00CE6E5F">
        <w:rPr>
          <w:rFonts w:cs="Times New Roman"/>
          <w:color w:val="000000"/>
        </w:rPr>
        <w:t xml:space="preserve">Išsami informacija apie šį vaistinį preparatą pateikiama Valstybinės vaistų kontrolės tarnybos prie Lietuvos Respublikos sveikatos apsaugos ministerijos tinklalapyje </w:t>
      </w:r>
      <w:hyperlink r:id="rId9" w:history="1">
        <w:r w:rsidR="003A7D71" w:rsidRPr="00251F0E">
          <w:rPr>
            <w:rStyle w:val="Hipersaitas"/>
            <w:rFonts w:cs="Times New Roman"/>
          </w:rPr>
          <w:t>http://www.vvkt.lt</w:t>
        </w:r>
      </w:hyperlink>
    </w:p>
    <w:p w14:paraId="19F4E934" w14:textId="77777777" w:rsidR="003A7D71" w:rsidRPr="00CE6E5F" w:rsidRDefault="003A7D71">
      <w:pPr>
        <w:rPr>
          <w:rFonts w:cs="Times New Roman"/>
          <w:color w:val="000000"/>
        </w:rPr>
      </w:pPr>
    </w:p>
    <w:p w14:paraId="43943684" w14:textId="77777777" w:rsidR="003451F2" w:rsidRPr="00CE6E5F" w:rsidRDefault="003451F2">
      <w:pPr>
        <w:rPr>
          <w:rFonts w:eastAsia="Times New Roman" w:cs="Times New Roman"/>
          <w:snapToGrid w:val="0"/>
          <w:szCs w:val="20"/>
        </w:rPr>
      </w:pPr>
      <w:r w:rsidRPr="00E457A0">
        <w:rPr>
          <w:rFonts w:eastAsia="Times New Roman" w:cs="Times New Roman"/>
          <w:snapToGrid w:val="0"/>
          <w:szCs w:val="20"/>
        </w:rPr>
        <w:br w:type="page"/>
      </w:r>
    </w:p>
    <w:p w14:paraId="27FC3155" w14:textId="77777777" w:rsidR="003451F2" w:rsidRPr="00CE6E5F" w:rsidRDefault="003451F2" w:rsidP="00CE6E5F"/>
    <w:p w14:paraId="10FD5962" w14:textId="77777777" w:rsidR="003451F2" w:rsidRPr="00CE6E5F" w:rsidRDefault="003451F2" w:rsidP="00CE6E5F"/>
    <w:p w14:paraId="625AAD5C" w14:textId="77777777" w:rsidR="003451F2" w:rsidRPr="00CE6E5F" w:rsidRDefault="003451F2" w:rsidP="00CE6E5F"/>
    <w:p w14:paraId="4BB99B6E" w14:textId="77777777" w:rsidR="003451F2" w:rsidRPr="00CE6E5F" w:rsidRDefault="003451F2" w:rsidP="00CE6E5F"/>
    <w:p w14:paraId="2A8CB237" w14:textId="77777777" w:rsidR="003451F2" w:rsidRPr="00CE6E5F" w:rsidRDefault="003451F2" w:rsidP="00CE6E5F"/>
    <w:p w14:paraId="729DA6FE" w14:textId="77777777" w:rsidR="003451F2" w:rsidRPr="00CE6E5F" w:rsidRDefault="003451F2" w:rsidP="00CE6E5F"/>
    <w:p w14:paraId="251C5543" w14:textId="77777777" w:rsidR="003451F2" w:rsidRPr="00CE6E5F" w:rsidRDefault="003451F2" w:rsidP="00CE6E5F"/>
    <w:p w14:paraId="4AFFAFE6" w14:textId="77777777" w:rsidR="003451F2" w:rsidRPr="00CE6E5F" w:rsidRDefault="003451F2" w:rsidP="00CE6E5F"/>
    <w:p w14:paraId="4E0BEC1C" w14:textId="77777777" w:rsidR="003451F2" w:rsidRPr="00CE6E5F" w:rsidRDefault="003451F2" w:rsidP="00CE6E5F"/>
    <w:p w14:paraId="3A6DDB0B" w14:textId="77777777" w:rsidR="003451F2" w:rsidRPr="00CE6E5F" w:rsidRDefault="003451F2" w:rsidP="00CE6E5F"/>
    <w:p w14:paraId="23790BEA" w14:textId="77777777" w:rsidR="003451F2" w:rsidRPr="00CE6E5F" w:rsidRDefault="003451F2" w:rsidP="00CE6E5F"/>
    <w:p w14:paraId="75CADE74" w14:textId="77777777" w:rsidR="003451F2" w:rsidRPr="00CE6E5F" w:rsidRDefault="003451F2" w:rsidP="00CE6E5F"/>
    <w:p w14:paraId="02C50F2A" w14:textId="77777777" w:rsidR="003451F2" w:rsidRPr="00CE6E5F" w:rsidRDefault="003451F2" w:rsidP="00CE6E5F"/>
    <w:p w14:paraId="5CE37E05" w14:textId="77777777" w:rsidR="003451F2" w:rsidRPr="00CE6E5F" w:rsidRDefault="003451F2" w:rsidP="00CE6E5F"/>
    <w:p w14:paraId="1E6675C4" w14:textId="77777777" w:rsidR="003451F2" w:rsidRPr="00CE6E5F" w:rsidRDefault="003451F2" w:rsidP="00CE6E5F"/>
    <w:p w14:paraId="5BC0928E" w14:textId="77777777" w:rsidR="003451F2" w:rsidRPr="00CE6E5F" w:rsidRDefault="003451F2" w:rsidP="00CE6E5F"/>
    <w:p w14:paraId="05C32DD4" w14:textId="77777777" w:rsidR="003451F2" w:rsidRPr="00CE6E5F" w:rsidRDefault="003451F2" w:rsidP="00CE6E5F"/>
    <w:p w14:paraId="2BC1C222" w14:textId="77777777" w:rsidR="003451F2" w:rsidRPr="00CE6E5F" w:rsidRDefault="003451F2" w:rsidP="00CE6E5F"/>
    <w:p w14:paraId="43415AF5" w14:textId="77777777" w:rsidR="003451F2" w:rsidRPr="00CE6E5F" w:rsidRDefault="003451F2" w:rsidP="00CE6E5F"/>
    <w:p w14:paraId="3D4B4338" w14:textId="77777777" w:rsidR="003451F2" w:rsidRPr="00CE6E5F" w:rsidRDefault="003451F2" w:rsidP="00CE6E5F"/>
    <w:p w14:paraId="0B5E897F" w14:textId="77777777" w:rsidR="003451F2" w:rsidRPr="00CE6E5F" w:rsidRDefault="003451F2" w:rsidP="00CE6E5F"/>
    <w:p w14:paraId="44CD91EC" w14:textId="77777777" w:rsidR="003451F2" w:rsidRPr="00CE6E5F" w:rsidRDefault="003451F2" w:rsidP="00CE6E5F"/>
    <w:p w14:paraId="1D63DAD6" w14:textId="77777777" w:rsidR="003451F2" w:rsidRPr="00CE6E5F" w:rsidRDefault="003451F2" w:rsidP="00CE6E5F"/>
    <w:p w14:paraId="1ACEFDE4" w14:textId="77777777" w:rsidR="003451F2" w:rsidRPr="00316E67" w:rsidRDefault="003451F2" w:rsidP="00316E67">
      <w:pPr>
        <w:tabs>
          <w:tab w:val="left" w:pos="567"/>
        </w:tabs>
        <w:jc w:val="center"/>
        <w:rPr>
          <w:rFonts w:eastAsia="Times New Roman" w:cs="Times New Roman"/>
          <w:b/>
          <w:snapToGrid w:val="0"/>
          <w:szCs w:val="20"/>
        </w:rPr>
      </w:pPr>
      <w:r w:rsidRPr="00316E67">
        <w:rPr>
          <w:rFonts w:eastAsia="Times New Roman" w:cs="Times New Roman"/>
          <w:b/>
          <w:snapToGrid w:val="0"/>
          <w:szCs w:val="20"/>
        </w:rPr>
        <w:t>II PRIEDAS</w:t>
      </w:r>
    </w:p>
    <w:p w14:paraId="11EEC582" w14:textId="77777777" w:rsidR="003451F2" w:rsidRPr="00316E67" w:rsidRDefault="003451F2" w:rsidP="00316E67">
      <w:pPr>
        <w:tabs>
          <w:tab w:val="left" w:pos="567"/>
        </w:tabs>
        <w:jc w:val="center"/>
        <w:rPr>
          <w:rFonts w:eastAsia="Times New Roman" w:cs="Times New Roman"/>
          <w:b/>
          <w:snapToGrid w:val="0"/>
          <w:szCs w:val="20"/>
        </w:rPr>
      </w:pPr>
    </w:p>
    <w:p w14:paraId="101BD01D" w14:textId="77777777" w:rsidR="003451F2" w:rsidRPr="00BE3B67" w:rsidRDefault="003451F2" w:rsidP="00BE3B67">
      <w:pPr>
        <w:tabs>
          <w:tab w:val="left" w:pos="567"/>
        </w:tabs>
        <w:jc w:val="center"/>
        <w:rPr>
          <w:rFonts w:eastAsia="Times New Roman" w:cs="Times New Roman"/>
          <w:b/>
          <w:snapToGrid w:val="0"/>
          <w:szCs w:val="20"/>
        </w:rPr>
      </w:pPr>
      <w:r w:rsidRPr="00BE3B67">
        <w:rPr>
          <w:rFonts w:eastAsia="Times New Roman" w:cs="Times New Roman"/>
          <w:b/>
          <w:snapToGrid w:val="0"/>
          <w:szCs w:val="20"/>
        </w:rPr>
        <w:t>REGISTRACIJOS SĄLYGOS</w:t>
      </w:r>
    </w:p>
    <w:p w14:paraId="160BB1BE" w14:textId="77777777" w:rsidR="003451F2" w:rsidRPr="00BE3B67" w:rsidRDefault="003451F2" w:rsidP="00BE3B67">
      <w:pPr>
        <w:tabs>
          <w:tab w:val="left" w:pos="567"/>
        </w:tabs>
        <w:jc w:val="center"/>
        <w:rPr>
          <w:rFonts w:eastAsia="Times New Roman" w:cs="Times New Roman"/>
          <w:b/>
          <w:snapToGrid w:val="0"/>
          <w:szCs w:val="20"/>
        </w:rPr>
      </w:pPr>
    </w:p>
    <w:p w14:paraId="59AE8B42" w14:textId="77777777" w:rsidR="003451F2" w:rsidRPr="00BE3B67" w:rsidRDefault="003451F2" w:rsidP="00BE3B67">
      <w:pPr>
        <w:tabs>
          <w:tab w:val="left" w:pos="567"/>
        </w:tabs>
        <w:ind w:left="1701" w:right="1416" w:hanging="708"/>
        <w:rPr>
          <w:rFonts w:eastAsia="Times New Roman" w:cs="Times New Roman"/>
          <w:b/>
          <w:snapToGrid w:val="0"/>
          <w:szCs w:val="20"/>
        </w:rPr>
      </w:pPr>
      <w:r w:rsidRPr="00BE3B67">
        <w:rPr>
          <w:rFonts w:eastAsia="Times New Roman" w:cs="Times New Roman"/>
          <w:b/>
          <w:snapToGrid w:val="0"/>
          <w:szCs w:val="20"/>
        </w:rPr>
        <w:t>A.</w:t>
      </w:r>
      <w:r w:rsidRPr="00BE3B67">
        <w:rPr>
          <w:rFonts w:eastAsia="Times New Roman" w:cs="Times New Roman"/>
          <w:b/>
          <w:snapToGrid w:val="0"/>
          <w:szCs w:val="20"/>
        </w:rPr>
        <w:tab/>
        <w:t>BIOLOGINĖS (-IŲ) VEIKLIOSIOS (-IŲJŲ) MEDŽIAGOS (-Ų) GAMINTOJAS (-AI) IR GAMINTOJAS (-AI), ATSAKINGAS (-I) UŽ SERIJŲ IŠLEIDIMĄ</w:t>
      </w:r>
    </w:p>
    <w:p w14:paraId="18213686" w14:textId="77777777" w:rsidR="003451F2" w:rsidRPr="00BE3B67" w:rsidRDefault="003451F2" w:rsidP="00CE6E5F">
      <w:pPr>
        <w:tabs>
          <w:tab w:val="left" w:pos="567"/>
        </w:tabs>
        <w:rPr>
          <w:rFonts w:eastAsia="Times New Roman" w:cs="Times New Roman"/>
          <w:snapToGrid w:val="0"/>
          <w:szCs w:val="20"/>
        </w:rPr>
      </w:pPr>
    </w:p>
    <w:p w14:paraId="4D357A76" w14:textId="77777777" w:rsidR="003451F2" w:rsidRPr="00BE3B67" w:rsidRDefault="003451F2" w:rsidP="00CE6E5F">
      <w:pPr>
        <w:suppressLineNumbers/>
        <w:tabs>
          <w:tab w:val="left" w:pos="567"/>
        </w:tabs>
        <w:ind w:left="1701" w:right="1416" w:hanging="708"/>
        <w:rPr>
          <w:rFonts w:eastAsia="Times New Roman" w:cs="Times New Roman"/>
          <w:b/>
          <w:snapToGrid w:val="0"/>
          <w:szCs w:val="20"/>
        </w:rPr>
      </w:pPr>
      <w:r w:rsidRPr="00BE3B67">
        <w:rPr>
          <w:rFonts w:eastAsia="Times New Roman" w:cs="Times New Roman"/>
          <w:b/>
          <w:snapToGrid w:val="0"/>
          <w:szCs w:val="20"/>
        </w:rPr>
        <w:t>B.</w:t>
      </w:r>
      <w:r w:rsidRPr="00BE3B67">
        <w:rPr>
          <w:rFonts w:eastAsia="Times New Roman" w:cs="Times New Roman"/>
          <w:b/>
          <w:snapToGrid w:val="0"/>
          <w:szCs w:val="20"/>
        </w:rPr>
        <w:tab/>
        <w:t>TIEKIMO IR VARTOJIMO SĄLYGOS AR APRIBOJIMAI</w:t>
      </w:r>
    </w:p>
    <w:p w14:paraId="17A7DB29" w14:textId="77777777" w:rsidR="003451F2" w:rsidRPr="00BE3B67" w:rsidRDefault="003451F2" w:rsidP="00CE6E5F">
      <w:pPr>
        <w:pStyle w:val="Antrat1"/>
        <w:rPr>
          <w:snapToGrid w:val="0"/>
        </w:rPr>
      </w:pPr>
      <w:r w:rsidRPr="00BE3B67">
        <w:rPr>
          <w:snapToGrid w:val="0"/>
        </w:rPr>
        <w:br w:type="page"/>
      </w:r>
      <w:r w:rsidRPr="00BE3B67">
        <w:rPr>
          <w:snapToGrid w:val="0"/>
        </w:rPr>
        <w:lastRenderedPageBreak/>
        <w:t>A.</w:t>
      </w:r>
      <w:r w:rsidRPr="00BE3B67">
        <w:rPr>
          <w:snapToGrid w:val="0"/>
        </w:rPr>
        <w:tab/>
        <w:t>BIOLOGINĖS (-IŲ) VEIKLIOSIOS (-IŲJŲ) MEDŽIAGOS (-Ų) GAMINTOJAS (-AI) IR GAMINTOJAS (-AI), ATSAKINGAS (-I) UŽ SERIJŲ IŠLEIDIMĄ</w:t>
      </w:r>
    </w:p>
    <w:p w14:paraId="1D8F62A7" w14:textId="77777777" w:rsidR="003451F2" w:rsidRPr="00BE3B67" w:rsidRDefault="003451F2" w:rsidP="00E457A0">
      <w:pPr>
        <w:tabs>
          <w:tab w:val="left" w:pos="567"/>
        </w:tabs>
        <w:rPr>
          <w:rFonts w:eastAsia="Times New Roman" w:cs="Times New Roman"/>
          <w:snapToGrid w:val="0"/>
          <w:szCs w:val="20"/>
        </w:rPr>
      </w:pPr>
    </w:p>
    <w:p w14:paraId="20C86155" w14:textId="77777777" w:rsidR="003451F2" w:rsidRPr="00CE6E5F" w:rsidRDefault="003451F2" w:rsidP="00CE6E5F">
      <w:pPr>
        <w:pStyle w:val="Antrat3"/>
        <w:rPr>
          <w:snapToGrid w:val="0"/>
        </w:rPr>
      </w:pPr>
      <w:r w:rsidRPr="00CE6E5F">
        <w:rPr>
          <w:snapToGrid w:val="0"/>
        </w:rPr>
        <w:t>Biologinės (-</w:t>
      </w:r>
      <w:proofErr w:type="spellStart"/>
      <w:r w:rsidRPr="00CE6E5F">
        <w:rPr>
          <w:snapToGrid w:val="0"/>
        </w:rPr>
        <w:t>ių</w:t>
      </w:r>
      <w:proofErr w:type="spellEnd"/>
      <w:r w:rsidRPr="00CE6E5F">
        <w:rPr>
          <w:snapToGrid w:val="0"/>
        </w:rPr>
        <w:t>) veikliosios (-</w:t>
      </w:r>
      <w:proofErr w:type="spellStart"/>
      <w:r w:rsidRPr="00CE6E5F">
        <w:rPr>
          <w:snapToGrid w:val="0"/>
        </w:rPr>
        <w:t>iųjų</w:t>
      </w:r>
      <w:proofErr w:type="spellEnd"/>
      <w:r w:rsidRPr="00CE6E5F">
        <w:rPr>
          <w:snapToGrid w:val="0"/>
        </w:rPr>
        <w:t>) medžiagos (-ų) gamintojo (-ų) pavadinimas (-ai) ir adresas (-ai)</w:t>
      </w:r>
    </w:p>
    <w:p w14:paraId="424ACA5A" w14:textId="77777777" w:rsidR="003451F2" w:rsidRPr="00E457A0" w:rsidRDefault="003451F2" w:rsidP="00E457A0">
      <w:pPr>
        <w:tabs>
          <w:tab w:val="left" w:pos="567"/>
        </w:tabs>
        <w:rPr>
          <w:rFonts w:eastAsia="Times New Roman" w:cs="Times New Roman"/>
          <w:snapToGrid w:val="0"/>
          <w:szCs w:val="20"/>
        </w:rPr>
      </w:pPr>
    </w:p>
    <w:p w14:paraId="4A41BBAE" w14:textId="77777777" w:rsidR="0039551D" w:rsidRPr="00E457A0" w:rsidRDefault="0039551D" w:rsidP="00E457A0">
      <w:pPr>
        <w:tabs>
          <w:tab w:val="left" w:pos="567"/>
          <w:tab w:val="left" w:pos="1701"/>
        </w:tabs>
        <w:ind w:left="709" w:hanging="709"/>
        <w:jc w:val="both"/>
        <w:rPr>
          <w:rFonts w:eastAsia="Times New Roman" w:cs="Times New Roman"/>
          <w:snapToGrid w:val="0"/>
          <w:szCs w:val="20"/>
        </w:rPr>
      </w:pPr>
      <w:proofErr w:type="spellStart"/>
      <w:r w:rsidRPr="00E457A0">
        <w:rPr>
          <w:rFonts w:eastAsia="Times New Roman" w:cs="Times New Roman"/>
          <w:snapToGrid w:val="0"/>
          <w:szCs w:val="20"/>
        </w:rPr>
        <w:t>Octapharma</w:t>
      </w:r>
      <w:proofErr w:type="spellEnd"/>
      <w:r w:rsidRPr="00E457A0">
        <w:rPr>
          <w:rFonts w:eastAsia="Times New Roman" w:cs="Times New Roman"/>
          <w:snapToGrid w:val="0"/>
          <w:szCs w:val="20"/>
        </w:rPr>
        <w:t xml:space="preserve"> </w:t>
      </w:r>
      <w:proofErr w:type="spellStart"/>
      <w:r w:rsidRPr="00E457A0">
        <w:rPr>
          <w:rFonts w:eastAsia="Times New Roman" w:cs="Times New Roman"/>
          <w:snapToGrid w:val="0"/>
          <w:szCs w:val="20"/>
        </w:rPr>
        <w:t>Pharmazeutika</w:t>
      </w:r>
      <w:proofErr w:type="spellEnd"/>
      <w:r w:rsidRPr="00E457A0">
        <w:rPr>
          <w:rFonts w:eastAsia="Times New Roman" w:cs="Times New Roman"/>
          <w:snapToGrid w:val="0"/>
          <w:szCs w:val="20"/>
        </w:rPr>
        <w:t xml:space="preserve"> </w:t>
      </w:r>
      <w:proofErr w:type="spellStart"/>
      <w:r w:rsidRPr="00E457A0">
        <w:rPr>
          <w:rFonts w:eastAsia="Times New Roman" w:cs="Times New Roman"/>
          <w:snapToGrid w:val="0"/>
          <w:szCs w:val="20"/>
        </w:rPr>
        <w:t>Produktionsges.m.b.H</w:t>
      </w:r>
      <w:proofErr w:type="spellEnd"/>
      <w:r w:rsidRPr="00E457A0">
        <w:rPr>
          <w:rFonts w:eastAsia="Times New Roman" w:cs="Times New Roman"/>
          <w:snapToGrid w:val="0"/>
          <w:szCs w:val="20"/>
        </w:rPr>
        <w:t>.</w:t>
      </w:r>
    </w:p>
    <w:p w14:paraId="56C9EC02" w14:textId="77777777" w:rsidR="0039551D" w:rsidRPr="00E457A0" w:rsidRDefault="0039551D" w:rsidP="00E457A0">
      <w:pPr>
        <w:tabs>
          <w:tab w:val="left" w:pos="567"/>
          <w:tab w:val="left" w:pos="708"/>
          <w:tab w:val="left" w:pos="1701"/>
          <w:tab w:val="left" w:pos="2835"/>
        </w:tabs>
        <w:ind w:left="709" w:hanging="709"/>
        <w:jc w:val="both"/>
        <w:rPr>
          <w:rFonts w:eastAsia="Times New Roman" w:cs="Times New Roman"/>
          <w:snapToGrid w:val="0"/>
          <w:szCs w:val="20"/>
        </w:rPr>
      </w:pPr>
      <w:proofErr w:type="spellStart"/>
      <w:r w:rsidRPr="00E457A0">
        <w:rPr>
          <w:rFonts w:eastAsia="Times New Roman" w:cs="Times New Roman"/>
          <w:snapToGrid w:val="0"/>
          <w:szCs w:val="20"/>
        </w:rPr>
        <w:t>Oberlaaer</w:t>
      </w:r>
      <w:proofErr w:type="spellEnd"/>
      <w:r w:rsidRPr="00E457A0">
        <w:rPr>
          <w:rFonts w:eastAsia="Times New Roman" w:cs="Times New Roman"/>
          <w:snapToGrid w:val="0"/>
          <w:szCs w:val="20"/>
        </w:rPr>
        <w:t xml:space="preserve"> </w:t>
      </w:r>
      <w:proofErr w:type="spellStart"/>
      <w:r w:rsidRPr="00E457A0">
        <w:rPr>
          <w:rFonts w:eastAsia="Times New Roman" w:cs="Times New Roman"/>
          <w:snapToGrid w:val="0"/>
          <w:szCs w:val="20"/>
        </w:rPr>
        <w:t>Straße</w:t>
      </w:r>
      <w:proofErr w:type="spellEnd"/>
      <w:r w:rsidRPr="00E457A0">
        <w:rPr>
          <w:rFonts w:eastAsia="Times New Roman" w:cs="Times New Roman"/>
          <w:snapToGrid w:val="0"/>
          <w:szCs w:val="20"/>
        </w:rPr>
        <w:t xml:space="preserve"> 235</w:t>
      </w:r>
    </w:p>
    <w:p w14:paraId="1B6FF4DA" w14:textId="77777777" w:rsidR="0039551D" w:rsidRPr="00E457A0" w:rsidRDefault="0039551D" w:rsidP="00E457A0">
      <w:pPr>
        <w:tabs>
          <w:tab w:val="left" w:pos="567"/>
          <w:tab w:val="left" w:pos="708"/>
          <w:tab w:val="left" w:pos="1701"/>
          <w:tab w:val="left" w:pos="2835"/>
        </w:tabs>
        <w:ind w:left="709" w:hanging="709"/>
        <w:jc w:val="both"/>
        <w:rPr>
          <w:rFonts w:eastAsia="Times New Roman" w:cs="Times New Roman"/>
          <w:snapToGrid w:val="0"/>
          <w:szCs w:val="20"/>
        </w:rPr>
      </w:pPr>
      <w:r w:rsidRPr="00E457A0">
        <w:rPr>
          <w:rFonts w:eastAsia="Times New Roman" w:cs="Times New Roman"/>
          <w:snapToGrid w:val="0"/>
          <w:szCs w:val="20"/>
        </w:rPr>
        <w:t xml:space="preserve">1100 </w:t>
      </w:r>
      <w:proofErr w:type="spellStart"/>
      <w:r w:rsidRPr="00E457A0">
        <w:rPr>
          <w:rFonts w:eastAsia="Times New Roman" w:cs="Times New Roman"/>
          <w:snapToGrid w:val="0"/>
          <w:szCs w:val="20"/>
        </w:rPr>
        <w:t>Vienna</w:t>
      </w:r>
      <w:proofErr w:type="spellEnd"/>
    </w:p>
    <w:p w14:paraId="311106CB" w14:textId="77777777" w:rsidR="0039551D" w:rsidRPr="00E457A0" w:rsidRDefault="0039551D" w:rsidP="00E457A0">
      <w:pPr>
        <w:tabs>
          <w:tab w:val="left" w:pos="567"/>
          <w:tab w:val="left" w:pos="708"/>
          <w:tab w:val="left" w:pos="1701"/>
          <w:tab w:val="left" w:pos="2835"/>
        </w:tabs>
        <w:ind w:left="709" w:hanging="709"/>
        <w:jc w:val="both"/>
        <w:rPr>
          <w:rFonts w:eastAsia="Times New Roman" w:cs="Times New Roman"/>
          <w:snapToGrid w:val="0"/>
          <w:szCs w:val="20"/>
        </w:rPr>
      </w:pPr>
      <w:r w:rsidRPr="00E457A0">
        <w:rPr>
          <w:rFonts w:eastAsia="Times New Roman" w:cs="Times New Roman"/>
          <w:snapToGrid w:val="0"/>
          <w:szCs w:val="20"/>
        </w:rPr>
        <w:t>Austrija</w:t>
      </w:r>
    </w:p>
    <w:p w14:paraId="753E6B0A" w14:textId="77777777" w:rsidR="003451F2" w:rsidRPr="00E457A0" w:rsidRDefault="003451F2" w:rsidP="00316E67">
      <w:pPr>
        <w:tabs>
          <w:tab w:val="left" w:pos="567"/>
          <w:tab w:val="left" w:pos="1701"/>
          <w:tab w:val="left" w:pos="2814"/>
        </w:tabs>
        <w:ind w:left="709" w:hanging="709"/>
        <w:jc w:val="both"/>
        <w:rPr>
          <w:rFonts w:eastAsia="Times New Roman" w:cs="Times New Roman"/>
          <w:snapToGrid w:val="0"/>
          <w:szCs w:val="20"/>
        </w:rPr>
      </w:pPr>
    </w:p>
    <w:p w14:paraId="769D61E7" w14:textId="77777777" w:rsidR="003451F2" w:rsidRPr="00CE6E5F" w:rsidRDefault="003451F2" w:rsidP="00CE6E5F">
      <w:pPr>
        <w:pStyle w:val="Antrat3"/>
        <w:rPr>
          <w:snapToGrid w:val="0"/>
        </w:rPr>
      </w:pPr>
      <w:r w:rsidRPr="00CE6E5F">
        <w:rPr>
          <w:snapToGrid w:val="0"/>
        </w:rPr>
        <w:t>Gamintojo (-ų), atsakingo (-ų) už serijų išleidimą, pavadinimas (-ai) ir adresas (-ai)</w:t>
      </w:r>
    </w:p>
    <w:p w14:paraId="0EC1E41D" w14:textId="77777777" w:rsidR="003451F2" w:rsidRPr="00E457A0" w:rsidRDefault="003451F2" w:rsidP="00316E67">
      <w:pPr>
        <w:tabs>
          <w:tab w:val="left" w:pos="567"/>
        </w:tabs>
        <w:rPr>
          <w:rFonts w:eastAsia="Times New Roman" w:cs="Times New Roman"/>
          <w:snapToGrid w:val="0"/>
          <w:szCs w:val="20"/>
        </w:rPr>
      </w:pPr>
    </w:p>
    <w:p w14:paraId="3F58F67D" w14:textId="77777777" w:rsidR="003451F2" w:rsidRPr="00E457A0" w:rsidRDefault="003451F2" w:rsidP="00316E67">
      <w:pPr>
        <w:tabs>
          <w:tab w:val="left" w:pos="567"/>
          <w:tab w:val="left" w:pos="1701"/>
        </w:tabs>
        <w:ind w:left="709" w:hanging="709"/>
        <w:jc w:val="both"/>
        <w:rPr>
          <w:rFonts w:eastAsia="Times New Roman" w:cs="Times New Roman"/>
          <w:snapToGrid w:val="0"/>
          <w:szCs w:val="20"/>
        </w:rPr>
      </w:pPr>
      <w:proofErr w:type="spellStart"/>
      <w:r w:rsidRPr="00E457A0">
        <w:rPr>
          <w:rFonts w:eastAsia="Times New Roman" w:cs="Times New Roman"/>
          <w:snapToGrid w:val="0"/>
          <w:szCs w:val="20"/>
        </w:rPr>
        <w:t>Octapharma</w:t>
      </w:r>
      <w:proofErr w:type="spellEnd"/>
      <w:r w:rsidRPr="00E457A0">
        <w:rPr>
          <w:rFonts w:eastAsia="Times New Roman" w:cs="Times New Roman"/>
          <w:snapToGrid w:val="0"/>
          <w:szCs w:val="20"/>
        </w:rPr>
        <w:t xml:space="preserve"> </w:t>
      </w:r>
      <w:proofErr w:type="spellStart"/>
      <w:r w:rsidRPr="00E457A0">
        <w:rPr>
          <w:rFonts w:eastAsia="Times New Roman" w:cs="Times New Roman"/>
          <w:snapToGrid w:val="0"/>
          <w:szCs w:val="20"/>
        </w:rPr>
        <w:t>Pharmazeutika</w:t>
      </w:r>
      <w:proofErr w:type="spellEnd"/>
      <w:r w:rsidRPr="00E457A0">
        <w:rPr>
          <w:rFonts w:eastAsia="Times New Roman" w:cs="Times New Roman"/>
          <w:snapToGrid w:val="0"/>
          <w:szCs w:val="20"/>
        </w:rPr>
        <w:t xml:space="preserve"> </w:t>
      </w:r>
      <w:proofErr w:type="spellStart"/>
      <w:r w:rsidRPr="00E457A0">
        <w:rPr>
          <w:rFonts w:eastAsia="Times New Roman" w:cs="Times New Roman"/>
          <w:snapToGrid w:val="0"/>
          <w:szCs w:val="20"/>
        </w:rPr>
        <w:t>Produktionsges.m.b.H</w:t>
      </w:r>
      <w:proofErr w:type="spellEnd"/>
      <w:r w:rsidRPr="00E457A0">
        <w:rPr>
          <w:rFonts w:eastAsia="Times New Roman" w:cs="Times New Roman"/>
          <w:snapToGrid w:val="0"/>
          <w:szCs w:val="20"/>
        </w:rPr>
        <w:t>.</w:t>
      </w:r>
    </w:p>
    <w:p w14:paraId="52F4FDF7" w14:textId="77777777" w:rsidR="003451F2" w:rsidRPr="00E457A0" w:rsidRDefault="003451F2" w:rsidP="00BE3B67">
      <w:pPr>
        <w:tabs>
          <w:tab w:val="left" w:pos="567"/>
          <w:tab w:val="left" w:pos="708"/>
          <w:tab w:val="left" w:pos="1701"/>
          <w:tab w:val="left" w:pos="2835"/>
        </w:tabs>
        <w:ind w:left="709" w:hanging="709"/>
        <w:jc w:val="both"/>
        <w:rPr>
          <w:rFonts w:eastAsia="Times New Roman" w:cs="Times New Roman"/>
          <w:snapToGrid w:val="0"/>
          <w:szCs w:val="20"/>
        </w:rPr>
      </w:pPr>
      <w:proofErr w:type="spellStart"/>
      <w:r w:rsidRPr="00E457A0">
        <w:rPr>
          <w:rFonts w:eastAsia="Times New Roman" w:cs="Times New Roman"/>
          <w:snapToGrid w:val="0"/>
          <w:szCs w:val="20"/>
        </w:rPr>
        <w:t>Oberlaaer</w:t>
      </w:r>
      <w:proofErr w:type="spellEnd"/>
      <w:r w:rsidRPr="00E457A0">
        <w:rPr>
          <w:rFonts w:eastAsia="Times New Roman" w:cs="Times New Roman"/>
          <w:snapToGrid w:val="0"/>
          <w:szCs w:val="20"/>
        </w:rPr>
        <w:t xml:space="preserve"> </w:t>
      </w:r>
      <w:proofErr w:type="spellStart"/>
      <w:r w:rsidRPr="00E457A0">
        <w:rPr>
          <w:rFonts w:eastAsia="Times New Roman" w:cs="Times New Roman"/>
          <w:snapToGrid w:val="0"/>
          <w:szCs w:val="20"/>
        </w:rPr>
        <w:t>Straße</w:t>
      </w:r>
      <w:proofErr w:type="spellEnd"/>
      <w:r w:rsidRPr="00E457A0">
        <w:rPr>
          <w:rFonts w:eastAsia="Times New Roman" w:cs="Times New Roman"/>
          <w:snapToGrid w:val="0"/>
          <w:szCs w:val="20"/>
        </w:rPr>
        <w:t xml:space="preserve"> 235</w:t>
      </w:r>
    </w:p>
    <w:p w14:paraId="1BBFBD6E" w14:textId="77777777" w:rsidR="003451F2" w:rsidRPr="00E457A0" w:rsidRDefault="003451F2" w:rsidP="00BE3B67">
      <w:pPr>
        <w:tabs>
          <w:tab w:val="left" w:pos="567"/>
          <w:tab w:val="left" w:pos="708"/>
          <w:tab w:val="left" w:pos="1701"/>
          <w:tab w:val="left" w:pos="2835"/>
        </w:tabs>
        <w:ind w:left="709" w:hanging="709"/>
        <w:jc w:val="both"/>
        <w:rPr>
          <w:rFonts w:eastAsia="Times New Roman" w:cs="Times New Roman"/>
          <w:snapToGrid w:val="0"/>
          <w:szCs w:val="20"/>
        </w:rPr>
      </w:pPr>
      <w:r w:rsidRPr="00E457A0">
        <w:rPr>
          <w:rFonts w:eastAsia="Times New Roman" w:cs="Times New Roman"/>
          <w:snapToGrid w:val="0"/>
          <w:szCs w:val="20"/>
        </w:rPr>
        <w:t xml:space="preserve">1100 </w:t>
      </w:r>
      <w:proofErr w:type="spellStart"/>
      <w:r w:rsidRPr="00E457A0">
        <w:rPr>
          <w:rFonts w:eastAsia="Times New Roman" w:cs="Times New Roman"/>
          <w:snapToGrid w:val="0"/>
          <w:szCs w:val="20"/>
        </w:rPr>
        <w:t>Vienna</w:t>
      </w:r>
      <w:proofErr w:type="spellEnd"/>
    </w:p>
    <w:p w14:paraId="25D2F07E" w14:textId="77777777" w:rsidR="003451F2" w:rsidRPr="00E457A0" w:rsidRDefault="003451F2" w:rsidP="00BE3B67">
      <w:pPr>
        <w:tabs>
          <w:tab w:val="left" w:pos="567"/>
          <w:tab w:val="left" w:pos="708"/>
          <w:tab w:val="left" w:pos="1701"/>
          <w:tab w:val="left" w:pos="2835"/>
        </w:tabs>
        <w:ind w:left="709" w:hanging="709"/>
        <w:jc w:val="both"/>
        <w:rPr>
          <w:rFonts w:eastAsia="Times New Roman" w:cs="Times New Roman"/>
          <w:snapToGrid w:val="0"/>
          <w:szCs w:val="20"/>
        </w:rPr>
      </w:pPr>
      <w:r w:rsidRPr="00E457A0">
        <w:rPr>
          <w:rFonts w:eastAsia="Times New Roman" w:cs="Times New Roman"/>
          <w:snapToGrid w:val="0"/>
          <w:szCs w:val="20"/>
        </w:rPr>
        <w:t>Austrija</w:t>
      </w:r>
    </w:p>
    <w:p w14:paraId="2860C8D9" w14:textId="77777777" w:rsidR="003451F2" w:rsidRDefault="003451F2" w:rsidP="00BE3B67">
      <w:pPr>
        <w:tabs>
          <w:tab w:val="left" w:pos="567"/>
        </w:tabs>
        <w:jc w:val="both"/>
        <w:rPr>
          <w:rFonts w:eastAsia="Times New Roman" w:cs="Times New Roman"/>
          <w:snapToGrid w:val="0"/>
          <w:szCs w:val="20"/>
        </w:rPr>
      </w:pPr>
    </w:p>
    <w:p w14:paraId="2405F3B7" w14:textId="77777777" w:rsidR="00211D03" w:rsidRDefault="00211D03" w:rsidP="00211D03">
      <w:pPr>
        <w:widowControl w:val="0"/>
        <w:autoSpaceDE w:val="0"/>
        <w:autoSpaceDN w:val="0"/>
        <w:adjustRightInd w:val="0"/>
        <w:jc w:val="both"/>
        <w:rPr>
          <w:rFonts w:eastAsia="Times New Roman" w:cs="Times New Roman"/>
          <w:color w:val="000000"/>
          <w:lang w:eastAsia="de-AT"/>
        </w:rPr>
      </w:pPr>
      <w:r>
        <w:rPr>
          <w:rFonts w:eastAsia="Times New Roman" w:cs="Times New Roman"/>
          <w:color w:val="000000"/>
          <w:lang w:eastAsia="de-AT"/>
        </w:rPr>
        <w:t>arba</w:t>
      </w:r>
    </w:p>
    <w:p w14:paraId="136386E1" w14:textId="77777777" w:rsidR="00211D03" w:rsidRDefault="00211D03" w:rsidP="00211D03">
      <w:pPr>
        <w:widowControl w:val="0"/>
        <w:autoSpaceDE w:val="0"/>
        <w:autoSpaceDN w:val="0"/>
        <w:adjustRightInd w:val="0"/>
        <w:jc w:val="both"/>
        <w:rPr>
          <w:rFonts w:eastAsia="Times New Roman" w:cs="Times New Roman"/>
          <w:color w:val="000000"/>
          <w:lang w:eastAsia="de-AT"/>
        </w:rPr>
      </w:pPr>
    </w:p>
    <w:p w14:paraId="6C3A1F95" w14:textId="77777777" w:rsidR="00211D03" w:rsidRDefault="00211D03" w:rsidP="00211D03">
      <w:pPr>
        <w:widowControl w:val="0"/>
        <w:autoSpaceDE w:val="0"/>
        <w:autoSpaceDN w:val="0"/>
        <w:adjustRightInd w:val="0"/>
        <w:jc w:val="both"/>
        <w:rPr>
          <w:rFonts w:eastAsia="Times New Roman" w:cs="Times New Roman"/>
          <w:color w:val="000000"/>
          <w:lang w:eastAsia="de-AT"/>
        </w:rPr>
      </w:pPr>
      <w:proofErr w:type="spellStart"/>
      <w:r>
        <w:rPr>
          <w:rFonts w:eastAsia="Times New Roman" w:cs="Times New Roman"/>
          <w:color w:val="000000"/>
          <w:lang w:eastAsia="de-AT"/>
        </w:rPr>
        <w:t>Octapharma</w:t>
      </w:r>
      <w:proofErr w:type="spellEnd"/>
      <w:r>
        <w:rPr>
          <w:rFonts w:eastAsia="Times New Roman" w:cs="Times New Roman"/>
          <w:color w:val="000000"/>
          <w:lang w:eastAsia="de-AT"/>
        </w:rPr>
        <w:t xml:space="preserve"> AB</w:t>
      </w:r>
    </w:p>
    <w:p w14:paraId="0CDA79AA" w14:textId="77777777" w:rsidR="00211D03" w:rsidRDefault="00211D03" w:rsidP="00211D03">
      <w:pPr>
        <w:widowControl w:val="0"/>
        <w:autoSpaceDE w:val="0"/>
        <w:autoSpaceDN w:val="0"/>
        <w:adjustRightInd w:val="0"/>
        <w:jc w:val="both"/>
        <w:rPr>
          <w:rFonts w:eastAsia="Times New Roman" w:cs="Times New Roman"/>
          <w:color w:val="000000"/>
          <w:lang w:eastAsia="de-AT"/>
        </w:rPr>
      </w:pPr>
      <w:proofErr w:type="spellStart"/>
      <w:r>
        <w:rPr>
          <w:rFonts w:eastAsia="Times New Roman" w:cs="Times New Roman"/>
          <w:color w:val="000000"/>
          <w:lang w:eastAsia="de-AT"/>
        </w:rPr>
        <w:t>Lars</w:t>
      </w:r>
      <w:proofErr w:type="spellEnd"/>
      <w:r>
        <w:rPr>
          <w:rFonts w:eastAsia="Times New Roman" w:cs="Times New Roman"/>
          <w:color w:val="000000"/>
          <w:lang w:eastAsia="de-AT"/>
        </w:rPr>
        <w:t xml:space="preserve"> </w:t>
      </w:r>
      <w:proofErr w:type="spellStart"/>
      <w:r>
        <w:rPr>
          <w:rFonts w:eastAsia="Times New Roman" w:cs="Times New Roman"/>
          <w:color w:val="000000"/>
          <w:lang w:eastAsia="de-AT"/>
        </w:rPr>
        <w:t>Forssells</w:t>
      </w:r>
      <w:proofErr w:type="spellEnd"/>
      <w:r>
        <w:rPr>
          <w:rFonts w:eastAsia="Times New Roman" w:cs="Times New Roman"/>
          <w:color w:val="000000"/>
          <w:lang w:eastAsia="de-AT"/>
        </w:rPr>
        <w:t xml:space="preserve"> </w:t>
      </w:r>
      <w:proofErr w:type="spellStart"/>
      <w:r>
        <w:rPr>
          <w:rFonts w:eastAsia="Times New Roman" w:cs="Times New Roman"/>
          <w:color w:val="000000"/>
          <w:lang w:eastAsia="de-AT"/>
        </w:rPr>
        <w:t>gata</w:t>
      </w:r>
      <w:proofErr w:type="spellEnd"/>
      <w:r>
        <w:rPr>
          <w:rFonts w:eastAsia="Times New Roman" w:cs="Times New Roman"/>
          <w:color w:val="000000"/>
          <w:lang w:eastAsia="de-AT"/>
        </w:rPr>
        <w:t xml:space="preserve"> 23</w:t>
      </w:r>
    </w:p>
    <w:p w14:paraId="347A1CD7" w14:textId="77777777" w:rsidR="00211D03" w:rsidRDefault="00211D03" w:rsidP="00211D03">
      <w:pPr>
        <w:widowControl w:val="0"/>
        <w:autoSpaceDE w:val="0"/>
        <w:autoSpaceDN w:val="0"/>
        <w:adjustRightInd w:val="0"/>
        <w:jc w:val="both"/>
        <w:rPr>
          <w:rFonts w:eastAsia="Times New Roman" w:cs="Times New Roman"/>
          <w:color w:val="000000"/>
          <w:lang w:eastAsia="de-AT"/>
        </w:rPr>
      </w:pPr>
      <w:r>
        <w:rPr>
          <w:rFonts w:eastAsia="Times New Roman" w:cs="Times New Roman"/>
          <w:color w:val="000000"/>
          <w:lang w:eastAsia="de-AT"/>
        </w:rPr>
        <w:t xml:space="preserve">112 75 </w:t>
      </w:r>
      <w:proofErr w:type="spellStart"/>
      <w:r>
        <w:rPr>
          <w:rFonts w:eastAsia="Times New Roman" w:cs="Times New Roman"/>
          <w:color w:val="000000"/>
          <w:lang w:eastAsia="de-AT"/>
        </w:rPr>
        <w:t>Stockholm</w:t>
      </w:r>
      <w:proofErr w:type="spellEnd"/>
    </w:p>
    <w:p w14:paraId="4BB132C8" w14:textId="77777777" w:rsidR="00211D03" w:rsidRPr="00CE6E5F" w:rsidRDefault="00211D03" w:rsidP="00211D03">
      <w:pPr>
        <w:widowControl w:val="0"/>
        <w:autoSpaceDE w:val="0"/>
        <w:autoSpaceDN w:val="0"/>
        <w:adjustRightInd w:val="0"/>
        <w:jc w:val="both"/>
        <w:rPr>
          <w:rFonts w:eastAsia="Times New Roman" w:cs="Times New Roman"/>
          <w:color w:val="000000"/>
          <w:lang w:eastAsia="de-AT"/>
        </w:rPr>
      </w:pPr>
      <w:r w:rsidRPr="00FB20C4">
        <w:rPr>
          <w:rFonts w:eastAsia="Times New Roman" w:cs="Times New Roman"/>
          <w:color w:val="000000"/>
          <w:lang w:eastAsia="de-AT"/>
        </w:rPr>
        <w:t>Švedija</w:t>
      </w:r>
    </w:p>
    <w:p w14:paraId="67F5F1DA" w14:textId="77777777" w:rsidR="00211D03" w:rsidRDefault="00211D03" w:rsidP="00BE3B67">
      <w:pPr>
        <w:tabs>
          <w:tab w:val="left" w:pos="567"/>
        </w:tabs>
        <w:jc w:val="both"/>
        <w:rPr>
          <w:rFonts w:eastAsia="Times New Roman" w:cs="Times New Roman"/>
          <w:snapToGrid w:val="0"/>
          <w:szCs w:val="20"/>
        </w:rPr>
      </w:pPr>
    </w:p>
    <w:p w14:paraId="614C382C" w14:textId="77777777" w:rsidR="004772B1" w:rsidRDefault="004772B1" w:rsidP="00BE3B67">
      <w:pPr>
        <w:tabs>
          <w:tab w:val="left" w:pos="567"/>
        </w:tabs>
        <w:jc w:val="both"/>
        <w:rPr>
          <w:rFonts w:eastAsia="Times New Roman" w:cs="Times New Roman"/>
          <w:snapToGrid w:val="0"/>
          <w:szCs w:val="20"/>
        </w:rPr>
      </w:pPr>
      <w:r w:rsidRPr="004772B1">
        <w:rPr>
          <w:rFonts w:eastAsia="Times New Roman" w:cs="Times New Roman"/>
          <w:snapToGrid w:val="0"/>
          <w:szCs w:val="20"/>
        </w:rPr>
        <w:t>Su pakuote pateikiamame lapelyje nurodomas gamintojo, atsakingo už konkrečios serijos išleidimą, pavadinimas ir adresas</w:t>
      </w:r>
      <w:r>
        <w:rPr>
          <w:rFonts w:eastAsia="Times New Roman" w:cs="Times New Roman"/>
          <w:snapToGrid w:val="0"/>
          <w:szCs w:val="20"/>
        </w:rPr>
        <w:t>.</w:t>
      </w:r>
    </w:p>
    <w:p w14:paraId="4413D31D" w14:textId="77777777" w:rsidR="004772B1" w:rsidRPr="00E457A0" w:rsidRDefault="004772B1" w:rsidP="00BE3B67">
      <w:pPr>
        <w:tabs>
          <w:tab w:val="left" w:pos="567"/>
        </w:tabs>
        <w:jc w:val="both"/>
        <w:rPr>
          <w:rFonts w:eastAsia="Times New Roman" w:cs="Times New Roman"/>
          <w:snapToGrid w:val="0"/>
          <w:szCs w:val="20"/>
        </w:rPr>
      </w:pPr>
    </w:p>
    <w:p w14:paraId="4796E54A" w14:textId="77777777" w:rsidR="003451F2" w:rsidRPr="00E457A0" w:rsidRDefault="003451F2" w:rsidP="00BE3B67">
      <w:pPr>
        <w:tabs>
          <w:tab w:val="left" w:pos="567"/>
        </w:tabs>
        <w:rPr>
          <w:rFonts w:eastAsia="Times New Roman" w:cs="Times New Roman"/>
          <w:snapToGrid w:val="0"/>
          <w:szCs w:val="20"/>
        </w:rPr>
      </w:pPr>
    </w:p>
    <w:p w14:paraId="02E714FD" w14:textId="77777777" w:rsidR="003451F2" w:rsidRPr="00C35BD2" w:rsidRDefault="003451F2" w:rsidP="00CE6E5F">
      <w:pPr>
        <w:pStyle w:val="Antrat1"/>
        <w:rPr>
          <w:snapToGrid w:val="0"/>
        </w:rPr>
      </w:pPr>
      <w:bookmarkStart w:id="4" w:name="_Toc129243129"/>
      <w:bookmarkStart w:id="5" w:name="_Toc129243254"/>
      <w:r w:rsidRPr="00C35BD2">
        <w:rPr>
          <w:snapToGrid w:val="0"/>
        </w:rPr>
        <w:t>B.</w:t>
      </w:r>
      <w:r w:rsidRPr="00C35BD2">
        <w:rPr>
          <w:snapToGrid w:val="0"/>
        </w:rPr>
        <w:tab/>
        <w:t xml:space="preserve">TIEKIMO IR VARTOJIMO SĄLYGOS AR APRIBOJIMAI </w:t>
      </w:r>
    </w:p>
    <w:p w14:paraId="761CDDDC" w14:textId="77777777" w:rsidR="003451F2" w:rsidRPr="00E457A0" w:rsidRDefault="003451F2" w:rsidP="00CE6E5F">
      <w:pPr>
        <w:tabs>
          <w:tab w:val="left" w:pos="567"/>
        </w:tabs>
        <w:rPr>
          <w:rFonts w:eastAsia="Times New Roman" w:cs="Times New Roman"/>
          <w:snapToGrid w:val="0"/>
          <w:szCs w:val="20"/>
        </w:rPr>
      </w:pPr>
    </w:p>
    <w:p w14:paraId="4C784AB8" w14:textId="77777777" w:rsidR="003451F2" w:rsidRPr="00E457A0" w:rsidRDefault="003451F2" w:rsidP="00CE6E5F">
      <w:pPr>
        <w:tabs>
          <w:tab w:val="left" w:pos="567"/>
        </w:tabs>
        <w:rPr>
          <w:rFonts w:eastAsia="Times New Roman" w:cs="Times New Roman"/>
          <w:snapToGrid w:val="0"/>
          <w:szCs w:val="20"/>
        </w:rPr>
      </w:pPr>
      <w:r w:rsidRPr="00E457A0">
        <w:rPr>
          <w:rFonts w:eastAsia="Times New Roman" w:cs="Times New Roman"/>
          <w:snapToGrid w:val="0"/>
          <w:szCs w:val="20"/>
        </w:rPr>
        <w:t>Receptinis vaistinis preparatas.</w:t>
      </w:r>
    </w:p>
    <w:p w14:paraId="3DD740BF" w14:textId="77777777" w:rsidR="003451F2" w:rsidRPr="00E457A0" w:rsidRDefault="003451F2" w:rsidP="00CE6E5F">
      <w:pPr>
        <w:tabs>
          <w:tab w:val="left" w:pos="567"/>
        </w:tabs>
        <w:rPr>
          <w:rFonts w:eastAsia="Times New Roman" w:cs="Times New Roman"/>
          <w:snapToGrid w:val="0"/>
          <w:szCs w:val="20"/>
        </w:rPr>
      </w:pPr>
    </w:p>
    <w:p w14:paraId="05DBB94E" w14:textId="77777777" w:rsidR="003451F2" w:rsidRPr="00E457A0" w:rsidRDefault="003451F2" w:rsidP="00E457A0">
      <w:pPr>
        <w:numPr>
          <w:ilvl w:val="0"/>
          <w:numId w:val="14"/>
        </w:numPr>
        <w:suppressLineNumbers/>
        <w:tabs>
          <w:tab w:val="left" w:pos="567"/>
        </w:tabs>
        <w:rPr>
          <w:rFonts w:eastAsia="Times New Roman" w:cs="Times New Roman"/>
          <w:b/>
          <w:snapToGrid w:val="0"/>
          <w:szCs w:val="20"/>
        </w:rPr>
      </w:pPr>
      <w:r w:rsidRPr="00E457A0">
        <w:rPr>
          <w:rFonts w:eastAsia="Times New Roman" w:cs="Times New Roman"/>
          <w:b/>
          <w:snapToGrid w:val="0"/>
          <w:szCs w:val="20"/>
        </w:rPr>
        <w:t>Oficialus serijų išleidimas</w:t>
      </w:r>
    </w:p>
    <w:p w14:paraId="5960979D" w14:textId="77777777" w:rsidR="003451F2" w:rsidRPr="00E457A0" w:rsidRDefault="003451F2" w:rsidP="00CE6E5F">
      <w:pPr>
        <w:tabs>
          <w:tab w:val="left" w:pos="567"/>
        </w:tabs>
        <w:rPr>
          <w:rFonts w:eastAsia="Times New Roman" w:cs="Times New Roman"/>
          <w:snapToGrid w:val="0"/>
          <w:szCs w:val="20"/>
        </w:rPr>
      </w:pPr>
    </w:p>
    <w:p w14:paraId="69A5374D" w14:textId="77777777" w:rsidR="003451F2" w:rsidRPr="00E457A0" w:rsidRDefault="003451F2" w:rsidP="00CE6E5F">
      <w:pPr>
        <w:tabs>
          <w:tab w:val="left" w:pos="567"/>
        </w:tabs>
        <w:rPr>
          <w:rFonts w:eastAsia="Times New Roman" w:cs="Times New Roman"/>
          <w:snapToGrid w:val="0"/>
          <w:szCs w:val="20"/>
        </w:rPr>
      </w:pPr>
      <w:r w:rsidRPr="00E457A0">
        <w:rPr>
          <w:rFonts w:eastAsia="Times New Roman" w:cs="Times New Roman"/>
          <w:snapToGrid w:val="0"/>
          <w:szCs w:val="20"/>
        </w:rPr>
        <w:t>Pagal direktyvos 2001/83/EB 114 straipsnio reikalavimus oficialiai serijas išleis valstybinė arba tam skirta laboratorija.</w:t>
      </w:r>
    </w:p>
    <w:p w14:paraId="024779F1" w14:textId="77777777" w:rsidR="003451F2" w:rsidRPr="00E457A0" w:rsidRDefault="003451F2" w:rsidP="00CE6E5F">
      <w:pPr>
        <w:tabs>
          <w:tab w:val="left" w:pos="567"/>
        </w:tabs>
        <w:rPr>
          <w:rFonts w:eastAsia="Times New Roman" w:cs="Times New Roman"/>
          <w:snapToGrid w:val="0"/>
          <w:szCs w:val="20"/>
        </w:rPr>
      </w:pPr>
    </w:p>
    <w:bookmarkEnd w:id="4"/>
    <w:bookmarkEnd w:id="5"/>
    <w:p w14:paraId="0B1DB46C" w14:textId="77777777" w:rsidR="003451F2" w:rsidRPr="00E457A0" w:rsidRDefault="003451F2" w:rsidP="00E457A0">
      <w:pPr>
        <w:rPr>
          <w:rFonts w:eastAsia="Times New Roman" w:cs="Times New Roman"/>
          <w:snapToGrid w:val="0"/>
          <w:szCs w:val="20"/>
        </w:rPr>
      </w:pPr>
      <w:r w:rsidRPr="00E457A0">
        <w:rPr>
          <w:rFonts w:eastAsia="Times New Roman" w:cs="Times New Roman"/>
          <w:snapToGrid w:val="0"/>
          <w:color w:val="000000"/>
          <w:szCs w:val="20"/>
        </w:rPr>
        <w:br w:type="page"/>
      </w:r>
    </w:p>
    <w:p w14:paraId="0D9F4A9D" w14:textId="77777777" w:rsidR="003451F2" w:rsidRPr="00CE6E5F" w:rsidRDefault="003451F2" w:rsidP="00CE6E5F"/>
    <w:p w14:paraId="32FE160F" w14:textId="77777777" w:rsidR="003451F2" w:rsidRPr="00CE6E5F" w:rsidRDefault="003451F2" w:rsidP="00CE6E5F"/>
    <w:p w14:paraId="58A10E68" w14:textId="77777777" w:rsidR="003451F2" w:rsidRPr="00CE6E5F" w:rsidRDefault="003451F2" w:rsidP="00CE6E5F"/>
    <w:p w14:paraId="35B2A2E1" w14:textId="77777777" w:rsidR="003451F2" w:rsidRPr="00CE6E5F" w:rsidRDefault="003451F2" w:rsidP="00CE6E5F"/>
    <w:p w14:paraId="211F73E6" w14:textId="77777777" w:rsidR="003451F2" w:rsidRPr="00CE6E5F" w:rsidRDefault="003451F2" w:rsidP="00CE6E5F"/>
    <w:p w14:paraId="4EADF015" w14:textId="77777777" w:rsidR="003451F2" w:rsidRPr="00CE6E5F" w:rsidRDefault="003451F2" w:rsidP="00CE6E5F"/>
    <w:p w14:paraId="01E031F2" w14:textId="77777777" w:rsidR="003451F2" w:rsidRPr="00CE6E5F" w:rsidRDefault="003451F2" w:rsidP="00CE6E5F"/>
    <w:p w14:paraId="10E8BC00" w14:textId="77777777" w:rsidR="003451F2" w:rsidRPr="00CE6E5F" w:rsidRDefault="003451F2" w:rsidP="00CE6E5F"/>
    <w:p w14:paraId="4B81107D" w14:textId="77777777" w:rsidR="003451F2" w:rsidRPr="00CE6E5F" w:rsidRDefault="003451F2" w:rsidP="00CE6E5F"/>
    <w:p w14:paraId="316256A4" w14:textId="77777777" w:rsidR="003451F2" w:rsidRPr="00CE6E5F" w:rsidRDefault="003451F2" w:rsidP="00CE6E5F"/>
    <w:p w14:paraId="24A29324" w14:textId="77777777" w:rsidR="003451F2" w:rsidRPr="00CE6E5F" w:rsidRDefault="003451F2" w:rsidP="00CE6E5F"/>
    <w:p w14:paraId="0BF3A373" w14:textId="77777777" w:rsidR="003451F2" w:rsidRPr="00CE6E5F" w:rsidRDefault="003451F2" w:rsidP="00CE6E5F"/>
    <w:p w14:paraId="1CD21E50" w14:textId="77777777" w:rsidR="003451F2" w:rsidRPr="00CE6E5F" w:rsidRDefault="003451F2" w:rsidP="00CE6E5F"/>
    <w:p w14:paraId="43E1AAFE" w14:textId="77777777" w:rsidR="003451F2" w:rsidRPr="00CE6E5F" w:rsidRDefault="003451F2" w:rsidP="00CE6E5F"/>
    <w:p w14:paraId="4369BA80" w14:textId="77777777" w:rsidR="003451F2" w:rsidRPr="00CE6E5F" w:rsidRDefault="003451F2" w:rsidP="00CE6E5F"/>
    <w:p w14:paraId="4A248D60" w14:textId="77777777" w:rsidR="003451F2" w:rsidRPr="00CE6E5F" w:rsidRDefault="003451F2" w:rsidP="00CE6E5F"/>
    <w:p w14:paraId="775083A6" w14:textId="77777777" w:rsidR="003451F2" w:rsidRPr="00CE6E5F" w:rsidRDefault="003451F2" w:rsidP="00CE6E5F"/>
    <w:p w14:paraId="66D76718" w14:textId="77777777" w:rsidR="003451F2" w:rsidRPr="00CE6E5F" w:rsidRDefault="003451F2" w:rsidP="00CE6E5F"/>
    <w:p w14:paraId="709B0438" w14:textId="77777777" w:rsidR="003451F2" w:rsidRPr="00CE6E5F" w:rsidRDefault="003451F2" w:rsidP="00CE6E5F"/>
    <w:p w14:paraId="05FDC5E5" w14:textId="77777777" w:rsidR="003451F2" w:rsidRPr="00CE6E5F" w:rsidRDefault="003451F2" w:rsidP="00CE6E5F"/>
    <w:p w14:paraId="739D84E1" w14:textId="77777777" w:rsidR="003451F2" w:rsidRPr="00CE6E5F" w:rsidRDefault="003451F2" w:rsidP="00CE6E5F"/>
    <w:p w14:paraId="7CFFAFC2" w14:textId="77777777" w:rsidR="003451F2" w:rsidRDefault="003451F2" w:rsidP="00316E67"/>
    <w:p w14:paraId="7806A7C6" w14:textId="77777777" w:rsidR="00316E67" w:rsidRPr="00CE6E5F" w:rsidRDefault="00316E67" w:rsidP="00CE6E5F"/>
    <w:p w14:paraId="325F5256" w14:textId="77777777" w:rsidR="003451F2" w:rsidRPr="00316E67" w:rsidRDefault="003451F2" w:rsidP="00316E67">
      <w:pPr>
        <w:tabs>
          <w:tab w:val="left" w:pos="567"/>
        </w:tabs>
        <w:jc w:val="center"/>
        <w:rPr>
          <w:rFonts w:eastAsia="Times New Roman" w:cs="Times New Roman"/>
          <w:b/>
          <w:snapToGrid w:val="0"/>
          <w:szCs w:val="20"/>
        </w:rPr>
      </w:pPr>
      <w:r w:rsidRPr="00316E67">
        <w:rPr>
          <w:rFonts w:eastAsia="Times New Roman" w:cs="Times New Roman"/>
          <w:b/>
          <w:snapToGrid w:val="0"/>
          <w:szCs w:val="20"/>
        </w:rPr>
        <w:t>III PRIEDAS</w:t>
      </w:r>
    </w:p>
    <w:p w14:paraId="0DE68D61" w14:textId="77777777" w:rsidR="003451F2" w:rsidRPr="00316E67" w:rsidRDefault="003451F2" w:rsidP="00316E67">
      <w:pPr>
        <w:tabs>
          <w:tab w:val="left" w:pos="567"/>
        </w:tabs>
        <w:jc w:val="center"/>
        <w:rPr>
          <w:rFonts w:eastAsia="Times New Roman" w:cs="Times New Roman"/>
          <w:b/>
          <w:snapToGrid w:val="0"/>
          <w:szCs w:val="20"/>
        </w:rPr>
      </w:pPr>
    </w:p>
    <w:p w14:paraId="60CA7770" w14:textId="77777777" w:rsidR="003451F2" w:rsidRPr="00BE3B67" w:rsidRDefault="003451F2" w:rsidP="00BE3B67">
      <w:pPr>
        <w:tabs>
          <w:tab w:val="left" w:pos="567"/>
        </w:tabs>
        <w:jc w:val="center"/>
        <w:rPr>
          <w:rFonts w:eastAsia="Times New Roman" w:cs="Times New Roman"/>
          <w:b/>
          <w:snapToGrid w:val="0"/>
          <w:szCs w:val="20"/>
        </w:rPr>
      </w:pPr>
      <w:r w:rsidRPr="00BE3B67">
        <w:rPr>
          <w:rFonts w:eastAsia="Times New Roman" w:cs="Times New Roman"/>
          <w:b/>
          <w:snapToGrid w:val="0"/>
          <w:szCs w:val="20"/>
        </w:rPr>
        <w:t>ŽENKLINIMAS IR PAKUOTĖS LAPELIS</w:t>
      </w:r>
    </w:p>
    <w:p w14:paraId="5254DC2D" w14:textId="77777777" w:rsidR="003451F2" w:rsidRPr="00BE3B67" w:rsidRDefault="003451F2" w:rsidP="00BE3B67">
      <w:pPr>
        <w:tabs>
          <w:tab w:val="left" w:pos="567"/>
        </w:tabs>
        <w:rPr>
          <w:rFonts w:eastAsia="Times New Roman" w:cs="Times New Roman"/>
          <w:snapToGrid w:val="0"/>
          <w:szCs w:val="20"/>
        </w:rPr>
      </w:pPr>
      <w:r w:rsidRPr="00BE3B67">
        <w:rPr>
          <w:rFonts w:eastAsia="Times New Roman" w:cs="Times New Roman"/>
          <w:snapToGrid w:val="0"/>
          <w:szCs w:val="20"/>
        </w:rPr>
        <w:br w:type="page"/>
      </w:r>
    </w:p>
    <w:p w14:paraId="1C8F980C" w14:textId="77777777" w:rsidR="003451F2" w:rsidRPr="00BE3B67" w:rsidRDefault="003451F2" w:rsidP="00BE3B67">
      <w:pPr>
        <w:tabs>
          <w:tab w:val="left" w:pos="567"/>
        </w:tabs>
        <w:rPr>
          <w:rFonts w:eastAsia="Times New Roman" w:cs="Times New Roman"/>
          <w:snapToGrid w:val="0"/>
          <w:szCs w:val="20"/>
        </w:rPr>
      </w:pPr>
    </w:p>
    <w:p w14:paraId="4BC8B4D6" w14:textId="77777777" w:rsidR="003451F2" w:rsidRPr="00BE3B67" w:rsidRDefault="003451F2" w:rsidP="00BE3B67">
      <w:pPr>
        <w:tabs>
          <w:tab w:val="left" w:pos="567"/>
        </w:tabs>
        <w:rPr>
          <w:rFonts w:eastAsia="Times New Roman" w:cs="Times New Roman"/>
          <w:snapToGrid w:val="0"/>
          <w:szCs w:val="20"/>
        </w:rPr>
      </w:pPr>
    </w:p>
    <w:p w14:paraId="6DCE6396" w14:textId="77777777" w:rsidR="003451F2" w:rsidRPr="00BE3B67" w:rsidRDefault="003451F2" w:rsidP="00BE3B67">
      <w:pPr>
        <w:tabs>
          <w:tab w:val="left" w:pos="567"/>
        </w:tabs>
        <w:rPr>
          <w:rFonts w:eastAsia="Times New Roman" w:cs="Times New Roman"/>
          <w:snapToGrid w:val="0"/>
          <w:szCs w:val="20"/>
        </w:rPr>
      </w:pPr>
    </w:p>
    <w:p w14:paraId="21CF5646" w14:textId="77777777" w:rsidR="003451F2" w:rsidRPr="00BE3B67" w:rsidRDefault="003451F2" w:rsidP="00BE3B67">
      <w:pPr>
        <w:tabs>
          <w:tab w:val="left" w:pos="567"/>
        </w:tabs>
        <w:rPr>
          <w:rFonts w:eastAsia="Times New Roman" w:cs="Times New Roman"/>
          <w:snapToGrid w:val="0"/>
          <w:szCs w:val="20"/>
        </w:rPr>
      </w:pPr>
    </w:p>
    <w:p w14:paraId="2A2D7ABF" w14:textId="77777777" w:rsidR="003451F2" w:rsidRPr="00BE3B67" w:rsidRDefault="003451F2" w:rsidP="00BE3B67">
      <w:pPr>
        <w:tabs>
          <w:tab w:val="left" w:pos="567"/>
        </w:tabs>
        <w:rPr>
          <w:rFonts w:eastAsia="Times New Roman" w:cs="Times New Roman"/>
          <w:snapToGrid w:val="0"/>
          <w:szCs w:val="20"/>
        </w:rPr>
      </w:pPr>
    </w:p>
    <w:p w14:paraId="2DCAB785" w14:textId="77777777" w:rsidR="003451F2" w:rsidRPr="00BE3B67" w:rsidRDefault="003451F2" w:rsidP="00BE3B67">
      <w:pPr>
        <w:tabs>
          <w:tab w:val="left" w:pos="567"/>
        </w:tabs>
        <w:rPr>
          <w:rFonts w:eastAsia="Times New Roman" w:cs="Times New Roman"/>
          <w:snapToGrid w:val="0"/>
          <w:szCs w:val="20"/>
        </w:rPr>
      </w:pPr>
    </w:p>
    <w:p w14:paraId="54EF43C1" w14:textId="77777777" w:rsidR="003451F2" w:rsidRPr="00BE3B67" w:rsidRDefault="003451F2" w:rsidP="00BE3B67">
      <w:pPr>
        <w:tabs>
          <w:tab w:val="left" w:pos="567"/>
        </w:tabs>
        <w:rPr>
          <w:rFonts w:eastAsia="Times New Roman" w:cs="Times New Roman"/>
          <w:snapToGrid w:val="0"/>
          <w:szCs w:val="20"/>
        </w:rPr>
      </w:pPr>
    </w:p>
    <w:p w14:paraId="7A07262A" w14:textId="77777777" w:rsidR="003451F2" w:rsidRPr="00BE3B67" w:rsidRDefault="003451F2" w:rsidP="00BE3B67">
      <w:pPr>
        <w:tabs>
          <w:tab w:val="left" w:pos="567"/>
        </w:tabs>
        <w:rPr>
          <w:rFonts w:eastAsia="Times New Roman" w:cs="Times New Roman"/>
          <w:snapToGrid w:val="0"/>
          <w:szCs w:val="20"/>
        </w:rPr>
      </w:pPr>
    </w:p>
    <w:p w14:paraId="7F501E67" w14:textId="77777777" w:rsidR="003451F2" w:rsidRPr="00BE3B67" w:rsidRDefault="003451F2" w:rsidP="00BE3B67">
      <w:pPr>
        <w:tabs>
          <w:tab w:val="left" w:pos="567"/>
        </w:tabs>
        <w:rPr>
          <w:rFonts w:eastAsia="Times New Roman" w:cs="Times New Roman"/>
          <w:snapToGrid w:val="0"/>
          <w:szCs w:val="20"/>
        </w:rPr>
      </w:pPr>
    </w:p>
    <w:p w14:paraId="3FAB4D14" w14:textId="77777777" w:rsidR="003451F2" w:rsidRPr="00BE3B67" w:rsidRDefault="003451F2" w:rsidP="00BE3B67">
      <w:pPr>
        <w:tabs>
          <w:tab w:val="left" w:pos="567"/>
        </w:tabs>
        <w:rPr>
          <w:rFonts w:eastAsia="Times New Roman" w:cs="Times New Roman"/>
          <w:snapToGrid w:val="0"/>
          <w:szCs w:val="20"/>
        </w:rPr>
      </w:pPr>
    </w:p>
    <w:p w14:paraId="29B8D541" w14:textId="77777777" w:rsidR="003451F2" w:rsidRPr="00BE3B67" w:rsidRDefault="003451F2" w:rsidP="00BE3B67">
      <w:pPr>
        <w:tabs>
          <w:tab w:val="left" w:pos="567"/>
        </w:tabs>
        <w:rPr>
          <w:rFonts w:eastAsia="Times New Roman" w:cs="Times New Roman"/>
          <w:snapToGrid w:val="0"/>
          <w:szCs w:val="20"/>
        </w:rPr>
      </w:pPr>
    </w:p>
    <w:p w14:paraId="32D9E20D" w14:textId="77777777" w:rsidR="003451F2" w:rsidRPr="00BE3B67" w:rsidRDefault="003451F2" w:rsidP="00BE3B67">
      <w:pPr>
        <w:tabs>
          <w:tab w:val="left" w:pos="567"/>
        </w:tabs>
        <w:rPr>
          <w:rFonts w:eastAsia="Times New Roman" w:cs="Times New Roman"/>
          <w:snapToGrid w:val="0"/>
          <w:szCs w:val="20"/>
        </w:rPr>
      </w:pPr>
    </w:p>
    <w:p w14:paraId="6BC1D27B" w14:textId="77777777" w:rsidR="003451F2" w:rsidRPr="00BE3B67" w:rsidRDefault="003451F2" w:rsidP="00BE3B67">
      <w:pPr>
        <w:tabs>
          <w:tab w:val="left" w:pos="567"/>
        </w:tabs>
        <w:rPr>
          <w:rFonts w:eastAsia="Times New Roman" w:cs="Times New Roman"/>
          <w:snapToGrid w:val="0"/>
          <w:szCs w:val="20"/>
        </w:rPr>
      </w:pPr>
    </w:p>
    <w:p w14:paraId="05B496A6" w14:textId="77777777" w:rsidR="003451F2" w:rsidRPr="00BE3B67" w:rsidRDefault="003451F2" w:rsidP="00BE3B67">
      <w:pPr>
        <w:tabs>
          <w:tab w:val="left" w:pos="567"/>
        </w:tabs>
        <w:rPr>
          <w:rFonts w:eastAsia="Times New Roman" w:cs="Times New Roman"/>
          <w:snapToGrid w:val="0"/>
          <w:szCs w:val="20"/>
        </w:rPr>
      </w:pPr>
    </w:p>
    <w:p w14:paraId="7C040963" w14:textId="77777777" w:rsidR="003451F2" w:rsidRPr="00BE3B67" w:rsidRDefault="003451F2" w:rsidP="00BE3B67">
      <w:pPr>
        <w:tabs>
          <w:tab w:val="left" w:pos="567"/>
        </w:tabs>
        <w:rPr>
          <w:rFonts w:eastAsia="Times New Roman" w:cs="Times New Roman"/>
          <w:snapToGrid w:val="0"/>
          <w:szCs w:val="20"/>
        </w:rPr>
      </w:pPr>
    </w:p>
    <w:p w14:paraId="41E905D0" w14:textId="77777777" w:rsidR="003451F2" w:rsidRPr="00EA2079" w:rsidRDefault="003451F2" w:rsidP="00EA2079">
      <w:pPr>
        <w:tabs>
          <w:tab w:val="left" w:pos="567"/>
        </w:tabs>
        <w:rPr>
          <w:rFonts w:eastAsia="Times New Roman" w:cs="Times New Roman"/>
          <w:snapToGrid w:val="0"/>
          <w:szCs w:val="20"/>
        </w:rPr>
      </w:pPr>
    </w:p>
    <w:p w14:paraId="2390D74D" w14:textId="77777777" w:rsidR="003451F2" w:rsidRPr="00EA2079" w:rsidRDefault="003451F2" w:rsidP="00EA2079">
      <w:pPr>
        <w:tabs>
          <w:tab w:val="left" w:pos="567"/>
        </w:tabs>
        <w:rPr>
          <w:rFonts w:eastAsia="Times New Roman" w:cs="Times New Roman"/>
          <w:snapToGrid w:val="0"/>
          <w:szCs w:val="20"/>
        </w:rPr>
      </w:pPr>
    </w:p>
    <w:p w14:paraId="06A07D8B" w14:textId="77777777" w:rsidR="003451F2" w:rsidRPr="00EA2079" w:rsidRDefault="003451F2" w:rsidP="00EA2079">
      <w:pPr>
        <w:tabs>
          <w:tab w:val="left" w:pos="567"/>
        </w:tabs>
        <w:rPr>
          <w:rFonts w:eastAsia="Times New Roman" w:cs="Times New Roman"/>
          <w:snapToGrid w:val="0"/>
          <w:szCs w:val="20"/>
        </w:rPr>
      </w:pPr>
    </w:p>
    <w:p w14:paraId="55FCE56F" w14:textId="77777777" w:rsidR="003451F2" w:rsidRPr="00EA2079" w:rsidRDefault="003451F2" w:rsidP="00EA2079">
      <w:pPr>
        <w:tabs>
          <w:tab w:val="left" w:pos="567"/>
        </w:tabs>
        <w:rPr>
          <w:rFonts w:eastAsia="Times New Roman" w:cs="Times New Roman"/>
          <w:snapToGrid w:val="0"/>
          <w:szCs w:val="20"/>
        </w:rPr>
      </w:pPr>
    </w:p>
    <w:p w14:paraId="61FAA60B" w14:textId="77777777" w:rsidR="003451F2" w:rsidRPr="00EA2079" w:rsidRDefault="003451F2" w:rsidP="00EA2079">
      <w:pPr>
        <w:tabs>
          <w:tab w:val="left" w:pos="567"/>
        </w:tabs>
        <w:rPr>
          <w:rFonts w:eastAsia="Times New Roman" w:cs="Times New Roman"/>
          <w:snapToGrid w:val="0"/>
          <w:szCs w:val="20"/>
        </w:rPr>
      </w:pPr>
    </w:p>
    <w:p w14:paraId="67C0E237" w14:textId="77777777" w:rsidR="003451F2" w:rsidRPr="00EA2079" w:rsidRDefault="003451F2" w:rsidP="00EA2079">
      <w:pPr>
        <w:tabs>
          <w:tab w:val="left" w:pos="567"/>
        </w:tabs>
        <w:rPr>
          <w:rFonts w:eastAsia="Times New Roman" w:cs="Times New Roman"/>
          <w:snapToGrid w:val="0"/>
          <w:szCs w:val="20"/>
        </w:rPr>
      </w:pPr>
    </w:p>
    <w:p w14:paraId="6DB3393C" w14:textId="77777777" w:rsidR="003451F2" w:rsidRPr="00DE547B" w:rsidRDefault="003451F2" w:rsidP="00DE547B">
      <w:pPr>
        <w:tabs>
          <w:tab w:val="left" w:pos="567"/>
        </w:tabs>
        <w:rPr>
          <w:rFonts w:eastAsia="Times New Roman" w:cs="Times New Roman"/>
          <w:snapToGrid w:val="0"/>
          <w:szCs w:val="20"/>
        </w:rPr>
      </w:pPr>
    </w:p>
    <w:p w14:paraId="0FA7AA29" w14:textId="77777777" w:rsidR="003451F2" w:rsidRPr="00DE547B" w:rsidRDefault="003451F2" w:rsidP="00DE547B">
      <w:pPr>
        <w:tabs>
          <w:tab w:val="left" w:pos="567"/>
        </w:tabs>
        <w:rPr>
          <w:rFonts w:eastAsia="Times New Roman" w:cs="Times New Roman"/>
          <w:snapToGrid w:val="0"/>
          <w:szCs w:val="20"/>
        </w:rPr>
      </w:pPr>
    </w:p>
    <w:p w14:paraId="2E37A802" w14:textId="77777777" w:rsidR="003451F2" w:rsidRPr="00E457A0" w:rsidRDefault="003451F2">
      <w:pPr>
        <w:tabs>
          <w:tab w:val="left" w:pos="567"/>
        </w:tabs>
        <w:jc w:val="center"/>
        <w:rPr>
          <w:rFonts w:eastAsia="Times New Roman" w:cs="Times New Roman"/>
          <w:b/>
          <w:snapToGrid w:val="0"/>
          <w:szCs w:val="20"/>
        </w:rPr>
      </w:pPr>
      <w:r w:rsidRPr="00E457A0">
        <w:rPr>
          <w:rFonts w:eastAsia="Times New Roman" w:cs="Times New Roman"/>
          <w:b/>
          <w:snapToGrid w:val="0"/>
          <w:szCs w:val="20"/>
        </w:rPr>
        <w:t>A. ŽENKLINIMAS</w:t>
      </w:r>
    </w:p>
    <w:p w14:paraId="283528A6" w14:textId="77777777" w:rsidR="003451F2" w:rsidRPr="00E457A0" w:rsidRDefault="003451F2">
      <w:pPr>
        <w:tabs>
          <w:tab w:val="left" w:pos="567"/>
        </w:tabs>
        <w:rPr>
          <w:rFonts w:eastAsia="Times New Roman" w:cs="Times New Roman"/>
          <w:snapToGrid w:val="0"/>
          <w:color w:val="000000"/>
          <w:szCs w:val="20"/>
        </w:rPr>
      </w:pPr>
      <w:r w:rsidRPr="00E457A0">
        <w:rPr>
          <w:rFonts w:eastAsia="Times New Roman" w:cs="Times New Roman"/>
          <w:b/>
          <w:snapToGrid w:val="0"/>
          <w:szCs w:val="20"/>
        </w:rPr>
        <w:br w:type="page"/>
      </w:r>
    </w:p>
    <w:p w14:paraId="1A652C91" w14:textId="77777777" w:rsidR="003451F2" w:rsidRPr="00CE6E5F" w:rsidRDefault="003451F2">
      <w:pPr>
        <w:pBdr>
          <w:top w:val="single" w:sz="4" w:space="1" w:color="auto"/>
          <w:left w:val="single" w:sz="4" w:space="4" w:color="auto"/>
          <w:bottom w:val="single" w:sz="4" w:space="1" w:color="auto"/>
          <w:right w:val="single" w:sz="4" w:space="4" w:color="auto"/>
        </w:pBdr>
        <w:rPr>
          <w:rFonts w:eastAsia="Times New Roman" w:cs="Times New Roman"/>
          <w:b/>
        </w:rPr>
      </w:pPr>
      <w:r w:rsidRPr="00CE6E5F">
        <w:rPr>
          <w:rFonts w:eastAsia="Times New Roman" w:cs="Times New Roman"/>
          <w:b/>
          <w:bCs/>
        </w:rPr>
        <w:lastRenderedPageBreak/>
        <w:t>INFORMACIJA ANT IŠORINĖS PAKUOTĖS</w:t>
      </w:r>
    </w:p>
    <w:p w14:paraId="366B7C5C" w14:textId="77777777" w:rsidR="003451F2" w:rsidRPr="00CE6E5F" w:rsidRDefault="003451F2">
      <w:pPr>
        <w:pBdr>
          <w:top w:val="single" w:sz="4" w:space="1" w:color="auto"/>
          <w:left w:val="single" w:sz="4" w:space="4" w:color="auto"/>
          <w:bottom w:val="single" w:sz="4" w:space="1" w:color="auto"/>
          <w:right w:val="single" w:sz="4" w:space="4" w:color="auto"/>
        </w:pBdr>
        <w:ind w:left="567" w:hanging="567"/>
        <w:rPr>
          <w:rFonts w:eastAsia="Times New Roman" w:cs="Times New Roman"/>
          <w:bCs/>
        </w:rPr>
      </w:pPr>
    </w:p>
    <w:p w14:paraId="548EAC6A" w14:textId="77777777" w:rsidR="003451F2" w:rsidRPr="00CE6E5F" w:rsidRDefault="007937CB">
      <w:pPr>
        <w:pBdr>
          <w:top w:val="single" w:sz="4" w:space="1" w:color="auto"/>
          <w:left w:val="single" w:sz="4" w:space="4" w:color="auto"/>
          <w:bottom w:val="single" w:sz="4" w:space="1" w:color="auto"/>
          <w:right w:val="single" w:sz="4" w:space="4" w:color="auto"/>
        </w:pBdr>
        <w:rPr>
          <w:rFonts w:eastAsia="Times New Roman" w:cs="Times New Roman"/>
          <w:bCs/>
        </w:rPr>
      </w:pPr>
      <w:r>
        <w:rPr>
          <w:rFonts w:eastAsia="Times New Roman" w:cs="Times New Roman"/>
          <w:b/>
          <w:bCs/>
        </w:rPr>
        <w:t xml:space="preserve">KARTONO </w:t>
      </w:r>
      <w:r w:rsidR="003451F2" w:rsidRPr="00CE6E5F">
        <w:rPr>
          <w:rFonts w:eastAsia="Times New Roman" w:cs="Times New Roman"/>
          <w:b/>
          <w:bCs/>
        </w:rPr>
        <w:t>DĖŽUTĖ</w:t>
      </w:r>
    </w:p>
    <w:p w14:paraId="007933EE" w14:textId="77777777" w:rsidR="003451F2" w:rsidRPr="00CE6E5F" w:rsidRDefault="003451F2">
      <w:pPr>
        <w:rPr>
          <w:rFonts w:eastAsia="Times New Roman" w:cs="Times New Roman"/>
        </w:rPr>
      </w:pPr>
    </w:p>
    <w:p w14:paraId="44C9E7A2" w14:textId="77777777" w:rsidR="003451F2" w:rsidRPr="00CE6E5F" w:rsidRDefault="003451F2">
      <w:pPr>
        <w:rPr>
          <w:rFonts w:eastAsia="Times New Roman" w:cs="Times New Roman"/>
        </w:rPr>
      </w:pPr>
    </w:p>
    <w:p w14:paraId="10C81835"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rPr>
      </w:pPr>
      <w:r w:rsidRPr="00CE6E5F">
        <w:rPr>
          <w:rFonts w:eastAsia="Times New Roman" w:cs="Times New Roman"/>
          <w:b/>
          <w:bCs/>
        </w:rPr>
        <w:t>1.</w:t>
      </w:r>
      <w:r w:rsidRPr="00CE6E5F">
        <w:rPr>
          <w:rFonts w:eastAsia="Times New Roman" w:cs="Times New Roman"/>
          <w:b/>
          <w:bCs/>
        </w:rPr>
        <w:tab/>
        <w:t>VAISTINIO PREPARATO PAVADINIMAS</w:t>
      </w:r>
    </w:p>
    <w:p w14:paraId="67556CD6" w14:textId="77777777" w:rsidR="003451F2" w:rsidRPr="00CE6E5F" w:rsidRDefault="003451F2">
      <w:pPr>
        <w:keepNext/>
        <w:keepLines/>
        <w:rPr>
          <w:rFonts w:eastAsia="Times New Roman" w:cs="Times New Roman"/>
        </w:rPr>
      </w:pPr>
    </w:p>
    <w:p w14:paraId="533D47CD" w14:textId="77777777" w:rsidR="003451F2" w:rsidRPr="00CE6E5F" w:rsidRDefault="00242227">
      <w:pPr>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165 mg/ml injekcinis tirpalas</w:t>
      </w:r>
    </w:p>
    <w:p w14:paraId="70F85930" w14:textId="5F54A6DC" w:rsidR="003451F2" w:rsidRPr="00CE6E5F" w:rsidRDefault="00B6266D">
      <w:pPr>
        <w:rPr>
          <w:rFonts w:eastAsia="Times New Roman" w:cs="Times New Roman"/>
        </w:rPr>
      </w:pPr>
      <w:r>
        <w:rPr>
          <w:rFonts w:eastAsia="Times New Roman" w:cs="Times New Roman"/>
        </w:rPr>
        <w:t>ž</w:t>
      </w:r>
      <w:r w:rsidR="003451F2" w:rsidRPr="00CE6E5F">
        <w:rPr>
          <w:rFonts w:eastAsia="Times New Roman" w:cs="Times New Roman"/>
        </w:rPr>
        <w:t>mogaus normalusis imunoglobulinas (</w:t>
      </w:r>
      <w:proofErr w:type="spellStart"/>
      <w:r w:rsidR="00B31DED">
        <w:rPr>
          <w:rFonts w:eastAsia="Times New Roman" w:cs="Times New Roman"/>
        </w:rPr>
        <w:t>s.c.</w:t>
      </w:r>
      <w:r w:rsidR="003451F2" w:rsidRPr="00CE6E5F">
        <w:rPr>
          <w:rFonts w:eastAsia="Times New Roman" w:cs="Times New Roman"/>
        </w:rPr>
        <w:t>Ig</w:t>
      </w:r>
      <w:proofErr w:type="spellEnd"/>
      <w:r w:rsidR="003451F2" w:rsidRPr="00CE6E5F">
        <w:rPr>
          <w:rFonts w:eastAsia="Times New Roman" w:cs="Times New Roman"/>
        </w:rPr>
        <w:t>)</w:t>
      </w:r>
    </w:p>
    <w:p w14:paraId="02827EDA" w14:textId="77777777" w:rsidR="003451F2" w:rsidRPr="00CE6E5F" w:rsidRDefault="003451F2">
      <w:pPr>
        <w:rPr>
          <w:rFonts w:eastAsia="Times New Roman" w:cs="Times New Roman"/>
        </w:rPr>
      </w:pPr>
    </w:p>
    <w:p w14:paraId="634920C6" w14:textId="77777777" w:rsidR="003451F2" w:rsidRPr="00CE6E5F" w:rsidRDefault="003451F2">
      <w:pPr>
        <w:rPr>
          <w:rFonts w:eastAsia="Times New Roman" w:cs="Times New Roman"/>
        </w:rPr>
      </w:pPr>
    </w:p>
    <w:p w14:paraId="077B32E3"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2.</w:t>
      </w:r>
      <w:r w:rsidRPr="00CE6E5F">
        <w:rPr>
          <w:rFonts w:eastAsia="Times New Roman" w:cs="Times New Roman"/>
          <w:b/>
          <w:bCs/>
        </w:rPr>
        <w:tab/>
        <w:t>VEIKLIOJI (-IOS) MEDŽIAGA (-OS) IR JOS (-Ų) KIEKIS (-IAI)</w:t>
      </w:r>
    </w:p>
    <w:p w14:paraId="1C5BE89D" w14:textId="77777777" w:rsidR="003451F2" w:rsidRPr="00CE6E5F" w:rsidRDefault="003451F2">
      <w:pPr>
        <w:keepNext/>
        <w:keepLines/>
        <w:rPr>
          <w:rFonts w:eastAsia="Times New Roman" w:cs="Times New Roman"/>
        </w:rPr>
      </w:pPr>
    </w:p>
    <w:p w14:paraId="0CF780B7" w14:textId="77777777" w:rsidR="003451F2" w:rsidRPr="00CE6E5F" w:rsidRDefault="003451F2">
      <w:pPr>
        <w:autoSpaceDE w:val="0"/>
        <w:autoSpaceDN w:val="0"/>
        <w:adjustRightInd w:val="0"/>
        <w:jc w:val="both"/>
        <w:rPr>
          <w:rFonts w:eastAsia="Times New Roman" w:cs="Times New Roman"/>
        </w:rPr>
      </w:pPr>
      <w:r w:rsidRPr="00CE6E5F">
        <w:rPr>
          <w:rFonts w:eastAsia="Times New Roman" w:cs="Times New Roman"/>
        </w:rPr>
        <w:t>Žmogaus normalusis imunoglobulinas (</w:t>
      </w:r>
      <w:proofErr w:type="spellStart"/>
      <w:r w:rsidR="00B31DED">
        <w:rPr>
          <w:rFonts w:eastAsia="Times New Roman" w:cs="Times New Roman"/>
        </w:rPr>
        <w:t>s.c.</w:t>
      </w:r>
      <w:r w:rsidRPr="00CE6E5F">
        <w:rPr>
          <w:rFonts w:eastAsia="Times New Roman" w:cs="Times New Roman"/>
        </w:rPr>
        <w:t>Ig</w:t>
      </w:r>
      <w:proofErr w:type="spellEnd"/>
      <w:r w:rsidRPr="00CE6E5F">
        <w:rPr>
          <w:rFonts w:eastAsia="Times New Roman" w:cs="Times New Roman"/>
        </w:rPr>
        <w:t>)……………………………..165 mg/ml</w:t>
      </w:r>
    </w:p>
    <w:p w14:paraId="0E11B05E" w14:textId="77777777" w:rsidR="003451F2" w:rsidRPr="00CE6E5F" w:rsidRDefault="003451F2">
      <w:pPr>
        <w:autoSpaceDE w:val="0"/>
        <w:autoSpaceDN w:val="0"/>
        <w:adjustRightInd w:val="0"/>
        <w:jc w:val="both"/>
        <w:rPr>
          <w:rFonts w:eastAsia="Times New Roman" w:cs="Times New Roman"/>
        </w:rPr>
      </w:pPr>
      <w:r w:rsidRPr="00CE6E5F">
        <w:rPr>
          <w:rFonts w:eastAsia="Times New Roman" w:cs="Times New Roman"/>
        </w:rPr>
        <w:t>(</w:t>
      </w:r>
      <w:proofErr w:type="spellStart"/>
      <w:r w:rsidRPr="00CE6E5F">
        <w:rPr>
          <w:rFonts w:eastAsia="Times New Roman" w:cs="Times New Roman"/>
        </w:rPr>
        <w:t>IgG</w:t>
      </w:r>
      <w:proofErr w:type="spellEnd"/>
      <w:r w:rsidRPr="00CE6E5F">
        <w:rPr>
          <w:rFonts w:eastAsia="Times New Roman" w:cs="Times New Roman"/>
        </w:rPr>
        <w:t xml:space="preserve"> grynumas mažiausiai 95 %) </w:t>
      </w:r>
    </w:p>
    <w:p w14:paraId="57A7CF5A" w14:textId="77777777" w:rsidR="003451F2" w:rsidRPr="00CE6E5F" w:rsidRDefault="003451F2">
      <w:pPr>
        <w:autoSpaceDE w:val="0"/>
        <w:autoSpaceDN w:val="0"/>
        <w:adjustRightInd w:val="0"/>
        <w:jc w:val="both"/>
        <w:rPr>
          <w:rFonts w:eastAsia="Times New Roman" w:cs="Times New Roman"/>
        </w:rPr>
      </w:pPr>
    </w:p>
    <w:p w14:paraId="5BCA9B4A" w14:textId="1398EF63" w:rsidR="003451F2" w:rsidRPr="00CE6E5F" w:rsidRDefault="00B31DED">
      <w:pPr>
        <w:autoSpaceDE w:val="0"/>
        <w:autoSpaceDN w:val="0"/>
        <w:adjustRightInd w:val="0"/>
        <w:jc w:val="both"/>
        <w:rPr>
          <w:rFonts w:eastAsia="Times New Roman" w:cs="Times New Roman"/>
        </w:rPr>
      </w:pPr>
      <w:r>
        <w:rPr>
          <w:rFonts w:eastAsia="Times New Roman" w:cs="Times New Roman"/>
        </w:rPr>
        <w:t>Kiek</w:t>
      </w:r>
      <w:r w:rsidRPr="00CE6E5F">
        <w:rPr>
          <w:rFonts w:eastAsia="Times New Roman" w:cs="Times New Roman"/>
        </w:rPr>
        <w:t xml:space="preserve">viename </w:t>
      </w:r>
      <w:r w:rsidR="003451F2" w:rsidRPr="00CE6E5F">
        <w:rPr>
          <w:rFonts w:eastAsia="Times New Roman" w:cs="Times New Roman"/>
        </w:rPr>
        <w:t>flakone yra 1 g žmogaus normaliojo imunoglobulino.</w:t>
      </w:r>
    </w:p>
    <w:p w14:paraId="06B45FCC" w14:textId="6D24638E" w:rsidR="003451F2" w:rsidRPr="00CE6E5F" w:rsidRDefault="00B31DED">
      <w:pPr>
        <w:shd w:val="clear" w:color="auto" w:fill="D0CECE"/>
        <w:autoSpaceDE w:val="0"/>
        <w:autoSpaceDN w:val="0"/>
        <w:adjustRightInd w:val="0"/>
        <w:jc w:val="both"/>
        <w:rPr>
          <w:rFonts w:eastAsia="Times New Roman" w:cs="Times New Roman"/>
        </w:rPr>
      </w:pPr>
      <w:r>
        <w:rPr>
          <w:rFonts w:eastAsia="Times New Roman" w:cs="Times New Roman"/>
        </w:rPr>
        <w:t>Kiek</w:t>
      </w:r>
      <w:r w:rsidRPr="00CE6E5F">
        <w:rPr>
          <w:rFonts w:eastAsia="Times New Roman" w:cs="Times New Roman"/>
        </w:rPr>
        <w:t xml:space="preserve">viename </w:t>
      </w:r>
      <w:r w:rsidR="003451F2" w:rsidRPr="00CE6E5F">
        <w:rPr>
          <w:rFonts w:eastAsia="Times New Roman" w:cs="Times New Roman"/>
        </w:rPr>
        <w:t>flakone yra 1,65 g žmogaus normaliojo imunoglobulino.</w:t>
      </w:r>
    </w:p>
    <w:p w14:paraId="50CBB687" w14:textId="280C4070" w:rsidR="003451F2" w:rsidRPr="00CE6E5F" w:rsidRDefault="00B31DED">
      <w:pPr>
        <w:shd w:val="clear" w:color="auto" w:fill="D0CECE"/>
        <w:autoSpaceDE w:val="0"/>
        <w:autoSpaceDN w:val="0"/>
        <w:adjustRightInd w:val="0"/>
        <w:jc w:val="both"/>
        <w:rPr>
          <w:rFonts w:eastAsia="Times New Roman" w:cs="Times New Roman"/>
        </w:rPr>
      </w:pPr>
      <w:r>
        <w:rPr>
          <w:rFonts w:eastAsia="Times New Roman" w:cs="Times New Roman"/>
        </w:rPr>
        <w:t>Kiek</w:t>
      </w:r>
      <w:r w:rsidRPr="00CE6E5F">
        <w:rPr>
          <w:rFonts w:eastAsia="Times New Roman" w:cs="Times New Roman"/>
        </w:rPr>
        <w:t xml:space="preserve">viename </w:t>
      </w:r>
      <w:r w:rsidR="003451F2" w:rsidRPr="00CE6E5F">
        <w:rPr>
          <w:rFonts w:eastAsia="Times New Roman" w:cs="Times New Roman"/>
        </w:rPr>
        <w:t>flakone yra 2 g žmogaus normaliojo imunoglobulino.</w:t>
      </w:r>
    </w:p>
    <w:p w14:paraId="32263355" w14:textId="7910DA48" w:rsidR="003451F2" w:rsidRPr="00CE6E5F" w:rsidRDefault="00B31DED">
      <w:pPr>
        <w:shd w:val="clear" w:color="auto" w:fill="D0CECE"/>
        <w:autoSpaceDE w:val="0"/>
        <w:autoSpaceDN w:val="0"/>
        <w:adjustRightInd w:val="0"/>
        <w:jc w:val="both"/>
        <w:rPr>
          <w:rFonts w:eastAsia="Times New Roman" w:cs="Times New Roman"/>
        </w:rPr>
      </w:pPr>
      <w:r>
        <w:rPr>
          <w:rFonts w:eastAsia="Times New Roman" w:cs="Times New Roman"/>
        </w:rPr>
        <w:t>Kiek</w:t>
      </w:r>
      <w:r w:rsidRPr="00CE6E5F">
        <w:rPr>
          <w:rFonts w:eastAsia="Times New Roman" w:cs="Times New Roman"/>
        </w:rPr>
        <w:t xml:space="preserve">viename </w:t>
      </w:r>
      <w:r w:rsidR="003451F2" w:rsidRPr="00CE6E5F">
        <w:rPr>
          <w:rFonts w:eastAsia="Times New Roman" w:cs="Times New Roman"/>
        </w:rPr>
        <w:t>flakone yra 3,3 g žmogaus normaliojo imunoglobulino.</w:t>
      </w:r>
    </w:p>
    <w:p w14:paraId="7E8C18FE" w14:textId="1692F4F2" w:rsidR="003451F2" w:rsidRPr="00CE6E5F" w:rsidRDefault="00B31DED">
      <w:pPr>
        <w:shd w:val="clear" w:color="auto" w:fill="D0CECE"/>
        <w:autoSpaceDE w:val="0"/>
        <w:autoSpaceDN w:val="0"/>
        <w:adjustRightInd w:val="0"/>
        <w:jc w:val="both"/>
        <w:rPr>
          <w:rFonts w:eastAsia="Times New Roman" w:cs="Times New Roman"/>
        </w:rPr>
      </w:pPr>
      <w:r>
        <w:rPr>
          <w:rFonts w:eastAsia="Times New Roman" w:cs="Times New Roman"/>
        </w:rPr>
        <w:t>Kiek</w:t>
      </w:r>
      <w:r w:rsidRPr="00CE6E5F">
        <w:rPr>
          <w:rFonts w:eastAsia="Times New Roman" w:cs="Times New Roman"/>
        </w:rPr>
        <w:t xml:space="preserve">viename </w:t>
      </w:r>
      <w:r w:rsidR="003451F2" w:rsidRPr="00CE6E5F">
        <w:rPr>
          <w:rFonts w:eastAsia="Times New Roman" w:cs="Times New Roman"/>
        </w:rPr>
        <w:t>flakone yra 4 g žmogaus normaliojo imunoglobulino.</w:t>
      </w:r>
    </w:p>
    <w:p w14:paraId="5FA7D5A9" w14:textId="1ECB93E6" w:rsidR="003451F2" w:rsidRPr="00CE6E5F" w:rsidRDefault="00B31DED">
      <w:pPr>
        <w:shd w:val="clear" w:color="auto" w:fill="D0CECE"/>
        <w:autoSpaceDE w:val="0"/>
        <w:autoSpaceDN w:val="0"/>
        <w:adjustRightInd w:val="0"/>
        <w:jc w:val="both"/>
        <w:rPr>
          <w:rFonts w:eastAsia="Times New Roman" w:cs="Times New Roman"/>
        </w:rPr>
      </w:pPr>
      <w:r>
        <w:rPr>
          <w:rFonts w:eastAsia="Times New Roman" w:cs="Times New Roman"/>
        </w:rPr>
        <w:t>Kiek</w:t>
      </w:r>
      <w:r w:rsidRPr="00CE6E5F">
        <w:rPr>
          <w:rFonts w:eastAsia="Times New Roman" w:cs="Times New Roman"/>
        </w:rPr>
        <w:t xml:space="preserve">viename </w:t>
      </w:r>
      <w:r w:rsidR="003451F2" w:rsidRPr="00CE6E5F">
        <w:rPr>
          <w:rFonts w:eastAsia="Times New Roman" w:cs="Times New Roman"/>
        </w:rPr>
        <w:t>flakone yra 8 g žmogaus normaliojo imunoglobulino.</w:t>
      </w:r>
    </w:p>
    <w:p w14:paraId="44BCAB4E" w14:textId="77777777" w:rsidR="003451F2" w:rsidRPr="00CE6E5F" w:rsidRDefault="003451F2">
      <w:pPr>
        <w:autoSpaceDE w:val="0"/>
        <w:autoSpaceDN w:val="0"/>
        <w:adjustRightInd w:val="0"/>
        <w:jc w:val="both"/>
        <w:rPr>
          <w:rFonts w:eastAsia="Times New Roman" w:cs="Times New Roman"/>
        </w:rPr>
      </w:pPr>
    </w:p>
    <w:p w14:paraId="1504B34B" w14:textId="77777777" w:rsidR="003451F2" w:rsidRPr="00CE6E5F" w:rsidRDefault="003451F2">
      <w:pPr>
        <w:rPr>
          <w:rFonts w:eastAsia="Times New Roman" w:cs="Times New Roman"/>
        </w:rPr>
      </w:pPr>
    </w:p>
    <w:p w14:paraId="705F038F"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3.</w:t>
      </w:r>
      <w:r w:rsidRPr="00CE6E5F">
        <w:rPr>
          <w:rFonts w:eastAsia="Times New Roman" w:cs="Times New Roman"/>
          <w:b/>
          <w:bCs/>
        </w:rPr>
        <w:tab/>
        <w:t>PAGALBINIŲ MEDŽIAGŲ SĄRAŠAS</w:t>
      </w:r>
    </w:p>
    <w:p w14:paraId="08187173" w14:textId="77777777" w:rsidR="003451F2" w:rsidRPr="00CE6E5F" w:rsidRDefault="003451F2">
      <w:pPr>
        <w:keepNext/>
        <w:keepLines/>
        <w:rPr>
          <w:rFonts w:eastAsia="Times New Roman" w:cs="Times New Roman"/>
        </w:rPr>
      </w:pPr>
    </w:p>
    <w:p w14:paraId="2CC4FCDB" w14:textId="77777777" w:rsidR="003451F2" w:rsidRPr="00CE6E5F" w:rsidRDefault="003451F2">
      <w:pPr>
        <w:rPr>
          <w:rFonts w:eastAsia="Times New Roman" w:cs="Times New Roman"/>
        </w:rPr>
      </w:pPr>
      <w:proofErr w:type="spellStart"/>
      <w:r w:rsidRPr="00CE6E5F">
        <w:rPr>
          <w:rFonts w:eastAsia="Times New Roman" w:cs="Times New Roman"/>
        </w:rPr>
        <w:t>Maltozė</w:t>
      </w:r>
      <w:proofErr w:type="spellEnd"/>
    </w:p>
    <w:p w14:paraId="1C251A41" w14:textId="77777777" w:rsidR="003451F2" w:rsidRPr="00CE6E5F" w:rsidRDefault="003451F2">
      <w:pPr>
        <w:rPr>
          <w:rFonts w:eastAsia="Times New Roman" w:cs="Times New Roman"/>
        </w:rPr>
      </w:pPr>
      <w:proofErr w:type="spellStart"/>
      <w:r w:rsidRPr="00CE6E5F">
        <w:rPr>
          <w:rFonts w:eastAsia="Times New Roman" w:cs="Times New Roman"/>
        </w:rPr>
        <w:t>Polisorbatas</w:t>
      </w:r>
      <w:proofErr w:type="spellEnd"/>
      <w:r w:rsidRPr="00CE6E5F">
        <w:rPr>
          <w:rFonts w:eastAsia="Times New Roman" w:cs="Times New Roman"/>
        </w:rPr>
        <w:t> 80</w:t>
      </w:r>
    </w:p>
    <w:p w14:paraId="566CE809" w14:textId="77777777" w:rsidR="003451F2" w:rsidRPr="00CE6E5F" w:rsidRDefault="003451F2">
      <w:pPr>
        <w:rPr>
          <w:rFonts w:eastAsia="Times New Roman" w:cs="Times New Roman"/>
        </w:rPr>
      </w:pPr>
      <w:r w:rsidRPr="00CE6E5F">
        <w:rPr>
          <w:rFonts w:eastAsia="Times New Roman" w:cs="Times New Roman"/>
        </w:rPr>
        <w:t>Injekcinis vanduo</w:t>
      </w:r>
    </w:p>
    <w:p w14:paraId="2B0E727E" w14:textId="77777777" w:rsidR="003451F2" w:rsidRPr="00CE6E5F" w:rsidRDefault="003451F2">
      <w:pPr>
        <w:rPr>
          <w:rFonts w:eastAsia="Times New Roman" w:cs="Times New Roman"/>
        </w:rPr>
      </w:pPr>
    </w:p>
    <w:p w14:paraId="644B21B7" w14:textId="77777777" w:rsidR="003451F2" w:rsidRPr="00CE6E5F" w:rsidRDefault="003451F2">
      <w:pPr>
        <w:rPr>
          <w:rFonts w:eastAsia="Times New Roman" w:cs="Times New Roman"/>
        </w:rPr>
      </w:pPr>
    </w:p>
    <w:p w14:paraId="3159506F"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4.</w:t>
      </w:r>
      <w:r w:rsidRPr="00CE6E5F">
        <w:rPr>
          <w:rFonts w:eastAsia="Times New Roman" w:cs="Times New Roman"/>
          <w:b/>
          <w:bCs/>
        </w:rPr>
        <w:tab/>
        <w:t>FARMACINĖ FORMA IR KIEKIS PAKUOTĖJE</w:t>
      </w:r>
    </w:p>
    <w:p w14:paraId="4A6F7BD4" w14:textId="77777777" w:rsidR="003451F2" w:rsidRPr="00CE6E5F" w:rsidRDefault="003451F2">
      <w:pPr>
        <w:keepNext/>
        <w:keepLines/>
        <w:rPr>
          <w:rFonts w:eastAsia="Times New Roman" w:cs="Times New Roman"/>
        </w:rPr>
      </w:pPr>
    </w:p>
    <w:p w14:paraId="31EE5520" w14:textId="77777777" w:rsidR="003451F2" w:rsidRPr="00CE6E5F" w:rsidRDefault="003451F2">
      <w:pPr>
        <w:rPr>
          <w:rFonts w:eastAsia="Times New Roman" w:cs="Times New Roman"/>
          <w:lang w:eastAsia="de-DE"/>
        </w:rPr>
      </w:pPr>
      <w:r w:rsidRPr="00CE6E5F">
        <w:rPr>
          <w:rFonts w:eastAsia="Times New Roman" w:cs="Times New Roman"/>
          <w:highlight w:val="lightGray"/>
          <w:lang w:eastAsia="de-DE"/>
        </w:rPr>
        <w:t>injekcinis tirpalas</w:t>
      </w:r>
    </w:p>
    <w:p w14:paraId="1F446FB0" w14:textId="77777777" w:rsidR="003451F2" w:rsidRPr="00CE6E5F" w:rsidRDefault="003451F2">
      <w:pPr>
        <w:rPr>
          <w:rFonts w:eastAsia="Times New Roman" w:cs="Times New Roman"/>
          <w:lang w:eastAsia="de-DE"/>
        </w:rPr>
      </w:pPr>
    </w:p>
    <w:p w14:paraId="1F7D7C38" w14:textId="77777777" w:rsidR="003451F2" w:rsidRPr="00CE6E5F" w:rsidRDefault="003451F2">
      <w:pPr>
        <w:rPr>
          <w:rFonts w:eastAsia="Times New Roman" w:cs="Times New Roman"/>
          <w:i/>
        </w:rPr>
      </w:pPr>
      <w:r w:rsidRPr="00CE6E5F">
        <w:rPr>
          <w:rFonts w:eastAsia="Times New Roman" w:cs="Times New Roman"/>
        </w:rPr>
        <w:t>1 x 6 ml</w:t>
      </w:r>
    </w:p>
    <w:p w14:paraId="2C133C8C" w14:textId="77777777" w:rsidR="003451F2" w:rsidRDefault="003451F2">
      <w:pPr>
        <w:shd w:val="clear" w:color="auto" w:fill="BFBFBF"/>
        <w:rPr>
          <w:rFonts w:eastAsia="Times New Roman" w:cs="Times New Roman"/>
        </w:rPr>
      </w:pPr>
      <w:r w:rsidRPr="00CE6E5F">
        <w:rPr>
          <w:rFonts w:eastAsia="Times New Roman" w:cs="Times New Roman"/>
        </w:rPr>
        <w:t>10 x 6 ml</w:t>
      </w:r>
    </w:p>
    <w:p w14:paraId="79069648" w14:textId="4D9240BB" w:rsidR="006D316C" w:rsidRPr="00CE6E5F" w:rsidRDefault="006D316C">
      <w:pPr>
        <w:shd w:val="clear" w:color="auto" w:fill="BFBFBF"/>
        <w:rPr>
          <w:rFonts w:eastAsia="Times New Roman" w:cs="Times New Roman"/>
          <w:iCs/>
        </w:rPr>
      </w:pPr>
      <w:r>
        <w:rPr>
          <w:rFonts w:eastAsia="Times New Roman" w:cs="Times New Roman"/>
        </w:rPr>
        <w:t>20 x 6</w:t>
      </w:r>
      <w:r w:rsidR="00642204">
        <w:rPr>
          <w:rFonts w:eastAsia="Times New Roman" w:cs="Times New Roman"/>
        </w:rPr>
        <w:t> </w:t>
      </w:r>
      <w:r>
        <w:rPr>
          <w:rFonts w:eastAsia="Times New Roman" w:cs="Times New Roman"/>
        </w:rPr>
        <w:t>ml</w:t>
      </w:r>
    </w:p>
    <w:p w14:paraId="0CC036AE" w14:textId="77777777" w:rsidR="003451F2" w:rsidRPr="00CE6E5F" w:rsidRDefault="003451F2">
      <w:pPr>
        <w:shd w:val="clear" w:color="auto" w:fill="BFBFBF"/>
        <w:rPr>
          <w:rFonts w:eastAsia="Times New Roman" w:cs="Times New Roman"/>
          <w:iCs/>
        </w:rPr>
      </w:pPr>
      <w:r w:rsidRPr="00CE6E5F">
        <w:rPr>
          <w:rFonts w:eastAsia="Times New Roman" w:cs="Times New Roman"/>
        </w:rPr>
        <w:t>1 x 10 ml</w:t>
      </w:r>
    </w:p>
    <w:p w14:paraId="44FE61B1" w14:textId="77777777" w:rsidR="003451F2" w:rsidRDefault="003451F2">
      <w:pPr>
        <w:shd w:val="clear" w:color="auto" w:fill="BFBFBF"/>
        <w:rPr>
          <w:rFonts w:eastAsia="Times New Roman" w:cs="Times New Roman"/>
        </w:rPr>
      </w:pPr>
      <w:r w:rsidRPr="00CE6E5F">
        <w:rPr>
          <w:rFonts w:eastAsia="Times New Roman" w:cs="Times New Roman"/>
        </w:rPr>
        <w:t>10 x 10 ml</w:t>
      </w:r>
    </w:p>
    <w:p w14:paraId="6DF68AC8" w14:textId="7ECA149B" w:rsidR="006D316C" w:rsidRPr="00CE6E5F" w:rsidRDefault="006D316C">
      <w:pPr>
        <w:shd w:val="clear" w:color="auto" w:fill="BFBFBF"/>
        <w:rPr>
          <w:rFonts w:eastAsia="Times New Roman" w:cs="Times New Roman"/>
          <w:iCs/>
        </w:rPr>
      </w:pPr>
      <w:r>
        <w:rPr>
          <w:rFonts w:eastAsia="Times New Roman" w:cs="Times New Roman"/>
        </w:rPr>
        <w:t>20 x 10</w:t>
      </w:r>
      <w:r w:rsidR="00642204">
        <w:rPr>
          <w:rFonts w:eastAsia="Times New Roman" w:cs="Times New Roman"/>
        </w:rPr>
        <w:t> </w:t>
      </w:r>
      <w:r>
        <w:rPr>
          <w:rFonts w:eastAsia="Times New Roman" w:cs="Times New Roman"/>
        </w:rPr>
        <w:t>ml</w:t>
      </w:r>
    </w:p>
    <w:p w14:paraId="2636FF70" w14:textId="77777777" w:rsidR="003451F2" w:rsidRPr="00CE6E5F" w:rsidRDefault="003451F2">
      <w:pPr>
        <w:shd w:val="clear" w:color="auto" w:fill="BFBFBF"/>
        <w:rPr>
          <w:rFonts w:eastAsia="Times New Roman" w:cs="Times New Roman"/>
          <w:iCs/>
          <w:snapToGrid w:val="0"/>
        </w:rPr>
      </w:pPr>
      <w:r w:rsidRPr="00CE6E5F">
        <w:rPr>
          <w:rFonts w:eastAsia="Times New Roman" w:cs="Times New Roman"/>
        </w:rPr>
        <w:t>1 x 12 ml</w:t>
      </w:r>
    </w:p>
    <w:p w14:paraId="26F22B01" w14:textId="77777777" w:rsidR="003451F2" w:rsidRPr="00CE6E5F" w:rsidRDefault="003451F2">
      <w:pPr>
        <w:shd w:val="clear" w:color="auto" w:fill="BFBFBF"/>
        <w:rPr>
          <w:rFonts w:eastAsia="Times New Roman" w:cs="Times New Roman"/>
          <w:iCs/>
        </w:rPr>
      </w:pPr>
      <w:r w:rsidRPr="00CE6E5F">
        <w:rPr>
          <w:rFonts w:eastAsia="Times New Roman" w:cs="Times New Roman"/>
        </w:rPr>
        <w:t>10 x 12 ml</w:t>
      </w:r>
    </w:p>
    <w:p w14:paraId="33688B7F" w14:textId="298573DF" w:rsidR="006D316C" w:rsidRDefault="006D316C">
      <w:pPr>
        <w:shd w:val="clear" w:color="auto" w:fill="BFBFBF"/>
        <w:rPr>
          <w:rFonts w:eastAsia="Times New Roman" w:cs="Times New Roman"/>
        </w:rPr>
      </w:pPr>
      <w:r>
        <w:rPr>
          <w:rFonts w:eastAsia="Times New Roman" w:cs="Times New Roman"/>
        </w:rPr>
        <w:t>20 x 12</w:t>
      </w:r>
      <w:r w:rsidR="00642204">
        <w:rPr>
          <w:rFonts w:eastAsia="Times New Roman" w:cs="Times New Roman"/>
        </w:rPr>
        <w:t> </w:t>
      </w:r>
      <w:r>
        <w:rPr>
          <w:rFonts w:eastAsia="Times New Roman" w:cs="Times New Roman"/>
        </w:rPr>
        <w:t>ml</w:t>
      </w:r>
    </w:p>
    <w:p w14:paraId="4CBC6193" w14:textId="77777777" w:rsidR="003451F2" w:rsidRPr="00CE6E5F" w:rsidRDefault="003451F2">
      <w:pPr>
        <w:shd w:val="clear" w:color="auto" w:fill="BFBFBF"/>
        <w:rPr>
          <w:rFonts w:eastAsia="Times New Roman" w:cs="Times New Roman"/>
          <w:iCs/>
        </w:rPr>
      </w:pPr>
      <w:r w:rsidRPr="00CE6E5F">
        <w:rPr>
          <w:rFonts w:eastAsia="Times New Roman" w:cs="Times New Roman"/>
        </w:rPr>
        <w:t>1 x 20 ml</w:t>
      </w:r>
    </w:p>
    <w:p w14:paraId="71F82774" w14:textId="77777777" w:rsidR="003451F2" w:rsidRDefault="003451F2">
      <w:pPr>
        <w:shd w:val="clear" w:color="auto" w:fill="BFBFBF"/>
        <w:rPr>
          <w:rFonts w:eastAsia="Times New Roman" w:cs="Times New Roman"/>
        </w:rPr>
      </w:pPr>
      <w:r w:rsidRPr="00CE6E5F">
        <w:rPr>
          <w:rFonts w:eastAsia="Times New Roman" w:cs="Times New Roman"/>
        </w:rPr>
        <w:t>10 x 20 ml</w:t>
      </w:r>
    </w:p>
    <w:p w14:paraId="580E9249" w14:textId="7FBB0BB3" w:rsidR="006D316C" w:rsidRPr="00CE6E5F" w:rsidRDefault="006D316C">
      <w:pPr>
        <w:shd w:val="clear" w:color="auto" w:fill="BFBFBF"/>
        <w:rPr>
          <w:rFonts w:eastAsia="Times New Roman" w:cs="Times New Roman"/>
          <w:iCs/>
        </w:rPr>
      </w:pPr>
      <w:r>
        <w:rPr>
          <w:rFonts w:eastAsia="Times New Roman" w:cs="Times New Roman"/>
        </w:rPr>
        <w:t>20 x 20</w:t>
      </w:r>
      <w:r w:rsidR="00642204">
        <w:rPr>
          <w:rFonts w:eastAsia="Times New Roman" w:cs="Times New Roman"/>
        </w:rPr>
        <w:t> </w:t>
      </w:r>
      <w:r>
        <w:rPr>
          <w:rFonts w:eastAsia="Times New Roman" w:cs="Times New Roman"/>
        </w:rPr>
        <w:t>ml</w:t>
      </w:r>
    </w:p>
    <w:p w14:paraId="420EF22E" w14:textId="77777777" w:rsidR="003451F2" w:rsidRPr="00CE6E5F" w:rsidRDefault="003451F2">
      <w:pPr>
        <w:shd w:val="clear" w:color="auto" w:fill="BFBFBF"/>
        <w:rPr>
          <w:rFonts w:eastAsia="Times New Roman" w:cs="Times New Roman"/>
          <w:iCs/>
        </w:rPr>
      </w:pPr>
      <w:r w:rsidRPr="00CE6E5F">
        <w:rPr>
          <w:rFonts w:eastAsia="Times New Roman" w:cs="Times New Roman"/>
        </w:rPr>
        <w:t>1 x 24 ml</w:t>
      </w:r>
    </w:p>
    <w:p w14:paraId="526DAB9F" w14:textId="77777777" w:rsidR="006D316C" w:rsidRDefault="003451F2">
      <w:pPr>
        <w:shd w:val="clear" w:color="auto" w:fill="BFBFBF"/>
        <w:rPr>
          <w:rFonts w:eastAsia="Times New Roman" w:cs="Times New Roman"/>
        </w:rPr>
      </w:pPr>
      <w:r w:rsidRPr="00CE6E5F">
        <w:rPr>
          <w:rFonts w:eastAsia="Times New Roman" w:cs="Times New Roman"/>
        </w:rPr>
        <w:t>10 x 24 ml</w:t>
      </w:r>
    </w:p>
    <w:p w14:paraId="545DD597" w14:textId="45BCBC20" w:rsidR="003451F2" w:rsidRPr="00CE6E5F" w:rsidRDefault="006D316C">
      <w:pPr>
        <w:shd w:val="clear" w:color="auto" w:fill="BFBFBF"/>
        <w:rPr>
          <w:rFonts w:eastAsia="Times New Roman" w:cs="Times New Roman"/>
          <w:iCs/>
        </w:rPr>
      </w:pPr>
      <w:r>
        <w:rPr>
          <w:rFonts w:eastAsia="Times New Roman" w:cs="Times New Roman"/>
        </w:rPr>
        <w:t>20 x 24</w:t>
      </w:r>
      <w:r w:rsidR="00642204">
        <w:rPr>
          <w:rFonts w:eastAsia="Times New Roman" w:cs="Times New Roman"/>
        </w:rPr>
        <w:t> </w:t>
      </w:r>
      <w:r>
        <w:rPr>
          <w:rFonts w:eastAsia="Times New Roman" w:cs="Times New Roman"/>
        </w:rPr>
        <w:t>ml</w:t>
      </w:r>
    </w:p>
    <w:p w14:paraId="2ED7F219" w14:textId="77777777" w:rsidR="003451F2" w:rsidRPr="00CE6E5F" w:rsidRDefault="003451F2">
      <w:pPr>
        <w:shd w:val="clear" w:color="auto" w:fill="BFBFBF"/>
        <w:rPr>
          <w:rFonts w:eastAsia="Times New Roman" w:cs="Times New Roman"/>
          <w:iCs/>
        </w:rPr>
      </w:pPr>
      <w:r w:rsidRPr="00CE6E5F">
        <w:rPr>
          <w:rFonts w:eastAsia="Times New Roman" w:cs="Times New Roman"/>
        </w:rPr>
        <w:t>1 x 48 ml</w:t>
      </w:r>
    </w:p>
    <w:p w14:paraId="2D6F86AB" w14:textId="77777777" w:rsidR="003451F2" w:rsidRDefault="003451F2">
      <w:pPr>
        <w:shd w:val="clear" w:color="auto" w:fill="BFBFBF"/>
        <w:rPr>
          <w:rFonts w:eastAsia="Times New Roman" w:cs="Times New Roman"/>
        </w:rPr>
      </w:pPr>
      <w:r w:rsidRPr="00CE6E5F">
        <w:rPr>
          <w:rFonts w:eastAsia="Times New Roman" w:cs="Times New Roman"/>
        </w:rPr>
        <w:t>10 x 48 ml</w:t>
      </w:r>
    </w:p>
    <w:p w14:paraId="2A8E22F1" w14:textId="7489F941" w:rsidR="006D316C" w:rsidRPr="00CE6E5F" w:rsidRDefault="006D316C">
      <w:pPr>
        <w:shd w:val="clear" w:color="auto" w:fill="BFBFBF"/>
        <w:rPr>
          <w:rFonts w:eastAsia="Times New Roman" w:cs="Times New Roman"/>
          <w:iCs/>
        </w:rPr>
      </w:pPr>
      <w:r>
        <w:rPr>
          <w:rFonts w:eastAsia="Times New Roman" w:cs="Times New Roman"/>
        </w:rPr>
        <w:t>20 x 48</w:t>
      </w:r>
      <w:r w:rsidR="00642204">
        <w:rPr>
          <w:rFonts w:eastAsia="Times New Roman" w:cs="Times New Roman"/>
        </w:rPr>
        <w:t> </w:t>
      </w:r>
      <w:r>
        <w:rPr>
          <w:rFonts w:eastAsia="Times New Roman" w:cs="Times New Roman"/>
        </w:rPr>
        <w:t>ml</w:t>
      </w:r>
    </w:p>
    <w:p w14:paraId="29DF42B5" w14:textId="77777777" w:rsidR="003451F2" w:rsidRPr="00CE6E5F" w:rsidRDefault="003451F2">
      <w:pPr>
        <w:rPr>
          <w:rFonts w:eastAsia="Times New Roman" w:cs="Times New Roman"/>
          <w:lang w:eastAsia="de-DE"/>
        </w:rPr>
      </w:pPr>
    </w:p>
    <w:p w14:paraId="750ED458" w14:textId="77777777" w:rsidR="003451F2" w:rsidRPr="00CE6E5F" w:rsidRDefault="003451F2">
      <w:pPr>
        <w:rPr>
          <w:rFonts w:eastAsia="Times New Roman" w:cs="Times New Roman"/>
          <w:lang w:eastAsia="de-DE"/>
        </w:rPr>
      </w:pPr>
    </w:p>
    <w:p w14:paraId="54F535D2"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lastRenderedPageBreak/>
        <w:t>5.</w:t>
      </w:r>
      <w:r w:rsidRPr="00CE6E5F">
        <w:rPr>
          <w:rFonts w:eastAsia="Times New Roman" w:cs="Times New Roman"/>
          <w:b/>
          <w:bCs/>
        </w:rPr>
        <w:tab/>
        <w:t>VARTOJIMO METODAS IR BŪDAS (-AI)</w:t>
      </w:r>
    </w:p>
    <w:p w14:paraId="5E1E8AE2" w14:textId="77777777" w:rsidR="003451F2" w:rsidRPr="00CE6E5F" w:rsidRDefault="003451F2">
      <w:pPr>
        <w:keepNext/>
        <w:keepLines/>
        <w:rPr>
          <w:rFonts w:eastAsia="Times New Roman" w:cs="Times New Roman"/>
        </w:rPr>
      </w:pPr>
    </w:p>
    <w:p w14:paraId="54C2F8E3" w14:textId="77777777" w:rsidR="003451F2" w:rsidRPr="00CE6E5F" w:rsidRDefault="003451F2">
      <w:pPr>
        <w:rPr>
          <w:rFonts w:eastAsia="Times New Roman" w:cs="Times New Roman"/>
        </w:rPr>
      </w:pPr>
      <w:r w:rsidRPr="00CE6E5F">
        <w:rPr>
          <w:rFonts w:eastAsia="Times New Roman" w:cs="Times New Roman"/>
        </w:rPr>
        <w:t>Prieš vartojimą perskaitykite pakuotės lapelį.</w:t>
      </w:r>
    </w:p>
    <w:p w14:paraId="56D2EECF" w14:textId="77777777" w:rsidR="003451F2" w:rsidRPr="00CE6E5F" w:rsidRDefault="003451F2">
      <w:pPr>
        <w:rPr>
          <w:rFonts w:eastAsia="Times New Roman" w:cs="Times New Roman"/>
        </w:rPr>
      </w:pPr>
      <w:r w:rsidRPr="00CE6E5F">
        <w:rPr>
          <w:rFonts w:eastAsia="Times New Roman" w:cs="Times New Roman"/>
        </w:rPr>
        <w:t>Leisti po oda.</w:t>
      </w:r>
    </w:p>
    <w:p w14:paraId="75206CF0" w14:textId="77777777" w:rsidR="003451F2" w:rsidRPr="00CE6E5F" w:rsidRDefault="003451F2">
      <w:pPr>
        <w:rPr>
          <w:rFonts w:eastAsia="Times New Roman" w:cs="Times New Roman"/>
        </w:rPr>
      </w:pPr>
    </w:p>
    <w:p w14:paraId="7800290C" w14:textId="77777777" w:rsidR="003451F2" w:rsidRPr="00CE6E5F" w:rsidRDefault="003451F2">
      <w:pPr>
        <w:rPr>
          <w:rFonts w:eastAsia="Times New Roman" w:cs="Times New Roman"/>
        </w:rPr>
      </w:pPr>
    </w:p>
    <w:p w14:paraId="3933A6EC"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6.</w:t>
      </w:r>
      <w:r w:rsidRPr="00CE6E5F">
        <w:rPr>
          <w:rFonts w:eastAsia="Times New Roman" w:cs="Times New Roman"/>
          <w:b/>
          <w:bCs/>
        </w:rPr>
        <w:tab/>
        <w:t>SPECIALUS ĮSPĖJIMAS, KAD VAISTINĮ PREPARATĄ BŪTINA LAIKYTI VAIKAMS NEPASTEBIMOJE IR NEPASIEKIAMOJE VIETOJE</w:t>
      </w:r>
    </w:p>
    <w:p w14:paraId="0D97856D" w14:textId="77777777" w:rsidR="003451F2" w:rsidRPr="00CE6E5F" w:rsidRDefault="003451F2">
      <w:pPr>
        <w:keepNext/>
        <w:keepLines/>
        <w:rPr>
          <w:rFonts w:eastAsia="Times New Roman" w:cs="Times New Roman"/>
        </w:rPr>
      </w:pPr>
    </w:p>
    <w:p w14:paraId="08E66A56" w14:textId="77777777" w:rsidR="003451F2" w:rsidRPr="00CE6E5F" w:rsidRDefault="003451F2">
      <w:pPr>
        <w:outlineLvl w:val="0"/>
        <w:rPr>
          <w:rFonts w:eastAsia="Times New Roman" w:cs="Times New Roman"/>
        </w:rPr>
      </w:pPr>
      <w:r w:rsidRPr="00CE6E5F">
        <w:rPr>
          <w:rFonts w:eastAsia="Times New Roman" w:cs="Times New Roman"/>
        </w:rPr>
        <w:t>Laikyti vaikams nepastebimoje ir nepasiekiamoje vietoje.</w:t>
      </w:r>
    </w:p>
    <w:p w14:paraId="0A8A2084" w14:textId="77777777" w:rsidR="003451F2" w:rsidRPr="00CE6E5F" w:rsidRDefault="003451F2">
      <w:pPr>
        <w:rPr>
          <w:rFonts w:eastAsia="Times New Roman" w:cs="Times New Roman"/>
        </w:rPr>
      </w:pPr>
    </w:p>
    <w:p w14:paraId="700E0F10" w14:textId="77777777" w:rsidR="003451F2" w:rsidRPr="00CE6E5F" w:rsidRDefault="003451F2">
      <w:pPr>
        <w:rPr>
          <w:rFonts w:eastAsia="Times New Roman" w:cs="Times New Roman"/>
        </w:rPr>
      </w:pPr>
    </w:p>
    <w:p w14:paraId="6664D1F8"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7.</w:t>
      </w:r>
      <w:r w:rsidRPr="00CE6E5F">
        <w:rPr>
          <w:rFonts w:eastAsia="Times New Roman" w:cs="Times New Roman"/>
          <w:b/>
          <w:bCs/>
        </w:rPr>
        <w:tab/>
        <w:t>KITAS (-I) SPECIALUS (-ŪS) ĮSPĖJIMAS (-AI) (JEI REIKIA)</w:t>
      </w:r>
    </w:p>
    <w:p w14:paraId="44D80C5B" w14:textId="77777777" w:rsidR="003451F2" w:rsidRPr="00CE6E5F" w:rsidRDefault="003451F2">
      <w:pPr>
        <w:keepNext/>
        <w:keepLines/>
        <w:rPr>
          <w:rFonts w:eastAsia="Times New Roman" w:cs="Times New Roman"/>
        </w:rPr>
      </w:pPr>
    </w:p>
    <w:p w14:paraId="2F5EE32A" w14:textId="02F5A9F0" w:rsidR="003451F2" w:rsidRPr="00CE6E5F" w:rsidRDefault="003451F2">
      <w:pPr>
        <w:rPr>
          <w:rFonts w:eastAsia="Times New Roman" w:cs="Times New Roman"/>
          <w:lang w:eastAsia="de-DE"/>
        </w:rPr>
      </w:pPr>
      <w:r w:rsidRPr="00CE6E5F">
        <w:rPr>
          <w:rFonts w:eastAsia="Times New Roman" w:cs="Times New Roman"/>
          <w:lang w:eastAsia="de-DE"/>
        </w:rPr>
        <w:t xml:space="preserve">Didžiausias </w:t>
      </w:r>
      <w:proofErr w:type="spellStart"/>
      <w:r w:rsidRPr="00CE6E5F">
        <w:rPr>
          <w:rFonts w:eastAsia="Times New Roman" w:cs="Times New Roman"/>
          <w:lang w:eastAsia="de-DE"/>
        </w:rPr>
        <w:t>IgA</w:t>
      </w:r>
      <w:proofErr w:type="spellEnd"/>
      <w:r w:rsidRPr="00CE6E5F">
        <w:rPr>
          <w:rFonts w:eastAsia="Times New Roman" w:cs="Times New Roman"/>
          <w:lang w:eastAsia="de-DE"/>
        </w:rPr>
        <w:t xml:space="preserve"> kiekis</w:t>
      </w:r>
      <w:r w:rsidR="004B17DB">
        <w:rPr>
          <w:rFonts w:eastAsia="Times New Roman" w:cs="Times New Roman"/>
          <w:lang w:eastAsia="de-DE"/>
        </w:rPr>
        <w:t xml:space="preserve"> yra</w:t>
      </w:r>
      <w:r w:rsidRPr="00CE6E5F">
        <w:rPr>
          <w:rFonts w:eastAsia="Times New Roman" w:cs="Times New Roman"/>
          <w:lang w:eastAsia="de-DE"/>
        </w:rPr>
        <w:t xml:space="preserve"> </w:t>
      </w:r>
      <w:r w:rsidR="009D4DEF">
        <w:rPr>
          <w:rFonts w:eastAsia="Times New Roman" w:cs="Times New Roman"/>
          <w:lang w:eastAsia="de-DE"/>
        </w:rPr>
        <w:t>300</w:t>
      </w:r>
      <w:r w:rsidR="009D4DEF" w:rsidRPr="00CE6E5F">
        <w:rPr>
          <w:rFonts w:ascii="Helvetica" w:eastAsia="Times New Roman" w:hAnsi="Helvetica" w:cs="Times New Roman"/>
          <w:lang w:eastAsia="de-DE"/>
        </w:rPr>
        <w:t> </w:t>
      </w:r>
      <w:r w:rsidRPr="00CE6E5F">
        <w:rPr>
          <w:rFonts w:eastAsia="Times New Roman" w:cs="Times New Roman"/>
          <w:lang w:eastAsia="de-DE"/>
        </w:rPr>
        <w:t>µg/ml</w:t>
      </w:r>
    </w:p>
    <w:p w14:paraId="663D8F82" w14:textId="77777777" w:rsidR="003451F2" w:rsidRPr="00CE6E5F" w:rsidRDefault="003451F2">
      <w:pPr>
        <w:rPr>
          <w:rFonts w:eastAsia="Times New Roman" w:cs="Times New Roman"/>
        </w:rPr>
      </w:pPr>
    </w:p>
    <w:p w14:paraId="62B7527B" w14:textId="77777777" w:rsidR="003451F2" w:rsidRPr="00CE6E5F" w:rsidRDefault="003451F2">
      <w:pPr>
        <w:rPr>
          <w:rFonts w:eastAsia="Times New Roman" w:cs="Times New Roman"/>
        </w:rPr>
      </w:pPr>
    </w:p>
    <w:p w14:paraId="2DE413DF"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8.</w:t>
      </w:r>
      <w:r w:rsidRPr="00CE6E5F">
        <w:rPr>
          <w:rFonts w:eastAsia="Times New Roman" w:cs="Times New Roman"/>
          <w:b/>
          <w:bCs/>
        </w:rPr>
        <w:tab/>
        <w:t>TINKAMUMO LAIKAS</w:t>
      </w:r>
    </w:p>
    <w:p w14:paraId="21DB2E07" w14:textId="77777777" w:rsidR="003451F2" w:rsidRPr="00CE6E5F" w:rsidRDefault="003451F2">
      <w:pPr>
        <w:keepNext/>
        <w:keepLines/>
        <w:rPr>
          <w:rFonts w:eastAsia="Times New Roman" w:cs="Times New Roman"/>
        </w:rPr>
      </w:pPr>
    </w:p>
    <w:p w14:paraId="7081781D" w14:textId="561877FD" w:rsidR="003451F2" w:rsidRPr="00CE6E5F" w:rsidRDefault="00316E67">
      <w:pPr>
        <w:rPr>
          <w:rFonts w:eastAsia="Times New Roman" w:cs="Times New Roman"/>
        </w:rPr>
      </w:pPr>
      <w:r>
        <w:rPr>
          <w:rFonts w:eastAsia="Times New Roman" w:cs="Times New Roman"/>
        </w:rPr>
        <w:t>EXP</w:t>
      </w:r>
      <w:r w:rsidR="003764AA">
        <w:rPr>
          <w:rFonts w:eastAsia="Times New Roman" w:cs="Times New Roman"/>
        </w:rPr>
        <w:t xml:space="preserve"> </w:t>
      </w:r>
      <w:r w:rsidR="00C67081">
        <w:rPr>
          <w:rFonts w:eastAsia="Times New Roman" w:cs="Times New Roman"/>
        </w:rPr>
        <w:t>{</w:t>
      </w:r>
      <w:r w:rsidR="003764AA">
        <w:rPr>
          <w:rFonts w:eastAsia="Times New Roman" w:cs="Times New Roman"/>
        </w:rPr>
        <w:t>mm/MMMM</w:t>
      </w:r>
      <w:r w:rsidR="00C67081">
        <w:rPr>
          <w:rFonts w:eastAsia="Times New Roman" w:cs="Times New Roman"/>
        </w:rPr>
        <w:t>}</w:t>
      </w:r>
    </w:p>
    <w:p w14:paraId="31E9EBDE" w14:textId="77777777" w:rsidR="003451F2" w:rsidRPr="00CE6E5F" w:rsidRDefault="003451F2">
      <w:pPr>
        <w:rPr>
          <w:rFonts w:eastAsia="Times New Roman" w:cs="Times New Roman"/>
        </w:rPr>
      </w:pPr>
    </w:p>
    <w:p w14:paraId="760A7CE3" w14:textId="77777777" w:rsidR="003451F2" w:rsidRPr="00CE6E5F" w:rsidRDefault="003451F2">
      <w:pPr>
        <w:rPr>
          <w:rFonts w:eastAsia="Times New Roman" w:cs="Times New Roman"/>
        </w:rPr>
      </w:pPr>
    </w:p>
    <w:p w14:paraId="0B65F71F"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9.</w:t>
      </w:r>
      <w:r w:rsidRPr="00CE6E5F">
        <w:rPr>
          <w:rFonts w:eastAsia="Times New Roman" w:cs="Times New Roman"/>
          <w:b/>
          <w:bCs/>
        </w:rPr>
        <w:tab/>
        <w:t>SPECIALIOS LAIKYMO SĄLYGOS</w:t>
      </w:r>
    </w:p>
    <w:p w14:paraId="61C60E0B" w14:textId="77777777" w:rsidR="003451F2" w:rsidRPr="00CE6E5F" w:rsidRDefault="003451F2">
      <w:pPr>
        <w:keepNext/>
        <w:keepLines/>
        <w:rPr>
          <w:rFonts w:eastAsia="Times New Roman" w:cs="Times New Roman"/>
        </w:rPr>
      </w:pPr>
    </w:p>
    <w:p w14:paraId="0615952A" w14:textId="77777777" w:rsidR="003451F2" w:rsidRPr="00CE6E5F" w:rsidRDefault="003451F2">
      <w:pPr>
        <w:tabs>
          <w:tab w:val="left" w:pos="1766"/>
        </w:tabs>
        <w:rPr>
          <w:rFonts w:eastAsia="Times New Roman" w:cs="Times New Roman"/>
        </w:rPr>
      </w:pPr>
      <w:r w:rsidRPr="00CE6E5F">
        <w:rPr>
          <w:rFonts w:eastAsia="Times New Roman" w:cs="Times New Roman"/>
        </w:rPr>
        <w:t>Laikyti šaldytuve. Negalima užšaldyti.</w:t>
      </w:r>
    </w:p>
    <w:p w14:paraId="05082595" w14:textId="77777777" w:rsidR="003451F2" w:rsidRDefault="003451F2">
      <w:pPr>
        <w:tabs>
          <w:tab w:val="left" w:pos="1766"/>
        </w:tabs>
        <w:rPr>
          <w:rFonts w:eastAsia="Times New Roman" w:cs="Times New Roman"/>
        </w:rPr>
      </w:pPr>
      <w:r w:rsidRPr="00CE6E5F">
        <w:rPr>
          <w:rFonts w:eastAsia="Times New Roman" w:cs="Times New Roman"/>
        </w:rPr>
        <w:t>Flakoną laikyti išorinėje dėžutėje, kad vaistas būtų apsaugotas nuo šviesos.</w:t>
      </w:r>
    </w:p>
    <w:p w14:paraId="249676E2" w14:textId="4F10AFF2" w:rsidR="006D316C" w:rsidRPr="00CE6E5F" w:rsidRDefault="00176578">
      <w:pPr>
        <w:tabs>
          <w:tab w:val="left" w:pos="1766"/>
        </w:tabs>
        <w:rPr>
          <w:rFonts w:eastAsia="Times New Roman" w:cs="Times New Roman"/>
        </w:rPr>
      </w:pPr>
      <w:r>
        <w:t>Vaistą</w:t>
      </w:r>
      <w:r w:rsidR="006D316C" w:rsidRPr="00C020BF">
        <w:t xml:space="preserve"> iki tinkamumo laiko pabaigos </w:t>
      </w:r>
      <w:r w:rsidR="006D316C">
        <w:t>kambario temperatūroje (</w:t>
      </w:r>
      <w:r w:rsidR="006D316C" w:rsidRPr="00C020BF">
        <w:t>ne aukštesnėje kaip 25</w:t>
      </w:r>
      <w:r w:rsidR="006D316C">
        <w:t> </w:t>
      </w:r>
      <w:r w:rsidR="006D316C" w:rsidRPr="00C020BF">
        <w:t>°C</w:t>
      </w:r>
      <w:r w:rsidR="006D316C">
        <w:t>)</w:t>
      </w:r>
      <w:r w:rsidR="006D316C" w:rsidRPr="00C020BF">
        <w:t xml:space="preserve"> galima laikyti ne ilgiau kaip </w:t>
      </w:r>
      <w:r w:rsidR="009D4DEF">
        <w:t>9 </w:t>
      </w:r>
      <w:r w:rsidR="006D316C" w:rsidRPr="00C020BF">
        <w:t xml:space="preserve">mėnesius; šiuo laikotarpiu </w:t>
      </w:r>
      <w:r>
        <w:t>vaisto</w:t>
      </w:r>
      <w:r w:rsidR="006D316C" w:rsidRPr="00C020BF">
        <w:t xml:space="preserve"> vėl dėti į šaldytuvą negalima, </w:t>
      </w:r>
      <w:r w:rsidR="006D316C">
        <w:t>o jam pasibaigus</w:t>
      </w:r>
      <w:r w:rsidR="005C66B6">
        <w:t xml:space="preserve"> -</w:t>
      </w:r>
      <w:r w:rsidR="006D316C" w:rsidRPr="00C020BF">
        <w:t xml:space="preserve"> nesuvartotą </w:t>
      </w:r>
      <w:r>
        <w:t>vaistą</w:t>
      </w:r>
      <w:r w:rsidR="006D316C" w:rsidRPr="00C020BF">
        <w:t xml:space="preserve"> reikia sunaikinti.</w:t>
      </w:r>
    </w:p>
    <w:p w14:paraId="3B5B86F5" w14:textId="77777777" w:rsidR="003451F2" w:rsidRPr="00CE6E5F" w:rsidRDefault="003451F2">
      <w:pPr>
        <w:tabs>
          <w:tab w:val="left" w:pos="1766"/>
        </w:tabs>
        <w:rPr>
          <w:rFonts w:eastAsia="Times New Roman" w:cs="Times New Roman"/>
        </w:rPr>
      </w:pPr>
    </w:p>
    <w:p w14:paraId="41552A17" w14:textId="77777777" w:rsidR="003451F2" w:rsidRPr="00CE6E5F" w:rsidRDefault="003451F2">
      <w:pPr>
        <w:ind w:left="567" w:hanging="567"/>
        <w:rPr>
          <w:rFonts w:eastAsia="Times New Roman" w:cs="Times New Roman"/>
        </w:rPr>
      </w:pPr>
    </w:p>
    <w:p w14:paraId="7B3C79F6"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10.</w:t>
      </w:r>
      <w:r w:rsidRPr="00CE6E5F">
        <w:rPr>
          <w:rFonts w:eastAsia="Times New Roman" w:cs="Times New Roman"/>
          <w:b/>
          <w:bCs/>
        </w:rPr>
        <w:tab/>
        <w:t>SPECIALIOS ATSARGUMO PRIEMONĖS DĖL NESUVARTOTO VAISTINIO PREPARATO AR JO ATLIEKŲ TVARKYMO (JEI REIKIA)</w:t>
      </w:r>
    </w:p>
    <w:p w14:paraId="5A1FC8C1" w14:textId="77777777" w:rsidR="003451F2" w:rsidRPr="00CE6E5F" w:rsidRDefault="003451F2">
      <w:pPr>
        <w:keepNext/>
        <w:keepLines/>
        <w:rPr>
          <w:rFonts w:eastAsia="Times New Roman" w:cs="Times New Roman"/>
        </w:rPr>
      </w:pPr>
    </w:p>
    <w:p w14:paraId="10656DA8" w14:textId="77777777" w:rsidR="003451F2" w:rsidRPr="00CE6E5F" w:rsidRDefault="003451F2">
      <w:pPr>
        <w:rPr>
          <w:rFonts w:eastAsia="Times New Roman" w:cs="Times New Roman"/>
        </w:rPr>
      </w:pPr>
    </w:p>
    <w:p w14:paraId="1E2C7BD5"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11.</w:t>
      </w:r>
      <w:r w:rsidRPr="00CE6E5F">
        <w:rPr>
          <w:rFonts w:eastAsia="Times New Roman" w:cs="Times New Roman"/>
          <w:b/>
          <w:bCs/>
        </w:rPr>
        <w:tab/>
        <w:t>REGISTRUOTOJO PAVADINIMAS IR ADRESAS</w:t>
      </w:r>
    </w:p>
    <w:p w14:paraId="2B975DE4" w14:textId="77777777" w:rsidR="003451F2" w:rsidRPr="00CE6E5F" w:rsidRDefault="003451F2">
      <w:pPr>
        <w:keepNext/>
        <w:keepLines/>
        <w:rPr>
          <w:rFonts w:eastAsia="Times New Roman" w:cs="Times New Roman"/>
        </w:rPr>
      </w:pPr>
    </w:p>
    <w:p w14:paraId="68F9C08D" w14:textId="77777777" w:rsidR="003451F2" w:rsidRPr="00CE6E5F" w:rsidRDefault="003451F2">
      <w:pPr>
        <w:rPr>
          <w:rFonts w:eastAsia="Times New Roman" w:cs="Times New Roman"/>
        </w:rPr>
      </w:pPr>
      <w:proofErr w:type="spellStart"/>
      <w:r w:rsidRPr="00CE6E5F">
        <w:rPr>
          <w:rFonts w:eastAsia="Times New Roman" w:cs="Times New Roman"/>
        </w:rPr>
        <w:t>Octapharma</w:t>
      </w:r>
      <w:proofErr w:type="spellEnd"/>
      <w:r w:rsidRPr="00CE6E5F">
        <w:rPr>
          <w:rFonts w:eastAsia="Times New Roman" w:cs="Times New Roman"/>
        </w:rPr>
        <w:t xml:space="preserve"> (IP) SPRL</w:t>
      </w:r>
    </w:p>
    <w:p w14:paraId="505CE16D" w14:textId="2327EFBE" w:rsidR="00984B4D" w:rsidRPr="00CE6E5F" w:rsidRDefault="00DE0442">
      <w:pPr>
        <w:pStyle w:val="Default"/>
        <w:rPr>
          <w:sz w:val="22"/>
          <w:szCs w:val="22"/>
          <w:lang w:val="lt-LT"/>
        </w:rPr>
      </w:pPr>
      <w:proofErr w:type="spellStart"/>
      <w:r>
        <w:rPr>
          <w:sz w:val="22"/>
          <w:szCs w:val="22"/>
          <w:lang w:val="lt-LT"/>
        </w:rPr>
        <w:t>Route</w:t>
      </w:r>
      <w:proofErr w:type="spellEnd"/>
      <w:r>
        <w:rPr>
          <w:sz w:val="22"/>
          <w:szCs w:val="22"/>
          <w:lang w:val="lt-LT"/>
        </w:rPr>
        <w:t xml:space="preserve"> de </w:t>
      </w:r>
      <w:proofErr w:type="spellStart"/>
      <w:r>
        <w:rPr>
          <w:sz w:val="22"/>
          <w:szCs w:val="22"/>
          <w:lang w:val="lt-LT"/>
        </w:rPr>
        <w:t>Lennik</w:t>
      </w:r>
      <w:proofErr w:type="spellEnd"/>
      <w:r>
        <w:rPr>
          <w:sz w:val="22"/>
          <w:szCs w:val="22"/>
          <w:lang w:val="lt-LT"/>
        </w:rPr>
        <w:t xml:space="preserve"> 451</w:t>
      </w:r>
    </w:p>
    <w:p w14:paraId="1640E446" w14:textId="77777777" w:rsidR="00984B4D" w:rsidRPr="00CE6E5F" w:rsidRDefault="00984B4D">
      <w:pPr>
        <w:pStyle w:val="Default"/>
        <w:rPr>
          <w:sz w:val="22"/>
          <w:szCs w:val="22"/>
          <w:lang w:val="lt-LT"/>
        </w:rPr>
      </w:pPr>
      <w:r w:rsidRPr="00CE6E5F">
        <w:rPr>
          <w:sz w:val="22"/>
          <w:szCs w:val="22"/>
          <w:lang w:val="lt-LT"/>
        </w:rPr>
        <w:t xml:space="preserve">1070 </w:t>
      </w:r>
      <w:proofErr w:type="spellStart"/>
      <w:r w:rsidRPr="00CE6E5F">
        <w:rPr>
          <w:sz w:val="22"/>
          <w:szCs w:val="22"/>
          <w:lang w:val="lt-LT"/>
        </w:rPr>
        <w:t>Brussels</w:t>
      </w:r>
      <w:proofErr w:type="spellEnd"/>
      <w:r w:rsidRPr="00CE6E5F">
        <w:rPr>
          <w:sz w:val="22"/>
          <w:szCs w:val="22"/>
          <w:lang w:val="lt-LT"/>
        </w:rPr>
        <w:t xml:space="preserve"> (Anderlecht)</w:t>
      </w:r>
    </w:p>
    <w:p w14:paraId="52820474" w14:textId="77777777" w:rsidR="00984B4D" w:rsidRPr="00CE6E5F" w:rsidRDefault="00984B4D">
      <w:pPr>
        <w:rPr>
          <w:rFonts w:eastAsia="Times New Roman" w:cs="Times New Roman"/>
        </w:rPr>
      </w:pPr>
      <w:r w:rsidRPr="00CE6E5F">
        <w:rPr>
          <w:rFonts w:eastAsia="Times New Roman" w:cs="Times New Roman"/>
        </w:rPr>
        <w:t>Belgija</w:t>
      </w:r>
    </w:p>
    <w:p w14:paraId="60F1CABA" w14:textId="77777777" w:rsidR="003451F2" w:rsidRPr="00CE6E5F" w:rsidRDefault="003451F2">
      <w:pPr>
        <w:rPr>
          <w:rFonts w:eastAsia="Times New Roman" w:cs="Times New Roman"/>
        </w:rPr>
      </w:pPr>
    </w:p>
    <w:p w14:paraId="36FB33B0" w14:textId="77777777" w:rsidR="003451F2" w:rsidRPr="00CE6E5F" w:rsidRDefault="003451F2">
      <w:pPr>
        <w:rPr>
          <w:rFonts w:eastAsia="Times New Roman" w:cs="Times New Roman"/>
        </w:rPr>
      </w:pPr>
    </w:p>
    <w:p w14:paraId="5DFAB2EA"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12.</w:t>
      </w:r>
      <w:r w:rsidRPr="00CE6E5F">
        <w:rPr>
          <w:rFonts w:eastAsia="Times New Roman" w:cs="Times New Roman"/>
          <w:b/>
          <w:bCs/>
        </w:rPr>
        <w:tab/>
        <w:t xml:space="preserve">REGISTRACIJOS PAŽYMĖJIMO NUMERIS (-IAI) </w:t>
      </w:r>
    </w:p>
    <w:p w14:paraId="75AE9BE3" w14:textId="77777777" w:rsidR="003451F2" w:rsidRPr="00CE6E5F" w:rsidRDefault="003451F2" w:rsidP="00C07655">
      <w:pPr>
        <w:rPr>
          <w:rFonts w:eastAsia="Times New Roman" w:cs="Times New Roman"/>
        </w:rPr>
      </w:pPr>
    </w:p>
    <w:p w14:paraId="09CDAC8A"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rPr>
        <w:t xml:space="preserve">LT/1/22/4893/001 </w:t>
      </w:r>
      <w:r w:rsidRPr="00A840BC">
        <w:rPr>
          <w:rFonts w:eastAsia="Times New Roman" w:cs="Times New Roman"/>
          <w:shd w:val="clear" w:color="auto" w:fill="D9D9D9" w:themeFill="background1" w:themeFillShade="D9"/>
        </w:rPr>
        <w:t>– 6 ml, N1</w:t>
      </w:r>
    </w:p>
    <w:p w14:paraId="3260D033"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LT/1/22/4893/002 – 6 ml, N10</w:t>
      </w:r>
    </w:p>
    <w:p w14:paraId="471FF27E"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LT/1/22/4893/003 – 6 ml, N20</w:t>
      </w:r>
    </w:p>
    <w:p w14:paraId="2FA6ADEE"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LT/1/22/4893/004 – 10 ml, N1</w:t>
      </w:r>
    </w:p>
    <w:p w14:paraId="286B5B5B"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LT/1/22/4893/005 – 10 ml, N10</w:t>
      </w:r>
    </w:p>
    <w:p w14:paraId="399C6802"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LT/1/22/4893/006 – 10 ml, N20</w:t>
      </w:r>
    </w:p>
    <w:p w14:paraId="404EE62D"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LT/1/22/4893/007 – 12 ml, N1</w:t>
      </w:r>
    </w:p>
    <w:p w14:paraId="2DE110D5"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LT/1/22/4893/008 – 12 ml, N10</w:t>
      </w:r>
    </w:p>
    <w:p w14:paraId="2E4F95F8"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LT/1/22/4893/009 – 12 ml, N20</w:t>
      </w:r>
    </w:p>
    <w:p w14:paraId="3E3915B9"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LT/1/22/4893/010 – 20 ml, N1</w:t>
      </w:r>
    </w:p>
    <w:p w14:paraId="2F0330C0"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lastRenderedPageBreak/>
        <w:t>LT/1/22/4893/011 – 20 ml, N10</w:t>
      </w:r>
    </w:p>
    <w:p w14:paraId="287207B9"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LT/1/22/4893/012 – 20 ml, N20</w:t>
      </w:r>
    </w:p>
    <w:p w14:paraId="399F131B"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LT/1/22/4893/013 – 24 ml, N1</w:t>
      </w:r>
    </w:p>
    <w:p w14:paraId="26ACD6EA"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LT/1/22/4893/014 – 24 ml, N10</w:t>
      </w:r>
    </w:p>
    <w:p w14:paraId="4FBD9C42"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LT/1/22/4893/015 – 24 ml, N20</w:t>
      </w:r>
    </w:p>
    <w:p w14:paraId="3820743B"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LT/1/22/4893/016 – 48 ml, N1</w:t>
      </w:r>
    </w:p>
    <w:p w14:paraId="5017D69F" w14:textId="77777777" w:rsidR="00A840BC"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LT/1/22/4893/017 – 48 ml, N10</w:t>
      </w:r>
    </w:p>
    <w:p w14:paraId="688D81F9" w14:textId="3D916DC6" w:rsidR="00B6266D" w:rsidRPr="00A840BC" w:rsidRDefault="00A840BC" w:rsidP="00A840BC">
      <w:pPr>
        <w:rPr>
          <w:rFonts w:eastAsia="Times New Roman" w:cs="Times New Roman"/>
          <w:shd w:val="clear" w:color="auto" w:fill="D9D9D9" w:themeFill="background1" w:themeFillShade="D9"/>
        </w:rPr>
      </w:pPr>
      <w:r w:rsidRPr="00A840BC">
        <w:rPr>
          <w:rFonts w:eastAsia="Times New Roman" w:cs="Times New Roman"/>
          <w:shd w:val="clear" w:color="auto" w:fill="D9D9D9" w:themeFill="background1" w:themeFillShade="D9"/>
        </w:rPr>
        <w:t>LT/1/22/4893/018 – 48 ml, N20</w:t>
      </w:r>
    </w:p>
    <w:p w14:paraId="0F2D20DF" w14:textId="77777777" w:rsidR="00A840BC" w:rsidRDefault="00A840BC" w:rsidP="00A840BC">
      <w:pPr>
        <w:rPr>
          <w:rFonts w:eastAsia="Times New Roman" w:cs="Times New Roman"/>
        </w:rPr>
      </w:pPr>
    </w:p>
    <w:p w14:paraId="17C01EE7" w14:textId="77777777" w:rsidR="00B6266D" w:rsidRPr="00CE6E5F" w:rsidRDefault="00B6266D" w:rsidP="00C07655">
      <w:pPr>
        <w:rPr>
          <w:rFonts w:eastAsia="Times New Roman" w:cs="Times New Roman"/>
        </w:rPr>
      </w:pPr>
    </w:p>
    <w:p w14:paraId="406E378B"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13.</w:t>
      </w:r>
      <w:r w:rsidRPr="00CE6E5F">
        <w:rPr>
          <w:rFonts w:eastAsia="Times New Roman" w:cs="Times New Roman"/>
          <w:b/>
          <w:bCs/>
        </w:rPr>
        <w:tab/>
        <w:t>SERIJOS NUMERIS</w:t>
      </w:r>
    </w:p>
    <w:p w14:paraId="5F55AF1A" w14:textId="77777777" w:rsidR="003451F2" w:rsidRPr="00CE6E5F" w:rsidRDefault="003451F2" w:rsidP="00C07655">
      <w:pPr>
        <w:rPr>
          <w:rFonts w:eastAsia="Times New Roman" w:cs="Times New Roman"/>
        </w:rPr>
      </w:pPr>
    </w:p>
    <w:p w14:paraId="752B6FF4" w14:textId="77777777" w:rsidR="003451F2" w:rsidRPr="00CE6E5F" w:rsidRDefault="00316E67">
      <w:pPr>
        <w:rPr>
          <w:rFonts w:eastAsia="Times New Roman" w:cs="Times New Roman"/>
        </w:rPr>
      </w:pPr>
      <w:r>
        <w:rPr>
          <w:rFonts w:eastAsia="Times New Roman" w:cs="Times New Roman"/>
        </w:rPr>
        <w:t>Lot</w:t>
      </w:r>
    </w:p>
    <w:p w14:paraId="1E72D8FB" w14:textId="77777777" w:rsidR="003451F2" w:rsidRPr="00CE6E5F" w:rsidRDefault="003451F2">
      <w:pPr>
        <w:rPr>
          <w:rFonts w:eastAsia="Times New Roman" w:cs="Times New Roman"/>
        </w:rPr>
      </w:pPr>
    </w:p>
    <w:p w14:paraId="36FADA0B" w14:textId="77777777" w:rsidR="003451F2" w:rsidRPr="00CE6E5F" w:rsidRDefault="003451F2">
      <w:pPr>
        <w:rPr>
          <w:rFonts w:eastAsia="Times New Roman" w:cs="Times New Roman"/>
        </w:rPr>
      </w:pPr>
    </w:p>
    <w:p w14:paraId="508BAF10"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14.</w:t>
      </w:r>
      <w:r w:rsidRPr="00CE6E5F">
        <w:rPr>
          <w:rFonts w:eastAsia="Times New Roman" w:cs="Times New Roman"/>
          <w:b/>
          <w:bCs/>
        </w:rPr>
        <w:tab/>
        <w:t>PARDAVIMO (IŠDAVIMO) TVARKA</w:t>
      </w:r>
    </w:p>
    <w:p w14:paraId="19C7D534" w14:textId="77777777" w:rsidR="003451F2" w:rsidRPr="00CE6E5F" w:rsidRDefault="003451F2">
      <w:pPr>
        <w:keepNext/>
        <w:keepLines/>
        <w:rPr>
          <w:rFonts w:eastAsia="Times New Roman" w:cs="Times New Roman"/>
        </w:rPr>
      </w:pPr>
    </w:p>
    <w:p w14:paraId="224ADDF2" w14:textId="77777777" w:rsidR="003451F2" w:rsidRDefault="00190017">
      <w:pPr>
        <w:rPr>
          <w:rFonts w:eastAsia="Times New Roman" w:cs="Times New Roman"/>
        </w:rPr>
      </w:pPr>
      <w:r>
        <w:rPr>
          <w:rFonts w:eastAsia="Times New Roman" w:cs="Times New Roman"/>
        </w:rPr>
        <w:t>Receptinis vaistas.</w:t>
      </w:r>
    </w:p>
    <w:p w14:paraId="2D314D47" w14:textId="77777777" w:rsidR="00190017" w:rsidRDefault="00190017">
      <w:pPr>
        <w:rPr>
          <w:rFonts w:eastAsia="Times New Roman" w:cs="Times New Roman"/>
        </w:rPr>
      </w:pPr>
    </w:p>
    <w:p w14:paraId="576E77C1" w14:textId="77777777" w:rsidR="00190017" w:rsidRPr="00CE6E5F" w:rsidRDefault="00190017">
      <w:pPr>
        <w:rPr>
          <w:rFonts w:eastAsia="Times New Roman" w:cs="Times New Roman"/>
        </w:rPr>
      </w:pPr>
    </w:p>
    <w:p w14:paraId="43F51495"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15.</w:t>
      </w:r>
      <w:r w:rsidRPr="00CE6E5F">
        <w:rPr>
          <w:rFonts w:eastAsia="Times New Roman" w:cs="Times New Roman"/>
          <w:b/>
          <w:bCs/>
        </w:rPr>
        <w:tab/>
        <w:t>VARTOJIMO INSTRUKCIJA</w:t>
      </w:r>
    </w:p>
    <w:p w14:paraId="2C23806E" w14:textId="77777777" w:rsidR="003451F2" w:rsidRPr="00CE6E5F" w:rsidRDefault="003451F2">
      <w:pPr>
        <w:keepNext/>
        <w:keepLines/>
        <w:rPr>
          <w:rFonts w:eastAsia="Times New Roman" w:cs="Times New Roman"/>
        </w:rPr>
      </w:pPr>
    </w:p>
    <w:p w14:paraId="6902CFCE" w14:textId="77777777" w:rsidR="003451F2" w:rsidRPr="00CE6E5F" w:rsidRDefault="003451F2">
      <w:pPr>
        <w:rPr>
          <w:rFonts w:eastAsia="Times New Roman" w:cs="Times New Roman"/>
        </w:rPr>
      </w:pPr>
    </w:p>
    <w:p w14:paraId="2BEAF57E"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16.</w:t>
      </w:r>
      <w:r w:rsidRPr="00CE6E5F">
        <w:rPr>
          <w:rFonts w:eastAsia="Times New Roman" w:cs="Times New Roman"/>
          <w:b/>
          <w:bCs/>
        </w:rPr>
        <w:tab/>
        <w:t>INFORMACIJA BRAILIO RAŠTU</w:t>
      </w:r>
    </w:p>
    <w:p w14:paraId="6FD8AC93" w14:textId="77777777" w:rsidR="003451F2" w:rsidRPr="00CE6E5F" w:rsidRDefault="003451F2">
      <w:pPr>
        <w:keepNext/>
        <w:keepLines/>
        <w:rPr>
          <w:rFonts w:eastAsia="Times New Roman" w:cs="Times New Roman"/>
        </w:rPr>
      </w:pPr>
    </w:p>
    <w:p w14:paraId="66618061" w14:textId="77777777" w:rsidR="003451F2" w:rsidRPr="00CE6E5F" w:rsidRDefault="00242227">
      <w:pPr>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p>
    <w:p w14:paraId="4587088B" w14:textId="77777777" w:rsidR="003451F2" w:rsidRPr="00CE6E5F" w:rsidRDefault="003451F2">
      <w:pPr>
        <w:rPr>
          <w:rFonts w:eastAsia="Times New Roman" w:cs="Times New Roman"/>
        </w:rPr>
      </w:pPr>
    </w:p>
    <w:p w14:paraId="685F8746" w14:textId="77777777" w:rsidR="003451F2" w:rsidRPr="00CE6E5F" w:rsidRDefault="003451F2">
      <w:pPr>
        <w:rPr>
          <w:rFonts w:eastAsia="Times New Roman" w:cs="Times New Roman"/>
        </w:rPr>
      </w:pPr>
    </w:p>
    <w:p w14:paraId="33D56CE9"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17.</w:t>
      </w:r>
      <w:r w:rsidRPr="00CE6E5F">
        <w:rPr>
          <w:rFonts w:eastAsia="Times New Roman" w:cs="Times New Roman"/>
          <w:b/>
          <w:bCs/>
        </w:rPr>
        <w:tab/>
        <w:t>UNIKALUS IDENTIFIKATORIUS – 2D BRŪKŠNINIS KODAS</w:t>
      </w:r>
    </w:p>
    <w:p w14:paraId="1DBFF060" w14:textId="77777777" w:rsidR="003451F2" w:rsidRPr="00CE6E5F" w:rsidRDefault="003451F2">
      <w:pPr>
        <w:keepNext/>
        <w:keepLines/>
        <w:rPr>
          <w:rFonts w:eastAsia="Times New Roman" w:cs="Times New Roman"/>
        </w:rPr>
      </w:pPr>
    </w:p>
    <w:p w14:paraId="67756286" w14:textId="77777777" w:rsidR="003451F2" w:rsidRPr="00CE6E5F" w:rsidRDefault="003451F2">
      <w:pPr>
        <w:tabs>
          <w:tab w:val="left" w:pos="567"/>
        </w:tabs>
        <w:rPr>
          <w:rFonts w:eastAsia="Times New Roman" w:cs="Times New Roman"/>
          <w:shd w:val="clear" w:color="auto" w:fill="CCCCCC"/>
        </w:rPr>
      </w:pPr>
      <w:r w:rsidRPr="00CE6E5F">
        <w:rPr>
          <w:rFonts w:eastAsia="Times New Roman" w:cs="Times New Roman"/>
          <w:highlight w:val="lightGray"/>
        </w:rPr>
        <w:t>2D brūkšninis kodas su nurodytu unikaliu identifikatoriumi.</w:t>
      </w:r>
    </w:p>
    <w:p w14:paraId="1D518BBE" w14:textId="77777777" w:rsidR="003451F2" w:rsidRPr="00CE6E5F" w:rsidRDefault="003451F2">
      <w:pPr>
        <w:rPr>
          <w:rFonts w:eastAsia="Times New Roman" w:cs="Times New Roman"/>
        </w:rPr>
      </w:pPr>
    </w:p>
    <w:p w14:paraId="5C6AC26D" w14:textId="77777777" w:rsidR="003451F2" w:rsidRPr="00CE6E5F" w:rsidRDefault="003451F2">
      <w:pPr>
        <w:rPr>
          <w:rFonts w:eastAsia="Times New Roman" w:cs="Times New Roman"/>
        </w:rPr>
      </w:pPr>
    </w:p>
    <w:p w14:paraId="06B1B79A" w14:textId="77777777" w:rsidR="003451F2" w:rsidRPr="00CE6E5F" w:rsidRDefault="003451F2">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rPr>
      </w:pPr>
      <w:r w:rsidRPr="00CE6E5F">
        <w:rPr>
          <w:rFonts w:eastAsia="Times New Roman" w:cs="Times New Roman"/>
          <w:b/>
          <w:bCs/>
        </w:rPr>
        <w:t>18.</w:t>
      </w:r>
      <w:r w:rsidRPr="00CE6E5F">
        <w:rPr>
          <w:rFonts w:eastAsia="Times New Roman" w:cs="Times New Roman"/>
          <w:b/>
          <w:bCs/>
        </w:rPr>
        <w:tab/>
        <w:t>UNIKALUS IDENTIFIKATORIUS – ŽMONĖMS SUPRANTAMI DUOMENYS</w:t>
      </w:r>
    </w:p>
    <w:p w14:paraId="6ADD46EA" w14:textId="77777777" w:rsidR="003451F2" w:rsidRPr="00CE6E5F" w:rsidRDefault="003451F2">
      <w:pPr>
        <w:keepNext/>
        <w:keepLines/>
        <w:rPr>
          <w:rFonts w:eastAsia="Times New Roman" w:cs="Times New Roman"/>
        </w:rPr>
      </w:pPr>
    </w:p>
    <w:p w14:paraId="45F67326" w14:textId="77777777" w:rsidR="003451F2" w:rsidRPr="00CE6E5F" w:rsidRDefault="003451F2" w:rsidP="00CE6E5F">
      <w:pPr>
        <w:tabs>
          <w:tab w:val="left" w:pos="567"/>
        </w:tabs>
        <w:rPr>
          <w:rFonts w:eastAsia="Times New Roman" w:cs="Times New Roman"/>
        </w:rPr>
      </w:pPr>
      <w:r w:rsidRPr="00CE6E5F">
        <w:rPr>
          <w:rFonts w:eastAsia="Times New Roman" w:cs="Times New Roman"/>
        </w:rPr>
        <w:t xml:space="preserve">PC: </w:t>
      </w:r>
    </w:p>
    <w:p w14:paraId="1AAC4143" w14:textId="77777777" w:rsidR="003451F2" w:rsidRPr="00CE6E5F" w:rsidRDefault="003451F2" w:rsidP="00CE6E5F">
      <w:pPr>
        <w:tabs>
          <w:tab w:val="left" w:pos="567"/>
        </w:tabs>
        <w:rPr>
          <w:rFonts w:eastAsia="Times New Roman" w:cs="Times New Roman"/>
        </w:rPr>
      </w:pPr>
      <w:r w:rsidRPr="00CE6E5F">
        <w:rPr>
          <w:rFonts w:eastAsia="Times New Roman" w:cs="Times New Roman"/>
        </w:rPr>
        <w:t xml:space="preserve">SN: </w:t>
      </w:r>
    </w:p>
    <w:p w14:paraId="5D50739E" w14:textId="77777777" w:rsidR="003451F2" w:rsidRPr="00CE6E5F" w:rsidRDefault="003451F2" w:rsidP="00CE6E5F">
      <w:pPr>
        <w:tabs>
          <w:tab w:val="left" w:pos="567"/>
        </w:tabs>
        <w:rPr>
          <w:rFonts w:eastAsia="Times New Roman" w:cs="Times New Roman"/>
        </w:rPr>
      </w:pPr>
      <w:r w:rsidRPr="00E773DA">
        <w:rPr>
          <w:rFonts w:eastAsia="Times New Roman" w:cs="Times New Roman"/>
          <w:highlight w:val="lightGray"/>
        </w:rPr>
        <w:t>NN:</w:t>
      </w:r>
    </w:p>
    <w:p w14:paraId="72704ACA" w14:textId="77777777" w:rsidR="003451F2" w:rsidRPr="00CE6E5F" w:rsidRDefault="003451F2" w:rsidP="00CE6E5F">
      <w:pPr>
        <w:tabs>
          <w:tab w:val="left" w:pos="567"/>
        </w:tabs>
        <w:rPr>
          <w:rFonts w:eastAsia="Times New Roman" w:cs="Times New Roman"/>
        </w:rPr>
      </w:pPr>
    </w:p>
    <w:p w14:paraId="59A0FCCC" w14:textId="77777777" w:rsidR="003451F2" w:rsidRPr="00CE6E5F" w:rsidRDefault="003451F2" w:rsidP="00E457A0">
      <w:pPr>
        <w:pBdr>
          <w:top w:val="single" w:sz="4" w:space="1" w:color="auto"/>
          <w:left w:val="single" w:sz="4" w:space="4" w:color="auto"/>
          <w:bottom w:val="single" w:sz="4" w:space="1" w:color="auto"/>
          <w:right w:val="single" w:sz="4" w:space="4" w:color="auto"/>
        </w:pBdr>
        <w:rPr>
          <w:rFonts w:eastAsia="Times New Roman" w:cs="Times New Roman"/>
          <w:b/>
          <w:bCs/>
        </w:rPr>
      </w:pPr>
      <w:r w:rsidRPr="00CE6E5F">
        <w:rPr>
          <w:rFonts w:eastAsia="Times New Roman" w:cs="Times New Roman"/>
          <w:b/>
          <w:bCs/>
        </w:rPr>
        <w:t>MINIMALI INFORMACIJA ANT MAŽŲ VIDINIŲ PAKUOČIŲ</w:t>
      </w:r>
    </w:p>
    <w:p w14:paraId="100F0178" w14:textId="77777777" w:rsidR="003451F2" w:rsidRPr="00CE6E5F" w:rsidRDefault="003451F2" w:rsidP="00E457A0">
      <w:pPr>
        <w:pBdr>
          <w:top w:val="single" w:sz="4" w:space="1" w:color="auto"/>
          <w:left w:val="single" w:sz="4" w:space="4" w:color="auto"/>
          <w:bottom w:val="single" w:sz="4" w:space="1" w:color="auto"/>
          <w:right w:val="single" w:sz="4" w:space="4" w:color="auto"/>
        </w:pBdr>
        <w:rPr>
          <w:rFonts w:eastAsia="Times New Roman" w:cs="Times New Roman"/>
          <w:b/>
        </w:rPr>
      </w:pPr>
    </w:p>
    <w:p w14:paraId="2AB80687" w14:textId="77777777" w:rsidR="003451F2" w:rsidRPr="00CE6E5F" w:rsidRDefault="003451F2" w:rsidP="00E457A0">
      <w:pPr>
        <w:pBdr>
          <w:top w:val="single" w:sz="4" w:space="1" w:color="auto"/>
          <w:left w:val="single" w:sz="4" w:space="4" w:color="auto"/>
          <w:bottom w:val="single" w:sz="4" w:space="1" w:color="auto"/>
          <w:right w:val="single" w:sz="4" w:space="4" w:color="auto"/>
        </w:pBdr>
        <w:rPr>
          <w:rFonts w:eastAsia="Times New Roman" w:cs="Times New Roman"/>
          <w:b/>
        </w:rPr>
      </w:pPr>
      <w:r w:rsidRPr="00CE6E5F">
        <w:rPr>
          <w:rFonts w:eastAsia="Times New Roman" w:cs="Times New Roman"/>
          <w:b/>
          <w:bCs/>
        </w:rPr>
        <w:t>ETIKETĖ (6 ml)</w:t>
      </w:r>
    </w:p>
    <w:p w14:paraId="70DF29C7" w14:textId="77777777" w:rsidR="003451F2" w:rsidRPr="00CE6E5F" w:rsidRDefault="003451F2" w:rsidP="00E457A0">
      <w:pPr>
        <w:tabs>
          <w:tab w:val="left" w:pos="567"/>
        </w:tabs>
        <w:rPr>
          <w:rFonts w:eastAsia="Times New Roman" w:cs="Times New Roman"/>
        </w:rPr>
      </w:pPr>
    </w:p>
    <w:p w14:paraId="3C52B519" w14:textId="77777777" w:rsidR="003451F2" w:rsidRPr="00CE6E5F" w:rsidRDefault="003451F2" w:rsidP="00E457A0">
      <w:pPr>
        <w:tabs>
          <w:tab w:val="left" w:pos="567"/>
        </w:tabs>
        <w:rPr>
          <w:rFonts w:eastAsia="Times New Roman" w:cs="Times New Roman"/>
        </w:rPr>
      </w:pPr>
    </w:p>
    <w:p w14:paraId="4BFA5906" w14:textId="77777777" w:rsidR="003451F2" w:rsidRPr="00CE6E5F" w:rsidRDefault="003451F2" w:rsidP="00E457A0">
      <w:pPr>
        <w:keepNext/>
        <w:keepLines/>
        <w:pBdr>
          <w:top w:val="single" w:sz="4" w:space="1" w:color="auto"/>
          <w:left w:val="single" w:sz="4" w:space="4" w:color="auto"/>
          <w:bottom w:val="single" w:sz="4" w:space="2" w:color="auto"/>
          <w:right w:val="single" w:sz="4" w:space="4" w:color="auto"/>
        </w:pBdr>
        <w:tabs>
          <w:tab w:val="left" w:pos="567"/>
        </w:tabs>
        <w:outlineLvl w:val="0"/>
        <w:rPr>
          <w:rFonts w:eastAsia="Times New Roman" w:cs="Times New Roman"/>
          <w:b/>
        </w:rPr>
      </w:pPr>
      <w:r w:rsidRPr="00CE6E5F">
        <w:rPr>
          <w:rFonts w:eastAsia="Times New Roman" w:cs="Times New Roman"/>
          <w:b/>
          <w:bCs/>
        </w:rPr>
        <w:t>1.</w:t>
      </w:r>
      <w:r w:rsidRPr="00CE6E5F">
        <w:rPr>
          <w:rFonts w:eastAsia="Times New Roman" w:cs="Times New Roman"/>
          <w:b/>
          <w:bCs/>
        </w:rPr>
        <w:tab/>
        <w:t>VAISTINIO PREPARATO PAVADINIMAS IR VARTOJIMO BŪDAS (-AI)</w:t>
      </w:r>
    </w:p>
    <w:p w14:paraId="5E3605F5" w14:textId="77777777" w:rsidR="003451F2" w:rsidRPr="00CE6E5F" w:rsidRDefault="003451F2" w:rsidP="00E457A0">
      <w:pPr>
        <w:keepNext/>
        <w:keepLines/>
        <w:tabs>
          <w:tab w:val="left" w:pos="567"/>
        </w:tabs>
        <w:ind w:left="567" w:hanging="567"/>
        <w:rPr>
          <w:rFonts w:eastAsia="Times New Roman" w:cs="Times New Roman"/>
        </w:rPr>
      </w:pPr>
    </w:p>
    <w:p w14:paraId="598F6C7B" w14:textId="77777777" w:rsidR="003451F2" w:rsidRPr="00CE6E5F" w:rsidRDefault="00242227" w:rsidP="00E457A0">
      <w:pPr>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165 mg/ml injekcinis tirpalas</w:t>
      </w:r>
    </w:p>
    <w:p w14:paraId="6E419AC6" w14:textId="280C69C4" w:rsidR="003451F2" w:rsidRPr="00CE6E5F" w:rsidRDefault="00B6266D" w:rsidP="00E457A0">
      <w:pPr>
        <w:rPr>
          <w:rFonts w:eastAsia="Times New Roman" w:cs="Times New Roman"/>
        </w:rPr>
      </w:pPr>
      <w:r>
        <w:rPr>
          <w:rFonts w:eastAsia="Times New Roman" w:cs="Times New Roman"/>
        </w:rPr>
        <w:t>ž</w:t>
      </w:r>
      <w:r w:rsidR="003451F2" w:rsidRPr="00CE6E5F">
        <w:rPr>
          <w:rFonts w:eastAsia="Times New Roman" w:cs="Times New Roman"/>
        </w:rPr>
        <w:t>mogaus normalusis imunoglobulinas (</w:t>
      </w:r>
      <w:proofErr w:type="spellStart"/>
      <w:r w:rsidR="00190017">
        <w:rPr>
          <w:rFonts w:eastAsia="Times New Roman" w:cs="Times New Roman"/>
        </w:rPr>
        <w:t>s.c.</w:t>
      </w:r>
      <w:r w:rsidR="003451F2" w:rsidRPr="00CE6E5F">
        <w:rPr>
          <w:rFonts w:eastAsia="Times New Roman" w:cs="Times New Roman"/>
        </w:rPr>
        <w:t>Ig</w:t>
      </w:r>
      <w:proofErr w:type="spellEnd"/>
      <w:r w:rsidR="003451F2" w:rsidRPr="00CE6E5F">
        <w:rPr>
          <w:rFonts w:eastAsia="Times New Roman" w:cs="Times New Roman"/>
        </w:rPr>
        <w:t>)</w:t>
      </w:r>
    </w:p>
    <w:p w14:paraId="65DB93F1" w14:textId="77777777" w:rsidR="003451F2" w:rsidRPr="00CE6E5F" w:rsidRDefault="003451F2" w:rsidP="00E457A0">
      <w:pPr>
        <w:tabs>
          <w:tab w:val="left" w:pos="567"/>
        </w:tabs>
        <w:rPr>
          <w:rFonts w:eastAsia="Times New Roman" w:cs="Times New Roman"/>
        </w:rPr>
      </w:pPr>
      <w:r w:rsidRPr="00CE6E5F">
        <w:rPr>
          <w:rFonts w:eastAsia="Times New Roman" w:cs="Times New Roman"/>
        </w:rPr>
        <w:t>Leisti po oda (</w:t>
      </w:r>
      <w:proofErr w:type="spellStart"/>
      <w:r w:rsidRPr="00CE6E5F">
        <w:rPr>
          <w:rFonts w:eastAsia="Times New Roman" w:cs="Times New Roman"/>
        </w:rPr>
        <w:t>s.c</w:t>
      </w:r>
      <w:proofErr w:type="spellEnd"/>
      <w:r w:rsidRPr="00CE6E5F">
        <w:rPr>
          <w:rFonts w:eastAsia="Times New Roman" w:cs="Times New Roman"/>
        </w:rPr>
        <w:t>.)</w:t>
      </w:r>
    </w:p>
    <w:p w14:paraId="33C761B0" w14:textId="77777777" w:rsidR="003451F2" w:rsidRPr="00CE6E5F" w:rsidRDefault="003451F2" w:rsidP="00316E67">
      <w:pPr>
        <w:tabs>
          <w:tab w:val="left" w:pos="567"/>
        </w:tabs>
        <w:rPr>
          <w:rFonts w:eastAsia="Times New Roman" w:cs="Times New Roman"/>
        </w:rPr>
      </w:pPr>
    </w:p>
    <w:p w14:paraId="02FB6E50" w14:textId="77777777" w:rsidR="003451F2" w:rsidRPr="00CE6E5F" w:rsidRDefault="003451F2" w:rsidP="00316E67">
      <w:pPr>
        <w:tabs>
          <w:tab w:val="left" w:pos="567"/>
        </w:tabs>
        <w:rPr>
          <w:rFonts w:eastAsia="Times New Roman" w:cs="Times New Roman"/>
        </w:rPr>
      </w:pPr>
    </w:p>
    <w:p w14:paraId="02C3B095" w14:textId="77777777" w:rsidR="003451F2" w:rsidRPr="00CE6E5F" w:rsidRDefault="003451F2" w:rsidP="00316E67">
      <w:pPr>
        <w:keepNext/>
        <w:keepLines/>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rPr>
      </w:pPr>
      <w:r w:rsidRPr="00CE6E5F">
        <w:rPr>
          <w:rFonts w:eastAsia="Times New Roman" w:cs="Times New Roman"/>
          <w:b/>
          <w:bCs/>
        </w:rPr>
        <w:t>2.</w:t>
      </w:r>
      <w:r w:rsidRPr="00CE6E5F">
        <w:rPr>
          <w:rFonts w:eastAsia="Times New Roman" w:cs="Times New Roman"/>
          <w:b/>
          <w:bCs/>
        </w:rPr>
        <w:tab/>
        <w:t>VARTOJIMO METODAS</w:t>
      </w:r>
    </w:p>
    <w:p w14:paraId="2859FC7B" w14:textId="77777777" w:rsidR="003451F2" w:rsidRPr="00CE6E5F" w:rsidRDefault="003451F2" w:rsidP="00BE3B67">
      <w:pPr>
        <w:keepNext/>
        <w:keepLines/>
        <w:tabs>
          <w:tab w:val="left" w:pos="567"/>
        </w:tabs>
        <w:ind w:left="567" w:hanging="567"/>
        <w:rPr>
          <w:rFonts w:eastAsia="Times New Roman" w:cs="Times New Roman"/>
        </w:rPr>
      </w:pPr>
    </w:p>
    <w:p w14:paraId="1F37B593" w14:textId="77777777" w:rsidR="003451F2" w:rsidRPr="00CE6E5F" w:rsidRDefault="003451F2" w:rsidP="00BE3B67">
      <w:pPr>
        <w:tabs>
          <w:tab w:val="left" w:pos="567"/>
        </w:tabs>
        <w:rPr>
          <w:rFonts w:eastAsia="Times New Roman" w:cs="Times New Roman"/>
        </w:rPr>
      </w:pPr>
    </w:p>
    <w:p w14:paraId="373D91C2" w14:textId="77777777" w:rsidR="003451F2" w:rsidRPr="00CE6E5F" w:rsidRDefault="003451F2" w:rsidP="00BE3B67">
      <w:pPr>
        <w:keepNext/>
        <w:keepLines/>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rPr>
      </w:pPr>
      <w:r w:rsidRPr="00CE6E5F">
        <w:rPr>
          <w:rFonts w:eastAsia="Times New Roman" w:cs="Times New Roman"/>
          <w:b/>
          <w:bCs/>
        </w:rPr>
        <w:lastRenderedPageBreak/>
        <w:t>3.</w:t>
      </w:r>
      <w:r w:rsidRPr="00CE6E5F">
        <w:rPr>
          <w:rFonts w:eastAsia="Times New Roman" w:cs="Times New Roman"/>
          <w:b/>
          <w:bCs/>
        </w:rPr>
        <w:tab/>
        <w:t>TINKAMUMO LAIKAS</w:t>
      </w:r>
    </w:p>
    <w:p w14:paraId="500D92A5" w14:textId="77777777" w:rsidR="003451F2" w:rsidRPr="00CE6E5F" w:rsidRDefault="003451F2" w:rsidP="00BE3B67">
      <w:pPr>
        <w:keepNext/>
        <w:keepLines/>
        <w:tabs>
          <w:tab w:val="left" w:pos="567"/>
        </w:tabs>
        <w:ind w:left="567" w:hanging="567"/>
        <w:rPr>
          <w:rFonts w:eastAsia="Times New Roman" w:cs="Times New Roman"/>
        </w:rPr>
      </w:pPr>
    </w:p>
    <w:p w14:paraId="33BFB59C" w14:textId="6FF5C684" w:rsidR="003451F2" w:rsidRPr="00CE6E5F" w:rsidRDefault="003451F2" w:rsidP="00BE3B67">
      <w:pPr>
        <w:rPr>
          <w:rFonts w:eastAsia="Times New Roman" w:cs="Times New Roman"/>
        </w:rPr>
      </w:pPr>
      <w:r w:rsidRPr="00CE6E5F">
        <w:rPr>
          <w:rFonts w:eastAsia="Times New Roman" w:cs="Times New Roman"/>
        </w:rPr>
        <w:t>EXP</w:t>
      </w:r>
      <w:r w:rsidR="00D8151D">
        <w:rPr>
          <w:rFonts w:eastAsia="Times New Roman" w:cs="Times New Roman"/>
        </w:rPr>
        <w:t xml:space="preserve"> </w:t>
      </w:r>
      <w:r w:rsidR="004B17DB">
        <w:rPr>
          <w:rFonts w:eastAsia="Times New Roman" w:cs="Times New Roman"/>
        </w:rPr>
        <w:t>{</w:t>
      </w:r>
      <w:r w:rsidR="00D8151D">
        <w:rPr>
          <w:rFonts w:eastAsia="Times New Roman" w:cs="Times New Roman"/>
        </w:rPr>
        <w:t>mm/MMMM</w:t>
      </w:r>
      <w:r w:rsidR="004B17DB">
        <w:rPr>
          <w:rFonts w:eastAsia="Times New Roman" w:cs="Times New Roman"/>
        </w:rPr>
        <w:t>}</w:t>
      </w:r>
    </w:p>
    <w:p w14:paraId="5CA6EA33" w14:textId="77777777" w:rsidR="003451F2" w:rsidRPr="00CE6E5F" w:rsidRDefault="003451F2" w:rsidP="00BE3B67">
      <w:pPr>
        <w:tabs>
          <w:tab w:val="left" w:pos="567"/>
        </w:tabs>
        <w:rPr>
          <w:rFonts w:eastAsia="Times New Roman" w:cs="Times New Roman"/>
        </w:rPr>
      </w:pPr>
    </w:p>
    <w:p w14:paraId="0A73A024" w14:textId="77777777" w:rsidR="003451F2" w:rsidRPr="00CE6E5F" w:rsidRDefault="003451F2" w:rsidP="00BE3B67">
      <w:pPr>
        <w:tabs>
          <w:tab w:val="left" w:pos="567"/>
        </w:tabs>
        <w:rPr>
          <w:rFonts w:eastAsia="Times New Roman" w:cs="Times New Roman"/>
        </w:rPr>
      </w:pPr>
    </w:p>
    <w:p w14:paraId="10D330FD" w14:textId="77777777" w:rsidR="003451F2" w:rsidRPr="00CE6E5F" w:rsidRDefault="003451F2" w:rsidP="00BE3B67">
      <w:pPr>
        <w:keepNext/>
        <w:keepLines/>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rPr>
      </w:pPr>
      <w:r w:rsidRPr="00CE6E5F">
        <w:rPr>
          <w:rFonts w:eastAsia="Times New Roman" w:cs="Times New Roman"/>
          <w:b/>
          <w:bCs/>
        </w:rPr>
        <w:t>4.</w:t>
      </w:r>
      <w:r w:rsidRPr="00CE6E5F">
        <w:rPr>
          <w:rFonts w:eastAsia="Times New Roman" w:cs="Times New Roman"/>
          <w:b/>
          <w:bCs/>
        </w:rPr>
        <w:tab/>
        <w:t>SERIJOS NUMERIS</w:t>
      </w:r>
    </w:p>
    <w:p w14:paraId="110B1E53" w14:textId="77777777" w:rsidR="003451F2" w:rsidRPr="00CE6E5F" w:rsidRDefault="003451F2" w:rsidP="00BE3B67">
      <w:pPr>
        <w:keepNext/>
        <w:keepLines/>
        <w:tabs>
          <w:tab w:val="left" w:pos="567"/>
        </w:tabs>
        <w:ind w:left="567" w:hanging="567"/>
        <w:rPr>
          <w:rFonts w:eastAsia="Times New Roman" w:cs="Times New Roman"/>
        </w:rPr>
      </w:pPr>
    </w:p>
    <w:p w14:paraId="72970368" w14:textId="77777777" w:rsidR="003451F2" w:rsidRPr="00CE6E5F" w:rsidRDefault="003451F2" w:rsidP="00BE3B67">
      <w:pPr>
        <w:rPr>
          <w:rFonts w:eastAsia="Times New Roman" w:cs="Times New Roman"/>
        </w:rPr>
      </w:pPr>
      <w:r w:rsidRPr="00CE6E5F">
        <w:rPr>
          <w:rFonts w:eastAsia="Times New Roman" w:cs="Times New Roman"/>
        </w:rPr>
        <w:t>Lot</w:t>
      </w:r>
    </w:p>
    <w:p w14:paraId="266AA1E5" w14:textId="77777777" w:rsidR="003451F2" w:rsidRPr="00CE6E5F" w:rsidRDefault="003451F2" w:rsidP="00BE3B67">
      <w:pPr>
        <w:tabs>
          <w:tab w:val="left" w:pos="567"/>
        </w:tabs>
        <w:ind w:right="113"/>
        <w:rPr>
          <w:rFonts w:eastAsia="Times New Roman" w:cs="Times New Roman"/>
        </w:rPr>
      </w:pPr>
    </w:p>
    <w:p w14:paraId="63D1A46F" w14:textId="77777777" w:rsidR="003451F2" w:rsidRPr="00CE6E5F" w:rsidRDefault="003451F2" w:rsidP="00BE3B67">
      <w:pPr>
        <w:tabs>
          <w:tab w:val="left" w:pos="567"/>
        </w:tabs>
        <w:ind w:right="113"/>
        <w:rPr>
          <w:rFonts w:eastAsia="Times New Roman" w:cs="Times New Roman"/>
        </w:rPr>
      </w:pPr>
    </w:p>
    <w:p w14:paraId="7C9E12C8" w14:textId="77777777" w:rsidR="003451F2" w:rsidRPr="00CE6E5F" w:rsidRDefault="003451F2" w:rsidP="00BE3B67">
      <w:pPr>
        <w:keepNext/>
        <w:keepLines/>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rPr>
      </w:pPr>
      <w:r w:rsidRPr="00CE6E5F">
        <w:rPr>
          <w:rFonts w:eastAsia="Times New Roman" w:cs="Times New Roman"/>
          <w:b/>
          <w:bCs/>
        </w:rPr>
        <w:t>5.</w:t>
      </w:r>
      <w:r w:rsidRPr="00CE6E5F">
        <w:rPr>
          <w:rFonts w:eastAsia="Times New Roman" w:cs="Times New Roman"/>
          <w:b/>
          <w:bCs/>
        </w:rPr>
        <w:tab/>
        <w:t>KIEKIS (MASĖ, TŪRIS ARBA VIENETAI)</w:t>
      </w:r>
    </w:p>
    <w:p w14:paraId="57438867" w14:textId="77777777" w:rsidR="003451F2" w:rsidRPr="00CE6E5F" w:rsidRDefault="003451F2" w:rsidP="00BE3B67">
      <w:pPr>
        <w:keepNext/>
        <w:keepLines/>
        <w:tabs>
          <w:tab w:val="left" w:pos="567"/>
        </w:tabs>
        <w:ind w:left="567" w:hanging="567"/>
        <w:rPr>
          <w:rFonts w:eastAsia="Times New Roman" w:cs="Times New Roman"/>
        </w:rPr>
      </w:pPr>
    </w:p>
    <w:p w14:paraId="54D4BA19" w14:textId="77777777" w:rsidR="007937CB" w:rsidRPr="00CE6E5F" w:rsidRDefault="003451F2" w:rsidP="00BE3B67">
      <w:pPr>
        <w:rPr>
          <w:rFonts w:eastAsia="Times New Roman" w:cs="Times New Roman"/>
          <w:i/>
        </w:rPr>
      </w:pPr>
      <w:r w:rsidRPr="00CE6E5F">
        <w:rPr>
          <w:rFonts w:eastAsia="Times New Roman" w:cs="Times New Roman"/>
        </w:rPr>
        <w:t>6 ml = 1 g</w:t>
      </w:r>
    </w:p>
    <w:p w14:paraId="7FF43362" w14:textId="77777777" w:rsidR="003451F2" w:rsidRPr="00CE6E5F" w:rsidRDefault="003451F2" w:rsidP="00BE3B67">
      <w:pPr>
        <w:tabs>
          <w:tab w:val="left" w:pos="567"/>
        </w:tabs>
        <w:ind w:right="113"/>
        <w:rPr>
          <w:rFonts w:eastAsia="Times New Roman" w:cs="Times New Roman"/>
        </w:rPr>
      </w:pPr>
    </w:p>
    <w:p w14:paraId="566442CB" w14:textId="77777777" w:rsidR="003451F2" w:rsidRPr="00CE6E5F" w:rsidRDefault="003451F2" w:rsidP="00EA2079">
      <w:pPr>
        <w:tabs>
          <w:tab w:val="left" w:pos="567"/>
        </w:tabs>
        <w:ind w:right="113"/>
        <w:rPr>
          <w:rFonts w:eastAsia="Times New Roman" w:cs="Times New Roman"/>
        </w:rPr>
      </w:pPr>
    </w:p>
    <w:p w14:paraId="5F6339E4" w14:textId="77777777" w:rsidR="003451F2" w:rsidRPr="00CE6E5F" w:rsidRDefault="003451F2" w:rsidP="00EA2079">
      <w:pPr>
        <w:keepNext/>
        <w:keepLines/>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rPr>
      </w:pPr>
      <w:r w:rsidRPr="00CE6E5F">
        <w:rPr>
          <w:rFonts w:eastAsia="Times New Roman" w:cs="Times New Roman"/>
          <w:b/>
          <w:bCs/>
        </w:rPr>
        <w:t>6.</w:t>
      </w:r>
      <w:r w:rsidRPr="00CE6E5F">
        <w:rPr>
          <w:rFonts w:eastAsia="Times New Roman" w:cs="Times New Roman"/>
          <w:b/>
          <w:bCs/>
        </w:rPr>
        <w:tab/>
        <w:t>KITA</w:t>
      </w:r>
    </w:p>
    <w:p w14:paraId="7CB0B8FD" w14:textId="77777777" w:rsidR="003451F2" w:rsidRPr="00CE6E5F" w:rsidRDefault="003451F2" w:rsidP="00EA2079">
      <w:pPr>
        <w:keepNext/>
        <w:keepLines/>
        <w:tabs>
          <w:tab w:val="left" w:pos="567"/>
        </w:tabs>
        <w:ind w:left="567" w:hanging="567"/>
        <w:rPr>
          <w:rFonts w:eastAsia="Times New Roman" w:cs="Times New Roman"/>
        </w:rPr>
      </w:pPr>
    </w:p>
    <w:p w14:paraId="22B5C7F6" w14:textId="77777777" w:rsidR="003451F2" w:rsidRPr="00CE6E5F" w:rsidRDefault="003451F2" w:rsidP="00EA2079">
      <w:pPr>
        <w:rPr>
          <w:rFonts w:eastAsia="Times New Roman" w:cs="Times New Roman"/>
        </w:rPr>
      </w:pPr>
    </w:p>
    <w:p w14:paraId="32C4DA32" w14:textId="77777777" w:rsidR="003451F2" w:rsidRPr="00CE6E5F" w:rsidRDefault="003451F2" w:rsidP="00EA2079">
      <w:pPr>
        <w:pBdr>
          <w:top w:val="single" w:sz="4" w:space="1" w:color="auto"/>
          <w:left w:val="single" w:sz="4" w:space="4" w:color="auto"/>
          <w:bottom w:val="single" w:sz="4" w:space="1" w:color="auto"/>
          <w:right w:val="single" w:sz="4" w:space="4" w:color="auto"/>
        </w:pBdr>
        <w:tabs>
          <w:tab w:val="left" w:pos="567"/>
        </w:tabs>
        <w:rPr>
          <w:rFonts w:eastAsia="Times New Roman" w:cs="Times New Roman"/>
          <w:b/>
        </w:rPr>
      </w:pPr>
      <w:r w:rsidRPr="00CE6E5F">
        <w:rPr>
          <w:rFonts w:eastAsia="Times New Roman" w:cs="Times New Roman"/>
        </w:rPr>
        <w:br w:type="page"/>
      </w:r>
      <w:r w:rsidRPr="00CE6E5F">
        <w:rPr>
          <w:rFonts w:eastAsia="Times New Roman" w:cs="Times New Roman"/>
          <w:b/>
          <w:bCs/>
        </w:rPr>
        <w:lastRenderedPageBreak/>
        <w:t>INFORMACIJA ANT VIDINĖS PAKUOTĖS</w:t>
      </w:r>
    </w:p>
    <w:p w14:paraId="44F381FC" w14:textId="77777777" w:rsidR="003451F2" w:rsidRPr="00CE6E5F" w:rsidRDefault="003451F2" w:rsidP="00EA2079">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rPr>
      </w:pPr>
    </w:p>
    <w:p w14:paraId="4CCE87DF" w14:textId="77777777" w:rsidR="003451F2" w:rsidRPr="00CE6E5F" w:rsidRDefault="003451F2" w:rsidP="00EA2079">
      <w:pPr>
        <w:pBdr>
          <w:top w:val="single" w:sz="4" w:space="1" w:color="auto"/>
          <w:left w:val="single" w:sz="4" w:space="4" w:color="auto"/>
          <w:bottom w:val="single" w:sz="4" w:space="1" w:color="auto"/>
          <w:right w:val="single" w:sz="4" w:space="4" w:color="auto"/>
        </w:pBdr>
        <w:tabs>
          <w:tab w:val="left" w:pos="567"/>
        </w:tabs>
        <w:rPr>
          <w:rFonts w:eastAsia="Times New Roman" w:cs="Times New Roman"/>
          <w:b/>
        </w:rPr>
      </w:pPr>
      <w:r w:rsidRPr="00CE6E5F">
        <w:rPr>
          <w:rFonts w:eastAsia="Times New Roman" w:cs="Times New Roman"/>
          <w:b/>
          <w:bCs/>
        </w:rPr>
        <w:t>ETIKETĖ (10</w:t>
      </w:r>
      <w:r w:rsidR="00190017">
        <w:rPr>
          <w:rFonts w:eastAsia="Times New Roman" w:cs="Times New Roman"/>
          <w:b/>
          <w:bCs/>
        </w:rPr>
        <w:t> ml</w:t>
      </w:r>
      <w:r w:rsidRPr="00CE6E5F">
        <w:rPr>
          <w:rFonts w:eastAsia="Times New Roman" w:cs="Times New Roman"/>
          <w:b/>
          <w:bCs/>
        </w:rPr>
        <w:t>, 12</w:t>
      </w:r>
      <w:r w:rsidR="00190017">
        <w:rPr>
          <w:rFonts w:eastAsia="Times New Roman" w:cs="Times New Roman"/>
          <w:b/>
          <w:bCs/>
        </w:rPr>
        <w:t> ml</w:t>
      </w:r>
      <w:r w:rsidRPr="00CE6E5F">
        <w:rPr>
          <w:rFonts w:eastAsia="Times New Roman" w:cs="Times New Roman"/>
          <w:b/>
          <w:bCs/>
        </w:rPr>
        <w:t>, 20</w:t>
      </w:r>
      <w:r w:rsidR="00190017">
        <w:rPr>
          <w:rFonts w:eastAsia="Times New Roman" w:cs="Times New Roman"/>
          <w:b/>
          <w:bCs/>
        </w:rPr>
        <w:t> ml</w:t>
      </w:r>
      <w:r w:rsidRPr="00CE6E5F">
        <w:rPr>
          <w:rFonts w:eastAsia="Times New Roman" w:cs="Times New Roman"/>
          <w:b/>
          <w:bCs/>
        </w:rPr>
        <w:t>, 24</w:t>
      </w:r>
      <w:r w:rsidR="00190017">
        <w:rPr>
          <w:rFonts w:eastAsia="Times New Roman" w:cs="Times New Roman"/>
          <w:b/>
          <w:bCs/>
        </w:rPr>
        <w:t> ml</w:t>
      </w:r>
      <w:r w:rsidRPr="00CE6E5F">
        <w:rPr>
          <w:rFonts w:eastAsia="Times New Roman" w:cs="Times New Roman"/>
          <w:b/>
          <w:bCs/>
        </w:rPr>
        <w:t>, 48 ml)</w:t>
      </w:r>
    </w:p>
    <w:p w14:paraId="2A3F625C" w14:textId="77777777" w:rsidR="003451F2" w:rsidRPr="00CE6E5F" w:rsidRDefault="003451F2" w:rsidP="00DE547B">
      <w:pPr>
        <w:tabs>
          <w:tab w:val="left" w:pos="567"/>
        </w:tabs>
        <w:rPr>
          <w:rFonts w:eastAsia="Times New Roman" w:cs="Times New Roman"/>
        </w:rPr>
      </w:pPr>
    </w:p>
    <w:p w14:paraId="5CAD2FEC" w14:textId="77777777" w:rsidR="003451F2" w:rsidRPr="00CE6E5F" w:rsidRDefault="003451F2" w:rsidP="00DE547B">
      <w:pPr>
        <w:tabs>
          <w:tab w:val="left" w:pos="567"/>
        </w:tabs>
        <w:rPr>
          <w:rFonts w:eastAsia="Times New Roman" w:cs="Times New Roman"/>
        </w:rPr>
      </w:pPr>
    </w:p>
    <w:p w14:paraId="7B145C07"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rPr>
      </w:pPr>
      <w:r w:rsidRPr="00CE6E5F">
        <w:rPr>
          <w:rFonts w:eastAsia="Times New Roman" w:cs="Times New Roman"/>
          <w:b/>
          <w:bCs/>
        </w:rPr>
        <w:t>1.</w:t>
      </w:r>
      <w:r w:rsidRPr="00CE6E5F">
        <w:rPr>
          <w:rFonts w:eastAsia="Times New Roman" w:cs="Times New Roman"/>
          <w:b/>
          <w:bCs/>
        </w:rPr>
        <w:tab/>
        <w:t>VAISTINIO PREPARATO PAVADINIMAS</w:t>
      </w:r>
    </w:p>
    <w:p w14:paraId="571B7CF1" w14:textId="77777777" w:rsidR="003451F2" w:rsidRPr="00CE6E5F" w:rsidRDefault="003451F2">
      <w:pPr>
        <w:keepNext/>
        <w:keepLines/>
        <w:tabs>
          <w:tab w:val="left" w:pos="567"/>
        </w:tabs>
        <w:rPr>
          <w:rFonts w:eastAsia="Times New Roman" w:cs="Times New Roman"/>
        </w:rPr>
      </w:pPr>
    </w:p>
    <w:p w14:paraId="549501E4" w14:textId="77777777" w:rsidR="003451F2" w:rsidRPr="00CE6E5F" w:rsidRDefault="00242227">
      <w:pPr>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165 mg/ml injekcinis tirpalas</w:t>
      </w:r>
    </w:p>
    <w:p w14:paraId="73766795" w14:textId="0AA6B092" w:rsidR="003451F2" w:rsidRPr="00CE6E5F" w:rsidRDefault="00B6266D">
      <w:pPr>
        <w:rPr>
          <w:rFonts w:eastAsia="Times New Roman" w:cs="Times New Roman"/>
        </w:rPr>
      </w:pPr>
      <w:r>
        <w:rPr>
          <w:rFonts w:eastAsia="Times New Roman" w:cs="Times New Roman"/>
        </w:rPr>
        <w:t>ž</w:t>
      </w:r>
      <w:r w:rsidR="003451F2" w:rsidRPr="00CE6E5F">
        <w:rPr>
          <w:rFonts w:eastAsia="Times New Roman" w:cs="Times New Roman"/>
        </w:rPr>
        <w:t>mogaus normalusis imunoglobulinas (</w:t>
      </w:r>
      <w:proofErr w:type="spellStart"/>
      <w:r w:rsidR="00190017">
        <w:rPr>
          <w:rFonts w:eastAsia="Times New Roman" w:cs="Times New Roman"/>
        </w:rPr>
        <w:t>s.c.</w:t>
      </w:r>
      <w:r w:rsidR="003451F2" w:rsidRPr="00CE6E5F">
        <w:rPr>
          <w:rFonts w:eastAsia="Times New Roman" w:cs="Times New Roman"/>
        </w:rPr>
        <w:t>Ig</w:t>
      </w:r>
      <w:proofErr w:type="spellEnd"/>
      <w:r w:rsidR="003451F2" w:rsidRPr="00CE6E5F">
        <w:rPr>
          <w:rFonts w:eastAsia="Times New Roman" w:cs="Times New Roman"/>
        </w:rPr>
        <w:t>)</w:t>
      </w:r>
    </w:p>
    <w:p w14:paraId="2070C494" w14:textId="77777777" w:rsidR="003451F2" w:rsidRPr="00CE6E5F" w:rsidRDefault="003451F2">
      <w:pPr>
        <w:tabs>
          <w:tab w:val="left" w:pos="567"/>
        </w:tabs>
        <w:rPr>
          <w:rFonts w:eastAsia="Times New Roman" w:cs="Times New Roman"/>
        </w:rPr>
      </w:pPr>
    </w:p>
    <w:p w14:paraId="21322893" w14:textId="77777777" w:rsidR="003451F2" w:rsidRPr="00CE6E5F" w:rsidRDefault="003451F2">
      <w:pPr>
        <w:tabs>
          <w:tab w:val="left" w:pos="567"/>
        </w:tabs>
        <w:rPr>
          <w:rFonts w:eastAsia="Times New Roman" w:cs="Times New Roman"/>
        </w:rPr>
      </w:pPr>
    </w:p>
    <w:p w14:paraId="1C4B5BD5"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2.</w:t>
      </w:r>
      <w:r w:rsidRPr="00CE6E5F">
        <w:rPr>
          <w:rFonts w:eastAsia="Times New Roman" w:cs="Times New Roman"/>
          <w:b/>
          <w:bCs/>
        </w:rPr>
        <w:tab/>
        <w:t>VEIKLIOJI (-IOS) MEDŽIAGA (-OS) IR JOS (-Ų) KIEKIS (-IAI)</w:t>
      </w:r>
    </w:p>
    <w:p w14:paraId="120EB859" w14:textId="77777777" w:rsidR="003451F2" w:rsidRPr="00CE6E5F" w:rsidRDefault="003451F2">
      <w:pPr>
        <w:keepNext/>
        <w:keepLines/>
        <w:tabs>
          <w:tab w:val="left" w:pos="567"/>
        </w:tabs>
        <w:rPr>
          <w:rFonts w:eastAsia="Times New Roman" w:cs="Times New Roman"/>
        </w:rPr>
      </w:pPr>
    </w:p>
    <w:p w14:paraId="59C2EA20" w14:textId="77777777" w:rsidR="003451F2" w:rsidRPr="00CE6E5F" w:rsidRDefault="003451F2">
      <w:pPr>
        <w:rPr>
          <w:rFonts w:eastAsia="Times New Roman" w:cs="Times New Roman"/>
        </w:rPr>
      </w:pPr>
      <w:r w:rsidRPr="00CE6E5F">
        <w:rPr>
          <w:rFonts w:eastAsia="Times New Roman" w:cs="Times New Roman"/>
        </w:rPr>
        <w:t>Viename mililitre yra:</w:t>
      </w:r>
    </w:p>
    <w:p w14:paraId="259CA585" w14:textId="77777777" w:rsidR="003451F2" w:rsidRPr="00CE6E5F" w:rsidRDefault="003451F2">
      <w:pPr>
        <w:tabs>
          <w:tab w:val="left" w:pos="567"/>
        </w:tabs>
        <w:rPr>
          <w:rFonts w:eastAsia="Times New Roman" w:cs="Times New Roman"/>
        </w:rPr>
      </w:pPr>
      <w:proofErr w:type="spellStart"/>
      <w:r w:rsidRPr="00CE6E5F">
        <w:rPr>
          <w:rFonts w:eastAsia="Times New Roman" w:cs="Times New Roman"/>
        </w:rPr>
        <w:t>IgG</w:t>
      </w:r>
      <w:proofErr w:type="spellEnd"/>
      <w:r w:rsidRPr="00CE6E5F">
        <w:rPr>
          <w:rFonts w:eastAsia="Times New Roman" w:cs="Times New Roman"/>
        </w:rPr>
        <w:t xml:space="preserve"> ≥ 95 %</w:t>
      </w:r>
    </w:p>
    <w:p w14:paraId="05869545" w14:textId="77777777" w:rsidR="003451F2" w:rsidRPr="00CE6E5F" w:rsidRDefault="003451F2">
      <w:pPr>
        <w:tabs>
          <w:tab w:val="left" w:pos="567"/>
        </w:tabs>
        <w:rPr>
          <w:rFonts w:eastAsia="Times New Roman" w:cs="Times New Roman"/>
        </w:rPr>
      </w:pPr>
    </w:p>
    <w:p w14:paraId="17192327" w14:textId="77777777" w:rsidR="003451F2" w:rsidRPr="00CE6E5F" w:rsidRDefault="003451F2">
      <w:pPr>
        <w:tabs>
          <w:tab w:val="left" w:pos="567"/>
        </w:tabs>
        <w:rPr>
          <w:rFonts w:eastAsia="Times New Roman" w:cs="Times New Roman"/>
        </w:rPr>
      </w:pPr>
    </w:p>
    <w:p w14:paraId="3A6653A7"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3.</w:t>
      </w:r>
      <w:r w:rsidRPr="00CE6E5F">
        <w:rPr>
          <w:rFonts w:eastAsia="Times New Roman" w:cs="Times New Roman"/>
          <w:b/>
          <w:bCs/>
        </w:rPr>
        <w:tab/>
        <w:t>PAGALBINIŲ MEDŽIAGŲ SĄRAŠAS</w:t>
      </w:r>
    </w:p>
    <w:p w14:paraId="02A40843" w14:textId="77777777" w:rsidR="003451F2" w:rsidRPr="00CE6E5F" w:rsidRDefault="003451F2">
      <w:pPr>
        <w:keepNext/>
        <w:keepLines/>
        <w:tabs>
          <w:tab w:val="left" w:pos="567"/>
        </w:tabs>
        <w:rPr>
          <w:rFonts w:eastAsia="Times New Roman" w:cs="Times New Roman"/>
        </w:rPr>
      </w:pPr>
    </w:p>
    <w:p w14:paraId="69DD969A" w14:textId="77777777" w:rsidR="003451F2" w:rsidRPr="00CE6E5F" w:rsidRDefault="003451F2">
      <w:pPr>
        <w:rPr>
          <w:rFonts w:eastAsia="Times New Roman" w:cs="Times New Roman"/>
        </w:rPr>
      </w:pPr>
      <w:proofErr w:type="spellStart"/>
      <w:r w:rsidRPr="00CE6E5F">
        <w:rPr>
          <w:rFonts w:eastAsia="Times New Roman" w:cs="Times New Roman"/>
        </w:rPr>
        <w:t>Maltozė</w:t>
      </w:r>
      <w:proofErr w:type="spellEnd"/>
    </w:p>
    <w:p w14:paraId="74E78EDA" w14:textId="77777777" w:rsidR="003451F2" w:rsidRPr="00CE6E5F" w:rsidRDefault="003451F2">
      <w:pPr>
        <w:rPr>
          <w:rFonts w:eastAsia="Times New Roman" w:cs="Times New Roman"/>
        </w:rPr>
      </w:pPr>
      <w:proofErr w:type="spellStart"/>
      <w:r w:rsidRPr="00CE6E5F">
        <w:rPr>
          <w:rFonts w:eastAsia="Times New Roman" w:cs="Times New Roman"/>
        </w:rPr>
        <w:t>Polisorbatas</w:t>
      </w:r>
      <w:proofErr w:type="spellEnd"/>
      <w:r w:rsidRPr="00CE6E5F">
        <w:rPr>
          <w:rFonts w:eastAsia="Times New Roman" w:cs="Times New Roman"/>
        </w:rPr>
        <w:t> 80</w:t>
      </w:r>
    </w:p>
    <w:p w14:paraId="72602A2B" w14:textId="77777777" w:rsidR="003451F2" w:rsidRPr="00CE6E5F" w:rsidRDefault="003451F2">
      <w:pPr>
        <w:rPr>
          <w:rFonts w:eastAsia="Times New Roman" w:cs="Times New Roman"/>
        </w:rPr>
      </w:pPr>
      <w:r w:rsidRPr="00CE6E5F">
        <w:rPr>
          <w:rFonts w:eastAsia="Times New Roman" w:cs="Times New Roman"/>
        </w:rPr>
        <w:t>Injekcinis vanduo</w:t>
      </w:r>
    </w:p>
    <w:p w14:paraId="6E3E9FE4" w14:textId="77777777" w:rsidR="003451F2" w:rsidRPr="00CE6E5F" w:rsidRDefault="003451F2">
      <w:pPr>
        <w:tabs>
          <w:tab w:val="left" w:pos="567"/>
        </w:tabs>
        <w:rPr>
          <w:rFonts w:eastAsia="Times New Roman" w:cs="Times New Roman"/>
        </w:rPr>
      </w:pPr>
    </w:p>
    <w:p w14:paraId="7388D9CC" w14:textId="77777777" w:rsidR="003451F2" w:rsidRPr="00CE6E5F" w:rsidRDefault="003451F2">
      <w:pPr>
        <w:tabs>
          <w:tab w:val="left" w:pos="567"/>
        </w:tabs>
        <w:rPr>
          <w:rFonts w:eastAsia="Times New Roman" w:cs="Times New Roman"/>
        </w:rPr>
      </w:pPr>
    </w:p>
    <w:p w14:paraId="64185D92"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4.</w:t>
      </w:r>
      <w:r w:rsidRPr="00CE6E5F">
        <w:rPr>
          <w:rFonts w:eastAsia="Times New Roman" w:cs="Times New Roman"/>
          <w:b/>
          <w:bCs/>
        </w:rPr>
        <w:tab/>
        <w:t>FARMACINĖ FORMA IR KIEKIS PAKUOTĖJE</w:t>
      </w:r>
    </w:p>
    <w:p w14:paraId="15CA8AA0" w14:textId="77777777" w:rsidR="003451F2" w:rsidRPr="00CE6E5F" w:rsidRDefault="003451F2">
      <w:pPr>
        <w:keepNext/>
        <w:keepLines/>
        <w:tabs>
          <w:tab w:val="left" w:pos="567"/>
        </w:tabs>
        <w:rPr>
          <w:rFonts w:eastAsia="Times New Roman" w:cs="Times New Roman"/>
        </w:rPr>
      </w:pPr>
    </w:p>
    <w:p w14:paraId="1634D4C6" w14:textId="77777777" w:rsidR="003451F2" w:rsidRPr="00CE6E5F" w:rsidRDefault="003451F2">
      <w:pPr>
        <w:tabs>
          <w:tab w:val="left" w:pos="567"/>
        </w:tabs>
        <w:rPr>
          <w:rFonts w:eastAsia="Times New Roman" w:cs="Times New Roman"/>
        </w:rPr>
      </w:pPr>
      <w:r w:rsidRPr="00CE6E5F">
        <w:rPr>
          <w:rFonts w:eastAsia="Times New Roman" w:cs="Times New Roman"/>
          <w:highlight w:val="lightGray"/>
        </w:rPr>
        <w:t>Injekcinis tirpalas</w:t>
      </w:r>
    </w:p>
    <w:p w14:paraId="03D36FB3" w14:textId="77777777" w:rsidR="003451F2" w:rsidRPr="00CE6E5F" w:rsidRDefault="003451F2">
      <w:pPr>
        <w:tabs>
          <w:tab w:val="left" w:pos="567"/>
        </w:tabs>
        <w:rPr>
          <w:rFonts w:eastAsia="Times New Roman" w:cs="Times New Roman"/>
        </w:rPr>
      </w:pPr>
    </w:p>
    <w:p w14:paraId="6170C93E" w14:textId="77777777" w:rsidR="003451F2" w:rsidRPr="00CE6E5F" w:rsidRDefault="003451F2">
      <w:pPr>
        <w:rPr>
          <w:rFonts w:eastAsia="Times New Roman" w:cs="Times New Roman"/>
          <w:iCs/>
        </w:rPr>
      </w:pPr>
      <w:r w:rsidRPr="00CE6E5F">
        <w:rPr>
          <w:rFonts w:eastAsia="Times New Roman" w:cs="Times New Roman"/>
        </w:rPr>
        <w:t>10 ml = 1,65 g</w:t>
      </w:r>
    </w:p>
    <w:p w14:paraId="3EE53799" w14:textId="77777777" w:rsidR="003451F2" w:rsidRPr="00CE6E5F" w:rsidRDefault="003451F2">
      <w:pPr>
        <w:shd w:val="clear" w:color="auto" w:fill="BFBFBF"/>
        <w:rPr>
          <w:rFonts w:eastAsia="Times New Roman" w:cs="Times New Roman"/>
          <w:iCs/>
          <w:snapToGrid w:val="0"/>
        </w:rPr>
      </w:pPr>
      <w:r w:rsidRPr="00CE6E5F">
        <w:rPr>
          <w:rFonts w:eastAsia="Times New Roman" w:cs="Times New Roman"/>
        </w:rPr>
        <w:t>12 ml = 2 g</w:t>
      </w:r>
    </w:p>
    <w:p w14:paraId="7A92CDE2" w14:textId="77777777" w:rsidR="003451F2" w:rsidRPr="00CE6E5F" w:rsidRDefault="003451F2">
      <w:pPr>
        <w:shd w:val="clear" w:color="auto" w:fill="BFBFBF"/>
        <w:rPr>
          <w:rFonts w:eastAsia="Times New Roman" w:cs="Times New Roman"/>
          <w:iCs/>
        </w:rPr>
      </w:pPr>
      <w:r w:rsidRPr="00CE6E5F">
        <w:rPr>
          <w:rFonts w:eastAsia="Times New Roman" w:cs="Times New Roman"/>
        </w:rPr>
        <w:t>20 ml = 3,3 g</w:t>
      </w:r>
    </w:p>
    <w:p w14:paraId="6CF1471E" w14:textId="77777777" w:rsidR="003451F2" w:rsidRPr="00CE6E5F" w:rsidRDefault="003451F2">
      <w:pPr>
        <w:shd w:val="clear" w:color="auto" w:fill="BFBFBF"/>
        <w:rPr>
          <w:rFonts w:eastAsia="Times New Roman" w:cs="Times New Roman"/>
          <w:iCs/>
        </w:rPr>
      </w:pPr>
      <w:r w:rsidRPr="00CE6E5F">
        <w:rPr>
          <w:rFonts w:eastAsia="Times New Roman" w:cs="Times New Roman"/>
        </w:rPr>
        <w:t>24 ml = 4 g</w:t>
      </w:r>
    </w:p>
    <w:p w14:paraId="7F423903" w14:textId="77777777" w:rsidR="003451F2" w:rsidRPr="00CE6E5F" w:rsidRDefault="003451F2">
      <w:pPr>
        <w:shd w:val="clear" w:color="auto" w:fill="BFBFBF"/>
        <w:rPr>
          <w:rFonts w:eastAsia="Times New Roman" w:cs="Times New Roman"/>
          <w:iCs/>
        </w:rPr>
      </w:pPr>
      <w:r w:rsidRPr="00CE6E5F">
        <w:rPr>
          <w:rFonts w:eastAsia="Times New Roman" w:cs="Times New Roman"/>
        </w:rPr>
        <w:t>48 ml = 8 g</w:t>
      </w:r>
    </w:p>
    <w:p w14:paraId="2A9236AE" w14:textId="77777777" w:rsidR="003451F2" w:rsidRPr="00CE6E5F" w:rsidRDefault="003451F2">
      <w:pPr>
        <w:tabs>
          <w:tab w:val="left" w:pos="567"/>
        </w:tabs>
        <w:rPr>
          <w:rFonts w:eastAsia="Times New Roman" w:cs="Times New Roman"/>
        </w:rPr>
      </w:pPr>
    </w:p>
    <w:p w14:paraId="46487E2A" w14:textId="77777777" w:rsidR="003451F2" w:rsidRPr="00CE6E5F" w:rsidRDefault="003451F2">
      <w:pPr>
        <w:tabs>
          <w:tab w:val="left" w:pos="567"/>
        </w:tabs>
        <w:rPr>
          <w:rFonts w:eastAsia="Times New Roman" w:cs="Times New Roman"/>
        </w:rPr>
      </w:pPr>
    </w:p>
    <w:p w14:paraId="661CD9A3"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5.</w:t>
      </w:r>
      <w:r w:rsidRPr="00CE6E5F">
        <w:rPr>
          <w:rFonts w:eastAsia="Times New Roman" w:cs="Times New Roman"/>
          <w:b/>
          <w:bCs/>
        </w:rPr>
        <w:tab/>
        <w:t>VARTOJIMO METODAS IR BŪDAS (-AI)</w:t>
      </w:r>
    </w:p>
    <w:p w14:paraId="7BD62DE2" w14:textId="77777777" w:rsidR="003451F2" w:rsidRPr="00CE6E5F" w:rsidRDefault="003451F2">
      <w:pPr>
        <w:keepNext/>
        <w:keepLines/>
        <w:tabs>
          <w:tab w:val="left" w:pos="567"/>
        </w:tabs>
        <w:rPr>
          <w:rFonts w:eastAsia="Times New Roman" w:cs="Times New Roman"/>
        </w:rPr>
      </w:pPr>
    </w:p>
    <w:p w14:paraId="62AB37FA" w14:textId="77777777" w:rsidR="003451F2" w:rsidRPr="00CE6E5F" w:rsidRDefault="003451F2">
      <w:pPr>
        <w:tabs>
          <w:tab w:val="left" w:pos="567"/>
        </w:tabs>
        <w:rPr>
          <w:rFonts w:eastAsia="Times New Roman" w:cs="Times New Roman"/>
        </w:rPr>
      </w:pPr>
      <w:r w:rsidRPr="00CE6E5F">
        <w:rPr>
          <w:rFonts w:eastAsia="Times New Roman" w:cs="Times New Roman"/>
        </w:rPr>
        <w:t>Leisti po oda (</w:t>
      </w:r>
      <w:proofErr w:type="spellStart"/>
      <w:r w:rsidRPr="00CE6E5F">
        <w:rPr>
          <w:rFonts w:eastAsia="Times New Roman" w:cs="Times New Roman"/>
        </w:rPr>
        <w:t>s.c</w:t>
      </w:r>
      <w:proofErr w:type="spellEnd"/>
      <w:r w:rsidRPr="00CE6E5F">
        <w:rPr>
          <w:rFonts w:eastAsia="Times New Roman" w:cs="Times New Roman"/>
        </w:rPr>
        <w:t>.)</w:t>
      </w:r>
    </w:p>
    <w:p w14:paraId="5D8F5BD8" w14:textId="77777777" w:rsidR="003451F2" w:rsidRPr="00CE6E5F" w:rsidRDefault="003451F2">
      <w:pPr>
        <w:tabs>
          <w:tab w:val="left" w:pos="567"/>
        </w:tabs>
        <w:rPr>
          <w:rFonts w:eastAsia="Times New Roman" w:cs="Times New Roman"/>
        </w:rPr>
      </w:pPr>
    </w:p>
    <w:p w14:paraId="5FC34821" w14:textId="77777777" w:rsidR="003451F2" w:rsidRPr="00CE6E5F" w:rsidRDefault="003451F2">
      <w:pPr>
        <w:tabs>
          <w:tab w:val="left" w:pos="567"/>
        </w:tabs>
        <w:rPr>
          <w:rFonts w:eastAsia="Times New Roman" w:cs="Times New Roman"/>
        </w:rPr>
      </w:pPr>
    </w:p>
    <w:p w14:paraId="61B311F2"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6.</w:t>
      </w:r>
      <w:r w:rsidRPr="00CE6E5F">
        <w:rPr>
          <w:rFonts w:eastAsia="Times New Roman" w:cs="Times New Roman"/>
          <w:b/>
          <w:bCs/>
        </w:rPr>
        <w:tab/>
        <w:t>SPECIALUS ĮSPĖJIMAS, KAD VAISTINĮ PREPARATĄ BŪTINA LAIKYTI VAIKAMS NEPASTEBIMOJE IR NEPASIEKIAMOJE VIETOJE</w:t>
      </w:r>
    </w:p>
    <w:p w14:paraId="2DC469B3" w14:textId="77777777" w:rsidR="003451F2" w:rsidRPr="00CE6E5F" w:rsidRDefault="003451F2">
      <w:pPr>
        <w:keepNext/>
        <w:keepLines/>
        <w:tabs>
          <w:tab w:val="left" w:pos="567"/>
        </w:tabs>
        <w:rPr>
          <w:rFonts w:eastAsia="Times New Roman" w:cs="Times New Roman"/>
        </w:rPr>
      </w:pPr>
    </w:p>
    <w:p w14:paraId="6317CA5F" w14:textId="77777777" w:rsidR="003451F2" w:rsidRPr="00CE6E5F" w:rsidRDefault="003451F2">
      <w:pPr>
        <w:tabs>
          <w:tab w:val="left" w:pos="567"/>
        </w:tabs>
        <w:rPr>
          <w:rFonts w:eastAsia="Times New Roman" w:cs="Times New Roman"/>
        </w:rPr>
      </w:pPr>
    </w:p>
    <w:p w14:paraId="22BB9041"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7.</w:t>
      </w:r>
      <w:r w:rsidRPr="00CE6E5F">
        <w:rPr>
          <w:rFonts w:eastAsia="Times New Roman" w:cs="Times New Roman"/>
          <w:b/>
          <w:bCs/>
        </w:rPr>
        <w:tab/>
        <w:t>KITAS (-I) SPECIALUS (-ŪS) ĮSPĖJIMAS (-AI) (JEI REIKIA)</w:t>
      </w:r>
    </w:p>
    <w:p w14:paraId="1099DD1E" w14:textId="77777777" w:rsidR="003451F2" w:rsidRPr="00CE6E5F" w:rsidRDefault="003451F2">
      <w:pPr>
        <w:keepNext/>
        <w:keepLines/>
        <w:tabs>
          <w:tab w:val="left" w:pos="567"/>
        </w:tabs>
        <w:rPr>
          <w:rFonts w:eastAsia="Times New Roman" w:cs="Times New Roman"/>
        </w:rPr>
      </w:pPr>
    </w:p>
    <w:p w14:paraId="79C470A8" w14:textId="77777777" w:rsidR="003451F2" w:rsidRPr="00CE6E5F" w:rsidRDefault="003451F2">
      <w:pPr>
        <w:tabs>
          <w:tab w:val="left" w:pos="567"/>
          <w:tab w:val="left" w:pos="749"/>
        </w:tabs>
        <w:rPr>
          <w:rFonts w:eastAsia="Times New Roman" w:cs="Times New Roman"/>
        </w:rPr>
      </w:pPr>
    </w:p>
    <w:p w14:paraId="0022D60B"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8.</w:t>
      </w:r>
      <w:r w:rsidRPr="00CE6E5F">
        <w:rPr>
          <w:rFonts w:eastAsia="Times New Roman" w:cs="Times New Roman"/>
          <w:b/>
          <w:bCs/>
        </w:rPr>
        <w:tab/>
        <w:t>TINKAMUMO LAIKAS</w:t>
      </w:r>
    </w:p>
    <w:p w14:paraId="537A24F5" w14:textId="77777777" w:rsidR="003451F2" w:rsidRPr="00CE6E5F" w:rsidRDefault="003451F2">
      <w:pPr>
        <w:keepNext/>
        <w:keepLines/>
        <w:tabs>
          <w:tab w:val="left" w:pos="567"/>
        </w:tabs>
        <w:rPr>
          <w:rFonts w:eastAsia="Times New Roman" w:cs="Times New Roman"/>
        </w:rPr>
      </w:pPr>
    </w:p>
    <w:p w14:paraId="0FE8B75B" w14:textId="62549FE0" w:rsidR="003451F2" w:rsidRPr="00CE6E5F" w:rsidRDefault="00316E67">
      <w:pPr>
        <w:tabs>
          <w:tab w:val="left" w:pos="567"/>
        </w:tabs>
        <w:rPr>
          <w:rFonts w:eastAsia="Times New Roman" w:cs="Times New Roman"/>
        </w:rPr>
      </w:pPr>
      <w:r>
        <w:rPr>
          <w:rFonts w:eastAsia="Times New Roman" w:cs="Times New Roman"/>
        </w:rPr>
        <w:t>EXP</w:t>
      </w:r>
      <w:r w:rsidR="005C66B6">
        <w:rPr>
          <w:rFonts w:eastAsia="Times New Roman" w:cs="Times New Roman"/>
        </w:rPr>
        <w:t>{</w:t>
      </w:r>
      <w:r w:rsidR="00D8151D">
        <w:rPr>
          <w:rFonts w:eastAsia="Times New Roman" w:cs="Times New Roman"/>
        </w:rPr>
        <w:t xml:space="preserve"> mm/MMMM</w:t>
      </w:r>
      <w:r w:rsidR="005C66B6">
        <w:rPr>
          <w:rFonts w:eastAsia="Times New Roman" w:cs="Times New Roman"/>
        </w:rPr>
        <w:t>}</w:t>
      </w:r>
    </w:p>
    <w:p w14:paraId="6DCED295" w14:textId="77777777" w:rsidR="003451F2" w:rsidRPr="00CE6E5F" w:rsidRDefault="003451F2">
      <w:pPr>
        <w:tabs>
          <w:tab w:val="left" w:pos="567"/>
        </w:tabs>
        <w:rPr>
          <w:rFonts w:eastAsia="Times New Roman" w:cs="Times New Roman"/>
        </w:rPr>
      </w:pPr>
    </w:p>
    <w:p w14:paraId="327184A2" w14:textId="77777777" w:rsidR="003451F2" w:rsidRPr="00CE6E5F" w:rsidRDefault="003451F2">
      <w:pPr>
        <w:tabs>
          <w:tab w:val="left" w:pos="567"/>
        </w:tabs>
        <w:rPr>
          <w:rFonts w:eastAsia="Times New Roman" w:cs="Times New Roman"/>
        </w:rPr>
      </w:pPr>
    </w:p>
    <w:p w14:paraId="47FA00E9"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9.</w:t>
      </w:r>
      <w:r w:rsidRPr="00CE6E5F">
        <w:rPr>
          <w:rFonts w:eastAsia="Times New Roman" w:cs="Times New Roman"/>
          <w:b/>
          <w:bCs/>
        </w:rPr>
        <w:tab/>
        <w:t>SPECIALIOS LAIKYMO SĄLYGOS</w:t>
      </w:r>
    </w:p>
    <w:p w14:paraId="5D01BE1D" w14:textId="77777777" w:rsidR="003451F2" w:rsidRPr="00CE6E5F" w:rsidRDefault="003451F2">
      <w:pPr>
        <w:keepNext/>
        <w:keepLines/>
        <w:tabs>
          <w:tab w:val="left" w:pos="567"/>
        </w:tabs>
        <w:rPr>
          <w:rFonts w:eastAsia="Times New Roman" w:cs="Times New Roman"/>
        </w:rPr>
      </w:pPr>
    </w:p>
    <w:p w14:paraId="26E745B7" w14:textId="77777777" w:rsidR="003451F2" w:rsidRPr="00CE6E5F" w:rsidRDefault="003451F2">
      <w:pPr>
        <w:tabs>
          <w:tab w:val="left" w:pos="567"/>
        </w:tabs>
        <w:ind w:left="567" w:hanging="567"/>
        <w:rPr>
          <w:rFonts w:eastAsia="Times New Roman" w:cs="Times New Roman"/>
        </w:rPr>
      </w:pPr>
    </w:p>
    <w:p w14:paraId="116A3588"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lastRenderedPageBreak/>
        <w:t>10.</w:t>
      </w:r>
      <w:r w:rsidRPr="00CE6E5F">
        <w:rPr>
          <w:rFonts w:eastAsia="Times New Roman" w:cs="Times New Roman"/>
          <w:b/>
          <w:bCs/>
        </w:rPr>
        <w:tab/>
        <w:t>SPECIALIOS ATSARGUMO PRIEMONĖS DĖL NESUVARTOTO VAISTINIO PREPARATO AR JO ATLIEKŲ TVARKYMO (JEI REIKIA)</w:t>
      </w:r>
    </w:p>
    <w:p w14:paraId="329450CA" w14:textId="77777777" w:rsidR="003451F2" w:rsidRPr="00CE6E5F" w:rsidRDefault="003451F2">
      <w:pPr>
        <w:keepNext/>
        <w:keepLines/>
        <w:tabs>
          <w:tab w:val="left" w:pos="567"/>
        </w:tabs>
        <w:rPr>
          <w:rFonts w:eastAsia="Times New Roman" w:cs="Times New Roman"/>
        </w:rPr>
      </w:pPr>
    </w:p>
    <w:p w14:paraId="7EEC1990" w14:textId="77777777" w:rsidR="003451F2" w:rsidRPr="00CE6E5F" w:rsidRDefault="003451F2">
      <w:pPr>
        <w:tabs>
          <w:tab w:val="left" w:pos="567"/>
        </w:tabs>
        <w:rPr>
          <w:rFonts w:eastAsia="Times New Roman" w:cs="Times New Roman"/>
        </w:rPr>
      </w:pPr>
    </w:p>
    <w:p w14:paraId="429DB4C1"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11.</w:t>
      </w:r>
      <w:r w:rsidRPr="00CE6E5F">
        <w:rPr>
          <w:rFonts w:eastAsia="Times New Roman" w:cs="Times New Roman"/>
          <w:b/>
          <w:bCs/>
        </w:rPr>
        <w:tab/>
        <w:t>REGISTRUOTOJO PAVADINIMAS IR ADRESAS</w:t>
      </w:r>
    </w:p>
    <w:p w14:paraId="372C2B4D" w14:textId="77777777" w:rsidR="003451F2" w:rsidRPr="00CE6E5F" w:rsidRDefault="003451F2">
      <w:pPr>
        <w:keepNext/>
        <w:keepLines/>
        <w:tabs>
          <w:tab w:val="left" w:pos="567"/>
        </w:tabs>
        <w:rPr>
          <w:rFonts w:eastAsia="Times New Roman" w:cs="Times New Roman"/>
        </w:rPr>
      </w:pPr>
    </w:p>
    <w:p w14:paraId="348604FC" w14:textId="77777777" w:rsidR="007A1CC0" w:rsidRPr="007A1CC0" w:rsidRDefault="007A1CC0" w:rsidP="007A1CC0">
      <w:pPr>
        <w:tabs>
          <w:tab w:val="left" w:pos="567"/>
        </w:tabs>
        <w:rPr>
          <w:rFonts w:eastAsia="Times New Roman" w:cs="Times New Roman"/>
        </w:rPr>
      </w:pPr>
      <w:proofErr w:type="spellStart"/>
      <w:r w:rsidRPr="007A1CC0">
        <w:rPr>
          <w:rFonts w:eastAsia="Times New Roman" w:cs="Times New Roman"/>
        </w:rPr>
        <w:t>Octapharma</w:t>
      </w:r>
      <w:proofErr w:type="spellEnd"/>
      <w:r w:rsidRPr="007A1CC0">
        <w:rPr>
          <w:rFonts w:eastAsia="Times New Roman" w:cs="Times New Roman"/>
        </w:rPr>
        <w:t xml:space="preserve"> (IP) SPRL</w:t>
      </w:r>
    </w:p>
    <w:p w14:paraId="147A137D" w14:textId="6AB4599E" w:rsidR="007A1CC0" w:rsidRPr="00E773DA" w:rsidRDefault="00F4763B" w:rsidP="007A1CC0">
      <w:pPr>
        <w:tabs>
          <w:tab w:val="left" w:pos="567"/>
        </w:tabs>
        <w:rPr>
          <w:rFonts w:eastAsia="Times New Roman" w:cs="Times New Roman"/>
          <w:highlight w:val="lightGray"/>
        </w:rPr>
      </w:pPr>
      <w:proofErr w:type="spellStart"/>
      <w:r>
        <w:rPr>
          <w:rFonts w:eastAsia="Times New Roman" w:cs="Times New Roman"/>
          <w:highlight w:val="lightGray"/>
        </w:rPr>
        <w:t>Route</w:t>
      </w:r>
      <w:proofErr w:type="spellEnd"/>
      <w:r>
        <w:rPr>
          <w:rFonts w:eastAsia="Times New Roman" w:cs="Times New Roman"/>
          <w:highlight w:val="lightGray"/>
        </w:rPr>
        <w:t xml:space="preserve"> de </w:t>
      </w:r>
      <w:proofErr w:type="spellStart"/>
      <w:r>
        <w:rPr>
          <w:rFonts w:eastAsia="Times New Roman" w:cs="Times New Roman"/>
          <w:highlight w:val="lightGray"/>
        </w:rPr>
        <w:t>Lennik</w:t>
      </w:r>
      <w:proofErr w:type="spellEnd"/>
      <w:r>
        <w:rPr>
          <w:rFonts w:eastAsia="Times New Roman" w:cs="Times New Roman"/>
          <w:highlight w:val="lightGray"/>
        </w:rPr>
        <w:t xml:space="preserve"> 451</w:t>
      </w:r>
    </w:p>
    <w:p w14:paraId="2A4A5104" w14:textId="77777777" w:rsidR="007A1CC0" w:rsidRPr="00E773DA" w:rsidRDefault="007A1CC0" w:rsidP="007A1CC0">
      <w:pPr>
        <w:tabs>
          <w:tab w:val="left" w:pos="567"/>
        </w:tabs>
        <w:rPr>
          <w:rFonts w:eastAsia="Times New Roman" w:cs="Times New Roman"/>
          <w:highlight w:val="lightGray"/>
        </w:rPr>
      </w:pPr>
      <w:r w:rsidRPr="00E773DA">
        <w:rPr>
          <w:rFonts w:eastAsia="Times New Roman" w:cs="Times New Roman"/>
          <w:highlight w:val="lightGray"/>
        </w:rPr>
        <w:t xml:space="preserve">1070 </w:t>
      </w:r>
      <w:proofErr w:type="spellStart"/>
      <w:r w:rsidRPr="00E773DA">
        <w:rPr>
          <w:rFonts w:eastAsia="Times New Roman" w:cs="Times New Roman"/>
          <w:highlight w:val="lightGray"/>
        </w:rPr>
        <w:t>Brussels</w:t>
      </w:r>
      <w:proofErr w:type="spellEnd"/>
      <w:r w:rsidRPr="00E773DA">
        <w:rPr>
          <w:rFonts w:eastAsia="Times New Roman" w:cs="Times New Roman"/>
          <w:highlight w:val="lightGray"/>
        </w:rPr>
        <w:t xml:space="preserve"> (Anderlecht)</w:t>
      </w:r>
    </w:p>
    <w:p w14:paraId="0012DF8C" w14:textId="77777777" w:rsidR="00190017" w:rsidRPr="00190017" w:rsidRDefault="007A1CC0" w:rsidP="007A1CC0">
      <w:pPr>
        <w:tabs>
          <w:tab w:val="left" w:pos="567"/>
        </w:tabs>
        <w:rPr>
          <w:rFonts w:eastAsia="Times New Roman" w:cs="Times New Roman"/>
        </w:rPr>
      </w:pPr>
      <w:r w:rsidRPr="00E773DA">
        <w:rPr>
          <w:rFonts w:eastAsia="Times New Roman" w:cs="Times New Roman"/>
          <w:highlight w:val="lightGray"/>
        </w:rPr>
        <w:t>Belgija</w:t>
      </w:r>
    </w:p>
    <w:p w14:paraId="6F16B035" w14:textId="77777777" w:rsidR="003451F2" w:rsidRDefault="003451F2">
      <w:pPr>
        <w:tabs>
          <w:tab w:val="left" w:pos="567"/>
        </w:tabs>
        <w:rPr>
          <w:rFonts w:eastAsia="Times New Roman" w:cs="Times New Roman"/>
        </w:rPr>
      </w:pPr>
    </w:p>
    <w:p w14:paraId="5472E3DB" w14:textId="77777777" w:rsidR="00190017" w:rsidRPr="00CE6E5F" w:rsidRDefault="00190017">
      <w:pPr>
        <w:tabs>
          <w:tab w:val="left" w:pos="567"/>
        </w:tabs>
        <w:rPr>
          <w:rFonts w:eastAsia="Times New Roman" w:cs="Times New Roman"/>
        </w:rPr>
      </w:pPr>
    </w:p>
    <w:p w14:paraId="569C20C0"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12.</w:t>
      </w:r>
      <w:r w:rsidRPr="00CE6E5F">
        <w:rPr>
          <w:rFonts w:eastAsia="Times New Roman" w:cs="Times New Roman"/>
          <w:b/>
          <w:bCs/>
        </w:rPr>
        <w:tab/>
        <w:t xml:space="preserve">REGISTRACIJOS PAŽYMĖJIMO NUMERIS (-IAI) </w:t>
      </w:r>
    </w:p>
    <w:p w14:paraId="3EA13792" w14:textId="77777777" w:rsidR="003451F2" w:rsidRPr="00CE6E5F" w:rsidRDefault="003451F2">
      <w:pPr>
        <w:keepNext/>
        <w:keepLines/>
        <w:tabs>
          <w:tab w:val="left" w:pos="567"/>
        </w:tabs>
        <w:rPr>
          <w:rFonts w:eastAsia="Times New Roman" w:cs="Times New Roman"/>
        </w:rPr>
      </w:pPr>
    </w:p>
    <w:p w14:paraId="1359CF58"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rPr>
        <w:t xml:space="preserve">LT/1/22/4893/004 </w:t>
      </w:r>
      <w:r w:rsidRPr="00A840BC">
        <w:rPr>
          <w:rFonts w:eastAsia="Times New Roman" w:cs="Times New Roman"/>
          <w:highlight w:val="lightGray"/>
        </w:rPr>
        <w:t>– 10 ml, N1</w:t>
      </w:r>
    </w:p>
    <w:p w14:paraId="7774214E"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LT/1/22/4893/005 – 10 ml, N10</w:t>
      </w:r>
    </w:p>
    <w:p w14:paraId="3D2EB256"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LT/1/22/4893/006 – 10 ml, N20</w:t>
      </w:r>
    </w:p>
    <w:p w14:paraId="437C509A"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LT/1/22/4893/007 – 12 ml, N1</w:t>
      </w:r>
    </w:p>
    <w:p w14:paraId="132D091A"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LT/1/22/4893/008 – 12 ml, N10</w:t>
      </w:r>
    </w:p>
    <w:p w14:paraId="41C2E62A"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LT/1/22/4893/009 – 12 ml, N20</w:t>
      </w:r>
    </w:p>
    <w:p w14:paraId="6D04AA2E"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LT/1/22/4893/010 – 20 ml, N1</w:t>
      </w:r>
    </w:p>
    <w:p w14:paraId="67018724"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LT/1/22/4893/011 – 20 ml, N10</w:t>
      </w:r>
    </w:p>
    <w:p w14:paraId="40AA6797"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LT/1/22/4893/012 – 20 ml, N20</w:t>
      </w:r>
    </w:p>
    <w:p w14:paraId="6454DAD4"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LT/1/22/4893/013 – 24 ml, N1</w:t>
      </w:r>
    </w:p>
    <w:p w14:paraId="265BE217"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LT/1/22/4893/014 – 24 ml, N10</w:t>
      </w:r>
    </w:p>
    <w:p w14:paraId="2DFD557D"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LT/1/22/4893/015 – 24 ml, N20</w:t>
      </w:r>
    </w:p>
    <w:p w14:paraId="6AC55AAC"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LT/1/22/4893/016 – 48 ml, N1</w:t>
      </w:r>
    </w:p>
    <w:p w14:paraId="30347684" w14:textId="77777777" w:rsidR="00A840BC"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LT/1/22/4893/017 – 48 ml, N10</w:t>
      </w:r>
    </w:p>
    <w:p w14:paraId="5B9CB321" w14:textId="67B36D82" w:rsidR="00124466" w:rsidRPr="00A840BC" w:rsidRDefault="00A840BC" w:rsidP="00A840BC">
      <w:pPr>
        <w:tabs>
          <w:tab w:val="left" w:pos="567"/>
        </w:tabs>
        <w:rPr>
          <w:rFonts w:eastAsia="Times New Roman" w:cs="Times New Roman"/>
          <w:highlight w:val="lightGray"/>
        </w:rPr>
      </w:pPr>
      <w:r w:rsidRPr="00A840BC">
        <w:rPr>
          <w:rFonts w:eastAsia="Times New Roman" w:cs="Times New Roman"/>
          <w:highlight w:val="lightGray"/>
        </w:rPr>
        <w:t>LT/1/22/4893/018 – 48 ml, N20</w:t>
      </w:r>
    </w:p>
    <w:p w14:paraId="697CFFF9" w14:textId="77777777" w:rsidR="00A840BC" w:rsidRDefault="00A840BC" w:rsidP="00A840BC">
      <w:pPr>
        <w:tabs>
          <w:tab w:val="left" w:pos="567"/>
        </w:tabs>
        <w:rPr>
          <w:rFonts w:eastAsia="Times New Roman" w:cs="Times New Roman"/>
        </w:rPr>
      </w:pPr>
    </w:p>
    <w:p w14:paraId="2590EBDB" w14:textId="77777777" w:rsidR="00124466" w:rsidRPr="00CE6E5F" w:rsidRDefault="00124466">
      <w:pPr>
        <w:tabs>
          <w:tab w:val="left" w:pos="567"/>
        </w:tabs>
        <w:rPr>
          <w:rFonts w:eastAsia="Times New Roman" w:cs="Times New Roman"/>
        </w:rPr>
      </w:pPr>
    </w:p>
    <w:p w14:paraId="43B4F57E"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13.</w:t>
      </w:r>
      <w:r w:rsidRPr="00CE6E5F">
        <w:rPr>
          <w:rFonts w:eastAsia="Times New Roman" w:cs="Times New Roman"/>
          <w:b/>
          <w:bCs/>
        </w:rPr>
        <w:tab/>
        <w:t>SERIJOS NUMERIS</w:t>
      </w:r>
    </w:p>
    <w:p w14:paraId="103AC0D0" w14:textId="77777777" w:rsidR="003451F2" w:rsidRPr="00CE6E5F" w:rsidRDefault="003451F2">
      <w:pPr>
        <w:keepNext/>
        <w:keepLines/>
        <w:tabs>
          <w:tab w:val="left" w:pos="567"/>
        </w:tabs>
        <w:rPr>
          <w:rFonts w:eastAsia="Times New Roman" w:cs="Times New Roman"/>
        </w:rPr>
      </w:pPr>
    </w:p>
    <w:p w14:paraId="39039D77" w14:textId="77777777" w:rsidR="003451F2" w:rsidRPr="00CE6E5F" w:rsidRDefault="00316E67">
      <w:pPr>
        <w:tabs>
          <w:tab w:val="left" w:pos="567"/>
        </w:tabs>
        <w:rPr>
          <w:rFonts w:eastAsia="Times New Roman" w:cs="Times New Roman"/>
        </w:rPr>
      </w:pPr>
      <w:r>
        <w:rPr>
          <w:rFonts w:eastAsia="Times New Roman" w:cs="Times New Roman"/>
        </w:rPr>
        <w:t>Lot</w:t>
      </w:r>
    </w:p>
    <w:p w14:paraId="5ABCB705" w14:textId="77777777" w:rsidR="003451F2" w:rsidRPr="00CE6E5F" w:rsidRDefault="003451F2">
      <w:pPr>
        <w:tabs>
          <w:tab w:val="left" w:pos="567"/>
        </w:tabs>
        <w:rPr>
          <w:rFonts w:eastAsia="Times New Roman" w:cs="Times New Roman"/>
        </w:rPr>
      </w:pPr>
    </w:p>
    <w:p w14:paraId="14C61E06" w14:textId="77777777" w:rsidR="003451F2" w:rsidRPr="00CE6E5F" w:rsidRDefault="003451F2">
      <w:pPr>
        <w:tabs>
          <w:tab w:val="left" w:pos="567"/>
        </w:tabs>
        <w:rPr>
          <w:rFonts w:eastAsia="Times New Roman" w:cs="Times New Roman"/>
        </w:rPr>
      </w:pPr>
    </w:p>
    <w:p w14:paraId="0F7A928A"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14.</w:t>
      </w:r>
      <w:r w:rsidRPr="00CE6E5F">
        <w:rPr>
          <w:rFonts w:eastAsia="Times New Roman" w:cs="Times New Roman"/>
          <w:b/>
          <w:bCs/>
        </w:rPr>
        <w:tab/>
        <w:t>PARDAVIMO (IŠDAVIMO) TVARKA</w:t>
      </w:r>
    </w:p>
    <w:p w14:paraId="6C54811C" w14:textId="77777777" w:rsidR="003451F2" w:rsidRPr="00CE6E5F" w:rsidRDefault="003451F2">
      <w:pPr>
        <w:keepNext/>
        <w:keepLines/>
        <w:tabs>
          <w:tab w:val="left" w:pos="567"/>
        </w:tabs>
        <w:rPr>
          <w:rFonts w:eastAsia="Times New Roman" w:cs="Times New Roman"/>
        </w:rPr>
      </w:pPr>
    </w:p>
    <w:p w14:paraId="00EA0C3B" w14:textId="77777777" w:rsidR="00124466" w:rsidRPr="00CE6E5F" w:rsidRDefault="00124466">
      <w:pPr>
        <w:tabs>
          <w:tab w:val="left" w:pos="567"/>
        </w:tabs>
        <w:rPr>
          <w:rFonts w:eastAsia="Times New Roman" w:cs="Times New Roman"/>
        </w:rPr>
      </w:pPr>
    </w:p>
    <w:p w14:paraId="2DE3ED0E"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15.</w:t>
      </w:r>
      <w:r w:rsidRPr="00CE6E5F">
        <w:rPr>
          <w:rFonts w:eastAsia="Times New Roman" w:cs="Times New Roman"/>
          <w:b/>
          <w:bCs/>
        </w:rPr>
        <w:tab/>
        <w:t>VARTOJIMO INSTRUKCIJA</w:t>
      </w:r>
    </w:p>
    <w:p w14:paraId="1C09FFB7" w14:textId="77777777" w:rsidR="003451F2" w:rsidRPr="00CE6E5F" w:rsidRDefault="003451F2">
      <w:pPr>
        <w:keepNext/>
        <w:keepLines/>
        <w:tabs>
          <w:tab w:val="left" w:pos="567"/>
        </w:tabs>
        <w:rPr>
          <w:rFonts w:eastAsia="Times New Roman" w:cs="Times New Roman"/>
        </w:rPr>
      </w:pPr>
    </w:p>
    <w:p w14:paraId="46A3D55A" w14:textId="77777777" w:rsidR="003451F2" w:rsidRPr="00CE6E5F" w:rsidRDefault="003451F2">
      <w:pPr>
        <w:tabs>
          <w:tab w:val="left" w:pos="567"/>
        </w:tabs>
        <w:rPr>
          <w:rFonts w:eastAsia="Times New Roman" w:cs="Times New Roman"/>
        </w:rPr>
      </w:pPr>
    </w:p>
    <w:p w14:paraId="163CB2EE" w14:textId="77777777" w:rsidR="003451F2" w:rsidRPr="00CE6E5F" w:rsidRDefault="003451F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rPr>
      </w:pPr>
      <w:r w:rsidRPr="00CE6E5F">
        <w:rPr>
          <w:rFonts w:eastAsia="Times New Roman" w:cs="Times New Roman"/>
          <w:b/>
          <w:bCs/>
        </w:rPr>
        <w:t>16.</w:t>
      </w:r>
      <w:r w:rsidRPr="00CE6E5F">
        <w:rPr>
          <w:rFonts w:eastAsia="Times New Roman" w:cs="Times New Roman"/>
          <w:b/>
          <w:bCs/>
        </w:rPr>
        <w:tab/>
        <w:t>INFORMACIJA BRAILIO RAŠTU</w:t>
      </w:r>
    </w:p>
    <w:p w14:paraId="31A90C5C" w14:textId="77777777" w:rsidR="003451F2" w:rsidRPr="00CE6E5F" w:rsidRDefault="003451F2">
      <w:pPr>
        <w:keepNext/>
        <w:keepLines/>
        <w:tabs>
          <w:tab w:val="left" w:pos="567"/>
        </w:tabs>
        <w:rPr>
          <w:rFonts w:eastAsia="Times New Roman" w:cs="Times New Roman"/>
        </w:rPr>
      </w:pPr>
    </w:p>
    <w:p w14:paraId="3D4BEC3B" w14:textId="77777777" w:rsidR="003451F2" w:rsidRPr="00CE6E5F" w:rsidRDefault="003451F2">
      <w:pPr>
        <w:tabs>
          <w:tab w:val="left" w:pos="567"/>
        </w:tabs>
        <w:rPr>
          <w:rFonts w:eastAsia="Times New Roman" w:cs="Times New Roman"/>
          <w:shd w:val="clear" w:color="auto" w:fill="CCCCCC"/>
        </w:rPr>
      </w:pPr>
      <w:r w:rsidRPr="00CE6E5F">
        <w:rPr>
          <w:rFonts w:eastAsia="Times New Roman" w:cs="Times New Roman"/>
          <w:shd w:val="clear" w:color="auto" w:fill="CCCCCC"/>
        </w:rPr>
        <w:t>Priimtas pagrindimas informacijos Brailio raštu nepateikti.</w:t>
      </w:r>
    </w:p>
    <w:p w14:paraId="24B25FDD" w14:textId="77777777" w:rsidR="003451F2" w:rsidRPr="00CE6E5F" w:rsidRDefault="003451F2">
      <w:pPr>
        <w:tabs>
          <w:tab w:val="left" w:pos="567"/>
        </w:tabs>
        <w:rPr>
          <w:rFonts w:eastAsia="Times New Roman" w:cs="Times New Roman"/>
          <w:shd w:val="clear" w:color="auto" w:fill="CCCCCC"/>
        </w:rPr>
      </w:pPr>
    </w:p>
    <w:p w14:paraId="6A145F40" w14:textId="77777777" w:rsidR="003451F2" w:rsidRPr="00CE6E5F" w:rsidRDefault="003451F2" w:rsidP="00CE6E5F">
      <w:pPr>
        <w:tabs>
          <w:tab w:val="left" w:pos="567"/>
        </w:tabs>
        <w:rPr>
          <w:rFonts w:eastAsia="Times New Roman" w:cs="Times New Roman"/>
          <w:shd w:val="clear" w:color="auto" w:fill="CCCCCC"/>
        </w:rPr>
      </w:pPr>
    </w:p>
    <w:p w14:paraId="2A96FC68" w14:textId="77777777" w:rsidR="003451F2" w:rsidRPr="00E773DA" w:rsidRDefault="003451F2" w:rsidP="00CE6E5F">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cs="Times New Roman"/>
          <w:i/>
          <w:szCs w:val="20"/>
        </w:rPr>
      </w:pPr>
      <w:r w:rsidRPr="00CE6E5F">
        <w:rPr>
          <w:rFonts w:eastAsia="Times New Roman" w:cs="Times New Roman"/>
          <w:b/>
          <w:szCs w:val="20"/>
        </w:rPr>
        <w:t>17.</w:t>
      </w:r>
      <w:r w:rsidRPr="00CE6E5F">
        <w:rPr>
          <w:rFonts w:eastAsia="Times New Roman" w:cs="Times New Roman"/>
          <w:b/>
          <w:szCs w:val="20"/>
        </w:rPr>
        <w:tab/>
        <w:t>UNIKALUS IDENTIFIKATORIUS – 2D BRŪKŠNINIS KODAS</w:t>
      </w:r>
    </w:p>
    <w:p w14:paraId="7D5DF9AB" w14:textId="77777777" w:rsidR="003451F2" w:rsidRPr="00CE6E5F" w:rsidRDefault="003451F2" w:rsidP="00CE6E5F">
      <w:pPr>
        <w:tabs>
          <w:tab w:val="left" w:pos="567"/>
        </w:tabs>
        <w:rPr>
          <w:rFonts w:eastAsia="Times New Roman" w:cs="Times New Roman"/>
          <w:szCs w:val="20"/>
        </w:rPr>
      </w:pPr>
    </w:p>
    <w:p w14:paraId="194017CC" w14:textId="77777777" w:rsidR="003451F2" w:rsidRPr="00CE6E5F" w:rsidRDefault="003451F2" w:rsidP="00CE6E5F">
      <w:pPr>
        <w:tabs>
          <w:tab w:val="left" w:pos="567"/>
        </w:tabs>
        <w:rPr>
          <w:rFonts w:eastAsia="Times New Roman" w:cs="Times New Roman"/>
          <w:szCs w:val="20"/>
        </w:rPr>
      </w:pPr>
    </w:p>
    <w:p w14:paraId="4ADDBE8E" w14:textId="77777777" w:rsidR="003451F2" w:rsidRPr="00CE6E5F" w:rsidRDefault="003451F2" w:rsidP="00CE6E5F">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cs="Times New Roman"/>
          <w:i/>
          <w:szCs w:val="20"/>
        </w:rPr>
      </w:pPr>
      <w:r w:rsidRPr="00CE6E5F">
        <w:rPr>
          <w:rFonts w:eastAsia="Times New Roman" w:cs="Times New Roman"/>
          <w:b/>
          <w:szCs w:val="20"/>
        </w:rPr>
        <w:t>18.</w:t>
      </w:r>
      <w:r w:rsidRPr="00CE6E5F">
        <w:rPr>
          <w:rFonts w:eastAsia="Times New Roman" w:cs="Times New Roman"/>
          <w:b/>
          <w:szCs w:val="20"/>
        </w:rPr>
        <w:tab/>
        <w:t>UNIKALUS IDENTIFIKATORIUS – ŽMONĖMS SUPRANTAMI DUOMENYS</w:t>
      </w:r>
    </w:p>
    <w:p w14:paraId="37E4386F" w14:textId="77777777" w:rsidR="003451F2" w:rsidRPr="00CE6E5F" w:rsidRDefault="003451F2" w:rsidP="00CE6E5F">
      <w:pPr>
        <w:tabs>
          <w:tab w:val="left" w:pos="567"/>
        </w:tabs>
        <w:rPr>
          <w:rFonts w:eastAsia="Times New Roman" w:cs="Times New Roman"/>
          <w:szCs w:val="20"/>
        </w:rPr>
      </w:pPr>
    </w:p>
    <w:p w14:paraId="4955D4EA" w14:textId="77777777" w:rsidR="004675E9" w:rsidRPr="00E457A0" w:rsidRDefault="004675E9" w:rsidP="00E457A0">
      <w:pPr>
        <w:rPr>
          <w:rFonts w:cs="Times New Roman"/>
          <w:color w:val="000000"/>
        </w:rPr>
      </w:pPr>
    </w:p>
    <w:p w14:paraId="7CD5DFA2" w14:textId="77777777" w:rsidR="003451F2" w:rsidRPr="00E457A0" w:rsidRDefault="003451F2" w:rsidP="00E457A0">
      <w:pPr>
        <w:rPr>
          <w:rFonts w:eastAsia="Times New Roman" w:cs="Times New Roman"/>
          <w:snapToGrid w:val="0"/>
          <w:szCs w:val="20"/>
        </w:rPr>
      </w:pPr>
      <w:r w:rsidRPr="00E457A0">
        <w:br w:type="page"/>
      </w:r>
    </w:p>
    <w:p w14:paraId="33F146C2" w14:textId="77777777" w:rsidR="003451F2" w:rsidRPr="00E457A0" w:rsidRDefault="003451F2" w:rsidP="00E457A0">
      <w:pPr>
        <w:tabs>
          <w:tab w:val="left" w:pos="567"/>
          <w:tab w:val="left" w:pos="7980"/>
        </w:tabs>
        <w:rPr>
          <w:rFonts w:eastAsia="Times New Roman" w:cs="Times New Roman"/>
          <w:snapToGrid w:val="0"/>
          <w:szCs w:val="20"/>
        </w:rPr>
      </w:pPr>
    </w:p>
    <w:p w14:paraId="4A345286" w14:textId="77777777" w:rsidR="003451F2" w:rsidRPr="00E457A0" w:rsidRDefault="003451F2" w:rsidP="00E457A0">
      <w:pPr>
        <w:tabs>
          <w:tab w:val="left" w:pos="567"/>
        </w:tabs>
        <w:rPr>
          <w:rFonts w:eastAsia="Times New Roman" w:cs="Times New Roman"/>
          <w:snapToGrid w:val="0"/>
          <w:szCs w:val="20"/>
        </w:rPr>
      </w:pPr>
    </w:p>
    <w:p w14:paraId="544EB48C" w14:textId="77777777" w:rsidR="003451F2" w:rsidRPr="00E457A0" w:rsidRDefault="003451F2" w:rsidP="00E457A0">
      <w:pPr>
        <w:tabs>
          <w:tab w:val="left" w:pos="567"/>
        </w:tabs>
        <w:rPr>
          <w:rFonts w:eastAsia="Times New Roman" w:cs="Times New Roman"/>
          <w:snapToGrid w:val="0"/>
          <w:szCs w:val="20"/>
        </w:rPr>
      </w:pPr>
    </w:p>
    <w:p w14:paraId="6A713ED7" w14:textId="77777777" w:rsidR="003451F2" w:rsidRPr="00E457A0" w:rsidRDefault="003451F2" w:rsidP="00E457A0">
      <w:pPr>
        <w:tabs>
          <w:tab w:val="left" w:pos="567"/>
        </w:tabs>
        <w:rPr>
          <w:rFonts w:eastAsia="Times New Roman" w:cs="Times New Roman"/>
          <w:snapToGrid w:val="0"/>
          <w:szCs w:val="20"/>
        </w:rPr>
      </w:pPr>
    </w:p>
    <w:p w14:paraId="1584B219" w14:textId="77777777" w:rsidR="003451F2" w:rsidRPr="00E457A0" w:rsidRDefault="003451F2" w:rsidP="00E457A0">
      <w:pPr>
        <w:tabs>
          <w:tab w:val="left" w:pos="567"/>
        </w:tabs>
        <w:rPr>
          <w:rFonts w:eastAsia="Times New Roman" w:cs="Times New Roman"/>
          <w:snapToGrid w:val="0"/>
          <w:szCs w:val="20"/>
        </w:rPr>
      </w:pPr>
    </w:p>
    <w:p w14:paraId="1EB12374" w14:textId="77777777" w:rsidR="003451F2" w:rsidRPr="00E457A0" w:rsidRDefault="003451F2" w:rsidP="00E457A0">
      <w:pPr>
        <w:tabs>
          <w:tab w:val="left" w:pos="567"/>
        </w:tabs>
        <w:rPr>
          <w:rFonts w:eastAsia="Times New Roman" w:cs="Times New Roman"/>
          <w:snapToGrid w:val="0"/>
          <w:szCs w:val="20"/>
        </w:rPr>
      </w:pPr>
    </w:p>
    <w:p w14:paraId="0CA9DFBA" w14:textId="77777777" w:rsidR="003451F2" w:rsidRPr="00E457A0" w:rsidRDefault="003451F2" w:rsidP="00E457A0">
      <w:pPr>
        <w:tabs>
          <w:tab w:val="left" w:pos="567"/>
        </w:tabs>
        <w:rPr>
          <w:rFonts w:eastAsia="Times New Roman" w:cs="Times New Roman"/>
          <w:snapToGrid w:val="0"/>
          <w:szCs w:val="20"/>
        </w:rPr>
      </w:pPr>
    </w:p>
    <w:p w14:paraId="6BF89A17" w14:textId="77777777" w:rsidR="003451F2" w:rsidRPr="00E457A0" w:rsidRDefault="003451F2" w:rsidP="00316E67">
      <w:pPr>
        <w:tabs>
          <w:tab w:val="left" w:pos="567"/>
        </w:tabs>
        <w:rPr>
          <w:rFonts w:eastAsia="Times New Roman" w:cs="Times New Roman"/>
          <w:snapToGrid w:val="0"/>
          <w:szCs w:val="20"/>
        </w:rPr>
      </w:pPr>
    </w:p>
    <w:p w14:paraId="3B3C550C" w14:textId="77777777" w:rsidR="003451F2" w:rsidRPr="00316E67" w:rsidRDefault="003451F2" w:rsidP="00316E67">
      <w:pPr>
        <w:tabs>
          <w:tab w:val="left" w:pos="567"/>
        </w:tabs>
        <w:rPr>
          <w:rFonts w:eastAsia="Times New Roman" w:cs="Times New Roman"/>
          <w:snapToGrid w:val="0"/>
          <w:szCs w:val="20"/>
        </w:rPr>
      </w:pPr>
    </w:p>
    <w:p w14:paraId="14978E65" w14:textId="77777777" w:rsidR="003451F2" w:rsidRPr="00316E67" w:rsidRDefault="003451F2" w:rsidP="00316E67">
      <w:pPr>
        <w:tabs>
          <w:tab w:val="left" w:pos="567"/>
        </w:tabs>
        <w:rPr>
          <w:rFonts w:eastAsia="Times New Roman" w:cs="Times New Roman"/>
          <w:snapToGrid w:val="0"/>
          <w:szCs w:val="20"/>
        </w:rPr>
      </w:pPr>
    </w:p>
    <w:p w14:paraId="153E74C9" w14:textId="77777777" w:rsidR="003451F2" w:rsidRPr="00BE3B67" w:rsidRDefault="003451F2" w:rsidP="00BE3B67">
      <w:pPr>
        <w:tabs>
          <w:tab w:val="left" w:pos="567"/>
        </w:tabs>
        <w:rPr>
          <w:rFonts w:eastAsia="Times New Roman" w:cs="Times New Roman"/>
          <w:snapToGrid w:val="0"/>
          <w:szCs w:val="20"/>
        </w:rPr>
      </w:pPr>
    </w:p>
    <w:p w14:paraId="1813106C" w14:textId="77777777" w:rsidR="003451F2" w:rsidRPr="00BE3B67" w:rsidRDefault="003451F2" w:rsidP="00BE3B67">
      <w:pPr>
        <w:tabs>
          <w:tab w:val="left" w:pos="567"/>
        </w:tabs>
        <w:rPr>
          <w:rFonts w:eastAsia="Times New Roman" w:cs="Times New Roman"/>
          <w:snapToGrid w:val="0"/>
          <w:szCs w:val="20"/>
        </w:rPr>
      </w:pPr>
    </w:p>
    <w:p w14:paraId="2E69CB10" w14:textId="77777777" w:rsidR="003451F2" w:rsidRPr="00BE3B67" w:rsidRDefault="003451F2" w:rsidP="00BE3B67">
      <w:pPr>
        <w:tabs>
          <w:tab w:val="left" w:pos="567"/>
        </w:tabs>
        <w:rPr>
          <w:rFonts w:eastAsia="Times New Roman" w:cs="Times New Roman"/>
          <w:snapToGrid w:val="0"/>
          <w:szCs w:val="20"/>
        </w:rPr>
      </w:pPr>
    </w:p>
    <w:p w14:paraId="2B9FF7C2" w14:textId="77777777" w:rsidR="003451F2" w:rsidRPr="00BE3B67" w:rsidRDefault="003451F2" w:rsidP="00BE3B67">
      <w:pPr>
        <w:tabs>
          <w:tab w:val="left" w:pos="567"/>
        </w:tabs>
        <w:rPr>
          <w:rFonts w:eastAsia="Times New Roman" w:cs="Times New Roman"/>
          <w:snapToGrid w:val="0"/>
          <w:szCs w:val="20"/>
        </w:rPr>
      </w:pPr>
    </w:p>
    <w:p w14:paraId="32F0AA3D" w14:textId="77777777" w:rsidR="003451F2" w:rsidRPr="00BE3B67" w:rsidRDefault="003451F2" w:rsidP="00BE3B67">
      <w:pPr>
        <w:tabs>
          <w:tab w:val="left" w:pos="567"/>
        </w:tabs>
        <w:rPr>
          <w:rFonts w:eastAsia="Times New Roman" w:cs="Times New Roman"/>
          <w:snapToGrid w:val="0"/>
          <w:szCs w:val="20"/>
        </w:rPr>
      </w:pPr>
    </w:p>
    <w:p w14:paraId="55BFBB0E" w14:textId="77777777" w:rsidR="003451F2" w:rsidRPr="00BE3B67" w:rsidRDefault="003451F2" w:rsidP="00BE3B67">
      <w:pPr>
        <w:tabs>
          <w:tab w:val="left" w:pos="567"/>
        </w:tabs>
        <w:rPr>
          <w:rFonts w:eastAsia="Times New Roman" w:cs="Times New Roman"/>
          <w:snapToGrid w:val="0"/>
          <w:szCs w:val="20"/>
        </w:rPr>
      </w:pPr>
    </w:p>
    <w:p w14:paraId="3777DA35" w14:textId="77777777" w:rsidR="003451F2" w:rsidRPr="00BE3B67" w:rsidRDefault="003451F2" w:rsidP="00BE3B67">
      <w:pPr>
        <w:tabs>
          <w:tab w:val="left" w:pos="567"/>
        </w:tabs>
        <w:rPr>
          <w:rFonts w:eastAsia="Times New Roman" w:cs="Times New Roman"/>
          <w:snapToGrid w:val="0"/>
          <w:szCs w:val="20"/>
        </w:rPr>
      </w:pPr>
    </w:p>
    <w:p w14:paraId="0BFB0018" w14:textId="77777777" w:rsidR="003451F2" w:rsidRPr="00BE3B67" w:rsidRDefault="003451F2" w:rsidP="00BE3B67">
      <w:pPr>
        <w:tabs>
          <w:tab w:val="left" w:pos="567"/>
        </w:tabs>
        <w:rPr>
          <w:rFonts w:eastAsia="Times New Roman" w:cs="Times New Roman"/>
          <w:snapToGrid w:val="0"/>
          <w:szCs w:val="20"/>
        </w:rPr>
      </w:pPr>
    </w:p>
    <w:p w14:paraId="373F4E38" w14:textId="77777777" w:rsidR="003451F2" w:rsidRPr="00BE3B67" w:rsidRDefault="003451F2" w:rsidP="00BE3B67">
      <w:pPr>
        <w:tabs>
          <w:tab w:val="left" w:pos="567"/>
        </w:tabs>
        <w:rPr>
          <w:rFonts w:eastAsia="Times New Roman" w:cs="Times New Roman"/>
          <w:snapToGrid w:val="0"/>
          <w:szCs w:val="20"/>
        </w:rPr>
      </w:pPr>
    </w:p>
    <w:p w14:paraId="12A88859" w14:textId="77777777" w:rsidR="003451F2" w:rsidRPr="00BE3B67" w:rsidRDefault="003451F2" w:rsidP="00BE3B67">
      <w:pPr>
        <w:tabs>
          <w:tab w:val="left" w:pos="567"/>
        </w:tabs>
        <w:rPr>
          <w:rFonts w:eastAsia="Times New Roman" w:cs="Times New Roman"/>
          <w:snapToGrid w:val="0"/>
          <w:szCs w:val="20"/>
        </w:rPr>
      </w:pPr>
    </w:p>
    <w:p w14:paraId="6683752D" w14:textId="77777777" w:rsidR="003451F2" w:rsidRPr="00BE3B67" w:rsidRDefault="003451F2" w:rsidP="00BE3B67">
      <w:pPr>
        <w:tabs>
          <w:tab w:val="left" w:pos="567"/>
        </w:tabs>
        <w:rPr>
          <w:rFonts w:eastAsia="Times New Roman" w:cs="Times New Roman"/>
          <w:snapToGrid w:val="0"/>
          <w:szCs w:val="20"/>
        </w:rPr>
      </w:pPr>
    </w:p>
    <w:p w14:paraId="5C333E0D" w14:textId="77777777" w:rsidR="003451F2" w:rsidRPr="00BE3B67" w:rsidRDefault="003451F2" w:rsidP="00BE3B67">
      <w:pPr>
        <w:tabs>
          <w:tab w:val="left" w:pos="567"/>
        </w:tabs>
        <w:rPr>
          <w:rFonts w:eastAsia="Times New Roman" w:cs="Times New Roman"/>
          <w:snapToGrid w:val="0"/>
          <w:szCs w:val="20"/>
        </w:rPr>
      </w:pPr>
    </w:p>
    <w:p w14:paraId="34E0587B" w14:textId="77777777" w:rsidR="00000B72" w:rsidRDefault="00000B72" w:rsidP="00BE3B67">
      <w:pPr>
        <w:tabs>
          <w:tab w:val="left" w:pos="567"/>
        </w:tabs>
        <w:jc w:val="center"/>
        <w:rPr>
          <w:rFonts w:eastAsia="Times New Roman" w:cs="Times New Roman"/>
          <w:b/>
          <w:snapToGrid w:val="0"/>
          <w:szCs w:val="20"/>
        </w:rPr>
      </w:pPr>
    </w:p>
    <w:p w14:paraId="1DAF45C5" w14:textId="77777777" w:rsidR="003451F2" w:rsidRPr="00BE3B67" w:rsidRDefault="003451F2" w:rsidP="00BE3B67">
      <w:pPr>
        <w:tabs>
          <w:tab w:val="left" w:pos="567"/>
        </w:tabs>
        <w:jc w:val="center"/>
        <w:rPr>
          <w:rFonts w:eastAsia="Times New Roman" w:cs="Times New Roman"/>
          <w:b/>
          <w:snapToGrid w:val="0"/>
          <w:szCs w:val="20"/>
        </w:rPr>
      </w:pPr>
      <w:r w:rsidRPr="00BE3B67">
        <w:rPr>
          <w:rFonts w:eastAsia="Times New Roman" w:cs="Times New Roman"/>
          <w:b/>
          <w:snapToGrid w:val="0"/>
          <w:szCs w:val="20"/>
        </w:rPr>
        <w:t>B. PAKUOTĖS LAPELIS</w:t>
      </w:r>
    </w:p>
    <w:p w14:paraId="68145D4C" w14:textId="77777777" w:rsidR="003451F2" w:rsidRPr="00BE3B67" w:rsidRDefault="003451F2" w:rsidP="00BE3B67">
      <w:pPr>
        <w:tabs>
          <w:tab w:val="left" w:pos="567"/>
        </w:tabs>
        <w:rPr>
          <w:rFonts w:eastAsia="Times New Roman" w:cs="Times New Roman"/>
          <w:snapToGrid w:val="0"/>
          <w:szCs w:val="20"/>
        </w:rPr>
      </w:pPr>
    </w:p>
    <w:p w14:paraId="704C186E" w14:textId="77777777" w:rsidR="003451F2" w:rsidRPr="00BE3B67" w:rsidRDefault="003451F2" w:rsidP="00BE3B67">
      <w:pPr>
        <w:rPr>
          <w:b/>
        </w:rPr>
      </w:pPr>
      <w:r w:rsidRPr="00BE3B67">
        <w:rPr>
          <w:rFonts w:eastAsia="Times New Roman" w:cs="Times New Roman"/>
          <w:b/>
          <w:snapToGrid w:val="0"/>
          <w:szCs w:val="20"/>
        </w:rPr>
        <w:br w:type="page"/>
      </w:r>
    </w:p>
    <w:p w14:paraId="32521C6A" w14:textId="77777777" w:rsidR="003451F2" w:rsidRPr="00CE6E5F" w:rsidRDefault="003451F2" w:rsidP="00BE3B67">
      <w:pPr>
        <w:jc w:val="center"/>
        <w:outlineLvl w:val="0"/>
        <w:rPr>
          <w:rFonts w:eastAsia="Times New Roman" w:cs="Times New Roman"/>
        </w:rPr>
      </w:pPr>
      <w:r w:rsidRPr="00CE6E5F">
        <w:rPr>
          <w:rFonts w:eastAsia="Times New Roman" w:cs="Times New Roman"/>
          <w:b/>
          <w:bCs/>
        </w:rPr>
        <w:lastRenderedPageBreak/>
        <w:t>Pakuotės lapelis: informacija vartotojui</w:t>
      </w:r>
    </w:p>
    <w:p w14:paraId="1318CA14" w14:textId="77777777" w:rsidR="003451F2" w:rsidRPr="00CE6E5F" w:rsidRDefault="003451F2" w:rsidP="00CE6E5F">
      <w:pPr>
        <w:tabs>
          <w:tab w:val="left" w:pos="567"/>
        </w:tabs>
        <w:jc w:val="center"/>
        <w:rPr>
          <w:rFonts w:eastAsia="Times New Roman" w:cs="Times New Roman"/>
        </w:rPr>
      </w:pPr>
    </w:p>
    <w:p w14:paraId="390D2441" w14:textId="77777777" w:rsidR="003451F2" w:rsidRPr="00CE6E5F" w:rsidRDefault="00242227" w:rsidP="00E457A0">
      <w:pPr>
        <w:numPr>
          <w:ilvl w:val="12"/>
          <w:numId w:val="0"/>
        </w:numPr>
        <w:jc w:val="center"/>
        <w:rPr>
          <w:rFonts w:eastAsia="Times New Roman" w:cs="Times New Roman"/>
          <w:b/>
          <w:bCs/>
        </w:rPr>
      </w:pPr>
      <w:proofErr w:type="spellStart"/>
      <w:r>
        <w:rPr>
          <w:rFonts w:eastAsia="Times New Roman" w:cs="Times New Roman"/>
          <w:b/>
          <w:bCs/>
        </w:rPr>
        <w:t>cutaquig</w:t>
      </w:r>
      <w:proofErr w:type="spellEnd"/>
      <w:r w:rsidR="003451F2" w:rsidRPr="00CE6E5F">
        <w:rPr>
          <w:rFonts w:eastAsia="Times New Roman" w:cs="Times New Roman"/>
          <w:b/>
          <w:bCs/>
        </w:rPr>
        <w:t xml:space="preserve"> 165 mg/ml</w:t>
      </w:r>
      <w:r w:rsidR="003451F2" w:rsidRPr="00CE6E5F">
        <w:rPr>
          <w:rFonts w:eastAsia="Times New Roman" w:cs="Times New Roman"/>
          <w:b/>
        </w:rPr>
        <w:t xml:space="preserve"> injekcinis tirpalas</w:t>
      </w:r>
    </w:p>
    <w:p w14:paraId="483493ED" w14:textId="1F758143" w:rsidR="003451F2" w:rsidRPr="00CE6E5F" w:rsidRDefault="00F70D2D" w:rsidP="00E457A0">
      <w:pPr>
        <w:widowControl w:val="0"/>
        <w:autoSpaceDE w:val="0"/>
        <w:autoSpaceDN w:val="0"/>
        <w:adjustRightInd w:val="0"/>
        <w:jc w:val="center"/>
        <w:rPr>
          <w:rFonts w:eastAsia="Times New Roman" w:cs="Times New Roman"/>
          <w:color w:val="000000"/>
          <w:lang w:eastAsia="de-AT"/>
        </w:rPr>
      </w:pPr>
      <w:r>
        <w:rPr>
          <w:rFonts w:eastAsia="Times New Roman" w:cs="Times New Roman"/>
          <w:color w:val="000000"/>
          <w:lang w:eastAsia="de-AT"/>
        </w:rPr>
        <w:t>ž</w:t>
      </w:r>
      <w:r w:rsidR="003451F2" w:rsidRPr="00CE6E5F">
        <w:rPr>
          <w:rFonts w:eastAsia="Times New Roman" w:cs="Times New Roman"/>
          <w:color w:val="000000"/>
          <w:lang w:eastAsia="de-AT"/>
        </w:rPr>
        <w:t>mogaus normalusis imunoglobulinas (</w:t>
      </w:r>
      <w:proofErr w:type="spellStart"/>
      <w:r w:rsidR="00000B72">
        <w:rPr>
          <w:rFonts w:eastAsia="Times New Roman" w:cs="Times New Roman"/>
          <w:color w:val="000000"/>
          <w:lang w:eastAsia="de-AT"/>
        </w:rPr>
        <w:t>s.c.</w:t>
      </w:r>
      <w:r w:rsidR="003451F2" w:rsidRPr="00CE6E5F">
        <w:rPr>
          <w:rFonts w:eastAsia="Times New Roman" w:cs="Times New Roman"/>
          <w:color w:val="000000"/>
          <w:lang w:eastAsia="de-AT"/>
        </w:rPr>
        <w:t>Ig</w:t>
      </w:r>
      <w:proofErr w:type="spellEnd"/>
      <w:r w:rsidR="003451F2" w:rsidRPr="00CE6E5F">
        <w:rPr>
          <w:rFonts w:eastAsia="Times New Roman" w:cs="Times New Roman"/>
          <w:color w:val="000000"/>
          <w:lang w:eastAsia="de-AT"/>
        </w:rPr>
        <w:t>)</w:t>
      </w:r>
    </w:p>
    <w:p w14:paraId="241BBB6C" w14:textId="77777777" w:rsidR="0038444F" w:rsidRPr="00CE6E5F" w:rsidRDefault="0038444F" w:rsidP="00E457A0">
      <w:pPr>
        <w:widowControl w:val="0"/>
        <w:autoSpaceDE w:val="0"/>
        <w:autoSpaceDN w:val="0"/>
        <w:adjustRightInd w:val="0"/>
        <w:jc w:val="center"/>
        <w:rPr>
          <w:rFonts w:eastAsia="Times New Roman" w:cs="Times New Roman"/>
          <w:color w:val="000000"/>
          <w:lang w:eastAsia="de-AT"/>
        </w:rPr>
      </w:pPr>
    </w:p>
    <w:p w14:paraId="1A28D533" w14:textId="77777777" w:rsidR="003451F2" w:rsidRPr="00CE6E5F" w:rsidRDefault="003451F2" w:rsidP="00E457A0">
      <w:pPr>
        <w:jc w:val="both"/>
        <w:rPr>
          <w:rFonts w:eastAsia="Times New Roman" w:cs="Times New Roman"/>
        </w:rPr>
      </w:pPr>
    </w:p>
    <w:p w14:paraId="2B87CA8A" w14:textId="77777777" w:rsidR="003451F2" w:rsidRPr="00CE6E5F" w:rsidRDefault="003451F2" w:rsidP="00CE6E5F">
      <w:pPr>
        <w:suppressAutoHyphens/>
        <w:jc w:val="both"/>
        <w:rPr>
          <w:rFonts w:eastAsia="Times New Roman" w:cs="Times New Roman"/>
        </w:rPr>
      </w:pPr>
      <w:r w:rsidRPr="00CE6E5F">
        <w:rPr>
          <w:rFonts w:eastAsia="Times New Roman" w:cs="Times New Roman"/>
          <w:b/>
          <w:bCs/>
        </w:rPr>
        <w:t>Atidžiai perskaitykite visą šį lapelį, prieš pradėdami vartoti vaistą, nes jame pateikiama Jums svarbi informacija.</w:t>
      </w:r>
    </w:p>
    <w:p w14:paraId="1371CEC7" w14:textId="77777777" w:rsidR="003451F2" w:rsidRPr="00CE6E5F" w:rsidRDefault="003451F2" w:rsidP="00E457A0">
      <w:pPr>
        <w:numPr>
          <w:ilvl w:val="0"/>
          <w:numId w:val="15"/>
        </w:numPr>
        <w:tabs>
          <w:tab w:val="left" w:pos="567"/>
        </w:tabs>
        <w:ind w:left="567" w:right="-2" w:hanging="567"/>
        <w:jc w:val="both"/>
        <w:rPr>
          <w:rFonts w:eastAsia="Times New Roman" w:cs="Times New Roman"/>
        </w:rPr>
      </w:pPr>
      <w:r w:rsidRPr="00CE6E5F">
        <w:rPr>
          <w:rFonts w:eastAsia="Times New Roman" w:cs="Times New Roman"/>
        </w:rPr>
        <w:t>Neišmeskite šio lapelio, nes vėl gali prireikti jį perskaityti.</w:t>
      </w:r>
    </w:p>
    <w:p w14:paraId="10165614" w14:textId="77777777" w:rsidR="003451F2" w:rsidRPr="00CE6E5F" w:rsidRDefault="003451F2" w:rsidP="00E457A0">
      <w:pPr>
        <w:numPr>
          <w:ilvl w:val="0"/>
          <w:numId w:val="15"/>
        </w:numPr>
        <w:tabs>
          <w:tab w:val="left" w:pos="567"/>
        </w:tabs>
        <w:ind w:left="567" w:right="-2" w:hanging="567"/>
        <w:jc w:val="both"/>
        <w:rPr>
          <w:rFonts w:eastAsia="Times New Roman" w:cs="Times New Roman"/>
        </w:rPr>
      </w:pPr>
      <w:r w:rsidRPr="00CE6E5F">
        <w:rPr>
          <w:rFonts w:eastAsia="Times New Roman" w:cs="Times New Roman"/>
        </w:rPr>
        <w:t>Jeigu kiltų daugiau klausimų, kreipkitės į gydytoją arba vaistininką.</w:t>
      </w:r>
    </w:p>
    <w:p w14:paraId="43F0F011" w14:textId="77777777" w:rsidR="003451F2" w:rsidRPr="00CE6E5F" w:rsidRDefault="003451F2" w:rsidP="00CE6E5F">
      <w:pPr>
        <w:numPr>
          <w:ilvl w:val="0"/>
          <w:numId w:val="15"/>
        </w:numPr>
        <w:tabs>
          <w:tab w:val="left" w:pos="567"/>
        </w:tabs>
        <w:ind w:left="567" w:right="-2" w:hanging="567"/>
        <w:jc w:val="both"/>
        <w:rPr>
          <w:rFonts w:eastAsia="Times New Roman" w:cs="Times New Roman"/>
        </w:rPr>
      </w:pPr>
      <w:r w:rsidRPr="00CE6E5F">
        <w:rPr>
          <w:rFonts w:eastAsia="Times New Roman" w:cs="Times New Roman"/>
        </w:rPr>
        <w:t>Šis vaistas skirtas tik Jums, todėl kitiems žmonėms jo duoti negalima. Vaistas gali jiems pakenkti (net tiems, kurių ligos požymiai yra tokie patys kaip Jūsų).</w:t>
      </w:r>
    </w:p>
    <w:p w14:paraId="0D369BDD" w14:textId="77777777" w:rsidR="003451F2" w:rsidRPr="00CE6E5F" w:rsidRDefault="003451F2" w:rsidP="00E457A0">
      <w:pPr>
        <w:numPr>
          <w:ilvl w:val="0"/>
          <w:numId w:val="15"/>
        </w:numPr>
        <w:tabs>
          <w:tab w:val="left" w:pos="567"/>
        </w:tabs>
        <w:ind w:left="567" w:right="-2" w:hanging="567"/>
        <w:jc w:val="both"/>
        <w:rPr>
          <w:rFonts w:eastAsia="Times New Roman" w:cs="Times New Roman"/>
        </w:rPr>
      </w:pPr>
      <w:r w:rsidRPr="00CE6E5F">
        <w:rPr>
          <w:rFonts w:eastAsia="Times New Roman" w:cs="Times New Roman"/>
        </w:rPr>
        <w:t>Jeigu pasireiškė šalutinis poveikis (net jeigu jis šiame lapelyje nenurodytas),</w:t>
      </w:r>
      <w:r w:rsidRPr="00CE6E5F">
        <w:rPr>
          <w:rFonts w:eastAsia="Times New Roman" w:cs="Times New Roman"/>
          <w:color w:val="FF0000"/>
        </w:rPr>
        <w:t xml:space="preserve"> </w:t>
      </w:r>
      <w:r w:rsidRPr="00CE6E5F">
        <w:rPr>
          <w:rFonts w:eastAsia="Times New Roman" w:cs="Times New Roman"/>
        </w:rPr>
        <w:t>kreipkitės į gydytoją arba vaistininką. Žr. 4 skyrių.</w:t>
      </w:r>
    </w:p>
    <w:p w14:paraId="03061F0B" w14:textId="77777777" w:rsidR="003451F2" w:rsidRPr="00CE6E5F" w:rsidRDefault="003451F2" w:rsidP="00E457A0">
      <w:pPr>
        <w:ind w:right="-2"/>
        <w:jc w:val="both"/>
        <w:rPr>
          <w:rFonts w:eastAsia="Times New Roman" w:cs="Times New Roman"/>
        </w:rPr>
      </w:pPr>
    </w:p>
    <w:p w14:paraId="1CE18D7D" w14:textId="77777777" w:rsidR="003451F2" w:rsidRPr="00CE6E5F" w:rsidRDefault="003451F2" w:rsidP="00CE6E5F">
      <w:pPr>
        <w:tabs>
          <w:tab w:val="left" w:pos="567"/>
        </w:tabs>
        <w:jc w:val="both"/>
        <w:rPr>
          <w:rFonts w:eastAsia="Times New Roman" w:cs="Times New Roman"/>
          <w:b/>
        </w:rPr>
      </w:pPr>
      <w:r w:rsidRPr="00CE6E5F">
        <w:rPr>
          <w:rFonts w:eastAsia="Times New Roman" w:cs="Times New Roman"/>
          <w:b/>
          <w:bCs/>
        </w:rPr>
        <w:t>Apie ką rašoma šiame lapelyje?</w:t>
      </w:r>
    </w:p>
    <w:p w14:paraId="13FDB980" w14:textId="77777777" w:rsidR="003451F2" w:rsidRPr="00CE6E5F" w:rsidRDefault="003451F2" w:rsidP="00E457A0">
      <w:pPr>
        <w:numPr>
          <w:ilvl w:val="12"/>
          <w:numId w:val="0"/>
        </w:numPr>
        <w:ind w:right="-29"/>
        <w:jc w:val="both"/>
        <w:rPr>
          <w:rFonts w:eastAsia="Times New Roman" w:cs="Times New Roman"/>
        </w:rPr>
      </w:pPr>
      <w:r w:rsidRPr="00CE6E5F">
        <w:rPr>
          <w:rFonts w:eastAsia="Times New Roman" w:cs="Times New Roman"/>
        </w:rPr>
        <w:t>1.</w:t>
      </w:r>
      <w:r w:rsidRPr="00CE6E5F">
        <w:rPr>
          <w:rFonts w:eastAsia="Times New Roman" w:cs="Times New Roman"/>
        </w:rPr>
        <w:tab/>
        <w:t xml:space="preserve">Kas yra </w:t>
      </w:r>
      <w:proofErr w:type="spellStart"/>
      <w:r w:rsidR="00242227">
        <w:rPr>
          <w:rFonts w:eastAsia="Times New Roman" w:cs="Times New Roman"/>
        </w:rPr>
        <w:t>c</w:t>
      </w:r>
      <w:r w:rsidRPr="00CE6E5F">
        <w:rPr>
          <w:rFonts w:eastAsia="Times New Roman" w:cs="Times New Roman"/>
        </w:rPr>
        <w:t>utaquig</w:t>
      </w:r>
      <w:proofErr w:type="spellEnd"/>
      <w:r w:rsidRPr="00CE6E5F">
        <w:rPr>
          <w:rFonts w:eastAsia="Times New Roman" w:cs="Times New Roman"/>
        </w:rPr>
        <w:t xml:space="preserve"> ir kam jis vartojamas</w:t>
      </w:r>
    </w:p>
    <w:p w14:paraId="07C219C0" w14:textId="77777777" w:rsidR="003451F2" w:rsidRPr="00CE6E5F" w:rsidRDefault="003451F2" w:rsidP="00E457A0">
      <w:pPr>
        <w:numPr>
          <w:ilvl w:val="12"/>
          <w:numId w:val="0"/>
        </w:numPr>
        <w:ind w:right="-29"/>
        <w:jc w:val="both"/>
        <w:rPr>
          <w:rFonts w:eastAsia="Times New Roman" w:cs="Times New Roman"/>
        </w:rPr>
      </w:pPr>
      <w:r w:rsidRPr="00CE6E5F">
        <w:rPr>
          <w:rFonts w:eastAsia="Times New Roman" w:cs="Times New Roman"/>
        </w:rPr>
        <w:t>2.</w:t>
      </w:r>
      <w:r w:rsidRPr="00CE6E5F">
        <w:rPr>
          <w:rFonts w:eastAsia="Times New Roman" w:cs="Times New Roman"/>
        </w:rPr>
        <w:tab/>
        <w:t xml:space="preserve">Kas žinotina prieš vartojant </w:t>
      </w:r>
      <w:proofErr w:type="spellStart"/>
      <w:r w:rsidR="00242227">
        <w:rPr>
          <w:rFonts w:eastAsia="Times New Roman" w:cs="Times New Roman"/>
        </w:rPr>
        <w:t>c</w:t>
      </w:r>
      <w:r w:rsidRPr="00CE6E5F">
        <w:rPr>
          <w:rFonts w:eastAsia="Times New Roman" w:cs="Times New Roman"/>
        </w:rPr>
        <w:t>utaquig</w:t>
      </w:r>
      <w:proofErr w:type="spellEnd"/>
    </w:p>
    <w:p w14:paraId="3C62A1B5" w14:textId="77777777" w:rsidR="003451F2" w:rsidRPr="00CE6E5F" w:rsidRDefault="003451F2" w:rsidP="00E457A0">
      <w:pPr>
        <w:numPr>
          <w:ilvl w:val="12"/>
          <w:numId w:val="0"/>
        </w:numPr>
        <w:ind w:right="-29"/>
        <w:jc w:val="both"/>
        <w:rPr>
          <w:rFonts w:eastAsia="Times New Roman" w:cs="Times New Roman"/>
        </w:rPr>
      </w:pPr>
      <w:r w:rsidRPr="00CE6E5F">
        <w:rPr>
          <w:rFonts w:eastAsia="Times New Roman" w:cs="Times New Roman"/>
        </w:rPr>
        <w:t>3.</w:t>
      </w:r>
      <w:r w:rsidRPr="00CE6E5F">
        <w:rPr>
          <w:rFonts w:eastAsia="Times New Roman" w:cs="Times New Roman"/>
        </w:rPr>
        <w:tab/>
        <w:t xml:space="preserve">Kaip vartoti </w:t>
      </w:r>
      <w:proofErr w:type="spellStart"/>
      <w:r w:rsidR="00242227">
        <w:rPr>
          <w:rFonts w:eastAsia="Times New Roman" w:cs="Times New Roman"/>
        </w:rPr>
        <w:t>c</w:t>
      </w:r>
      <w:r w:rsidRPr="00CE6E5F">
        <w:rPr>
          <w:rFonts w:eastAsia="Times New Roman" w:cs="Times New Roman"/>
        </w:rPr>
        <w:t>utaquig</w:t>
      </w:r>
      <w:proofErr w:type="spellEnd"/>
    </w:p>
    <w:p w14:paraId="2EE2771E" w14:textId="77777777" w:rsidR="003451F2" w:rsidRPr="00CE6E5F" w:rsidRDefault="003451F2" w:rsidP="00E457A0">
      <w:pPr>
        <w:numPr>
          <w:ilvl w:val="12"/>
          <w:numId w:val="0"/>
        </w:numPr>
        <w:ind w:right="-29"/>
        <w:jc w:val="both"/>
        <w:rPr>
          <w:rFonts w:eastAsia="Times New Roman" w:cs="Times New Roman"/>
        </w:rPr>
      </w:pPr>
      <w:r w:rsidRPr="00CE6E5F">
        <w:rPr>
          <w:rFonts w:eastAsia="Times New Roman" w:cs="Times New Roman"/>
        </w:rPr>
        <w:t>4.</w:t>
      </w:r>
      <w:r w:rsidRPr="00CE6E5F">
        <w:rPr>
          <w:rFonts w:eastAsia="Times New Roman" w:cs="Times New Roman"/>
        </w:rPr>
        <w:tab/>
        <w:t>Galimas šalutinis poveikis</w:t>
      </w:r>
    </w:p>
    <w:p w14:paraId="410095FC" w14:textId="77777777" w:rsidR="003451F2" w:rsidRPr="00CE6E5F" w:rsidRDefault="003451F2" w:rsidP="00E457A0">
      <w:pPr>
        <w:ind w:right="-29"/>
        <w:jc w:val="both"/>
        <w:rPr>
          <w:rFonts w:eastAsia="Times New Roman" w:cs="Times New Roman"/>
        </w:rPr>
      </w:pPr>
      <w:r w:rsidRPr="00CE6E5F">
        <w:rPr>
          <w:rFonts w:eastAsia="Times New Roman" w:cs="Times New Roman"/>
        </w:rPr>
        <w:t>5.</w:t>
      </w:r>
      <w:r w:rsidRPr="00CE6E5F">
        <w:rPr>
          <w:rFonts w:eastAsia="Times New Roman" w:cs="Times New Roman"/>
        </w:rPr>
        <w:tab/>
        <w:t xml:space="preserve">Kaip laikyti </w:t>
      </w:r>
      <w:proofErr w:type="spellStart"/>
      <w:r w:rsidR="00242227">
        <w:rPr>
          <w:rFonts w:eastAsia="Times New Roman" w:cs="Times New Roman"/>
        </w:rPr>
        <w:t>c</w:t>
      </w:r>
      <w:r w:rsidRPr="00CE6E5F">
        <w:rPr>
          <w:rFonts w:eastAsia="Times New Roman" w:cs="Times New Roman"/>
        </w:rPr>
        <w:t>utaquig</w:t>
      </w:r>
      <w:proofErr w:type="spellEnd"/>
    </w:p>
    <w:p w14:paraId="4E86C774" w14:textId="77777777" w:rsidR="003451F2" w:rsidRPr="00CE6E5F" w:rsidRDefault="003451F2" w:rsidP="00E457A0">
      <w:pPr>
        <w:ind w:right="-29"/>
        <w:jc w:val="both"/>
        <w:rPr>
          <w:rFonts w:eastAsia="Times New Roman" w:cs="Times New Roman"/>
        </w:rPr>
      </w:pPr>
      <w:r w:rsidRPr="00CE6E5F">
        <w:rPr>
          <w:rFonts w:eastAsia="Times New Roman" w:cs="Times New Roman"/>
        </w:rPr>
        <w:t>6.</w:t>
      </w:r>
      <w:r w:rsidRPr="00CE6E5F">
        <w:rPr>
          <w:rFonts w:eastAsia="Times New Roman" w:cs="Times New Roman"/>
        </w:rPr>
        <w:tab/>
        <w:t>Pakuotės turinys ir kita informacija</w:t>
      </w:r>
    </w:p>
    <w:p w14:paraId="239E7DFE" w14:textId="77777777" w:rsidR="003451F2" w:rsidRPr="00CE6E5F" w:rsidRDefault="003451F2" w:rsidP="00E457A0">
      <w:pPr>
        <w:numPr>
          <w:ilvl w:val="12"/>
          <w:numId w:val="0"/>
        </w:numPr>
        <w:jc w:val="both"/>
        <w:rPr>
          <w:rFonts w:eastAsia="Times New Roman" w:cs="Times New Roman"/>
        </w:rPr>
      </w:pPr>
    </w:p>
    <w:p w14:paraId="12542C61" w14:textId="77777777" w:rsidR="003451F2" w:rsidRPr="00CE6E5F" w:rsidRDefault="003451F2" w:rsidP="00E457A0">
      <w:pPr>
        <w:numPr>
          <w:ilvl w:val="12"/>
          <w:numId w:val="0"/>
        </w:numPr>
        <w:jc w:val="both"/>
        <w:rPr>
          <w:rFonts w:eastAsia="Times New Roman" w:cs="Times New Roman"/>
        </w:rPr>
      </w:pPr>
    </w:p>
    <w:p w14:paraId="42373412" w14:textId="77777777" w:rsidR="003451F2" w:rsidRPr="00CE6E5F" w:rsidRDefault="00316E67" w:rsidP="00CE6E5F">
      <w:pPr>
        <w:pStyle w:val="Antrat1"/>
        <w:rPr>
          <w:b w:val="0"/>
        </w:rPr>
      </w:pPr>
      <w:r>
        <w:t>1.</w:t>
      </w:r>
      <w:r>
        <w:tab/>
      </w:r>
      <w:r w:rsidR="003451F2" w:rsidRPr="00CE6E5F">
        <w:t xml:space="preserve">Kas yra </w:t>
      </w:r>
      <w:proofErr w:type="spellStart"/>
      <w:r w:rsidR="00242227">
        <w:t>c</w:t>
      </w:r>
      <w:r w:rsidR="003451F2" w:rsidRPr="00CE6E5F">
        <w:t>utaquig</w:t>
      </w:r>
      <w:proofErr w:type="spellEnd"/>
      <w:r w:rsidR="003451F2" w:rsidRPr="00CE6E5F">
        <w:t xml:space="preserve"> ir kam jis vartojamas</w:t>
      </w:r>
    </w:p>
    <w:p w14:paraId="5AD55E2B" w14:textId="77777777" w:rsidR="003451F2" w:rsidRPr="00CE6E5F" w:rsidRDefault="003451F2" w:rsidP="00316E67">
      <w:pPr>
        <w:numPr>
          <w:ilvl w:val="12"/>
          <w:numId w:val="0"/>
        </w:numPr>
        <w:jc w:val="both"/>
        <w:rPr>
          <w:rFonts w:eastAsia="Times New Roman" w:cs="Times New Roman"/>
        </w:rPr>
      </w:pPr>
    </w:p>
    <w:p w14:paraId="468A8A56" w14:textId="77777777" w:rsidR="003451F2" w:rsidRPr="00CE6E5F" w:rsidRDefault="003451F2" w:rsidP="00316E67">
      <w:pPr>
        <w:autoSpaceDE w:val="0"/>
        <w:autoSpaceDN w:val="0"/>
        <w:adjustRightInd w:val="0"/>
        <w:jc w:val="both"/>
        <w:rPr>
          <w:rFonts w:eastAsia="Times New Roman" w:cs="Times New Roman"/>
          <w:b/>
          <w:bCs/>
        </w:rPr>
      </w:pPr>
      <w:r w:rsidRPr="00CE6E5F">
        <w:rPr>
          <w:rFonts w:eastAsia="Times New Roman" w:cs="Times New Roman"/>
          <w:b/>
          <w:bCs/>
        </w:rPr>
        <w:t xml:space="preserve">Kas yra </w:t>
      </w:r>
      <w:proofErr w:type="spellStart"/>
      <w:r w:rsidR="00242227">
        <w:rPr>
          <w:rFonts w:eastAsia="Times New Roman" w:cs="Times New Roman"/>
          <w:b/>
          <w:bCs/>
        </w:rPr>
        <w:t>c</w:t>
      </w:r>
      <w:r w:rsidRPr="00CE6E5F">
        <w:rPr>
          <w:rFonts w:eastAsia="Times New Roman" w:cs="Times New Roman"/>
          <w:b/>
          <w:bCs/>
        </w:rPr>
        <w:t>utaquig</w:t>
      </w:r>
      <w:proofErr w:type="spellEnd"/>
    </w:p>
    <w:p w14:paraId="4BE9E29A" w14:textId="77777777" w:rsidR="003451F2" w:rsidRPr="00CE6E5F" w:rsidRDefault="00242227" w:rsidP="00316E67">
      <w:pPr>
        <w:autoSpaceDE w:val="0"/>
        <w:autoSpaceDN w:val="0"/>
        <w:adjustRightInd w:val="0"/>
        <w:jc w:val="both"/>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priklauso vaistų, vadinamų žmogaus normaliaisiais imunoglobulinais, grupei. Imunoglobulinai taip pat žinomi kaip antikūnai, kurių yra sveikų žmonių kraujyje. Antikūnai yra imuniteto (natūralios organizmo apsaugos sistemos) dalis ir padeda organizmui kovoti su infekcinėmis ligomis.</w:t>
      </w:r>
    </w:p>
    <w:p w14:paraId="66A71438" w14:textId="77777777" w:rsidR="003451F2" w:rsidRPr="00CE6E5F" w:rsidRDefault="003451F2" w:rsidP="00316E67">
      <w:pPr>
        <w:autoSpaceDE w:val="0"/>
        <w:autoSpaceDN w:val="0"/>
        <w:adjustRightInd w:val="0"/>
        <w:jc w:val="both"/>
        <w:rPr>
          <w:rFonts w:eastAsia="Times New Roman" w:cs="Times New Roman"/>
          <w:b/>
          <w:bCs/>
        </w:rPr>
      </w:pPr>
    </w:p>
    <w:p w14:paraId="32BFA639" w14:textId="77777777" w:rsidR="003451F2" w:rsidRPr="00CE6E5F" w:rsidRDefault="003451F2" w:rsidP="00316E67">
      <w:pPr>
        <w:autoSpaceDE w:val="0"/>
        <w:autoSpaceDN w:val="0"/>
        <w:adjustRightInd w:val="0"/>
        <w:jc w:val="both"/>
        <w:rPr>
          <w:rFonts w:eastAsia="Times New Roman" w:cs="Times New Roman"/>
          <w:b/>
          <w:bCs/>
        </w:rPr>
      </w:pPr>
      <w:r w:rsidRPr="00CE6E5F">
        <w:rPr>
          <w:rFonts w:eastAsia="Times New Roman" w:cs="Times New Roman"/>
          <w:b/>
          <w:bCs/>
        </w:rPr>
        <w:t xml:space="preserve">Kaip veikia </w:t>
      </w:r>
      <w:proofErr w:type="spellStart"/>
      <w:r w:rsidR="00242227">
        <w:rPr>
          <w:rFonts w:eastAsia="Times New Roman" w:cs="Times New Roman"/>
          <w:b/>
          <w:bCs/>
        </w:rPr>
        <w:t>c</w:t>
      </w:r>
      <w:r w:rsidRPr="00CE6E5F">
        <w:rPr>
          <w:rFonts w:eastAsia="Times New Roman" w:cs="Times New Roman"/>
          <w:b/>
          <w:bCs/>
        </w:rPr>
        <w:t>utaquig</w:t>
      </w:r>
      <w:proofErr w:type="spellEnd"/>
    </w:p>
    <w:p w14:paraId="7D58B889" w14:textId="77777777" w:rsidR="003451F2" w:rsidRPr="00CE6E5F" w:rsidRDefault="00242227" w:rsidP="00BE3B67">
      <w:pPr>
        <w:autoSpaceDE w:val="0"/>
        <w:autoSpaceDN w:val="0"/>
        <w:adjustRightInd w:val="0"/>
        <w:jc w:val="both"/>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sudėtyje yra imunoglobulinų, gautų iš sveikų žmonių kraujo. Vaistas veikia lygiai taip pat, kaip ir normaliai Jūsų kraujyje esantys imunoglobulinai.</w:t>
      </w:r>
    </w:p>
    <w:p w14:paraId="4FAC6C2F" w14:textId="77777777" w:rsidR="003451F2" w:rsidRPr="00CE6E5F" w:rsidRDefault="003451F2" w:rsidP="00BE3B67">
      <w:pPr>
        <w:autoSpaceDE w:val="0"/>
        <w:autoSpaceDN w:val="0"/>
        <w:adjustRightInd w:val="0"/>
        <w:jc w:val="both"/>
        <w:rPr>
          <w:rFonts w:eastAsia="Times New Roman" w:cs="Times New Roman"/>
          <w:b/>
          <w:bCs/>
        </w:rPr>
      </w:pPr>
    </w:p>
    <w:p w14:paraId="24BF3033" w14:textId="77777777" w:rsidR="003451F2" w:rsidRPr="00CE6E5F" w:rsidRDefault="003451F2" w:rsidP="00BE3B67">
      <w:pPr>
        <w:autoSpaceDE w:val="0"/>
        <w:autoSpaceDN w:val="0"/>
        <w:adjustRightInd w:val="0"/>
        <w:jc w:val="both"/>
        <w:rPr>
          <w:rFonts w:eastAsia="Times New Roman" w:cs="Times New Roman"/>
          <w:b/>
          <w:bCs/>
        </w:rPr>
      </w:pPr>
      <w:r w:rsidRPr="00CE6E5F">
        <w:rPr>
          <w:rFonts w:eastAsia="Times New Roman" w:cs="Times New Roman"/>
          <w:b/>
          <w:bCs/>
        </w:rPr>
        <w:t xml:space="preserve">Kam vartojamas </w:t>
      </w:r>
      <w:proofErr w:type="spellStart"/>
      <w:r w:rsidR="00242227">
        <w:rPr>
          <w:rFonts w:eastAsia="Times New Roman" w:cs="Times New Roman"/>
          <w:b/>
          <w:bCs/>
        </w:rPr>
        <w:t>c</w:t>
      </w:r>
      <w:r w:rsidRPr="00CE6E5F">
        <w:rPr>
          <w:rFonts w:eastAsia="Times New Roman" w:cs="Times New Roman"/>
          <w:b/>
          <w:bCs/>
        </w:rPr>
        <w:t>utaquig</w:t>
      </w:r>
      <w:proofErr w:type="spellEnd"/>
    </w:p>
    <w:p w14:paraId="55A8E84C" w14:textId="6034B0B8" w:rsidR="003451F2" w:rsidRPr="00CE6E5F" w:rsidRDefault="00242227" w:rsidP="00BE3B67">
      <w:pPr>
        <w:autoSpaceDE w:val="0"/>
        <w:autoSpaceDN w:val="0"/>
        <w:adjustRightInd w:val="0"/>
        <w:jc w:val="both"/>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skiriamas pacientams, kuriems nepakanka antikūnų kovai su infekcinėmis ligomis</w:t>
      </w:r>
      <w:r w:rsidR="00282C92">
        <w:rPr>
          <w:rFonts w:eastAsia="Times New Roman" w:cs="Times New Roman"/>
        </w:rPr>
        <w:t xml:space="preserve"> ir</w:t>
      </w:r>
      <w:r w:rsidR="003451F2" w:rsidRPr="00CE6E5F">
        <w:rPr>
          <w:rFonts w:eastAsia="Times New Roman" w:cs="Times New Roman"/>
        </w:rPr>
        <w:t xml:space="preserve"> todėl </w:t>
      </w:r>
      <w:r w:rsidR="00282C92">
        <w:rPr>
          <w:rFonts w:eastAsia="Times New Roman" w:cs="Times New Roman"/>
        </w:rPr>
        <w:t xml:space="preserve">dažnai </w:t>
      </w:r>
      <w:r w:rsidR="003451F2" w:rsidRPr="00CE6E5F">
        <w:rPr>
          <w:rFonts w:eastAsia="Times New Roman" w:cs="Times New Roman"/>
        </w:rPr>
        <w:t xml:space="preserve">jomis </w:t>
      </w:r>
      <w:r w:rsidR="00282C92">
        <w:rPr>
          <w:rFonts w:eastAsia="Times New Roman" w:cs="Times New Roman"/>
        </w:rPr>
        <w:t>serga</w:t>
      </w:r>
      <w:r w:rsidR="003451F2" w:rsidRPr="00CE6E5F">
        <w:rPr>
          <w:rFonts w:eastAsia="Times New Roman" w:cs="Times New Roman"/>
        </w:rPr>
        <w:t xml:space="preserve">. Reguliariai vartojant pakankamo dydžio </w:t>
      </w: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dozes galima padidinti neįprastai mažą kraujyje esančio imunoglobulino kiekį iki normalaus (pakaitinis gydymas).</w:t>
      </w:r>
    </w:p>
    <w:p w14:paraId="4BE4884C" w14:textId="77777777" w:rsidR="003451F2" w:rsidRPr="00CE6E5F" w:rsidRDefault="003451F2" w:rsidP="00BE3B67">
      <w:pPr>
        <w:autoSpaceDE w:val="0"/>
        <w:autoSpaceDN w:val="0"/>
        <w:adjustRightInd w:val="0"/>
        <w:jc w:val="both"/>
        <w:rPr>
          <w:rFonts w:eastAsia="Times New Roman" w:cs="Times New Roman"/>
        </w:rPr>
      </w:pPr>
    </w:p>
    <w:p w14:paraId="194D998A" w14:textId="77777777" w:rsidR="003451F2" w:rsidRPr="00CE6E5F" w:rsidRDefault="00242227" w:rsidP="00BE3B67">
      <w:pPr>
        <w:autoSpaceDE w:val="0"/>
        <w:autoSpaceDN w:val="0"/>
        <w:adjustRightInd w:val="0"/>
        <w:jc w:val="both"/>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skiriamas suaugusiesiems ir vaikams (0–18 metų) šiomis aplinkybėmis:</w:t>
      </w:r>
    </w:p>
    <w:p w14:paraId="5107F303" w14:textId="77777777" w:rsidR="003451F2" w:rsidRPr="00CE6E5F" w:rsidRDefault="003451F2" w:rsidP="00BE3B67">
      <w:pPr>
        <w:autoSpaceDE w:val="0"/>
        <w:autoSpaceDN w:val="0"/>
        <w:adjustRightInd w:val="0"/>
        <w:jc w:val="both"/>
        <w:rPr>
          <w:rFonts w:eastAsia="Times New Roman" w:cs="Times New Roman"/>
        </w:rPr>
      </w:pPr>
    </w:p>
    <w:p w14:paraId="6D38349E" w14:textId="2733C49B" w:rsidR="00057CBD" w:rsidRDefault="003451F2" w:rsidP="00057CBD">
      <w:r w:rsidRPr="007E0688">
        <w:t>Gydyti pacientus, kuriems yra įgimtas sumažėjęs organizmo gebėjimas pagaminti antikūnus arba visai jų nepagaminama (pirmini</w:t>
      </w:r>
      <w:r w:rsidR="00AD2F76">
        <w:t>s</w:t>
      </w:r>
      <w:r w:rsidRPr="007E0688">
        <w:t xml:space="preserve"> imunodeficit</w:t>
      </w:r>
      <w:r w:rsidR="00302214">
        <w:t>a</w:t>
      </w:r>
      <w:r w:rsidR="00AD2F76">
        <w:t>s</w:t>
      </w:r>
      <w:r w:rsidRPr="007E0688">
        <w:t xml:space="preserve">). </w:t>
      </w:r>
    </w:p>
    <w:p w14:paraId="2101AFDB" w14:textId="77777777" w:rsidR="00057CBD" w:rsidRDefault="00057CBD" w:rsidP="00057CBD">
      <w:pPr>
        <w:autoSpaceDE w:val="0"/>
        <w:autoSpaceDN w:val="0"/>
        <w:adjustRightInd w:val="0"/>
        <w:jc w:val="both"/>
        <w:rPr>
          <w:rFonts w:eastAsia="Times New Roman" w:cs="Times New Roman"/>
        </w:rPr>
      </w:pPr>
    </w:p>
    <w:p w14:paraId="1084A870" w14:textId="4B6C106B" w:rsidR="003451F2" w:rsidRPr="00CE6E5F" w:rsidRDefault="00057CBD" w:rsidP="00540233">
      <w:pPr>
        <w:autoSpaceDE w:val="0"/>
        <w:autoSpaceDN w:val="0"/>
        <w:adjustRightInd w:val="0"/>
        <w:rPr>
          <w:rFonts w:eastAsia="Times New Roman" w:cs="Times New Roman"/>
        </w:rPr>
      </w:pPr>
      <w:r w:rsidRPr="009B6E14">
        <w:rPr>
          <w:rFonts w:eastAsia="Times New Roman" w:cs="Times New Roman"/>
        </w:rPr>
        <w:t xml:space="preserve">Pacientams, kuriems </w:t>
      </w:r>
      <w:r w:rsidR="003338C6">
        <w:rPr>
          <w:rFonts w:eastAsia="Times New Roman" w:cs="Times New Roman"/>
        </w:rPr>
        <w:t xml:space="preserve">yra </w:t>
      </w:r>
      <w:r w:rsidR="003338C6" w:rsidRPr="009B6E14">
        <w:rPr>
          <w:rFonts w:eastAsia="Times New Roman" w:cs="Times New Roman"/>
        </w:rPr>
        <w:t xml:space="preserve">įgyta antikūnų stoka </w:t>
      </w:r>
      <w:r w:rsidRPr="009B6E14">
        <w:rPr>
          <w:rFonts w:eastAsia="Times New Roman" w:cs="Times New Roman"/>
        </w:rPr>
        <w:t xml:space="preserve">dėl specifinės ligos ir (arba) gydymo </w:t>
      </w:r>
      <w:r w:rsidR="003338C6" w:rsidRPr="009B6E14">
        <w:rPr>
          <w:rFonts w:eastAsia="Times New Roman" w:cs="Times New Roman"/>
        </w:rPr>
        <w:t>(antrinis</w:t>
      </w:r>
      <w:r w:rsidR="003338C6">
        <w:rPr>
          <w:rFonts w:eastAsia="Times New Roman" w:cs="Times New Roman"/>
        </w:rPr>
        <w:t xml:space="preserve"> </w:t>
      </w:r>
      <w:r w:rsidR="003338C6" w:rsidRPr="009B6E14">
        <w:rPr>
          <w:rFonts w:eastAsia="Times New Roman" w:cs="Times New Roman"/>
        </w:rPr>
        <w:t>imunodeficitas)</w:t>
      </w:r>
      <w:r w:rsidR="003338C6">
        <w:rPr>
          <w:rFonts w:eastAsia="Times New Roman" w:cs="Times New Roman"/>
        </w:rPr>
        <w:t xml:space="preserve">, </w:t>
      </w:r>
      <w:r w:rsidRPr="009B6E14">
        <w:rPr>
          <w:rFonts w:eastAsia="Times New Roman" w:cs="Times New Roman"/>
        </w:rPr>
        <w:t>pasireišk</w:t>
      </w:r>
      <w:r w:rsidR="003338C6">
        <w:rPr>
          <w:rFonts w:eastAsia="Times New Roman" w:cs="Times New Roman"/>
        </w:rPr>
        <w:t>ianti</w:t>
      </w:r>
      <w:r w:rsidRPr="009B6E14">
        <w:rPr>
          <w:rFonts w:eastAsia="Times New Roman" w:cs="Times New Roman"/>
        </w:rPr>
        <w:t xml:space="preserve"> sunki</w:t>
      </w:r>
      <w:r w:rsidR="00302214">
        <w:rPr>
          <w:rFonts w:eastAsia="Times New Roman" w:cs="Times New Roman"/>
        </w:rPr>
        <w:t>omis</w:t>
      </w:r>
      <w:r w:rsidRPr="009B6E14">
        <w:rPr>
          <w:rFonts w:eastAsia="Times New Roman" w:cs="Times New Roman"/>
        </w:rPr>
        <w:t xml:space="preserve"> ar pasikartojanči</w:t>
      </w:r>
      <w:r w:rsidR="00302214">
        <w:rPr>
          <w:rFonts w:eastAsia="Times New Roman" w:cs="Times New Roman"/>
        </w:rPr>
        <w:t>omis</w:t>
      </w:r>
      <w:r w:rsidRPr="009B6E14">
        <w:rPr>
          <w:rFonts w:eastAsia="Times New Roman" w:cs="Times New Roman"/>
        </w:rPr>
        <w:t xml:space="preserve"> infekcij</w:t>
      </w:r>
      <w:r w:rsidR="00302214">
        <w:rPr>
          <w:rFonts w:eastAsia="Times New Roman" w:cs="Times New Roman"/>
        </w:rPr>
        <w:t>omis</w:t>
      </w:r>
      <w:r w:rsidRPr="009B6E14">
        <w:rPr>
          <w:rFonts w:eastAsia="Times New Roman" w:cs="Times New Roman"/>
        </w:rPr>
        <w:t>.</w:t>
      </w:r>
    </w:p>
    <w:p w14:paraId="4C3E8344" w14:textId="01BCE8C0" w:rsidR="003451F2" w:rsidRDefault="003451F2" w:rsidP="00E457A0">
      <w:pPr>
        <w:numPr>
          <w:ilvl w:val="12"/>
          <w:numId w:val="0"/>
        </w:numPr>
        <w:jc w:val="both"/>
        <w:rPr>
          <w:rFonts w:eastAsia="Times New Roman" w:cs="Times New Roman"/>
        </w:rPr>
      </w:pPr>
    </w:p>
    <w:p w14:paraId="4739CDE3" w14:textId="77777777" w:rsidR="00540233" w:rsidRPr="00CE6E5F" w:rsidRDefault="00540233" w:rsidP="00E457A0">
      <w:pPr>
        <w:numPr>
          <w:ilvl w:val="12"/>
          <w:numId w:val="0"/>
        </w:numPr>
        <w:jc w:val="both"/>
        <w:rPr>
          <w:rFonts w:eastAsia="Times New Roman" w:cs="Times New Roman"/>
        </w:rPr>
      </w:pPr>
    </w:p>
    <w:p w14:paraId="153E927C" w14:textId="77777777" w:rsidR="003451F2" w:rsidRPr="00CE6E5F" w:rsidRDefault="00BE3B67" w:rsidP="00CE6E5F">
      <w:pPr>
        <w:pStyle w:val="Antrat1"/>
        <w:rPr>
          <w:b w:val="0"/>
        </w:rPr>
      </w:pPr>
      <w:r>
        <w:t>2.</w:t>
      </w:r>
      <w:r>
        <w:tab/>
      </w:r>
      <w:r w:rsidR="003451F2" w:rsidRPr="00CE6E5F">
        <w:t xml:space="preserve">Kas žinotina prieš vartojant </w:t>
      </w:r>
      <w:proofErr w:type="spellStart"/>
      <w:r w:rsidR="00242227">
        <w:t>c</w:t>
      </w:r>
      <w:r w:rsidR="003451F2" w:rsidRPr="00CE6E5F">
        <w:t>utaquig</w:t>
      </w:r>
      <w:proofErr w:type="spellEnd"/>
    </w:p>
    <w:p w14:paraId="1C865D2A" w14:textId="77777777" w:rsidR="003451F2" w:rsidRPr="00CE6E5F" w:rsidRDefault="003451F2" w:rsidP="00E457A0">
      <w:pPr>
        <w:numPr>
          <w:ilvl w:val="12"/>
          <w:numId w:val="0"/>
        </w:numPr>
        <w:ind w:right="-2"/>
        <w:jc w:val="both"/>
        <w:rPr>
          <w:rFonts w:eastAsia="Times New Roman" w:cs="Times New Roman"/>
        </w:rPr>
      </w:pPr>
    </w:p>
    <w:p w14:paraId="69B0DDFC" w14:textId="77777777" w:rsidR="003451F2" w:rsidRPr="00CE6E5F" w:rsidRDefault="00242227" w:rsidP="00CE6E5F">
      <w:pPr>
        <w:tabs>
          <w:tab w:val="left" w:pos="567"/>
        </w:tabs>
        <w:jc w:val="both"/>
        <w:rPr>
          <w:rFonts w:eastAsia="Times New Roman" w:cs="Times New Roman"/>
          <w:b/>
        </w:rPr>
      </w:pPr>
      <w:proofErr w:type="spellStart"/>
      <w:r>
        <w:rPr>
          <w:rFonts w:eastAsia="Times New Roman" w:cs="Times New Roman"/>
          <w:b/>
          <w:bCs/>
        </w:rPr>
        <w:t>c</w:t>
      </w:r>
      <w:r w:rsidR="003451F2" w:rsidRPr="00CE6E5F">
        <w:rPr>
          <w:rFonts w:eastAsia="Times New Roman" w:cs="Times New Roman"/>
          <w:b/>
          <w:bCs/>
        </w:rPr>
        <w:t>utaquig</w:t>
      </w:r>
      <w:proofErr w:type="spellEnd"/>
      <w:r w:rsidR="003451F2" w:rsidRPr="00CE6E5F">
        <w:rPr>
          <w:rFonts w:eastAsia="Times New Roman" w:cs="Times New Roman"/>
          <w:b/>
          <w:bCs/>
        </w:rPr>
        <w:t xml:space="preserve"> vartoti </w:t>
      </w:r>
      <w:r w:rsidR="00965CA5">
        <w:rPr>
          <w:rFonts w:eastAsia="Times New Roman" w:cs="Times New Roman"/>
          <w:b/>
          <w:bCs/>
        </w:rPr>
        <w:t>draudžiama</w:t>
      </w:r>
      <w:r w:rsidR="003451F2" w:rsidRPr="00CE6E5F">
        <w:rPr>
          <w:rFonts w:eastAsia="Times New Roman" w:cs="Times New Roman"/>
          <w:b/>
          <w:bCs/>
        </w:rPr>
        <w:t>:</w:t>
      </w:r>
    </w:p>
    <w:p w14:paraId="4141028F" w14:textId="2E290138" w:rsidR="003451F2" w:rsidRPr="00CE6E5F" w:rsidRDefault="003451F2" w:rsidP="00E457A0">
      <w:pPr>
        <w:numPr>
          <w:ilvl w:val="0"/>
          <w:numId w:val="17"/>
        </w:numPr>
        <w:tabs>
          <w:tab w:val="left" w:pos="567"/>
        </w:tabs>
        <w:jc w:val="both"/>
        <w:rPr>
          <w:rFonts w:eastAsia="Times New Roman" w:cs="Times New Roman"/>
        </w:rPr>
      </w:pPr>
      <w:r w:rsidRPr="00CE6E5F">
        <w:rPr>
          <w:rFonts w:eastAsia="Times New Roman" w:cs="Times New Roman"/>
        </w:rPr>
        <w:t xml:space="preserve">jeigu yra alergija žmogaus </w:t>
      </w:r>
      <w:r w:rsidR="0005287F">
        <w:rPr>
          <w:rFonts w:eastAsia="Times New Roman" w:cs="Times New Roman"/>
        </w:rPr>
        <w:t xml:space="preserve">normaliajam </w:t>
      </w:r>
      <w:r w:rsidRPr="00CE6E5F">
        <w:rPr>
          <w:rFonts w:eastAsia="Times New Roman" w:cs="Times New Roman"/>
        </w:rPr>
        <w:t>imunoglobulinui arba bet kuriai pagalbinei šio vaisto medžiagai (jos išvardytos 6 skyriuje).</w:t>
      </w:r>
    </w:p>
    <w:p w14:paraId="760C0502" w14:textId="76209FFA" w:rsidR="003451F2" w:rsidRPr="00CE6E5F" w:rsidRDefault="00EA2FAA" w:rsidP="00E457A0">
      <w:pPr>
        <w:jc w:val="both"/>
        <w:rPr>
          <w:rFonts w:eastAsia="Times New Roman" w:cs="Times New Roman"/>
        </w:rPr>
      </w:pPr>
      <w:r>
        <w:rPr>
          <w:rFonts w:eastAsia="Times New Roman" w:cs="Times New Roman"/>
        </w:rPr>
        <w:t xml:space="preserve">Draudžiama </w:t>
      </w: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w:t>
      </w:r>
      <w:r w:rsidR="0005287F">
        <w:rPr>
          <w:rFonts w:eastAsia="Times New Roman" w:cs="Times New Roman"/>
        </w:rPr>
        <w:t>leisti</w:t>
      </w:r>
      <w:r w:rsidR="003451F2" w:rsidRPr="00CE6E5F">
        <w:rPr>
          <w:rFonts w:eastAsia="Times New Roman" w:cs="Times New Roman"/>
        </w:rPr>
        <w:t xml:space="preserve"> į kraujagyslę.</w:t>
      </w:r>
    </w:p>
    <w:p w14:paraId="46290E7E" w14:textId="77777777" w:rsidR="003451F2" w:rsidRPr="00CE6E5F" w:rsidRDefault="003451F2" w:rsidP="00E457A0">
      <w:pPr>
        <w:ind w:left="360"/>
        <w:jc w:val="both"/>
        <w:rPr>
          <w:rFonts w:eastAsia="Times New Roman" w:cs="Times New Roman"/>
        </w:rPr>
      </w:pPr>
    </w:p>
    <w:p w14:paraId="301DDFDA" w14:textId="77777777" w:rsidR="003451F2" w:rsidRPr="00CE6E5F" w:rsidRDefault="003451F2" w:rsidP="00CE6E5F">
      <w:pPr>
        <w:tabs>
          <w:tab w:val="left" w:pos="567"/>
        </w:tabs>
        <w:jc w:val="both"/>
        <w:rPr>
          <w:rFonts w:eastAsia="Times New Roman" w:cs="Times New Roman"/>
          <w:b/>
        </w:rPr>
      </w:pPr>
      <w:r w:rsidRPr="00CE6E5F">
        <w:rPr>
          <w:rFonts w:eastAsia="Times New Roman" w:cs="Times New Roman"/>
          <w:b/>
          <w:bCs/>
        </w:rPr>
        <w:t>Įspėjimai ir atsargumo priemonės:</w:t>
      </w:r>
    </w:p>
    <w:p w14:paraId="05216D24" w14:textId="77777777" w:rsidR="003451F2" w:rsidRPr="00CE6E5F" w:rsidRDefault="003451F2" w:rsidP="00E457A0">
      <w:pPr>
        <w:numPr>
          <w:ilvl w:val="12"/>
          <w:numId w:val="0"/>
        </w:numPr>
        <w:jc w:val="both"/>
        <w:rPr>
          <w:rFonts w:eastAsia="Times New Roman" w:cs="Times New Roman"/>
        </w:rPr>
      </w:pPr>
      <w:r w:rsidRPr="00CE6E5F">
        <w:rPr>
          <w:rFonts w:eastAsia="Times New Roman" w:cs="Times New Roman"/>
        </w:rPr>
        <w:lastRenderedPageBreak/>
        <w:t xml:space="preserve">Pasitarkite su gydytoju arba vaistininku, prieš pradėdami vartoti </w:t>
      </w:r>
      <w:proofErr w:type="spellStart"/>
      <w:r w:rsidR="00242227">
        <w:rPr>
          <w:rFonts w:eastAsia="Times New Roman" w:cs="Times New Roman"/>
        </w:rPr>
        <w:t>c</w:t>
      </w:r>
      <w:r w:rsidRPr="00CE6E5F">
        <w:rPr>
          <w:rFonts w:eastAsia="Times New Roman" w:cs="Times New Roman"/>
        </w:rPr>
        <w:t>utaquig</w:t>
      </w:r>
      <w:proofErr w:type="spellEnd"/>
      <w:r w:rsidRPr="00CE6E5F">
        <w:rPr>
          <w:rFonts w:eastAsia="Times New Roman" w:cs="Times New Roman"/>
        </w:rPr>
        <w:t>.</w:t>
      </w:r>
    </w:p>
    <w:p w14:paraId="6E64A15E" w14:textId="77777777" w:rsidR="003451F2" w:rsidRPr="00CE6E5F" w:rsidRDefault="003451F2" w:rsidP="00E457A0">
      <w:pPr>
        <w:autoSpaceDE w:val="0"/>
        <w:autoSpaceDN w:val="0"/>
        <w:adjustRightInd w:val="0"/>
        <w:jc w:val="both"/>
        <w:rPr>
          <w:rFonts w:eastAsia="Times New Roman" w:cs="Times New Roman"/>
        </w:rPr>
      </w:pPr>
    </w:p>
    <w:p w14:paraId="258F8232" w14:textId="77777777" w:rsidR="003451F2" w:rsidRPr="00CE6E5F" w:rsidRDefault="003451F2" w:rsidP="00E457A0">
      <w:pPr>
        <w:autoSpaceDE w:val="0"/>
        <w:autoSpaceDN w:val="0"/>
        <w:adjustRightInd w:val="0"/>
        <w:jc w:val="both"/>
        <w:rPr>
          <w:rFonts w:eastAsia="Times New Roman" w:cs="Times New Roman"/>
        </w:rPr>
      </w:pPr>
      <w:r w:rsidRPr="00CE6E5F">
        <w:rPr>
          <w:rFonts w:eastAsia="Times New Roman" w:cs="Times New Roman"/>
        </w:rPr>
        <w:t>Jūs galite būti alergiškas (padidėjęs jautrumas) imunoglobulinams ir to nežinoti.</w:t>
      </w:r>
    </w:p>
    <w:p w14:paraId="0D827323" w14:textId="5CA62378" w:rsidR="003451F2" w:rsidRPr="00CE6E5F" w:rsidRDefault="003451F2" w:rsidP="00CE6E5F">
      <w:pPr>
        <w:autoSpaceDE w:val="0"/>
        <w:autoSpaceDN w:val="0"/>
        <w:adjustRightInd w:val="0"/>
        <w:jc w:val="both"/>
        <w:rPr>
          <w:rFonts w:eastAsia="Times New Roman" w:cs="Times New Roman"/>
        </w:rPr>
      </w:pPr>
      <w:r w:rsidRPr="00CE6E5F">
        <w:rPr>
          <w:rFonts w:eastAsia="Times New Roman" w:cs="Times New Roman"/>
        </w:rPr>
        <w:t>Tikrų alerginių reakcijų kaip staigus kraujospūdžio sumažėjimas arba anafilaksinis šokas (staigus kraujospūdžio sumažėjimas kartu su kitais simptomais, pvz., ryklės tinimu, kvėpavimo sunkumu ir odos bėrimu) pasitaiko retai, bet kartais j</w:t>
      </w:r>
      <w:r w:rsidR="00A35A9F">
        <w:rPr>
          <w:rFonts w:eastAsia="Times New Roman" w:cs="Times New Roman"/>
        </w:rPr>
        <w:t>ų</w:t>
      </w:r>
      <w:r w:rsidRPr="00CE6E5F">
        <w:rPr>
          <w:rFonts w:eastAsia="Times New Roman" w:cs="Times New Roman"/>
        </w:rPr>
        <w:t xml:space="preserve"> gali pasireikšti, net jeigu anksčiau Jums buvo skirta žmogaus imunoglobulinų ir juos gerai toleravote. Tai gali įvykti ypač tada, jei jūsų kraujyje yra mažai A tipo (</w:t>
      </w:r>
      <w:proofErr w:type="spellStart"/>
      <w:r w:rsidRPr="00CE6E5F">
        <w:rPr>
          <w:rFonts w:eastAsia="Times New Roman" w:cs="Times New Roman"/>
        </w:rPr>
        <w:t>IgA</w:t>
      </w:r>
      <w:proofErr w:type="spellEnd"/>
      <w:r w:rsidRPr="00CE6E5F">
        <w:rPr>
          <w:rFonts w:eastAsia="Times New Roman" w:cs="Times New Roman"/>
        </w:rPr>
        <w:t>) imunoglobulinų (</w:t>
      </w:r>
      <w:proofErr w:type="spellStart"/>
      <w:r w:rsidRPr="00CE6E5F">
        <w:rPr>
          <w:rFonts w:eastAsia="Times New Roman" w:cs="Times New Roman"/>
        </w:rPr>
        <w:t>IgA</w:t>
      </w:r>
      <w:proofErr w:type="spellEnd"/>
      <w:r w:rsidRPr="00CE6E5F">
        <w:rPr>
          <w:rFonts w:eastAsia="Times New Roman" w:cs="Times New Roman"/>
        </w:rPr>
        <w:t xml:space="preserve"> stoka) ir turite antikūnų prieš </w:t>
      </w:r>
      <w:proofErr w:type="spellStart"/>
      <w:r w:rsidRPr="00CE6E5F">
        <w:rPr>
          <w:rFonts w:eastAsia="Times New Roman" w:cs="Times New Roman"/>
        </w:rPr>
        <w:t>IgA</w:t>
      </w:r>
      <w:proofErr w:type="spellEnd"/>
      <w:r w:rsidRPr="00CE6E5F">
        <w:rPr>
          <w:rFonts w:eastAsia="Times New Roman" w:cs="Times New Roman"/>
        </w:rPr>
        <w:t xml:space="preserve">. </w:t>
      </w:r>
    </w:p>
    <w:p w14:paraId="6087B751" w14:textId="77777777" w:rsidR="003451F2" w:rsidRPr="00CE6E5F" w:rsidRDefault="003451F2" w:rsidP="00CE6E5F">
      <w:pPr>
        <w:pStyle w:val="Sraopastraipa"/>
        <w:numPr>
          <w:ilvl w:val="0"/>
          <w:numId w:val="35"/>
        </w:numPr>
      </w:pPr>
      <w:r w:rsidRPr="00CE6E5F">
        <w:t>Jeigu Jums yra A tipo (</w:t>
      </w:r>
      <w:proofErr w:type="spellStart"/>
      <w:r w:rsidRPr="00CE6E5F">
        <w:t>IgA</w:t>
      </w:r>
      <w:proofErr w:type="spellEnd"/>
      <w:r w:rsidRPr="00CE6E5F">
        <w:t xml:space="preserve">) imunoglobulino stoka, prieš pradėdami gydytis pasakykite savo gydytojui ar sveikatos priežiūros specialistui. </w:t>
      </w:r>
      <w:proofErr w:type="spellStart"/>
      <w:r w:rsidR="00242227">
        <w:t>c</w:t>
      </w:r>
      <w:r w:rsidRPr="00CE6E5F">
        <w:t>utaquig</w:t>
      </w:r>
      <w:proofErr w:type="spellEnd"/>
      <w:r w:rsidRPr="00CE6E5F">
        <w:t xml:space="preserve"> sudėtyje yra </w:t>
      </w:r>
      <w:proofErr w:type="spellStart"/>
      <w:r w:rsidRPr="00CE6E5F">
        <w:t>IgA</w:t>
      </w:r>
      <w:proofErr w:type="spellEnd"/>
      <w:r w:rsidRPr="00CE6E5F">
        <w:t xml:space="preserve"> likučių, kurie gali sukelti alerginę reakciją.</w:t>
      </w:r>
    </w:p>
    <w:p w14:paraId="519081B4" w14:textId="1985949E" w:rsidR="003451F2" w:rsidRPr="00CE6E5F" w:rsidRDefault="003451F2" w:rsidP="00CE6E5F">
      <w:pPr>
        <w:pStyle w:val="Sraopastraipa"/>
        <w:ind w:left="567"/>
      </w:pPr>
      <w:r w:rsidRPr="00CE6E5F">
        <w:t>Tais retais atvejais gali atsirasti toki</w:t>
      </w:r>
      <w:r w:rsidR="00A35A9F">
        <w:t>ų</w:t>
      </w:r>
      <w:r w:rsidRPr="00CE6E5F">
        <w:t xml:space="preserve"> alergin</w:t>
      </w:r>
      <w:r w:rsidR="00A35A9F">
        <w:t>ių</w:t>
      </w:r>
      <w:r w:rsidRPr="00CE6E5F">
        <w:t xml:space="preserve"> reakcij</w:t>
      </w:r>
      <w:r w:rsidR="00A35A9F">
        <w:t>ų</w:t>
      </w:r>
      <w:r w:rsidRPr="00CE6E5F">
        <w:t xml:space="preserve"> kaip staigus kraujospūdžio kritimas ar šokas (taip pat žr. 4 skyrių). </w:t>
      </w:r>
    </w:p>
    <w:p w14:paraId="2FCCCA15" w14:textId="77777777" w:rsidR="003451F2" w:rsidRPr="00CE6E5F" w:rsidRDefault="003451F2" w:rsidP="00CE6E5F">
      <w:pPr>
        <w:pStyle w:val="Sraopastraipa"/>
        <w:ind w:left="567"/>
      </w:pPr>
      <w:r w:rsidRPr="00CE6E5F">
        <w:t>Šių retų alerginių reakcijų požymiai ir simptomai yra tokie:</w:t>
      </w:r>
    </w:p>
    <w:p w14:paraId="5E714C7D" w14:textId="77777777" w:rsidR="003451F2" w:rsidRPr="00CE6E5F" w:rsidRDefault="003451F2" w:rsidP="00CE6E5F">
      <w:pPr>
        <w:pStyle w:val="Sraopastraipa"/>
        <w:numPr>
          <w:ilvl w:val="1"/>
          <w:numId w:val="35"/>
        </w:numPr>
      </w:pPr>
      <w:r w:rsidRPr="00CE6E5F">
        <w:t>svaigimo, svaigulio ar alpimo pojūtis,</w:t>
      </w:r>
    </w:p>
    <w:p w14:paraId="3B902E7A" w14:textId="77777777" w:rsidR="003451F2" w:rsidRPr="00CE6E5F" w:rsidRDefault="003451F2" w:rsidP="00CE6E5F">
      <w:pPr>
        <w:pStyle w:val="Sraopastraipa"/>
        <w:numPr>
          <w:ilvl w:val="1"/>
          <w:numId w:val="35"/>
        </w:numPr>
      </w:pPr>
      <w:r w:rsidRPr="00CE6E5F">
        <w:t>odos bėrimas ir niežulys, burnos ar ryklės patinimas, sunkumas kvėpuoti, švokštimas,</w:t>
      </w:r>
    </w:p>
    <w:p w14:paraId="2553DAB5" w14:textId="77777777" w:rsidR="003451F2" w:rsidRPr="00CE6E5F" w:rsidRDefault="003451F2" w:rsidP="00CE6E5F">
      <w:pPr>
        <w:pStyle w:val="Sraopastraipa"/>
        <w:numPr>
          <w:ilvl w:val="1"/>
          <w:numId w:val="35"/>
        </w:numPr>
      </w:pPr>
      <w:r w:rsidRPr="00CE6E5F">
        <w:t>neįprastas širdies susitraukimų dažnis, skausmas krūtinėje, pamėlusios lūpos ar rankų ir kojų pirštai,</w:t>
      </w:r>
    </w:p>
    <w:p w14:paraId="1CFA2A2C" w14:textId="77777777" w:rsidR="003451F2" w:rsidRPr="00CE6E5F" w:rsidRDefault="003451F2" w:rsidP="00CE6E5F">
      <w:pPr>
        <w:pStyle w:val="Sraopastraipa"/>
        <w:numPr>
          <w:ilvl w:val="1"/>
          <w:numId w:val="35"/>
        </w:numPr>
      </w:pPr>
      <w:r w:rsidRPr="00CE6E5F">
        <w:t>miglotas matymas.</w:t>
      </w:r>
    </w:p>
    <w:p w14:paraId="44309A59" w14:textId="7581EC3D" w:rsidR="003451F2" w:rsidRPr="00CE6E5F" w:rsidRDefault="003451F2" w:rsidP="00CE6E5F">
      <w:pPr>
        <w:pStyle w:val="Sraopastraipa"/>
        <w:ind w:left="567"/>
      </w:pPr>
      <w:r w:rsidRPr="00CE6E5F">
        <w:t xml:space="preserve">Jei </w:t>
      </w:r>
      <w:proofErr w:type="spellStart"/>
      <w:r w:rsidR="00242227">
        <w:t>c</w:t>
      </w:r>
      <w:r w:rsidRPr="00CE6E5F">
        <w:t>utaquig</w:t>
      </w:r>
      <w:proofErr w:type="spellEnd"/>
      <w:r w:rsidRPr="00CE6E5F">
        <w:t xml:space="preserve"> infuzijos metu pastebite toki</w:t>
      </w:r>
      <w:r w:rsidR="00A35A9F">
        <w:t>ų</w:t>
      </w:r>
      <w:r w:rsidRPr="00CE6E5F">
        <w:t xml:space="preserve"> požymi</w:t>
      </w:r>
      <w:r w:rsidR="00A35A9F">
        <w:t>ų</w:t>
      </w:r>
      <w:r w:rsidRPr="00CE6E5F">
        <w:t>, nedelsdami pasakykite gydytojui.</w:t>
      </w:r>
    </w:p>
    <w:p w14:paraId="179E234C" w14:textId="77777777" w:rsidR="003451F2" w:rsidRPr="00CE6E5F" w:rsidRDefault="003451F2" w:rsidP="00CE6E5F">
      <w:pPr>
        <w:pStyle w:val="Sraopastraipa"/>
        <w:ind w:left="567"/>
      </w:pPr>
      <w:r w:rsidRPr="00CE6E5F">
        <w:t>Jis nuspręs, ar sulėtinti infuziją ar visai ją nutraukti.</w:t>
      </w:r>
    </w:p>
    <w:p w14:paraId="28BCE1B8" w14:textId="285D7487" w:rsidR="003451F2" w:rsidRPr="00CE6E5F" w:rsidRDefault="003451F2" w:rsidP="00CE6E5F">
      <w:pPr>
        <w:pStyle w:val="Sraopastraipa"/>
        <w:numPr>
          <w:ilvl w:val="0"/>
          <w:numId w:val="35"/>
        </w:numPr>
      </w:pPr>
      <w:r w:rsidRPr="00CE6E5F">
        <w:t xml:space="preserve">Pasakykite savo gydytojui, jei sergate ar sirgote širdies arba kraujagyslių ligomis, yra buvę kraujo krešulių, Jūsų kraujas tirštas arba kurį laiką buvote nejudėdami. Šie dalykai gali padidinti kraujo krešulio tikimybę po </w:t>
      </w:r>
      <w:proofErr w:type="spellStart"/>
      <w:r w:rsidR="00242227">
        <w:t>c</w:t>
      </w:r>
      <w:r w:rsidRPr="00CE6E5F">
        <w:t>utaquig</w:t>
      </w:r>
      <w:proofErr w:type="spellEnd"/>
      <w:r w:rsidRPr="00CE6E5F">
        <w:t xml:space="preserve"> vartojimo. Savo gydytojui taip pat pasakykite, koki</w:t>
      </w:r>
      <w:r w:rsidR="00A35A9F">
        <w:t>ų</w:t>
      </w:r>
      <w:r w:rsidRPr="00CE6E5F">
        <w:t xml:space="preserve"> vaist</w:t>
      </w:r>
      <w:r w:rsidR="00A35A9F">
        <w:t>ų</w:t>
      </w:r>
      <w:r w:rsidRPr="00CE6E5F">
        <w:t xml:space="preserve"> vartojate, kadangi kai kurie vaistai, kaip tokie, kuri</w:t>
      </w:r>
      <w:r w:rsidR="00A35A9F">
        <w:t>ų</w:t>
      </w:r>
      <w:r w:rsidRPr="00CE6E5F">
        <w:t xml:space="preserve"> sudėtyje </w:t>
      </w:r>
      <w:r w:rsidR="00A35A9F">
        <w:t>yra</w:t>
      </w:r>
      <w:r w:rsidRPr="00CE6E5F">
        <w:t xml:space="preserve"> hormono estrogeno (pavyzdžiui, kontraceptinės tabletės), jums gali padidinti kraujo krešulio atsiradimo riziką. Nedelsiant kreipkitės į savo gydytoją, jei po </w:t>
      </w:r>
      <w:proofErr w:type="spellStart"/>
      <w:r w:rsidR="00242227">
        <w:t>c</w:t>
      </w:r>
      <w:r w:rsidRPr="00CE6E5F">
        <w:t>utaquig</w:t>
      </w:r>
      <w:proofErr w:type="spellEnd"/>
      <w:r w:rsidRPr="00CE6E5F">
        <w:t xml:space="preserve"> vartojimo patiriate toki</w:t>
      </w:r>
      <w:r w:rsidR="00A35A9F">
        <w:t>ų</w:t>
      </w:r>
      <w:r w:rsidRPr="00CE6E5F">
        <w:t xml:space="preserve"> požymi</w:t>
      </w:r>
      <w:r w:rsidR="00A35A9F">
        <w:t>ų</w:t>
      </w:r>
      <w:r w:rsidRPr="00CE6E5F">
        <w:t xml:space="preserve"> ir simptom</w:t>
      </w:r>
      <w:r w:rsidR="00A35A9F">
        <w:t>ų</w:t>
      </w:r>
      <w:r w:rsidRPr="00CE6E5F">
        <w:t>: dusulį, krūtinės skausmą, galūnės skausmą ir tinimą, vienos kūno pusės silpnumą arba tirpimą.</w:t>
      </w:r>
    </w:p>
    <w:p w14:paraId="712C11C7" w14:textId="7E23DAC9" w:rsidR="003451F2" w:rsidRPr="00CE6E5F" w:rsidRDefault="003451F2" w:rsidP="00CE6E5F">
      <w:pPr>
        <w:pStyle w:val="Sraopastraipa"/>
        <w:numPr>
          <w:ilvl w:val="0"/>
          <w:numId w:val="35"/>
        </w:numPr>
      </w:pPr>
      <w:r w:rsidRPr="00CE6E5F">
        <w:t xml:space="preserve">Kreipkitės į gydytoją, jei pavartojus </w:t>
      </w:r>
      <w:proofErr w:type="spellStart"/>
      <w:r w:rsidR="00242227">
        <w:t>c</w:t>
      </w:r>
      <w:r w:rsidRPr="00CE6E5F">
        <w:t>utaquig</w:t>
      </w:r>
      <w:proofErr w:type="spellEnd"/>
      <w:r w:rsidRPr="00CE6E5F">
        <w:t xml:space="preserve"> Jums pasireiškia ši</w:t>
      </w:r>
      <w:r w:rsidR="00EB66C3">
        <w:t>ų</w:t>
      </w:r>
      <w:r w:rsidRPr="00CE6E5F">
        <w:t xml:space="preserve"> požymi</w:t>
      </w:r>
      <w:r w:rsidR="00EB66C3">
        <w:t>ų</w:t>
      </w:r>
      <w:r w:rsidRPr="00CE6E5F">
        <w:t xml:space="preserve"> ir simptom</w:t>
      </w:r>
      <w:r w:rsidR="00EB66C3">
        <w:t>ų</w:t>
      </w:r>
      <w:r w:rsidRPr="00CE6E5F">
        <w:t xml:space="preserve">: stiprus galvos skausmas, kaklo </w:t>
      </w:r>
      <w:proofErr w:type="spellStart"/>
      <w:r w:rsidRPr="00CE6E5F">
        <w:t>nejudrumas</w:t>
      </w:r>
      <w:proofErr w:type="spellEnd"/>
      <w:r w:rsidRPr="00CE6E5F">
        <w:t xml:space="preserve">, mieguistumas, karščiavimas, šviesos baimė, pykinimas ir vėmimas. </w:t>
      </w:r>
      <w:r w:rsidR="004A41CA">
        <w:t xml:space="preserve">Tai gali būti </w:t>
      </w:r>
      <w:proofErr w:type="spellStart"/>
      <w:r w:rsidR="004A41CA">
        <w:t>aseptinio</w:t>
      </w:r>
      <w:proofErr w:type="spellEnd"/>
      <w:r w:rsidR="004A41CA">
        <w:t xml:space="preserve"> meningito požymiai. </w:t>
      </w:r>
      <w:r w:rsidRPr="00CE6E5F">
        <w:t xml:space="preserve">Jūsų gydytojas nuspręs, ar reikalingi tolesni tyrimai ir ar </w:t>
      </w:r>
      <w:proofErr w:type="spellStart"/>
      <w:r w:rsidR="00242227">
        <w:t>c</w:t>
      </w:r>
      <w:r w:rsidRPr="00CE6E5F">
        <w:t>utaquig</w:t>
      </w:r>
      <w:proofErr w:type="spellEnd"/>
      <w:r w:rsidRPr="00CE6E5F">
        <w:t xml:space="preserve"> vartojimas turi būti tęsiamas toliau.</w:t>
      </w:r>
    </w:p>
    <w:p w14:paraId="42B2F980" w14:textId="306A3D9C" w:rsidR="003451F2" w:rsidRPr="00CE6E5F" w:rsidRDefault="00242227" w:rsidP="00CE6E5F">
      <w:pPr>
        <w:pStyle w:val="Sraopastraipa"/>
        <w:numPr>
          <w:ilvl w:val="0"/>
          <w:numId w:val="35"/>
        </w:numPr>
      </w:pPr>
      <w:proofErr w:type="spellStart"/>
      <w:r>
        <w:t>c</w:t>
      </w:r>
      <w:r w:rsidR="003451F2" w:rsidRPr="00CE6E5F">
        <w:t>utaquig</w:t>
      </w:r>
      <w:proofErr w:type="spellEnd"/>
      <w:r w:rsidR="003451F2" w:rsidRPr="00CE6E5F">
        <w:t xml:space="preserve"> sudėtyje yra kraujo grupės antikūnų, kurie gali sukelti raudonųjų kraujo kūnelių sunaikinimą ir todėl </w:t>
      </w:r>
      <w:r w:rsidR="00EB66C3">
        <w:t xml:space="preserve">sukelti </w:t>
      </w:r>
      <w:r w:rsidR="003451F2" w:rsidRPr="00CE6E5F">
        <w:t>anemiją (mažą raudonųjų kraujo kūnelių skaičių).</w:t>
      </w:r>
    </w:p>
    <w:p w14:paraId="671A873A" w14:textId="77777777" w:rsidR="003451F2" w:rsidRPr="00CE6E5F" w:rsidRDefault="003451F2" w:rsidP="00CE6E5F">
      <w:pPr>
        <w:autoSpaceDE w:val="0"/>
        <w:autoSpaceDN w:val="0"/>
        <w:adjustRightInd w:val="0"/>
        <w:jc w:val="both"/>
        <w:rPr>
          <w:rFonts w:eastAsia="Times New Roman" w:cs="Times New Roman"/>
        </w:rPr>
      </w:pPr>
    </w:p>
    <w:p w14:paraId="7FC2B334" w14:textId="77777777" w:rsidR="003451F2" w:rsidRPr="00CE6E5F" w:rsidRDefault="003451F2" w:rsidP="00E457A0">
      <w:pPr>
        <w:keepNext/>
        <w:widowControl w:val="0"/>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Times New Roman"/>
          <w:b/>
          <w:bCs/>
          <w:lang w:eastAsia="en-CA"/>
        </w:rPr>
      </w:pPr>
      <w:r w:rsidRPr="00CE6E5F">
        <w:rPr>
          <w:rFonts w:eastAsia="Times New Roman" w:cs="Times New Roman"/>
          <w:b/>
          <w:bCs/>
          <w:lang w:eastAsia="en-CA"/>
        </w:rPr>
        <w:t>Jūsų sveikatos priežiūros specialistas išvengs galimų komplikacijų įsitikinęs:</w:t>
      </w:r>
    </w:p>
    <w:p w14:paraId="6B61CABF" w14:textId="027EB8AE" w:rsidR="00BE3B67" w:rsidRPr="00CE6E5F" w:rsidRDefault="003451F2" w:rsidP="00CE6E5F">
      <w:pPr>
        <w:pStyle w:val="Sraopastraipa"/>
        <w:ind w:left="567"/>
      </w:pPr>
      <w:r w:rsidRPr="00CE6E5F">
        <w:t>kad nesate jautrus žmogaus normalia</w:t>
      </w:r>
      <w:r w:rsidR="00EB66C3">
        <w:t>ja</w:t>
      </w:r>
      <w:r w:rsidRPr="00CE6E5F">
        <w:t>m imunoglobulinui.</w:t>
      </w:r>
    </w:p>
    <w:p w14:paraId="21AC0124" w14:textId="077D7486" w:rsidR="003451F2" w:rsidRPr="00CE6E5F" w:rsidRDefault="003451F2" w:rsidP="00CE6E5F">
      <w:pPr>
        <w:pStyle w:val="Sraopastraipa"/>
        <w:ind w:left="567"/>
      </w:pPr>
      <w:r w:rsidRPr="00CE6E5F">
        <w:t>Iš pradžių vaist</w:t>
      </w:r>
      <w:r w:rsidR="00EB66C3">
        <w:t>o</w:t>
      </w:r>
      <w:r w:rsidRPr="00CE6E5F">
        <w:t xml:space="preserve"> reikia </w:t>
      </w:r>
      <w:r w:rsidR="00EB66C3">
        <w:t>leisti</w:t>
      </w:r>
      <w:r w:rsidRPr="00CE6E5F">
        <w:t xml:space="preserve"> lėtai. Reikia laikytis rekomenduojamo infuzijos greičio, nurodyto 3 skyriuje.</w:t>
      </w:r>
    </w:p>
    <w:p w14:paraId="5EB49060" w14:textId="77777777" w:rsidR="003451F2" w:rsidRPr="00CE6E5F" w:rsidRDefault="003451F2" w:rsidP="00CE6E5F">
      <w:pPr>
        <w:pStyle w:val="Sraopastraipa"/>
        <w:numPr>
          <w:ilvl w:val="0"/>
          <w:numId w:val="36"/>
        </w:numPr>
      </w:pPr>
      <w:r w:rsidRPr="00CE6E5F">
        <w:t>kad visą infuzijos laikotarpį būsite atidžiai stebimi, ar neatsiras kokių nors simptomų, ypač, jeigu:</w:t>
      </w:r>
    </w:p>
    <w:p w14:paraId="5013ABF5" w14:textId="1E32AB5A" w:rsidR="003451F2" w:rsidRPr="00CE6E5F" w:rsidRDefault="003451F2" w:rsidP="00CE6E5F">
      <w:pPr>
        <w:pStyle w:val="Sraopastraipa"/>
        <w:numPr>
          <w:ilvl w:val="1"/>
          <w:numId w:val="36"/>
        </w:numPr>
      </w:pPr>
      <w:r w:rsidRPr="00CE6E5F">
        <w:t>žmogaus normal</w:t>
      </w:r>
      <w:r w:rsidR="00EB66C3">
        <w:t>iojo</w:t>
      </w:r>
      <w:r w:rsidRPr="00CE6E5F">
        <w:t xml:space="preserve"> imunoglobulin</w:t>
      </w:r>
      <w:r w:rsidR="00EB66C3">
        <w:t>o</w:t>
      </w:r>
      <w:r w:rsidRPr="00CE6E5F">
        <w:t xml:space="preserve"> Jums skiriama pirmą kartą,</w:t>
      </w:r>
    </w:p>
    <w:p w14:paraId="1DB8C43A" w14:textId="77777777" w:rsidR="003451F2" w:rsidRPr="00CE6E5F" w:rsidRDefault="003451F2" w:rsidP="00CE6E5F">
      <w:pPr>
        <w:pStyle w:val="Sraopastraipa"/>
        <w:numPr>
          <w:ilvl w:val="1"/>
          <w:numId w:val="36"/>
        </w:numPr>
      </w:pPr>
      <w:r w:rsidRPr="00CE6E5F">
        <w:t xml:space="preserve">kitas vaistas Jums pakeistas į </w:t>
      </w:r>
      <w:proofErr w:type="spellStart"/>
      <w:r w:rsidR="00242227">
        <w:t>c</w:t>
      </w:r>
      <w:r w:rsidRPr="00CE6E5F">
        <w:t>utaquig</w:t>
      </w:r>
      <w:proofErr w:type="spellEnd"/>
      <w:r w:rsidRPr="00CE6E5F">
        <w:t>,</w:t>
      </w:r>
    </w:p>
    <w:p w14:paraId="544C9FF7" w14:textId="77777777" w:rsidR="003451F2" w:rsidRPr="00CE6E5F" w:rsidRDefault="003451F2" w:rsidP="00CE6E5F">
      <w:pPr>
        <w:pStyle w:val="Sraopastraipa"/>
        <w:numPr>
          <w:ilvl w:val="1"/>
          <w:numId w:val="36"/>
        </w:numPr>
      </w:pPr>
      <w:r w:rsidRPr="00CE6E5F">
        <w:t>nuo ankstesnės infuzijos praėjo ilgas laiko tarpas (daugiau kaip aštuonios savaitės).</w:t>
      </w:r>
    </w:p>
    <w:p w14:paraId="1AA197BB" w14:textId="77777777" w:rsidR="003451F2" w:rsidRPr="00CE6E5F" w:rsidRDefault="003451F2" w:rsidP="00CE6E5F"/>
    <w:p w14:paraId="4446A1F9" w14:textId="18E45A57" w:rsidR="003451F2" w:rsidRPr="00CE6E5F" w:rsidRDefault="003451F2" w:rsidP="00CE6E5F">
      <w:pPr>
        <w:pStyle w:val="Sraopastraipa"/>
        <w:ind w:left="567"/>
      </w:pPr>
      <w:r w:rsidRPr="00CE6E5F">
        <w:t>Šiais atvejais rekomenduojama, kad Jus atidžiai stebėtų pirmos infuzijos metu ir valandą po jos. Jei pirmiau nurodytos aplinkybės Jums netinka, rekomenduojama, kad būtumėte stebimi mažiausiai 20 minučių po vaisto su</w:t>
      </w:r>
      <w:r w:rsidR="00EB66C3">
        <w:t>leidimo</w:t>
      </w:r>
      <w:r w:rsidRPr="00CE6E5F">
        <w:t>.</w:t>
      </w:r>
    </w:p>
    <w:p w14:paraId="64C09A68" w14:textId="77777777" w:rsidR="003451F2" w:rsidRPr="00CE6E5F" w:rsidRDefault="003451F2" w:rsidP="00CE6E5F">
      <w:pPr>
        <w:tabs>
          <w:tab w:val="left" w:pos="567"/>
        </w:tabs>
        <w:jc w:val="both"/>
        <w:rPr>
          <w:rFonts w:eastAsia="Times New Roman" w:cs="Times New Roman"/>
          <w:highlight w:val="cyan"/>
        </w:rPr>
      </w:pPr>
    </w:p>
    <w:p w14:paraId="4BF07686" w14:textId="77777777" w:rsidR="003451F2" w:rsidRPr="00CE6E5F" w:rsidRDefault="003451F2" w:rsidP="00E457A0">
      <w:pPr>
        <w:widowControl w:val="0"/>
        <w:autoSpaceDE w:val="0"/>
        <w:autoSpaceDN w:val="0"/>
        <w:adjustRightInd w:val="0"/>
        <w:jc w:val="both"/>
        <w:rPr>
          <w:rFonts w:eastAsia="Times New Roman" w:cs="Times New Roman"/>
          <w:b/>
          <w:color w:val="000000"/>
          <w:lang w:eastAsia="de-AT"/>
        </w:rPr>
      </w:pPr>
      <w:r w:rsidRPr="00CE6E5F">
        <w:rPr>
          <w:rFonts w:eastAsia="Times New Roman" w:cs="Times New Roman"/>
          <w:b/>
          <w:bCs/>
          <w:color w:val="000000"/>
          <w:lang w:eastAsia="de-AT"/>
        </w:rPr>
        <w:t>Vaikams ir paaugliams</w:t>
      </w:r>
    </w:p>
    <w:p w14:paraId="62FFDE5A" w14:textId="77777777" w:rsidR="003451F2" w:rsidRPr="00CE6E5F" w:rsidRDefault="003451F2" w:rsidP="00CE6E5F">
      <w:pPr>
        <w:tabs>
          <w:tab w:val="left" w:pos="567"/>
        </w:tabs>
        <w:jc w:val="both"/>
        <w:rPr>
          <w:rFonts w:eastAsia="Times New Roman" w:cs="Times New Roman"/>
        </w:rPr>
      </w:pPr>
      <w:r w:rsidRPr="00CE6E5F">
        <w:rPr>
          <w:rFonts w:eastAsia="Times New Roman" w:cs="Times New Roman"/>
        </w:rPr>
        <w:t>Aprašyti įspėjimai ir atsargumo priemonės tinka tiek suaugusiesiems, tiek ir vaikams.</w:t>
      </w:r>
    </w:p>
    <w:p w14:paraId="0D01FD36" w14:textId="77777777" w:rsidR="003451F2" w:rsidRPr="00CE6E5F" w:rsidRDefault="003451F2" w:rsidP="00CE6E5F">
      <w:pPr>
        <w:tabs>
          <w:tab w:val="left" w:pos="567"/>
        </w:tabs>
        <w:jc w:val="both"/>
        <w:rPr>
          <w:rFonts w:eastAsia="Times New Roman" w:cs="Times New Roman"/>
        </w:rPr>
      </w:pPr>
    </w:p>
    <w:p w14:paraId="205BC448" w14:textId="77777777" w:rsidR="003451F2" w:rsidRPr="00CE6E5F" w:rsidRDefault="003451F2" w:rsidP="00CE6E5F">
      <w:pPr>
        <w:tabs>
          <w:tab w:val="left" w:pos="567"/>
        </w:tabs>
        <w:jc w:val="both"/>
        <w:rPr>
          <w:rFonts w:eastAsia="Times New Roman" w:cs="Times New Roman"/>
          <w:b/>
        </w:rPr>
      </w:pPr>
      <w:r w:rsidRPr="00CE6E5F">
        <w:rPr>
          <w:rFonts w:eastAsia="Times New Roman" w:cs="Times New Roman"/>
          <w:b/>
          <w:bCs/>
        </w:rPr>
        <w:t xml:space="preserve">Kiti vaistai ir </w:t>
      </w:r>
      <w:proofErr w:type="spellStart"/>
      <w:r w:rsidR="00242227">
        <w:rPr>
          <w:rFonts w:eastAsia="Times New Roman" w:cs="Times New Roman"/>
          <w:b/>
          <w:bCs/>
        </w:rPr>
        <w:t>c</w:t>
      </w:r>
      <w:r w:rsidRPr="00CE6E5F">
        <w:rPr>
          <w:rFonts w:eastAsia="Times New Roman" w:cs="Times New Roman"/>
          <w:b/>
          <w:bCs/>
        </w:rPr>
        <w:t>utaquig</w:t>
      </w:r>
      <w:proofErr w:type="spellEnd"/>
    </w:p>
    <w:p w14:paraId="7B85B274" w14:textId="77777777" w:rsidR="00367CB7" w:rsidRPr="00CE6E5F" w:rsidRDefault="003451F2" w:rsidP="00CE6E5F">
      <w:pPr>
        <w:pStyle w:val="Sraopastraipa"/>
        <w:numPr>
          <w:ilvl w:val="0"/>
          <w:numId w:val="36"/>
        </w:numPr>
      </w:pPr>
      <w:r w:rsidRPr="00CE6E5F">
        <w:t>Jeigu vartojate ar neseniai vartojote kitų vaistų arba dėl to nesate tikri, apie tai pasakykite gydytojui arba vaistininkui.</w:t>
      </w:r>
    </w:p>
    <w:p w14:paraId="531C041A" w14:textId="77777777" w:rsidR="00367CB7" w:rsidRPr="00CE6E5F" w:rsidRDefault="00242227" w:rsidP="00CE6E5F">
      <w:pPr>
        <w:pStyle w:val="Sraopastraipa"/>
        <w:numPr>
          <w:ilvl w:val="0"/>
          <w:numId w:val="36"/>
        </w:numPr>
      </w:pPr>
      <w:proofErr w:type="spellStart"/>
      <w:r>
        <w:t>c</w:t>
      </w:r>
      <w:r w:rsidR="003451F2" w:rsidRPr="00CE6E5F">
        <w:t>utaquig</w:t>
      </w:r>
      <w:proofErr w:type="spellEnd"/>
      <w:r w:rsidR="003451F2" w:rsidRPr="00CE6E5F">
        <w:t xml:space="preserve"> negalima maišyti su kitais vaistais.</w:t>
      </w:r>
    </w:p>
    <w:p w14:paraId="74D62BF0" w14:textId="0B6A6964" w:rsidR="00367CB7" w:rsidRPr="00CE6E5F" w:rsidRDefault="003451F2" w:rsidP="00CE6E5F">
      <w:pPr>
        <w:pStyle w:val="Sraopastraipa"/>
        <w:numPr>
          <w:ilvl w:val="0"/>
          <w:numId w:val="36"/>
        </w:numPr>
      </w:pPr>
      <w:r w:rsidRPr="00CE6E5F">
        <w:lastRenderedPageBreak/>
        <w:t xml:space="preserve">Prieš vakcinaciją pasakykite skiepijančiam gydytojui apie gydymą </w:t>
      </w:r>
      <w:proofErr w:type="spellStart"/>
      <w:r w:rsidR="00242227">
        <w:t>c</w:t>
      </w:r>
      <w:r w:rsidRPr="00CE6E5F">
        <w:t>utaquig</w:t>
      </w:r>
      <w:proofErr w:type="spellEnd"/>
      <w:r w:rsidRPr="00CE6E5F">
        <w:t xml:space="preserve">. </w:t>
      </w:r>
      <w:proofErr w:type="spellStart"/>
      <w:r w:rsidR="00242227">
        <w:t>c</w:t>
      </w:r>
      <w:r w:rsidRPr="00CE6E5F">
        <w:t>utaquig</w:t>
      </w:r>
      <w:proofErr w:type="spellEnd"/>
      <w:r w:rsidRPr="00CE6E5F">
        <w:t xml:space="preserve"> (kaip </w:t>
      </w:r>
      <w:r w:rsidR="00EB66C3">
        <w:t xml:space="preserve">ir </w:t>
      </w:r>
      <w:r w:rsidR="00E679DD">
        <w:t>kiti</w:t>
      </w:r>
      <w:r w:rsidR="00EB66C3">
        <w:t xml:space="preserve"> </w:t>
      </w:r>
      <w:r w:rsidRPr="00CE6E5F">
        <w:t>žmogaus normaliojo imunoglobulino tirpala</w:t>
      </w:r>
      <w:r w:rsidR="00EB66C3">
        <w:t>i</w:t>
      </w:r>
      <w:r w:rsidRPr="00CE6E5F">
        <w:t xml:space="preserve">) gali susilpninti kai kurių gyvų virusų vakcinų, pavyzdžiui, tymų, raudonukės, kiaulytės ir vėjaraupių poveikį. Todėl po </w:t>
      </w:r>
      <w:proofErr w:type="spellStart"/>
      <w:r w:rsidR="00242227">
        <w:t>c</w:t>
      </w:r>
      <w:r w:rsidRPr="00CE6E5F">
        <w:t>utaquig</w:t>
      </w:r>
      <w:proofErr w:type="spellEnd"/>
      <w:r w:rsidRPr="00CE6E5F">
        <w:t xml:space="preserve"> vartojimo, prieš skiepijantis </w:t>
      </w:r>
      <w:proofErr w:type="spellStart"/>
      <w:r w:rsidRPr="00CE6E5F">
        <w:t>susilpninta</w:t>
      </w:r>
      <w:proofErr w:type="spellEnd"/>
      <w:r w:rsidRPr="00CE6E5F">
        <w:t xml:space="preserve"> gyva vakcina, Jums gali tekti palaukti iki 3 mėnesių. Norint pasiskiepyti nuo tymų šis laikotarpis gali trukti iki vienų metų.</w:t>
      </w:r>
    </w:p>
    <w:p w14:paraId="576095DD" w14:textId="77777777" w:rsidR="003451F2" w:rsidRPr="001252C3" w:rsidRDefault="003451F2" w:rsidP="00CE6E5F">
      <w:pPr>
        <w:pStyle w:val="Sraopastraipa"/>
        <w:numPr>
          <w:ilvl w:val="0"/>
          <w:numId w:val="36"/>
        </w:numPr>
      </w:pPr>
      <w:r w:rsidRPr="001252C3">
        <w:t>Gliukozės kraujyje tyrimai</w:t>
      </w:r>
    </w:p>
    <w:p w14:paraId="2F622CE8" w14:textId="6D2BD5AB" w:rsidR="003451F2" w:rsidRPr="00CE6E5F" w:rsidRDefault="003451F2" w:rsidP="00CE6E5F">
      <w:pPr>
        <w:pStyle w:val="Sraopastraipa"/>
        <w:ind w:left="567"/>
      </w:pPr>
      <w:r w:rsidRPr="00CE6E5F">
        <w:t xml:space="preserve">Kai kurios gliukozės koncentraciją kraujyje nustatančios sistemos (vadinamos </w:t>
      </w:r>
      <w:proofErr w:type="spellStart"/>
      <w:r w:rsidRPr="00CE6E5F">
        <w:t>gliukometrais</w:t>
      </w:r>
      <w:proofErr w:type="spellEnd"/>
      <w:r w:rsidRPr="00CE6E5F">
        <w:t xml:space="preserve">) </w:t>
      </w:r>
      <w:proofErr w:type="spellStart"/>
      <w:r w:rsidR="00242227">
        <w:t>c</w:t>
      </w:r>
      <w:r w:rsidRPr="00CE6E5F">
        <w:t>utaquig</w:t>
      </w:r>
      <w:proofErr w:type="spellEnd"/>
      <w:r w:rsidRPr="00CE6E5F">
        <w:t xml:space="preserve"> sudėtyje esančią </w:t>
      </w:r>
      <w:proofErr w:type="spellStart"/>
      <w:r w:rsidRPr="00CE6E5F">
        <w:t>maltozę</w:t>
      </w:r>
      <w:proofErr w:type="spellEnd"/>
      <w:r w:rsidRPr="00CE6E5F">
        <w:t xml:space="preserve"> neteisingai palaiko gliukoze. Dėl to gali būti neteisingai registruojama padidėjusi gliukozės koncentracija infuzijos metu ar per maždaug 15 valandų po infuzijos, dėl ko gali būti neteisingai paskirta insulin</w:t>
      </w:r>
      <w:r w:rsidR="00E679DD">
        <w:t>o</w:t>
      </w:r>
      <w:r w:rsidRPr="00CE6E5F">
        <w:t xml:space="preserve"> ir sukelta gyvybei pavojinga ar net mirtina hipoglikemija (</w:t>
      </w:r>
      <w:proofErr w:type="spellStart"/>
      <w:r w:rsidRPr="00CE6E5F">
        <w:t>t.y</w:t>
      </w:r>
      <w:proofErr w:type="spellEnd"/>
      <w:r w:rsidRPr="00CE6E5F">
        <w:t xml:space="preserve">. sumažėjusi gliukozės koncentracija kraujyje). </w:t>
      </w:r>
    </w:p>
    <w:p w14:paraId="64619027" w14:textId="45B0FF9A" w:rsidR="003451F2" w:rsidRPr="00CE6E5F" w:rsidRDefault="003451F2" w:rsidP="00CE6E5F">
      <w:pPr>
        <w:pStyle w:val="Sraopastraipa"/>
        <w:ind w:left="567"/>
      </w:pPr>
      <w:r w:rsidRPr="00CE6E5F">
        <w:t xml:space="preserve">Taip pat tikroji hipoglikemija gali būti negydoma, jei hipoglikeminę būklę </w:t>
      </w:r>
      <w:r w:rsidR="00E679DD">
        <w:t>paslepia</w:t>
      </w:r>
      <w:r w:rsidRPr="00CE6E5F">
        <w:t xml:space="preserve"> klaidingi duomenys, rodantys gliukozės koncentracijos padidėjimą. </w:t>
      </w:r>
    </w:p>
    <w:p w14:paraId="0DE41A23" w14:textId="324A81CD" w:rsidR="003451F2" w:rsidRPr="00CE6E5F" w:rsidRDefault="003451F2" w:rsidP="00CE6E5F">
      <w:pPr>
        <w:pStyle w:val="Sraopastraipa"/>
        <w:ind w:left="567"/>
      </w:pPr>
      <w:r w:rsidRPr="00CE6E5F">
        <w:t xml:space="preserve">Todėl, vartojant </w:t>
      </w:r>
      <w:proofErr w:type="spellStart"/>
      <w:r w:rsidR="00242227">
        <w:t>c</w:t>
      </w:r>
      <w:r w:rsidRPr="00CE6E5F">
        <w:t>utaquig</w:t>
      </w:r>
      <w:proofErr w:type="spellEnd"/>
      <w:r w:rsidRPr="00CE6E5F">
        <w:t xml:space="preserve"> ar kitų vaist</w:t>
      </w:r>
      <w:r w:rsidR="00E679DD">
        <w:t>ų</w:t>
      </w:r>
      <w:r w:rsidRPr="00CE6E5F">
        <w:t xml:space="preserve">, kurių sudėtyje yra </w:t>
      </w:r>
      <w:proofErr w:type="spellStart"/>
      <w:r w:rsidRPr="00CE6E5F">
        <w:t>maltozės</w:t>
      </w:r>
      <w:proofErr w:type="spellEnd"/>
      <w:r w:rsidRPr="00CE6E5F">
        <w:t xml:space="preserve">, gliukozės koncentraciją kraujyje reikia tirti naudojant gliukozei specifinius metodus. Sistemų, naudojančių gliukozės </w:t>
      </w:r>
      <w:proofErr w:type="spellStart"/>
      <w:r w:rsidRPr="00CE6E5F">
        <w:t>dehidrogenazės</w:t>
      </w:r>
      <w:proofErr w:type="spellEnd"/>
      <w:r w:rsidRPr="00CE6E5F">
        <w:t xml:space="preserve"> </w:t>
      </w:r>
      <w:proofErr w:type="spellStart"/>
      <w:r w:rsidRPr="00CE6E5F">
        <w:t>pirolokvinolinekvinono</w:t>
      </w:r>
      <w:proofErr w:type="spellEnd"/>
      <w:r w:rsidRPr="00CE6E5F">
        <w:t xml:space="preserve"> (GDH-PQQ) ar gliukozės-die-</w:t>
      </w:r>
      <w:proofErr w:type="spellStart"/>
      <w:r w:rsidRPr="00CE6E5F">
        <w:t>oksidoreduktazės</w:t>
      </w:r>
      <w:proofErr w:type="spellEnd"/>
      <w:r w:rsidRPr="00CE6E5F">
        <w:t xml:space="preserve"> nustatymo metodus, naudoti negalima.</w:t>
      </w:r>
    </w:p>
    <w:p w14:paraId="02CB6EC2" w14:textId="576FFFDE" w:rsidR="003451F2" w:rsidRPr="00CE6E5F" w:rsidRDefault="003451F2" w:rsidP="00CE6E5F">
      <w:pPr>
        <w:pStyle w:val="Sraopastraipa"/>
        <w:ind w:left="567"/>
      </w:pPr>
      <w:r w:rsidRPr="00CE6E5F">
        <w:t xml:space="preserve">Reikia atidžiai perskaityti gliukozės koncentracijos kraujyje nustatymo sistemos, įskaitant tyrimui skirtas juosteles, preparato informaciją tam, kad būtų įsitikinta, kad sistema yra tinkama naudoti, kai vartojama </w:t>
      </w:r>
      <w:proofErr w:type="spellStart"/>
      <w:r w:rsidRPr="00CE6E5F">
        <w:t>parenter</w:t>
      </w:r>
      <w:r w:rsidR="00EA4C4E">
        <w:t>inių</w:t>
      </w:r>
      <w:proofErr w:type="spellEnd"/>
      <w:r w:rsidRPr="00CE6E5F">
        <w:t xml:space="preserve"> vaist</w:t>
      </w:r>
      <w:r w:rsidR="00EA4C4E">
        <w:t>ų</w:t>
      </w:r>
      <w:r w:rsidRPr="00CE6E5F">
        <w:t xml:space="preserve">, kurių sudėtyje yra </w:t>
      </w:r>
      <w:proofErr w:type="spellStart"/>
      <w:r w:rsidRPr="00CE6E5F">
        <w:t>maltozės</w:t>
      </w:r>
      <w:proofErr w:type="spellEnd"/>
      <w:r w:rsidRPr="00CE6E5F">
        <w:t xml:space="preserve">. Jei iškyla abejonių, kreipkitės į gydytoją, kad būtų įsitikinta, kad sistema yra tinkama naudoti, kai vartojama </w:t>
      </w:r>
      <w:proofErr w:type="spellStart"/>
      <w:r w:rsidRPr="00CE6E5F">
        <w:t>parenter</w:t>
      </w:r>
      <w:r w:rsidR="00EA4C4E">
        <w:t>inių</w:t>
      </w:r>
      <w:proofErr w:type="spellEnd"/>
      <w:r w:rsidRPr="00CE6E5F">
        <w:t xml:space="preserve"> vaist</w:t>
      </w:r>
      <w:r w:rsidR="00EA4C4E">
        <w:t>ų</w:t>
      </w:r>
      <w:r w:rsidRPr="00CE6E5F">
        <w:t xml:space="preserve">, kurių sudėtyje yra </w:t>
      </w:r>
      <w:proofErr w:type="spellStart"/>
      <w:r w:rsidRPr="00CE6E5F">
        <w:t>maltozės</w:t>
      </w:r>
      <w:proofErr w:type="spellEnd"/>
      <w:r w:rsidRPr="00CE6E5F">
        <w:t>.</w:t>
      </w:r>
    </w:p>
    <w:p w14:paraId="5164CB3D" w14:textId="77777777" w:rsidR="003451F2" w:rsidRPr="00CE6E5F" w:rsidRDefault="003451F2" w:rsidP="00E457A0">
      <w:pPr>
        <w:numPr>
          <w:ilvl w:val="12"/>
          <w:numId w:val="0"/>
        </w:numPr>
        <w:ind w:right="-2"/>
        <w:jc w:val="both"/>
        <w:rPr>
          <w:rFonts w:eastAsia="Times New Roman" w:cs="Times New Roman"/>
        </w:rPr>
      </w:pPr>
    </w:p>
    <w:p w14:paraId="22D5B6EF" w14:textId="77777777" w:rsidR="003451F2" w:rsidRPr="00CE6E5F" w:rsidRDefault="00242227" w:rsidP="00CE6E5F">
      <w:pPr>
        <w:tabs>
          <w:tab w:val="left" w:pos="567"/>
        </w:tabs>
        <w:jc w:val="both"/>
        <w:rPr>
          <w:rFonts w:eastAsia="Times New Roman" w:cs="Times New Roman"/>
          <w:b/>
        </w:rPr>
      </w:pPr>
      <w:proofErr w:type="spellStart"/>
      <w:r>
        <w:rPr>
          <w:rFonts w:eastAsia="Times New Roman" w:cs="Times New Roman"/>
          <w:b/>
          <w:bCs/>
        </w:rPr>
        <w:t>c</w:t>
      </w:r>
      <w:r w:rsidR="003451F2" w:rsidRPr="00CE6E5F">
        <w:rPr>
          <w:rFonts w:eastAsia="Times New Roman" w:cs="Times New Roman"/>
          <w:b/>
          <w:bCs/>
        </w:rPr>
        <w:t>utaquig</w:t>
      </w:r>
      <w:proofErr w:type="spellEnd"/>
      <w:r w:rsidR="003451F2" w:rsidRPr="00CE6E5F">
        <w:rPr>
          <w:rFonts w:eastAsia="Times New Roman" w:cs="Times New Roman"/>
          <w:b/>
          <w:bCs/>
        </w:rPr>
        <w:t xml:space="preserve"> vartojimas su maistu, gėrimais ir alkoholiu</w:t>
      </w:r>
    </w:p>
    <w:p w14:paraId="7BD7BC26" w14:textId="77777777" w:rsidR="003451F2" w:rsidRPr="00CE6E5F" w:rsidRDefault="003451F2" w:rsidP="00E457A0">
      <w:pPr>
        <w:numPr>
          <w:ilvl w:val="12"/>
          <w:numId w:val="0"/>
        </w:numPr>
        <w:tabs>
          <w:tab w:val="left" w:pos="1290"/>
        </w:tabs>
        <w:ind w:right="-2"/>
        <w:jc w:val="both"/>
        <w:rPr>
          <w:rFonts w:eastAsia="Times New Roman" w:cs="Times New Roman"/>
        </w:rPr>
      </w:pPr>
      <w:r w:rsidRPr="00CE6E5F">
        <w:rPr>
          <w:rFonts w:eastAsia="Times New Roman" w:cs="Times New Roman"/>
        </w:rPr>
        <w:t>Poveikio nepastebėta.</w:t>
      </w:r>
    </w:p>
    <w:p w14:paraId="1E59E908" w14:textId="77777777" w:rsidR="003451F2" w:rsidRPr="00CE6E5F" w:rsidRDefault="003451F2" w:rsidP="00E457A0">
      <w:pPr>
        <w:numPr>
          <w:ilvl w:val="12"/>
          <w:numId w:val="0"/>
        </w:numPr>
        <w:tabs>
          <w:tab w:val="left" w:pos="1290"/>
        </w:tabs>
        <w:ind w:right="-2"/>
        <w:jc w:val="both"/>
        <w:rPr>
          <w:rFonts w:eastAsia="Times New Roman" w:cs="Times New Roman"/>
        </w:rPr>
      </w:pPr>
    </w:p>
    <w:p w14:paraId="7A4D88AE" w14:textId="77777777" w:rsidR="003451F2" w:rsidRPr="00CE6E5F" w:rsidRDefault="003451F2" w:rsidP="00CE6E5F">
      <w:pPr>
        <w:keepNext/>
        <w:keepLines/>
        <w:tabs>
          <w:tab w:val="left" w:pos="567"/>
        </w:tabs>
        <w:jc w:val="both"/>
        <w:rPr>
          <w:rFonts w:eastAsia="Times New Roman" w:cs="Times New Roman"/>
          <w:b/>
        </w:rPr>
      </w:pPr>
      <w:r w:rsidRPr="00CE6E5F">
        <w:rPr>
          <w:rFonts w:eastAsia="Times New Roman" w:cs="Times New Roman"/>
          <w:b/>
          <w:bCs/>
        </w:rPr>
        <w:t>Nėštumas, žindymo laikotarpis ir vaisingumas</w:t>
      </w:r>
    </w:p>
    <w:p w14:paraId="0B8184EF" w14:textId="7EB7BFB0" w:rsidR="003451F2" w:rsidRPr="00CE6E5F" w:rsidRDefault="003451F2" w:rsidP="00CE6E5F">
      <w:pPr>
        <w:tabs>
          <w:tab w:val="left" w:pos="567"/>
        </w:tabs>
        <w:jc w:val="both"/>
        <w:rPr>
          <w:rFonts w:eastAsia="Calibri" w:cs="Times New Roman"/>
        </w:rPr>
      </w:pPr>
      <w:r w:rsidRPr="00CE6E5F">
        <w:rPr>
          <w:rFonts w:eastAsia="Calibri" w:cs="Times New Roman"/>
        </w:rPr>
        <w:t>Jeigu esate nėščia, žindote kūdikį, manote, kad galbūt esate nėščia arba planuojate pastoti, tai prieš vartodama šį vaistą pasitarkite su gydytoju arba vaistininku. Nėštumo arba žindymo laikotarpiu š</w:t>
      </w:r>
      <w:r w:rsidR="007063C7">
        <w:rPr>
          <w:rFonts w:eastAsia="Calibri" w:cs="Times New Roman"/>
        </w:rPr>
        <w:t>io vaisto</w:t>
      </w:r>
      <w:r w:rsidRPr="00CE6E5F">
        <w:rPr>
          <w:rFonts w:eastAsia="Calibri" w:cs="Times New Roman"/>
        </w:rPr>
        <w:t xml:space="preserve"> galėtumėte vartoti tik pasitarusios su savo gydytoju arba vaistininku.</w:t>
      </w:r>
    </w:p>
    <w:p w14:paraId="02D572E9" w14:textId="749DD3CA" w:rsidR="003451F2" w:rsidRPr="00CE6E5F" w:rsidRDefault="003451F2" w:rsidP="00CE6E5F">
      <w:pPr>
        <w:tabs>
          <w:tab w:val="left" w:pos="567"/>
        </w:tabs>
        <w:jc w:val="both"/>
        <w:rPr>
          <w:rFonts w:eastAsia="Calibri" w:cs="Times New Roman"/>
        </w:rPr>
      </w:pPr>
      <w:r w:rsidRPr="00CE6E5F">
        <w:rPr>
          <w:rFonts w:eastAsia="Calibri" w:cs="Times New Roman"/>
        </w:rPr>
        <w:t xml:space="preserve">Nebuvo atlikta jokių klinikinių tyrimų su nėščiosiomis, gydomomis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Tačiau daugelį metų vaist</w:t>
      </w:r>
      <w:r w:rsidR="007063C7">
        <w:rPr>
          <w:rFonts w:eastAsia="Calibri" w:cs="Times New Roman"/>
        </w:rPr>
        <w:t>ų</w:t>
      </w:r>
      <w:r w:rsidRPr="00CE6E5F">
        <w:rPr>
          <w:rFonts w:eastAsia="Calibri" w:cs="Times New Roman"/>
        </w:rPr>
        <w:t xml:space="preserve">, kurių sudėtyje yra imunoglobulinų, yra </w:t>
      </w:r>
      <w:r w:rsidR="00D63E81">
        <w:rPr>
          <w:rFonts w:eastAsia="Calibri" w:cs="Times New Roman"/>
        </w:rPr>
        <w:t>skiriam</w:t>
      </w:r>
      <w:r w:rsidR="007063C7">
        <w:rPr>
          <w:rFonts w:eastAsia="Calibri" w:cs="Times New Roman"/>
        </w:rPr>
        <w:t>a</w:t>
      </w:r>
      <w:r w:rsidR="00D63E81" w:rsidRPr="00CE6E5F">
        <w:rPr>
          <w:rFonts w:eastAsia="Calibri" w:cs="Times New Roman"/>
        </w:rPr>
        <w:t xml:space="preserve"> </w:t>
      </w:r>
      <w:r w:rsidRPr="00CE6E5F">
        <w:rPr>
          <w:rFonts w:eastAsia="Calibri" w:cs="Times New Roman"/>
        </w:rPr>
        <w:t>nėščiosioms ar žindančioms moterims, ir nebuvo pastebėta jokio kenksmingo poveikio nėštumo eigai ar kūdikiui.</w:t>
      </w:r>
    </w:p>
    <w:p w14:paraId="51A5FCF5" w14:textId="77777777" w:rsidR="003451F2" w:rsidRPr="00CE6E5F" w:rsidRDefault="003451F2" w:rsidP="00CE6E5F">
      <w:pPr>
        <w:tabs>
          <w:tab w:val="left" w:pos="567"/>
        </w:tabs>
        <w:jc w:val="both"/>
        <w:rPr>
          <w:rFonts w:eastAsia="Calibri" w:cs="Times New Roman"/>
        </w:rPr>
      </w:pPr>
      <w:r w:rsidRPr="00CE6E5F">
        <w:rPr>
          <w:rFonts w:eastAsia="Calibri" w:cs="Times New Roman"/>
        </w:rPr>
        <w:t xml:space="preserve">Jeigu žindote ir vartojate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vaisto sudėtyje esantys imunoglobulinai gali būti randami ir motinos piene. Todėl Jūsų kūdikis gali būti apsaugotas nuo kai kurių infekcinių ligų.</w:t>
      </w:r>
    </w:p>
    <w:p w14:paraId="67E61234" w14:textId="77777777" w:rsidR="003451F2" w:rsidRPr="00CE6E5F" w:rsidRDefault="003451F2" w:rsidP="00CE6E5F">
      <w:pPr>
        <w:tabs>
          <w:tab w:val="left" w:pos="567"/>
        </w:tabs>
        <w:jc w:val="both"/>
        <w:rPr>
          <w:rFonts w:eastAsia="Calibri" w:cs="Times New Roman"/>
        </w:rPr>
      </w:pPr>
      <w:r w:rsidRPr="00CE6E5F">
        <w:rPr>
          <w:rFonts w:eastAsia="Calibri" w:cs="Times New Roman"/>
        </w:rPr>
        <w:t>Imunoglobulinų vartojimo patirtis kenksmingo poveikio vaisingumui nerodo.</w:t>
      </w:r>
    </w:p>
    <w:p w14:paraId="00554583" w14:textId="77777777" w:rsidR="003451F2" w:rsidRPr="00CE6E5F" w:rsidRDefault="003451F2" w:rsidP="00CE6E5F">
      <w:pPr>
        <w:tabs>
          <w:tab w:val="left" w:pos="567"/>
        </w:tabs>
        <w:jc w:val="both"/>
        <w:rPr>
          <w:rFonts w:eastAsia="Times New Roman" w:cs="Times New Roman"/>
        </w:rPr>
      </w:pPr>
    </w:p>
    <w:p w14:paraId="6258664A" w14:textId="77777777" w:rsidR="003451F2" w:rsidRPr="00CE6E5F" w:rsidRDefault="003451F2" w:rsidP="00CE6E5F">
      <w:pPr>
        <w:keepNext/>
        <w:tabs>
          <w:tab w:val="left" w:pos="567"/>
        </w:tabs>
        <w:jc w:val="both"/>
        <w:rPr>
          <w:rFonts w:eastAsia="Times New Roman" w:cs="Times New Roman"/>
          <w:b/>
        </w:rPr>
      </w:pPr>
      <w:r w:rsidRPr="00CE6E5F">
        <w:rPr>
          <w:rFonts w:eastAsia="Times New Roman" w:cs="Times New Roman"/>
          <w:b/>
          <w:bCs/>
        </w:rPr>
        <w:t>Vairavimas ir mechanizmų valdymas</w:t>
      </w:r>
    </w:p>
    <w:p w14:paraId="74590B75" w14:textId="66CB33D2" w:rsidR="003451F2" w:rsidRPr="00CE6E5F" w:rsidRDefault="000A0A9E" w:rsidP="00E457A0">
      <w:pPr>
        <w:numPr>
          <w:ilvl w:val="12"/>
          <w:numId w:val="0"/>
        </w:numPr>
        <w:tabs>
          <w:tab w:val="left" w:pos="1290"/>
        </w:tabs>
        <w:ind w:right="-2"/>
        <w:jc w:val="both"/>
        <w:rPr>
          <w:rFonts w:eastAsia="Times New Roman" w:cs="Times New Roman"/>
        </w:rPr>
      </w:pPr>
      <w:r>
        <w:t>K</w:t>
      </w:r>
      <w:r w:rsidRPr="00CE6E5F">
        <w:t>ai kurios nepageidaujamos reakcijos</w:t>
      </w:r>
      <w:r>
        <w:t xml:space="preserve">, susijusios su </w:t>
      </w:r>
      <w:proofErr w:type="spellStart"/>
      <w:r>
        <w:t>cutaquig</w:t>
      </w:r>
      <w:proofErr w:type="spellEnd"/>
      <w:r>
        <w:t xml:space="preserve"> vartojimu gali trikdyti</w:t>
      </w:r>
      <w:r w:rsidRPr="00CE6E5F">
        <w:t xml:space="preserve"> </w:t>
      </w:r>
      <w:r>
        <w:t>g</w:t>
      </w:r>
      <w:r w:rsidR="0085419E" w:rsidRPr="00CE6E5F">
        <w:t>ebėjimą vairuoti ir valdyti mechanizmus</w:t>
      </w:r>
      <w:r>
        <w:t xml:space="preserve">. </w:t>
      </w:r>
      <w:r w:rsidR="0085419E" w:rsidRPr="00CE6E5F">
        <w:t>Pacientai, kuriems gydymo metu pasireiškė nepageidaujam</w:t>
      </w:r>
      <w:r w:rsidR="007063C7">
        <w:t>ų</w:t>
      </w:r>
      <w:r w:rsidR="0085419E" w:rsidRPr="00CE6E5F">
        <w:t xml:space="preserve"> reakcij</w:t>
      </w:r>
      <w:r w:rsidR="007063C7">
        <w:t>ų</w:t>
      </w:r>
      <w:r w:rsidR="0085419E" w:rsidRPr="00CE6E5F">
        <w:t>, prieš vairuodami arba valdydami mechanizmus turi palaukti, kol jos išnyks.</w:t>
      </w:r>
    </w:p>
    <w:p w14:paraId="17198948" w14:textId="77777777" w:rsidR="003451F2" w:rsidRPr="00CE6E5F" w:rsidRDefault="003451F2" w:rsidP="00E457A0">
      <w:pPr>
        <w:numPr>
          <w:ilvl w:val="12"/>
          <w:numId w:val="0"/>
        </w:numPr>
        <w:jc w:val="both"/>
        <w:rPr>
          <w:rFonts w:eastAsia="Times New Roman" w:cs="Times New Roman"/>
        </w:rPr>
      </w:pPr>
    </w:p>
    <w:p w14:paraId="49B459B6" w14:textId="77777777" w:rsidR="003451F2" w:rsidRPr="00CE6E5F" w:rsidRDefault="00242227" w:rsidP="00CE6E5F">
      <w:pPr>
        <w:tabs>
          <w:tab w:val="left" w:pos="567"/>
        </w:tabs>
        <w:jc w:val="both"/>
        <w:rPr>
          <w:rFonts w:eastAsia="Times New Roman" w:cs="Times New Roman"/>
          <w:b/>
        </w:rPr>
      </w:pPr>
      <w:proofErr w:type="spellStart"/>
      <w:r>
        <w:rPr>
          <w:rFonts w:eastAsia="Times New Roman" w:cs="Times New Roman"/>
          <w:b/>
          <w:bCs/>
        </w:rPr>
        <w:t>c</w:t>
      </w:r>
      <w:r w:rsidR="003451F2" w:rsidRPr="00CE6E5F">
        <w:rPr>
          <w:rFonts w:eastAsia="Times New Roman" w:cs="Times New Roman"/>
          <w:b/>
          <w:bCs/>
        </w:rPr>
        <w:t>utaquig</w:t>
      </w:r>
      <w:proofErr w:type="spellEnd"/>
      <w:r w:rsidR="003451F2" w:rsidRPr="00CE6E5F">
        <w:rPr>
          <w:rFonts w:eastAsia="Times New Roman" w:cs="Times New Roman"/>
          <w:b/>
          <w:bCs/>
        </w:rPr>
        <w:t xml:space="preserve"> sudėtyje yra natrio</w:t>
      </w:r>
    </w:p>
    <w:p w14:paraId="26E26AB1" w14:textId="3A3FC31C" w:rsidR="003451F2" w:rsidRPr="00CE6E5F" w:rsidRDefault="00E63F2F" w:rsidP="00E457A0">
      <w:pPr>
        <w:tabs>
          <w:tab w:val="left" w:pos="567"/>
        </w:tabs>
        <w:autoSpaceDE w:val="0"/>
        <w:autoSpaceDN w:val="0"/>
        <w:adjustRightInd w:val="0"/>
        <w:rPr>
          <w:rFonts w:eastAsia="Times New Roman" w:cs="Times New Roman"/>
          <w:color w:val="000000"/>
        </w:rPr>
      </w:pPr>
      <w:r>
        <w:rPr>
          <w:rFonts w:eastAsia="Times New Roman" w:cs="Times New Roman"/>
          <w:color w:val="000000"/>
        </w:rPr>
        <w:t>Kiekv</w:t>
      </w:r>
      <w:r w:rsidR="003451F2" w:rsidRPr="00CE6E5F">
        <w:rPr>
          <w:rFonts w:eastAsia="Times New Roman" w:cs="Times New Roman"/>
          <w:color w:val="000000"/>
        </w:rPr>
        <w:t>iename šio vaisto 48 ml flakone yra 33,1 mg</w:t>
      </w:r>
      <w:r w:rsidR="004B17DB">
        <w:rPr>
          <w:rFonts w:eastAsia="Times New Roman" w:cs="Times New Roman"/>
          <w:color w:val="000000"/>
        </w:rPr>
        <w:t xml:space="preserve"> natrio</w:t>
      </w:r>
      <w:r w:rsidR="003451F2" w:rsidRPr="00CE6E5F">
        <w:rPr>
          <w:rFonts w:eastAsia="Times New Roman" w:cs="Times New Roman"/>
          <w:color w:val="000000"/>
        </w:rPr>
        <w:t xml:space="preserve">, o </w:t>
      </w:r>
      <w:r>
        <w:rPr>
          <w:rFonts w:eastAsia="Times New Roman" w:cs="Times New Roman"/>
          <w:color w:val="000000"/>
        </w:rPr>
        <w:t>kiek</w:t>
      </w:r>
      <w:r w:rsidR="003451F2" w:rsidRPr="00CE6E5F">
        <w:rPr>
          <w:rFonts w:eastAsia="Times New Roman" w:cs="Times New Roman"/>
          <w:color w:val="000000"/>
        </w:rPr>
        <w:t>viename 20 ml flakone – 13,8 mg natrio</w:t>
      </w:r>
      <w:r>
        <w:rPr>
          <w:rFonts w:eastAsia="Times New Roman" w:cs="Times New Roman"/>
          <w:color w:val="000000"/>
        </w:rPr>
        <w:t xml:space="preserve"> (valgomosios druskos sudedamosios dalies)</w:t>
      </w:r>
      <w:r w:rsidR="003451F2" w:rsidRPr="00CE6E5F">
        <w:rPr>
          <w:rFonts w:eastAsia="Times New Roman" w:cs="Times New Roman"/>
          <w:color w:val="000000"/>
        </w:rPr>
        <w:t xml:space="preserve">. Tai atitinka 1,7 % ir 0,7 % </w:t>
      </w:r>
      <w:r w:rsidR="00BB5D32">
        <w:rPr>
          <w:rFonts w:eastAsia="Times New Roman" w:cs="Times New Roman"/>
          <w:color w:val="000000"/>
        </w:rPr>
        <w:t xml:space="preserve">atitinkamai </w:t>
      </w:r>
      <w:r>
        <w:rPr>
          <w:rFonts w:eastAsia="Times New Roman" w:cs="Times New Roman"/>
          <w:color w:val="000000"/>
        </w:rPr>
        <w:t>didžiausios</w:t>
      </w:r>
      <w:r w:rsidR="003451F2" w:rsidRPr="00CE6E5F">
        <w:rPr>
          <w:rFonts w:eastAsia="Times New Roman" w:cs="Times New Roman"/>
          <w:color w:val="000000"/>
        </w:rPr>
        <w:t xml:space="preserve"> rekomenduojamos </w:t>
      </w:r>
      <w:r w:rsidR="00000B72">
        <w:rPr>
          <w:rFonts w:eastAsia="Times New Roman" w:cs="Times New Roman"/>
          <w:color w:val="000000"/>
        </w:rPr>
        <w:t xml:space="preserve">natrio </w:t>
      </w:r>
      <w:r w:rsidR="003451F2" w:rsidRPr="00CE6E5F">
        <w:rPr>
          <w:rFonts w:eastAsia="Times New Roman" w:cs="Times New Roman"/>
          <w:color w:val="000000"/>
        </w:rPr>
        <w:t xml:space="preserve">paros </w:t>
      </w:r>
      <w:r>
        <w:rPr>
          <w:rFonts w:eastAsia="Times New Roman" w:cs="Times New Roman"/>
          <w:color w:val="000000"/>
        </w:rPr>
        <w:t>normos</w:t>
      </w:r>
      <w:r w:rsidR="003451F2" w:rsidRPr="00CE6E5F">
        <w:rPr>
          <w:rFonts w:eastAsia="Times New Roman" w:cs="Times New Roman"/>
          <w:color w:val="000000"/>
        </w:rPr>
        <w:t xml:space="preserve"> </w:t>
      </w:r>
      <w:r w:rsidRPr="00CE6E5F">
        <w:rPr>
          <w:rFonts w:eastAsia="Times New Roman" w:cs="Times New Roman"/>
          <w:color w:val="000000"/>
        </w:rPr>
        <w:t>suaugusi</w:t>
      </w:r>
      <w:r>
        <w:rPr>
          <w:rFonts w:eastAsia="Times New Roman" w:cs="Times New Roman"/>
          <w:color w:val="000000"/>
        </w:rPr>
        <w:t>esiems</w:t>
      </w:r>
      <w:r w:rsidR="003451F2" w:rsidRPr="00CE6E5F">
        <w:rPr>
          <w:rFonts w:eastAsia="Times New Roman" w:cs="Times New Roman"/>
        </w:rPr>
        <w:t>.</w:t>
      </w:r>
    </w:p>
    <w:p w14:paraId="5723DE64" w14:textId="77777777" w:rsidR="003451F2" w:rsidRPr="00CE6E5F" w:rsidRDefault="003451F2" w:rsidP="00E457A0">
      <w:pPr>
        <w:numPr>
          <w:ilvl w:val="12"/>
          <w:numId w:val="0"/>
        </w:numPr>
        <w:jc w:val="both"/>
        <w:rPr>
          <w:rFonts w:eastAsia="Times New Roman" w:cs="Times New Roman"/>
        </w:rPr>
      </w:pPr>
    </w:p>
    <w:p w14:paraId="16179738" w14:textId="77777777" w:rsidR="003451F2" w:rsidRPr="00CE6E5F" w:rsidRDefault="003451F2" w:rsidP="00E457A0">
      <w:pPr>
        <w:autoSpaceDE w:val="0"/>
        <w:autoSpaceDN w:val="0"/>
        <w:adjustRightInd w:val="0"/>
        <w:jc w:val="both"/>
        <w:rPr>
          <w:rFonts w:eastAsia="Times New Roman" w:cs="Times New Roman"/>
          <w:u w:val="single"/>
        </w:rPr>
      </w:pPr>
      <w:r w:rsidRPr="00CE6E5F">
        <w:rPr>
          <w:rFonts w:eastAsia="Times New Roman" w:cs="Times New Roman"/>
          <w:u w:val="single"/>
        </w:rPr>
        <w:t xml:space="preserve">Informacija apie tai, iš ko gaminamas </w:t>
      </w:r>
      <w:proofErr w:type="spellStart"/>
      <w:r w:rsidR="00242227">
        <w:rPr>
          <w:rFonts w:eastAsia="Times New Roman" w:cs="Times New Roman"/>
          <w:u w:val="single"/>
        </w:rPr>
        <w:t>c</w:t>
      </w:r>
      <w:r w:rsidRPr="00CE6E5F">
        <w:rPr>
          <w:rFonts w:eastAsia="Times New Roman" w:cs="Times New Roman"/>
          <w:u w:val="single"/>
        </w:rPr>
        <w:t>utaquig</w:t>
      </w:r>
      <w:proofErr w:type="spellEnd"/>
    </w:p>
    <w:p w14:paraId="2211009C" w14:textId="77777777" w:rsidR="003451F2" w:rsidRPr="00E457A0" w:rsidRDefault="00242227" w:rsidP="00E457A0">
      <w:pPr>
        <w:widowControl w:val="0"/>
        <w:autoSpaceDE w:val="0"/>
        <w:autoSpaceDN w:val="0"/>
        <w:adjustRightInd w:val="0"/>
        <w:jc w:val="both"/>
        <w:rPr>
          <w:rFonts w:eastAsia="Calibri" w:cs="Times New Roman"/>
          <w:lang w:eastAsia="de-AT"/>
        </w:rPr>
      </w:pPr>
      <w:proofErr w:type="spellStart"/>
      <w:r>
        <w:rPr>
          <w:rFonts w:eastAsia="Times New Roman" w:cs="Times New Roman"/>
          <w:color w:val="000000"/>
          <w:lang w:eastAsia="de-AT"/>
        </w:rPr>
        <w:t>c</w:t>
      </w:r>
      <w:r w:rsidR="003451F2" w:rsidRPr="00CE6E5F">
        <w:rPr>
          <w:rFonts w:eastAsia="Times New Roman" w:cs="Times New Roman"/>
          <w:color w:val="000000"/>
          <w:lang w:eastAsia="de-AT"/>
        </w:rPr>
        <w:t>utaquig</w:t>
      </w:r>
      <w:proofErr w:type="spellEnd"/>
      <w:r w:rsidR="003451F2" w:rsidRPr="00CE6E5F">
        <w:rPr>
          <w:rFonts w:eastAsia="Times New Roman" w:cs="Times New Roman"/>
          <w:color w:val="000000"/>
          <w:lang w:eastAsia="de-AT"/>
        </w:rPr>
        <w:t xml:space="preserve"> pagamintas iš žmonių kraujo plazmos (tai yra skystoji kraujo dalis).</w:t>
      </w:r>
      <w:r w:rsidR="003451F2" w:rsidRPr="00CE6E5F">
        <w:rPr>
          <w:rFonts w:eastAsia="Times New Roman" w:cs="Times New Roman"/>
          <w:lang w:eastAsia="de-AT"/>
        </w:rPr>
        <w:t xml:space="preserve"> Gaminant vaistus iš žmogaus kraujo ar plazmos, imamasi tam tikrų priemonių siekiant išvengti infekcinių ligų perdavimo pacientams. Tai yra:</w:t>
      </w:r>
    </w:p>
    <w:p w14:paraId="01511C2B" w14:textId="77777777" w:rsidR="00367CB7" w:rsidRPr="00CE6E5F" w:rsidRDefault="003451F2" w:rsidP="00CE6E5F">
      <w:pPr>
        <w:pStyle w:val="Sraopastraipa"/>
        <w:numPr>
          <w:ilvl w:val="0"/>
          <w:numId w:val="36"/>
        </w:numPr>
      </w:pPr>
      <w:r w:rsidRPr="00CE6E5F">
        <w:t>kruopšti kraujo ir plazmos donorų atranka užtikrinant galimų infekcinių ligų nešiotojų atmetimą,</w:t>
      </w:r>
    </w:p>
    <w:p w14:paraId="1FB259A4" w14:textId="1C8FFC1F" w:rsidR="00367CB7" w:rsidRPr="00CE6E5F" w:rsidRDefault="003451F2" w:rsidP="00CE6E5F">
      <w:pPr>
        <w:pStyle w:val="Sraopastraipa"/>
        <w:numPr>
          <w:ilvl w:val="0"/>
          <w:numId w:val="36"/>
        </w:numPr>
      </w:pPr>
      <w:r w:rsidRPr="00CE6E5F">
        <w:t>kiekvieno donoro kraujo ir gautos visos plazmos tyrimai dėl virusų ar infekci</w:t>
      </w:r>
      <w:r w:rsidR="00146783">
        <w:t>j</w:t>
      </w:r>
      <w:r w:rsidR="001605AE">
        <w:t>ų</w:t>
      </w:r>
      <w:r w:rsidRPr="00CE6E5F">
        <w:t xml:space="preserve"> požymių,</w:t>
      </w:r>
    </w:p>
    <w:p w14:paraId="1825AF04" w14:textId="77777777" w:rsidR="003451F2" w:rsidRPr="00CE6E5F" w:rsidRDefault="003451F2" w:rsidP="00CE6E5F">
      <w:pPr>
        <w:pStyle w:val="Sraopastraipa"/>
        <w:numPr>
          <w:ilvl w:val="0"/>
          <w:numId w:val="36"/>
        </w:numPr>
      </w:pPr>
      <w:r w:rsidRPr="00CE6E5F">
        <w:t>etapų, kurių metu virusai padaromi nekenksmingais arba yra pašalinami, įtraukimas į kraujo ir plazmos perdirbimo procesą.</w:t>
      </w:r>
    </w:p>
    <w:p w14:paraId="78B7E189" w14:textId="45258FB9" w:rsidR="003451F2" w:rsidRPr="00CE6E5F" w:rsidRDefault="003451F2" w:rsidP="00E457A0">
      <w:pPr>
        <w:widowControl w:val="0"/>
        <w:autoSpaceDE w:val="0"/>
        <w:autoSpaceDN w:val="0"/>
        <w:adjustRightInd w:val="0"/>
        <w:jc w:val="both"/>
        <w:rPr>
          <w:rFonts w:eastAsia="Calibri" w:cs="Times New Roman"/>
          <w:lang w:eastAsia="de-AT"/>
        </w:rPr>
      </w:pPr>
      <w:r w:rsidRPr="00CE6E5F">
        <w:rPr>
          <w:rFonts w:eastAsia="Calibri" w:cs="Times New Roman"/>
          <w:lang w:eastAsia="de-AT"/>
        </w:rPr>
        <w:t>Nepaisant šių priemonių, vartojant iš žmonių kraujo ar plazmos pagamint</w:t>
      </w:r>
      <w:r w:rsidR="0040212B">
        <w:rPr>
          <w:rFonts w:eastAsia="Calibri" w:cs="Times New Roman"/>
          <w:lang w:eastAsia="de-AT"/>
        </w:rPr>
        <w:t>ų</w:t>
      </w:r>
      <w:r w:rsidRPr="00CE6E5F">
        <w:rPr>
          <w:rFonts w:eastAsia="Calibri" w:cs="Times New Roman"/>
          <w:lang w:eastAsia="de-AT"/>
        </w:rPr>
        <w:t xml:space="preserve"> vaist</w:t>
      </w:r>
      <w:r w:rsidR="001605AE">
        <w:rPr>
          <w:rFonts w:eastAsia="Calibri" w:cs="Times New Roman"/>
          <w:lang w:eastAsia="de-AT"/>
        </w:rPr>
        <w:t>ų</w:t>
      </w:r>
      <w:r w:rsidRPr="00CE6E5F">
        <w:rPr>
          <w:rFonts w:eastAsia="Calibri" w:cs="Times New Roman"/>
          <w:lang w:eastAsia="de-AT"/>
        </w:rPr>
        <w:t xml:space="preserve">, negalima visiškai </w:t>
      </w:r>
      <w:r w:rsidRPr="00CE6E5F">
        <w:rPr>
          <w:rFonts w:eastAsia="Calibri" w:cs="Times New Roman"/>
          <w:lang w:eastAsia="de-AT"/>
        </w:rPr>
        <w:lastRenderedPageBreak/>
        <w:t>išvengti užkrėtimo infekcija tikimybės. Tai taip pat galioja nežinomiems ar naujai atsiradusiems virusams ir kitiems infekcinių ligų sukėlėjams.</w:t>
      </w:r>
    </w:p>
    <w:p w14:paraId="41544C5A" w14:textId="77777777" w:rsidR="003451F2" w:rsidRPr="00CE6E5F" w:rsidRDefault="003451F2" w:rsidP="00E457A0">
      <w:pPr>
        <w:widowControl w:val="0"/>
        <w:autoSpaceDE w:val="0"/>
        <w:autoSpaceDN w:val="0"/>
        <w:adjustRightInd w:val="0"/>
        <w:jc w:val="both"/>
        <w:rPr>
          <w:rFonts w:eastAsia="Calibri" w:cs="Times New Roman"/>
          <w:lang w:eastAsia="de-AT"/>
        </w:rPr>
      </w:pPr>
    </w:p>
    <w:p w14:paraId="5A01F96D" w14:textId="77777777" w:rsidR="003451F2" w:rsidRPr="00CE6E5F" w:rsidRDefault="003451F2" w:rsidP="00E457A0">
      <w:pPr>
        <w:widowControl w:val="0"/>
        <w:autoSpaceDE w:val="0"/>
        <w:autoSpaceDN w:val="0"/>
        <w:adjustRightInd w:val="0"/>
        <w:jc w:val="both"/>
        <w:rPr>
          <w:rFonts w:eastAsia="Calibri" w:cs="Times New Roman"/>
          <w:lang w:eastAsia="de-AT"/>
        </w:rPr>
      </w:pPr>
      <w:r w:rsidRPr="00CE6E5F">
        <w:rPr>
          <w:rFonts w:eastAsia="Calibri" w:cs="Times New Roman"/>
          <w:lang w:eastAsia="de-AT"/>
        </w:rPr>
        <w:t xml:space="preserve">Minėtos priemonės laikomos veiksmingomis nuo tokių apvalkalą turinčių virusų kaip žmogaus imunodeficito virusas (ŽIV – AIDS sukeliantis virusas), hepatito B virusas ir hepatito C virusas. </w:t>
      </w:r>
    </w:p>
    <w:p w14:paraId="18CAB78C" w14:textId="77777777" w:rsidR="003451F2" w:rsidRPr="00CE6E5F" w:rsidRDefault="003451F2" w:rsidP="00E457A0">
      <w:pPr>
        <w:widowControl w:val="0"/>
        <w:autoSpaceDE w:val="0"/>
        <w:autoSpaceDN w:val="0"/>
        <w:adjustRightInd w:val="0"/>
        <w:jc w:val="both"/>
        <w:rPr>
          <w:rFonts w:eastAsia="Calibri" w:cs="Times New Roman"/>
          <w:lang w:eastAsia="de-AT"/>
        </w:rPr>
      </w:pPr>
      <w:r w:rsidRPr="00CE6E5F">
        <w:rPr>
          <w:rFonts w:eastAsia="Calibri" w:cs="Times New Roman"/>
          <w:lang w:eastAsia="de-AT"/>
        </w:rPr>
        <w:t xml:space="preserve">Taikomos priemonės gali būti nepakankamai veiksmingos tokiems apvalkalo neturintiems virusams kaip hepatito A virusas ir </w:t>
      </w:r>
      <w:proofErr w:type="spellStart"/>
      <w:r w:rsidRPr="00CE6E5F">
        <w:rPr>
          <w:rFonts w:eastAsia="Calibri" w:cs="Times New Roman"/>
          <w:lang w:eastAsia="de-AT"/>
        </w:rPr>
        <w:t>parvovirusas</w:t>
      </w:r>
      <w:proofErr w:type="spellEnd"/>
      <w:r w:rsidRPr="00CE6E5F">
        <w:rPr>
          <w:rFonts w:eastAsia="Calibri" w:cs="Times New Roman"/>
          <w:lang w:eastAsia="de-AT"/>
        </w:rPr>
        <w:t xml:space="preserve"> B19.</w:t>
      </w:r>
    </w:p>
    <w:p w14:paraId="33F02D62" w14:textId="77777777" w:rsidR="003451F2" w:rsidRPr="00CE6E5F" w:rsidRDefault="003451F2" w:rsidP="00E457A0">
      <w:pPr>
        <w:widowControl w:val="0"/>
        <w:autoSpaceDE w:val="0"/>
        <w:autoSpaceDN w:val="0"/>
        <w:adjustRightInd w:val="0"/>
        <w:jc w:val="both"/>
        <w:rPr>
          <w:rFonts w:eastAsia="Calibri" w:cs="Times New Roman"/>
          <w:lang w:eastAsia="de-AT"/>
        </w:rPr>
      </w:pPr>
    </w:p>
    <w:p w14:paraId="2009D2EF" w14:textId="77777777" w:rsidR="003451F2" w:rsidRPr="00CE6E5F" w:rsidRDefault="003451F2" w:rsidP="00E457A0">
      <w:pPr>
        <w:widowControl w:val="0"/>
        <w:autoSpaceDE w:val="0"/>
        <w:autoSpaceDN w:val="0"/>
        <w:adjustRightInd w:val="0"/>
        <w:jc w:val="both"/>
        <w:rPr>
          <w:rFonts w:eastAsia="Calibri" w:cs="Times New Roman"/>
          <w:lang w:eastAsia="de-AT"/>
        </w:rPr>
      </w:pPr>
      <w:r w:rsidRPr="00CE6E5F">
        <w:rPr>
          <w:rFonts w:eastAsia="Calibri" w:cs="Times New Roman"/>
          <w:lang w:eastAsia="de-AT"/>
        </w:rPr>
        <w:t xml:space="preserve">Imunoglobulinai nebuvo susiję su hepatitu A ar </w:t>
      </w:r>
      <w:proofErr w:type="spellStart"/>
      <w:r w:rsidRPr="00CE6E5F">
        <w:rPr>
          <w:rFonts w:eastAsia="Calibri" w:cs="Times New Roman"/>
          <w:lang w:eastAsia="de-AT"/>
        </w:rPr>
        <w:t>parvoviruso</w:t>
      </w:r>
      <w:proofErr w:type="spellEnd"/>
      <w:r w:rsidRPr="00CE6E5F">
        <w:rPr>
          <w:rFonts w:eastAsia="Calibri" w:cs="Times New Roman"/>
          <w:lang w:eastAsia="de-AT"/>
        </w:rPr>
        <w:t xml:space="preserve"> B19 infekcinėmis ligomis galimai dėl to, kad vaisto sudėtyje taip pat yra antikūnų, kurie gali apsaugoti nuo šių infekcinių ligų.</w:t>
      </w:r>
    </w:p>
    <w:p w14:paraId="33EDD57E" w14:textId="77777777" w:rsidR="003451F2" w:rsidRPr="00CE6E5F" w:rsidRDefault="003451F2" w:rsidP="00E457A0">
      <w:pPr>
        <w:widowControl w:val="0"/>
        <w:autoSpaceDE w:val="0"/>
        <w:autoSpaceDN w:val="0"/>
        <w:adjustRightInd w:val="0"/>
        <w:jc w:val="both"/>
        <w:rPr>
          <w:rFonts w:eastAsia="Calibri" w:cs="Times New Roman"/>
          <w:lang w:eastAsia="de-AT"/>
        </w:rPr>
      </w:pPr>
    </w:p>
    <w:p w14:paraId="4624253B" w14:textId="77777777" w:rsidR="003451F2" w:rsidRPr="00E457A0" w:rsidRDefault="003451F2" w:rsidP="00E457A0">
      <w:pPr>
        <w:widowControl w:val="0"/>
        <w:autoSpaceDE w:val="0"/>
        <w:autoSpaceDN w:val="0"/>
        <w:adjustRightInd w:val="0"/>
        <w:jc w:val="both"/>
        <w:rPr>
          <w:rFonts w:eastAsia="Times New Roman" w:cs="Times New Roman"/>
          <w:color w:val="000000"/>
          <w:lang w:eastAsia="de-AT"/>
        </w:rPr>
      </w:pPr>
      <w:r w:rsidRPr="00CE6E5F">
        <w:rPr>
          <w:rFonts w:eastAsia="Times New Roman" w:cs="Times New Roman"/>
          <w:lang w:eastAsia="de-AT"/>
        </w:rPr>
        <w:t xml:space="preserve">Primygtinai rekomenduojama kiekvieną kartą, kai suvartojate </w:t>
      </w:r>
      <w:proofErr w:type="spellStart"/>
      <w:r w:rsidR="00242227">
        <w:rPr>
          <w:rFonts w:eastAsia="Times New Roman" w:cs="Times New Roman"/>
          <w:lang w:eastAsia="de-AT"/>
        </w:rPr>
        <w:t>c</w:t>
      </w:r>
      <w:r w:rsidRPr="00CE6E5F">
        <w:rPr>
          <w:rFonts w:eastAsia="Times New Roman" w:cs="Times New Roman"/>
          <w:lang w:eastAsia="de-AT"/>
        </w:rPr>
        <w:t>utaquig</w:t>
      </w:r>
      <w:proofErr w:type="spellEnd"/>
      <w:r w:rsidRPr="00CE6E5F">
        <w:rPr>
          <w:rFonts w:eastAsia="Times New Roman" w:cs="Times New Roman"/>
          <w:lang w:eastAsia="de-AT"/>
        </w:rPr>
        <w:t xml:space="preserve"> dozę, užrašyti vaisto pavadinimą ir serijos numerį, kad būtų registruojamos vartotos serijos (taip pat žr. I priedą „Vartojimo gairės“)</w:t>
      </w:r>
      <w:r w:rsidRPr="00CE6E5F">
        <w:rPr>
          <w:rFonts w:eastAsia="Times New Roman" w:cs="Times New Roman"/>
          <w:color w:val="000000"/>
          <w:lang w:eastAsia="de-AT"/>
        </w:rPr>
        <w:t>.</w:t>
      </w:r>
    </w:p>
    <w:p w14:paraId="73B515D5" w14:textId="77777777" w:rsidR="003451F2" w:rsidRPr="00CE6E5F" w:rsidRDefault="003451F2" w:rsidP="00E457A0">
      <w:pPr>
        <w:numPr>
          <w:ilvl w:val="12"/>
          <w:numId w:val="0"/>
        </w:numPr>
        <w:ind w:right="-2"/>
        <w:jc w:val="both"/>
        <w:rPr>
          <w:rFonts w:eastAsia="Times New Roman" w:cs="Times New Roman"/>
        </w:rPr>
      </w:pPr>
    </w:p>
    <w:p w14:paraId="05137E93" w14:textId="77777777" w:rsidR="003451F2" w:rsidRPr="00CE6E5F" w:rsidRDefault="003451F2" w:rsidP="00316E67">
      <w:pPr>
        <w:numPr>
          <w:ilvl w:val="12"/>
          <w:numId w:val="0"/>
        </w:numPr>
        <w:ind w:right="-2"/>
        <w:jc w:val="both"/>
        <w:rPr>
          <w:rFonts w:eastAsia="Times New Roman" w:cs="Times New Roman"/>
        </w:rPr>
      </w:pPr>
    </w:p>
    <w:p w14:paraId="57EB79FC" w14:textId="77777777" w:rsidR="003451F2" w:rsidRPr="00CE6E5F" w:rsidRDefault="00BE3B67" w:rsidP="00CE6E5F">
      <w:pPr>
        <w:pStyle w:val="Antrat1"/>
        <w:rPr>
          <w:b w:val="0"/>
        </w:rPr>
      </w:pPr>
      <w:r>
        <w:t>3.</w:t>
      </w:r>
      <w:r>
        <w:tab/>
      </w:r>
      <w:r w:rsidR="003451F2" w:rsidRPr="00CE6E5F">
        <w:t xml:space="preserve">Kaip vartoti </w:t>
      </w:r>
      <w:proofErr w:type="spellStart"/>
      <w:r w:rsidR="00242227">
        <w:t>c</w:t>
      </w:r>
      <w:r w:rsidR="003451F2" w:rsidRPr="00CE6E5F">
        <w:t>utaquig</w:t>
      </w:r>
      <w:proofErr w:type="spellEnd"/>
    </w:p>
    <w:p w14:paraId="7FB3954E" w14:textId="77777777" w:rsidR="003451F2" w:rsidRPr="00CE6E5F" w:rsidRDefault="003451F2" w:rsidP="00BE3B67">
      <w:pPr>
        <w:keepNext/>
        <w:keepLines/>
        <w:ind w:right="-2"/>
        <w:jc w:val="both"/>
        <w:rPr>
          <w:rFonts w:eastAsia="Times New Roman" w:cs="Times New Roman"/>
        </w:rPr>
      </w:pPr>
    </w:p>
    <w:p w14:paraId="2773CC98" w14:textId="37C490B6" w:rsidR="003451F2" w:rsidRPr="00CE6E5F" w:rsidRDefault="003451F2" w:rsidP="00BE3B67">
      <w:pPr>
        <w:numPr>
          <w:ilvl w:val="12"/>
          <w:numId w:val="0"/>
        </w:numPr>
        <w:ind w:right="-2"/>
        <w:jc w:val="both"/>
        <w:rPr>
          <w:rFonts w:eastAsia="Times New Roman" w:cs="Times New Roman"/>
        </w:rPr>
      </w:pPr>
      <w:r w:rsidRPr="00CE6E5F">
        <w:rPr>
          <w:rFonts w:eastAsia="Times New Roman" w:cs="Times New Roman"/>
        </w:rPr>
        <w:t>Visada vartokite šį vaistą tiksliai</w:t>
      </w:r>
      <w:r w:rsidR="007D025F">
        <w:rPr>
          <w:rFonts w:eastAsia="Times New Roman" w:cs="Times New Roman"/>
        </w:rPr>
        <w:t>,</w:t>
      </w:r>
      <w:r w:rsidRPr="00CE6E5F">
        <w:rPr>
          <w:rFonts w:eastAsia="Times New Roman" w:cs="Times New Roman"/>
        </w:rPr>
        <w:t xml:space="preserve"> kaip nurodė gydytojas arba vaistininkas. Jeigu abejojate, kreipkitės į gydytoją arba vaistininką.</w:t>
      </w:r>
    </w:p>
    <w:p w14:paraId="207CB56B" w14:textId="77777777" w:rsidR="003451F2" w:rsidRPr="00CE6E5F" w:rsidRDefault="00242227" w:rsidP="00CE6E5F">
      <w:pPr>
        <w:numPr>
          <w:ilvl w:val="12"/>
          <w:numId w:val="0"/>
        </w:numPr>
        <w:jc w:val="both"/>
        <w:rPr>
          <w:rFonts w:eastAsia="Times New Roman" w:cs="Times New Roman"/>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reikia leisti po oda (poodinis arba </w:t>
      </w:r>
      <w:proofErr w:type="spellStart"/>
      <w:r w:rsidR="003451F2" w:rsidRPr="00CE6E5F">
        <w:rPr>
          <w:rFonts w:eastAsia="Times New Roman" w:cs="Times New Roman"/>
        </w:rPr>
        <w:t>s.c</w:t>
      </w:r>
      <w:proofErr w:type="spellEnd"/>
      <w:r w:rsidR="003451F2" w:rsidRPr="00CE6E5F">
        <w:rPr>
          <w:rFonts w:eastAsia="Times New Roman" w:cs="Times New Roman"/>
        </w:rPr>
        <w:t>. vartojimas).</w:t>
      </w:r>
    </w:p>
    <w:p w14:paraId="6B48874F" w14:textId="77777777" w:rsidR="003451F2" w:rsidRPr="00CE6E5F" w:rsidRDefault="003451F2" w:rsidP="00CE6E5F">
      <w:pPr>
        <w:tabs>
          <w:tab w:val="left" w:pos="567"/>
        </w:tabs>
        <w:suppressAutoHyphens/>
        <w:jc w:val="both"/>
        <w:rPr>
          <w:rFonts w:eastAsia="Times New Roman" w:cs="Times New Roman"/>
        </w:rPr>
      </w:pPr>
      <w:r w:rsidRPr="00CE6E5F">
        <w:rPr>
          <w:rFonts w:eastAsia="Times New Roman" w:cs="Times New Roman"/>
        </w:rPr>
        <w:t>Gydymą pradės gydytojas arba slaugytojas, turintis pacientų, kurių silpna imuninė sistema, gydymo patirties.</w:t>
      </w:r>
    </w:p>
    <w:p w14:paraId="587BDFCD" w14:textId="77777777" w:rsidR="003451F2" w:rsidRPr="00CE6E5F" w:rsidRDefault="003451F2" w:rsidP="00CE6E5F">
      <w:pPr>
        <w:tabs>
          <w:tab w:val="left" w:pos="567"/>
        </w:tabs>
        <w:suppressAutoHyphens/>
        <w:jc w:val="both"/>
        <w:rPr>
          <w:rFonts w:eastAsia="Times New Roman" w:cs="Times New Roman"/>
        </w:rPr>
      </w:pPr>
      <w:r w:rsidRPr="00CE6E5F">
        <w:rPr>
          <w:rFonts w:eastAsia="Times New Roman" w:cs="Times New Roman"/>
        </w:rPr>
        <w:t xml:space="preserve">Kai gydytojas ir (arba) slaugytojas nustatys Jums tinkamą dozę ir infuzijos greitį ir Jums bus atliktos kelios pirmos infuzijos jam prižiūrint, Jums gali būti leista gydytis namuose savarankiškai arba Jus gydyti Jūsų (išmokytam) </w:t>
      </w:r>
      <w:r w:rsidR="00D8151D">
        <w:rPr>
          <w:rFonts w:eastAsia="Times New Roman" w:cs="Times New Roman"/>
        </w:rPr>
        <w:t>slaugytojui</w:t>
      </w:r>
      <w:r w:rsidRPr="00CE6E5F">
        <w:rPr>
          <w:rFonts w:eastAsia="Times New Roman" w:cs="Times New Roman"/>
        </w:rPr>
        <w:t xml:space="preserve">. Jūsų gydytojas arba slaugytojas, turinti patirties vadovauti pacientų gydymui namuose, užtikrins, kad Jūs arba Jūsų </w:t>
      </w:r>
      <w:r w:rsidR="00D8151D">
        <w:rPr>
          <w:rFonts w:eastAsia="Times New Roman" w:cs="Times New Roman"/>
        </w:rPr>
        <w:t xml:space="preserve">slaugytojas </w:t>
      </w:r>
      <w:r w:rsidRPr="00CE6E5F">
        <w:rPr>
          <w:rFonts w:eastAsia="Times New Roman" w:cs="Times New Roman"/>
        </w:rPr>
        <w:t>būtumėte išmokyti ir gautumėte tikslią informaciją apie</w:t>
      </w:r>
    </w:p>
    <w:p w14:paraId="2345B04A" w14:textId="77777777" w:rsidR="00367CB7" w:rsidRPr="00CE6E5F" w:rsidRDefault="003451F2" w:rsidP="00CE6E5F">
      <w:pPr>
        <w:pStyle w:val="Sraopastraipa"/>
        <w:numPr>
          <w:ilvl w:val="0"/>
          <w:numId w:val="36"/>
        </w:numPr>
      </w:pPr>
      <w:r w:rsidRPr="00CE6E5F">
        <w:t>antibakterinį (sterilų) infuzijos metodą,</w:t>
      </w:r>
    </w:p>
    <w:p w14:paraId="4388C12D" w14:textId="77777777" w:rsidR="00367CB7" w:rsidRPr="00CE6E5F" w:rsidRDefault="003451F2" w:rsidP="00CE6E5F">
      <w:pPr>
        <w:pStyle w:val="Sraopastraipa"/>
        <w:numPr>
          <w:ilvl w:val="0"/>
          <w:numId w:val="36"/>
        </w:numPr>
      </w:pPr>
      <w:r w:rsidRPr="00CE6E5F">
        <w:t xml:space="preserve">infuzijų prietaiso (jei reikia) naudojimą, </w:t>
      </w:r>
    </w:p>
    <w:p w14:paraId="7067C153" w14:textId="77777777" w:rsidR="00367CB7" w:rsidRPr="00CE6E5F" w:rsidRDefault="003451F2" w:rsidP="00CE6E5F">
      <w:pPr>
        <w:pStyle w:val="Sraopastraipa"/>
        <w:numPr>
          <w:ilvl w:val="0"/>
          <w:numId w:val="36"/>
        </w:numPr>
      </w:pPr>
      <w:r w:rsidRPr="00CE6E5F">
        <w:t>gydymo dienyno vedimą,</w:t>
      </w:r>
    </w:p>
    <w:p w14:paraId="57706F28" w14:textId="77777777" w:rsidR="003451F2" w:rsidRPr="00CE6E5F" w:rsidRDefault="003451F2" w:rsidP="00CE6E5F">
      <w:pPr>
        <w:pStyle w:val="Sraopastraipa"/>
        <w:numPr>
          <w:ilvl w:val="0"/>
          <w:numId w:val="36"/>
        </w:numPr>
      </w:pPr>
      <w:r w:rsidRPr="00CE6E5F">
        <w:t>kokių veiksmų imtis pasireiškus sunkiam šalutiniam poveikiui (taip pat žr. 4 skyrių).</w:t>
      </w:r>
    </w:p>
    <w:p w14:paraId="0F6541DA" w14:textId="3629BAF6" w:rsidR="003451F2" w:rsidRPr="00CE6E5F" w:rsidRDefault="003451F2" w:rsidP="00CE6E5F">
      <w:r w:rsidRPr="00CE6E5F">
        <w:t>Kai tik galėsite gydytis patys ir jei gydymo metu nepasireiškė šalutini</w:t>
      </w:r>
      <w:r w:rsidR="007D025F">
        <w:t>o</w:t>
      </w:r>
      <w:r w:rsidRPr="00CE6E5F">
        <w:t xml:space="preserve"> poveiki</w:t>
      </w:r>
      <w:r w:rsidR="007D025F">
        <w:t>o</w:t>
      </w:r>
      <w:r w:rsidRPr="00CE6E5F">
        <w:t>, gydytojas gali leisti tęsti gydymą namuose.</w:t>
      </w:r>
    </w:p>
    <w:p w14:paraId="3A9C0663" w14:textId="77777777" w:rsidR="003451F2" w:rsidRPr="00CE6E5F" w:rsidRDefault="003451F2" w:rsidP="00CE6E5F">
      <w:pPr>
        <w:tabs>
          <w:tab w:val="left" w:pos="567"/>
        </w:tabs>
        <w:suppressAutoHyphens/>
        <w:jc w:val="both"/>
        <w:rPr>
          <w:rFonts w:eastAsia="Times New Roman" w:cs="Times New Roman"/>
          <w:i/>
        </w:rPr>
      </w:pPr>
    </w:p>
    <w:p w14:paraId="0EADD4AA" w14:textId="77777777" w:rsidR="003451F2" w:rsidRPr="00CE6E5F" w:rsidRDefault="003451F2" w:rsidP="00097045">
      <w:pPr>
        <w:keepNext/>
        <w:keepLines/>
        <w:numPr>
          <w:ilvl w:val="12"/>
          <w:numId w:val="0"/>
        </w:numPr>
        <w:jc w:val="both"/>
        <w:rPr>
          <w:rFonts w:eastAsia="Times New Roman" w:cs="Times New Roman"/>
          <w:b/>
        </w:rPr>
      </w:pPr>
      <w:r w:rsidRPr="00CE6E5F">
        <w:rPr>
          <w:rFonts w:eastAsia="Times New Roman" w:cs="Times New Roman"/>
          <w:b/>
          <w:bCs/>
        </w:rPr>
        <w:t>Dozavimas</w:t>
      </w:r>
    </w:p>
    <w:p w14:paraId="3DC44949" w14:textId="164E2C5D" w:rsidR="003451F2" w:rsidRDefault="003451F2" w:rsidP="00CE6E5F">
      <w:pPr>
        <w:numPr>
          <w:ilvl w:val="12"/>
          <w:numId w:val="0"/>
        </w:numPr>
        <w:jc w:val="both"/>
        <w:rPr>
          <w:rFonts w:eastAsia="Times New Roman" w:cs="Times New Roman"/>
        </w:rPr>
      </w:pPr>
      <w:r w:rsidRPr="00CE6E5F">
        <w:rPr>
          <w:rFonts w:eastAsia="Times New Roman" w:cs="Times New Roman"/>
        </w:rPr>
        <w:t xml:space="preserve">Gydytojas nustatys Jūsų individualią dozę ir infuzijos greitį atsižvelgdamas į Jūsų kūno svorį, bet kokį prieš tai skirtą gydymą ir Jūsų </w:t>
      </w:r>
      <w:r w:rsidR="00826C00">
        <w:rPr>
          <w:rFonts w:eastAsia="Times New Roman" w:cs="Times New Roman"/>
        </w:rPr>
        <w:t xml:space="preserve">organizmo </w:t>
      </w:r>
      <w:r w:rsidRPr="00CE6E5F">
        <w:rPr>
          <w:rFonts w:eastAsia="Times New Roman" w:cs="Times New Roman"/>
        </w:rPr>
        <w:t>atsaką į jį. Visada laikykitės gydytojo nurodymų.</w:t>
      </w:r>
    </w:p>
    <w:p w14:paraId="76FA13BC" w14:textId="0525BA9F" w:rsidR="00C10D87" w:rsidRDefault="00C10D87" w:rsidP="00CE6E5F">
      <w:pPr>
        <w:numPr>
          <w:ilvl w:val="12"/>
          <w:numId w:val="0"/>
        </w:numPr>
        <w:jc w:val="both"/>
        <w:rPr>
          <w:rFonts w:eastAsia="Times New Roman" w:cs="Times New Roman"/>
        </w:rPr>
      </w:pPr>
    </w:p>
    <w:p w14:paraId="194949F6" w14:textId="53246BBD" w:rsidR="00C10D87" w:rsidRPr="009B6E14" w:rsidRDefault="00C10D87" w:rsidP="00C10D87">
      <w:pPr>
        <w:numPr>
          <w:ilvl w:val="12"/>
          <w:numId w:val="0"/>
        </w:numPr>
        <w:jc w:val="both"/>
        <w:rPr>
          <w:rFonts w:eastAsia="Times New Roman" w:cs="Times New Roman"/>
          <w:i/>
          <w:iCs/>
        </w:rPr>
      </w:pPr>
      <w:r w:rsidRPr="009B6E14">
        <w:rPr>
          <w:rFonts w:eastAsia="Times New Roman" w:cs="Times New Roman"/>
          <w:i/>
          <w:iCs/>
        </w:rPr>
        <w:t>Pak</w:t>
      </w:r>
      <w:r>
        <w:rPr>
          <w:rFonts w:eastAsia="Times New Roman" w:cs="Times New Roman"/>
          <w:i/>
          <w:iCs/>
        </w:rPr>
        <w:t>eičiamoji</w:t>
      </w:r>
      <w:r w:rsidRPr="009B6E14">
        <w:rPr>
          <w:rFonts w:eastAsia="Times New Roman" w:cs="Times New Roman"/>
          <w:i/>
          <w:iCs/>
        </w:rPr>
        <w:t xml:space="preserve"> terapija pirminio imun</w:t>
      </w:r>
      <w:r>
        <w:rPr>
          <w:rFonts w:eastAsia="Times New Roman" w:cs="Times New Roman"/>
          <w:i/>
          <w:iCs/>
        </w:rPr>
        <w:t>o</w:t>
      </w:r>
      <w:r w:rsidRPr="009B6E14">
        <w:rPr>
          <w:rFonts w:eastAsia="Times New Roman" w:cs="Times New Roman"/>
          <w:i/>
          <w:iCs/>
        </w:rPr>
        <w:t>deficito sindrom</w:t>
      </w:r>
      <w:r>
        <w:rPr>
          <w:rFonts w:eastAsia="Times New Roman" w:cs="Times New Roman"/>
          <w:i/>
          <w:iCs/>
        </w:rPr>
        <w:t>o</w:t>
      </w:r>
      <w:r w:rsidRPr="009B6E14">
        <w:rPr>
          <w:rFonts w:eastAsia="Times New Roman" w:cs="Times New Roman"/>
          <w:i/>
          <w:iCs/>
        </w:rPr>
        <w:t xml:space="preserve"> atvej</w:t>
      </w:r>
      <w:r>
        <w:rPr>
          <w:rFonts w:eastAsia="Times New Roman" w:cs="Times New Roman"/>
          <w:i/>
          <w:iCs/>
        </w:rPr>
        <w:t>u</w:t>
      </w:r>
    </w:p>
    <w:p w14:paraId="2E3C52F5" w14:textId="1AF6EF6A" w:rsidR="003451F2" w:rsidRDefault="003451F2" w:rsidP="00CE6E5F">
      <w:pPr>
        <w:numPr>
          <w:ilvl w:val="12"/>
          <w:numId w:val="0"/>
        </w:numPr>
        <w:jc w:val="both"/>
        <w:rPr>
          <w:rFonts w:eastAsia="Times New Roman" w:cs="Times New Roman"/>
        </w:rPr>
      </w:pPr>
      <w:r w:rsidRPr="00CE6E5F">
        <w:rPr>
          <w:rFonts w:eastAsia="Times New Roman" w:cs="Times New Roman"/>
        </w:rPr>
        <w:t xml:space="preserve">Gydytojas nuspręs, ar Jums reikalinga įsotinamoji dozė (suaugusiems ir vaikams), kuri yra mažiausiai nuo 1,2 iki 3,0 ml/kg kūno svorio ir suvartojama per kelias dienas. Po to reguliariai gausite </w:t>
      </w:r>
      <w:proofErr w:type="spellStart"/>
      <w:r w:rsidR="00242227">
        <w:rPr>
          <w:rFonts w:eastAsia="Times New Roman" w:cs="Times New Roman"/>
        </w:rPr>
        <w:t>c</w:t>
      </w:r>
      <w:r w:rsidRPr="00CE6E5F">
        <w:rPr>
          <w:rFonts w:eastAsia="Times New Roman" w:cs="Times New Roman"/>
        </w:rPr>
        <w:t>utaquig</w:t>
      </w:r>
      <w:proofErr w:type="spellEnd"/>
      <w:r w:rsidRPr="00CE6E5F">
        <w:rPr>
          <w:rFonts w:eastAsia="Times New Roman" w:cs="Times New Roman"/>
        </w:rPr>
        <w:t xml:space="preserve"> nuo kart</w:t>
      </w:r>
      <w:r w:rsidR="00D63E81">
        <w:rPr>
          <w:rFonts w:eastAsia="Times New Roman" w:cs="Times New Roman"/>
        </w:rPr>
        <w:t>o</w:t>
      </w:r>
      <w:r w:rsidRPr="00CE6E5F">
        <w:rPr>
          <w:rFonts w:eastAsia="Times New Roman" w:cs="Times New Roman"/>
        </w:rPr>
        <w:t xml:space="preserve"> per parą iki </w:t>
      </w:r>
      <w:r w:rsidR="00C10D87">
        <w:rPr>
          <w:rFonts w:eastAsia="Times New Roman" w:cs="Times New Roman"/>
        </w:rPr>
        <w:t>karto kas antrą savaitę.</w:t>
      </w:r>
      <w:r w:rsidRPr="00CE6E5F">
        <w:rPr>
          <w:rFonts w:eastAsia="Times New Roman" w:cs="Times New Roman"/>
          <w:b/>
          <w:bCs/>
        </w:rPr>
        <w:t xml:space="preserve"> </w:t>
      </w:r>
      <w:r w:rsidRPr="00CE6E5F">
        <w:rPr>
          <w:rFonts w:eastAsia="Times New Roman" w:cs="Times New Roman"/>
        </w:rPr>
        <w:t xml:space="preserve">Suminė mėnesio dozė bus apytiksliai nuo 2,4 iki 4,8 ml/kg kūno svorio. Sveikatos priežiūros specialistas gali pakoreguoti dozę priklausomai nuo jūsų </w:t>
      </w:r>
      <w:r w:rsidR="00826C00">
        <w:rPr>
          <w:rFonts w:eastAsia="Times New Roman" w:cs="Times New Roman"/>
        </w:rPr>
        <w:t xml:space="preserve">organizmo </w:t>
      </w:r>
      <w:r w:rsidRPr="00CE6E5F">
        <w:rPr>
          <w:rFonts w:eastAsia="Times New Roman" w:cs="Times New Roman"/>
        </w:rPr>
        <w:t>atsako į gydymą.</w:t>
      </w:r>
    </w:p>
    <w:p w14:paraId="285E7A45" w14:textId="134E7FAC" w:rsidR="00C10D87" w:rsidRDefault="00C10D87" w:rsidP="00CE6E5F">
      <w:pPr>
        <w:numPr>
          <w:ilvl w:val="12"/>
          <w:numId w:val="0"/>
        </w:numPr>
        <w:jc w:val="both"/>
        <w:rPr>
          <w:rFonts w:eastAsia="Times New Roman" w:cs="Times New Roman"/>
        </w:rPr>
      </w:pPr>
    </w:p>
    <w:p w14:paraId="0E3A56B4" w14:textId="332E1226" w:rsidR="00C10D87" w:rsidRPr="009B6E14" w:rsidRDefault="00C10D87" w:rsidP="00C10D87">
      <w:pPr>
        <w:numPr>
          <w:ilvl w:val="12"/>
          <w:numId w:val="0"/>
        </w:numPr>
        <w:ind w:right="-2"/>
        <w:jc w:val="both"/>
        <w:rPr>
          <w:rFonts w:eastAsia="Times New Roman" w:cs="Times New Roman"/>
          <w:i/>
          <w:iCs/>
        </w:rPr>
      </w:pPr>
      <w:r w:rsidRPr="009B6E14">
        <w:rPr>
          <w:rFonts w:eastAsia="Times New Roman" w:cs="Times New Roman"/>
          <w:i/>
          <w:iCs/>
        </w:rPr>
        <w:t>Pak</w:t>
      </w:r>
      <w:r>
        <w:rPr>
          <w:rFonts w:eastAsia="Times New Roman" w:cs="Times New Roman"/>
          <w:i/>
          <w:iCs/>
        </w:rPr>
        <w:t>eičiamoji</w:t>
      </w:r>
      <w:r w:rsidRPr="009B6E14">
        <w:rPr>
          <w:rFonts w:eastAsia="Times New Roman" w:cs="Times New Roman"/>
          <w:i/>
          <w:iCs/>
        </w:rPr>
        <w:t xml:space="preserve"> terapija antrini</w:t>
      </w:r>
      <w:r w:rsidR="009A492E">
        <w:rPr>
          <w:rFonts w:eastAsia="Times New Roman" w:cs="Times New Roman"/>
          <w:i/>
          <w:iCs/>
        </w:rPr>
        <w:t>o</w:t>
      </w:r>
      <w:r w:rsidRPr="009B6E14">
        <w:rPr>
          <w:rFonts w:eastAsia="Times New Roman" w:cs="Times New Roman"/>
          <w:i/>
          <w:iCs/>
        </w:rPr>
        <w:t xml:space="preserve"> imunodeficit</w:t>
      </w:r>
      <w:r w:rsidR="009A492E">
        <w:rPr>
          <w:rFonts w:eastAsia="Times New Roman" w:cs="Times New Roman"/>
          <w:i/>
          <w:iCs/>
        </w:rPr>
        <w:t>o</w:t>
      </w:r>
      <w:r w:rsidRPr="009B6E14">
        <w:rPr>
          <w:rFonts w:eastAsia="Times New Roman" w:cs="Times New Roman"/>
          <w:i/>
          <w:iCs/>
        </w:rPr>
        <w:t xml:space="preserve"> atvej</w:t>
      </w:r>
      <w:r w:rsidR="009A492E">
        <w:rPr>
          <w:rFonts w:eastAsia="Times New Roman" w:cs="Times New Roman"/>
          <w:i/>
          <w:iCs/>
        </w:rPr>
        <w:t>u</w:t>
      </w:r>
    </w:p>
    <w:p w14:paraId="6F1CEA57" w14:textId="79F641DC" w:rsidR="00C10D87" w:rsidRDefault="00C10D87" w:rsidP="00C10D87">
      <w:pPr>
        <w:numPr>
          <w:ilvl w:val="12"/>
          <w:numId w:val="0"/>
        </w:numPr>
        <w:ind w:right="-2"/>
        <w:jc w:val="both"/>
        <w:rPr>
          <w:rFonts w:eastAsia="Times New Roman" w:cs="Times New Roman"/>
        </w:rPr>
      </w:pPr>
      <w:r w:rsidRPr="009B6E14">
        <w:rPr>
          <w:rFonts w:eastAsia="Times New Roman" w:cs="Times New Roman"/>
        </w:rPr>
        <w:t xml:space="preserve">Rekomenduojama </w:t>
      </w:r>
      <w:proofErr w:type="spellStart"/>
      <w:r w:rsidR="004B17DB">
        <w:rPr>
          <w:rFonts w:eastAsia="Times New Roman" w:cs="Times New Roman"/>
        </w:rPr>
        <w:t>c</w:t>
      </w:r>
      <w:r w:rsidRPr="009B6E14">
        <w:rPr>
          <w:rFonts w:eastAsia="Times New Roman" w:cs="Times New Roman"/>
        </w:rPr>
        <w:t>utaquig</w:t>
      </w:r>
      <w:proofErr w:type="spellEnd"/>
      <w:r w:rsidRPr="009B6E14">
        <w:rPr>
          <w:rFonts w:eastAsia="Times New Roman" w:cs="Times New Roman"/>
        </w:rPr>
        <w:t xml:space="preserve"> dozė yra suminė 1,2–2,4 ml/kg mėnesio dozė</w:t>
      </w:r>
      <w:r w:rsidR="002E5F82">
        <w:rPr>
          <w:rFonts w:eastAsia="Times New Roman" w:cs="Times New Roman"/>
        </w:rPr>
        <w:t>,</w:t>
      </w:r>
      <w:r w:rsidRPr="009B6E14">
        <w:rPr>
          <w:rFonts w:eastAsia="Times New Roman" w:cs="Times New Roman"/>
        </w:rPr>
        <w:t xml:space="preserve"> vartojama pasikartojančiais intervalais (maždaug kartą per savaitę). Kiekvieną </w:t>
      </w:r>
      <w:r w:rsidR="009A492E">
        <w:rPr>
          <w:rFonts w:eastAsia="Times New Roman" w:cs="Times New Roman"/>
        </w:rPr>
        <w:t>vienkartinę</w:t>
      </w:r>
      <w:r w:rsidRPr="009B6E14">
        <w:rPr>
          <w:rFonts w:eastAsia="Times New Roman" w:cs="Times New Roman"/>
        </w:rPr>
        <w:t xml:space="preserve"> dozę reikia </w:t>
      </w:r>
      <w:r w:rsidR="009A492E">
        <w:rPr>
          <w:rFonts w:eastAsia="Times New Roman" w:cs="Times New Roman"/>
        </w:rPr>
        <w:t>suleisti</w:t>
      </w:r>
      <w:r w:rsidRPr="009B6E14">
        <w:rPr>
          <w:rFonts w:eastAsia="Times New Roman" w:cs="Times New Roman"/>
        </w:rPr>
        <w:t xml:space="preserve"> į skirtingą anatominę sritį. Sveikatos priežiūros specialistas gali koreguoti </w:t>
      </w:r>
      <w:r w:rsidR="009A492E">
        <w:rPr>
          <w:rFonts w:eastAsia="Times New Roman" w:cs="Times New Roman"/>
        </w:rPr>
        <w:t>J</w:t>
      </w:r>
      <w:r w:rsidRPr="009B6E14">
        <w:rPr>
          <w:rFonts w:eastAsia="Times New Roman" w:cs="Times New Roman"/>
        </w:rPr>
        <w:t>ums skir</w:t>
      </w:r>
      <w:r w:rsidR="009A492E">
        <w:rPr>
          <w:rFonts w:eastAsia="Times New Roman" w:cs="Times New Roman"/>
        </w:rPr>
        <w:t>tą</w:t>
      </w:r>
      <w:r w:rsidRPr="009B6E14">
        <w:rPr>
          <w:rFonts w:eastAsia="Times New Roman" w:cs="Times New Roman"/>
        </w:rPr>
        <w:t xml:space="preserve"> dozę atsižvelgdamas į tai, kaip </w:t>
      </w:r>
      <w:r w:rsidR="009A492E">
        <w:rPr>
          <w:rFonts w:eastAsia="Times New Roman" w:cs="Times New Roman"/>
        </w:rPr>
        <w:t>J</w:t>
      </w:r>
      <w:r w:rsidRPr="009B6E14">
        <w:rPr>
          <w:rFonts w:eastAsia="Times New Roman" w:cs="Times New Roman"/>
        </w:rPr>
        <w:t>ūs reaguojate į gydymą.</w:t>
      </w:r>
    </w:p>
    <w:p w14:paraId="6BC92D32" w14:textId="77777777" w:rsidR="00C10D87" w:rsidRPr="00CE6E5F" w:rsidRDefault="00C10D87" w:rsidP="00CE6E5F">
      <w:pPr>
        <w:numPr>
          <w:ilvl w:val="12"/>
          <w:numId w:val="0"/>
        </w:numPr>
        <w:jc w:val="both"/>
        <w:rPr>
          <w:rFonts w:eastAsia="Times New Roman" w:cs="Times New Roman"/>
        </w:rPr>
      </w:pPr>
    </w:p>
    <w:p w14:paraId="5B4747E2" w14:textId="77499499" w:rsidR="003451F2" w:rsidRPr="00CE6E5F" w:rsidRDefault="003451F2" w:rsidP="00E457A0">
      <w:pPr>
        <w:numPr>
          <w:ilvl w:val="12"/>
          <w:numId w:val="0"/>
        </w:numPr>
        <w:ind w:right="-2"/>
        <w:jc w:val="both"/>
        <w:rPr>
          <w:rFonts w:eastAsia="Times New Roman" w:cs="Times New Roman"/>
        </w:rPr>
      </w:pPr>
      <w:r w:rsidRPr="00CE6E5F">
        <w:rPr>
          <w:rFonts w:eastAsia="Times New Roman" w:cs="Times New Roman"/>
        </w:rPr>
        <w:t xml:space="preserve">Nepasitarę su gydytoju, nekeiskite dozės ar dozių intervalo. Jei manote, kad </w:t>
      </w:r>
      <w:proofErr w:type="spellStart"/>
      <w:r w:rsidR="00242227">
        <w:rPr>
          <w:rFonts w:eastAsia="Times New Roman" w:cs="Times New Roman"/>
        </w:rPr>
        <w:t>c</w:t>
      </w:r>
      <w:r w:rsidRPr="00CE6E5F">
        <w:rPr>
          <w:rFonts w:eastAsia="Times New Roman" w:cs="Times New Roman"/>
        </w:rPr>
        <w:t>utaquig</w:t>
      </w:r>
      <w:proofErr w:type="spellEnd"/>
      <w:r w:rsidRPr="00CE6E5F">
        <w:rPr>
          <w:rFonts w:eastAsia="Times New Roman" w:cs="Times New Roman"/>
        </w:rPr>
        <w:t xml:space="preserve"> tur</w:t>
      </w:r>
      <w:r w:rsidR="00313023">
        <w:rPr>
          <w:rFonts w:eastAsia="Times New Roman" w:cs="Times New Roman"/>
        </w:rPr>
        <w:t>i</w:t>
      </w:r>
      <w:r w:rsidRPr="00CE6E5F">
        <w:rPr>
          <w:rFonts w:eastAsia="Times New Roman" w:cs="Times New Roman"/>
        </w:rPr>
        <w:t xml:space="preserve"> būti leidžiamas dažniau arba rečiau, kreipkitės į gydytoją. Jei manote, kad praleidote dozę, kuo skubiau kreipkitės į gydytoją.</w:t>
      </w:r>
    </w:p>
    <w:p w14:paraId="589DA2DC" w14:textId="77777777" w:rsidR="003451F2" w:rsidRPr="00C04358" w:rsidRDefault="003451F2" w:rsidP="00E457A0">
      <w:pPr>
        <w:numPr>
          <w:ilvl w:val="12"/>
          <w:numId w:val="0"/>
        </w:numPr>
        <w:ind w:right="-2"/>
        <w:jc w:val="both"/>
        <w:rPr>
          <w:rFonts w:eastAsia="Times New Roman" w:cs="Times New Roman"/>
        </w:rPr>
      </w:pPr>
    </w:p>
    <w:p w14:paraId="327DB222" w14:textId="77777777" w:rsidR="003451F2" w:rsidRPr="00CE6E5F" w:rsidRDefault="003451F2" w:rsidP="00E457A0">
      <w:pPr>
        <w:numPr>
          <w:ilvl w:val="12"/>
          <w:numId w:val="0"/>
        </w:numPr>
        <w:jc w:val="both"/>
        <w:rPr>
          <w:rFonts w:eastAsia="Times New Roman" w:cs="Times New Roman"/>
          <w:b/>
        </w:rPr>
      </w:pPr>
      <w:r w:rsidRPr="00CE6E5F">
        <w:rPr>
          <w:rFonts w:eastAsia="Times New Roman" w:cs="Times New Roman"/>
          <w:b/>
          <w:bCs/>
        </w:rPr>
        <w:t>Vartojimo metodas ir būdas</w:t>
      </w:r>
    </w:p>
    <w:p w14:paraId="1B277E86" w14:textId="77777777" w:rsidR="003451F2" w:rsidRPr="00CE6E5F" w:rsidRDefault="003451F2" w:rsidP="00E457A0">
      <w:pPr>
        <w:numPr>
          <w:ilvl w:val="12"/>
          <w:numId w:val="0"/>
        </w:numPr>
        <w:ind w:right="-2"/>
        <w:jc w:val="both"/>
        <w:rPr>
          <w:rFonts w:eastAsia="Times New Roman" w:cs="Times New Roman"/>
          <w:u w:val="single"/>
        </w:rPr>
      </w:pPr>
      <w:r w:rsidRPr="00CE6E5F">
        <w:rPr>
          <w:rFonts w:eastAsia="Times New Roman" w:cs="Times New Roman"/>
          <w:u w:val="single"/>
        </w:rPr>
        <w:t xml:space="preserve">Infuzijos vietos (-ų) pasirinkimas </w:t>
      </w:r>
    </w:p>
    <w:p w14:paraId="552D88AF" w14:textId="12477422" w:rsidR="003451F2" w:rsidRPr="00CE6E5F" w:rsidRDefault="003451F2" w:rsidP="00CE6E5F">
      <w:pPr>
        <w:numPr>
          <w:ilvl w:val="12"/>
          <w:numId w:val="0"/>
        </w:numPr>
        <w:jc w:val="both"/>
        <w:rPr>
          <w:rFonts w:eastAsia="Times New Roman" w:cs="Times New Roman"/>
        </w:rPr>
      </w:pPr>
      <w:r w:rsidRPr="00CE6E5F">
        <w:rPr>
          <w:rFonts w:eastAsia="Times New Roman" w:cs="Times New Roman"/>
        </w:rPr>
        <w:lastRenderedPageBreak/>
        <w:t xml:space="preserve">Siūlomos </w:t>
      </w:r>
      <w:proofErr w:type="spellStart"/>
      <w:r w:rsidR="00242227">
        <w:rPr>
          <w:rFonts w:eastAsia="Times New Roman" w:cs="Times New Roman"/>
        </w:rPr>
        <w:t>c</w:t>
      </w:r>
      <w:r w:rsidRPr="00CE6E5F">
        <w:rPr>
          <w:rFonts w:eastAsia="Times New Roman" w:cs="Times New Roman"/>
        </w:rPr>
        <w:t>utaquig</w:t>
      </w:r>
      <w:proofErr w:type="spellEnd"/>
      <w:r w:rsidRPr="00CE6E5F">
        <w:rPr>
          <w:rFonts w:eastAsia="Times New Roman" w:cs="Times New Roman"/>
        </w:rPr>
        <w:t xml:space="preserve"> poodinės infuzijos sritys yra pilvas, šlaunys, žastai arba klubai. Vienu metu vaisto </w:t>
      </w:r>
      <w:r w:rsidR="00C209A5">
        <w:rPr>
          <w:rFonts w:eastAsia="Times New Roman" w:cs="Times New Roman"/>
        </w:rPr>
        <w:t>leisti</w:t>
      </w:r>
      <w:r w:rsidRPr="00CE6E5F">
        <w:rPr>
          <w:rFonts w:eastAsia="Times New Roman" w:cs="Times New Roman"/>
        </w:rPr>
        <w:t xml:space="preserve"> </w:t>
      </w:r>
      <w:r w:rsidR="00597EAE">
        <w:rPr>
          <w:rFonts w:eastAsia="Times New Roman" w:cs="Times New Roman"/>
        </w:rPr>
        <w:t xml:space="preserve">po oda </w:t>
      </w:r>
      <w:r w:rsidRPr="00CE6E5F">
        <w:rPr>
          <w:rFonts w:eastAsia="Times New Roman" w:cs="Times New Roman"/>
        </w:rPr>
        <w:t xml:space="preserve">galima į kelias infuzijos vietas. Infuzijos vietų skaičius neribojamas, bet atstumas tarp infuzijos vietų turi būti ne mažesnis kaip 5 cm. Kaskart </w:t>
      </w:r>
      <w:r w:rsidR="00C209A5">
        <w:rPr>
          <w:rFonts w:eastAsia="Times New Roman" w:cs="Times New Roman"/>
        </w:rPr>
        <w:t>leisdami</w:t>
      </w:r>
      <w:r w:rsidRPr="00CE6E5F">
        <w:rPr>
          <w:rFonts w:eastAsia="Times New Roman" w:cs="Times New Roman"/>
        </w:rPr>
        <w:t xml:space="preserve"> vaist</w:t>
      </w:r>
      <w:r w:rsidR="00597EAE">
        <w:rPr>
          <w:rFonts w:eastAsia="Times New Roman" w:cs="Times New Roman"/>
        </w:rPr>
        <w:t>o</w:t>
      </w:r>
      <w:r w:rsidRPr="00CE6E5F">
        <w:rPr>
          <w:rFonts w:eastAsia="Times New Roman" w:cs="Times New Roman"/>
        </w:rPr>
        <w:t>, keiskite vietas laikydamiesi gydytojo arba slaugytojo nurodymų.</w:t>
      </w:r>
    </w:p>
    <w:p w14:paraId="4EE18FA5" w14:textId="06F9D097" w:rsidR="003451F2" w:rsidRPr="00CE6E5F" w:rsidRDefault="003451F2" w:rsidP="00E457A0">
      <w:pPr>
        <w:numPr>
          <w:ilvl w:val="12"/>
          <w:numId w:val="0"/>
        </w:numPr>
        <w:ind w:right="-2"/>
        <w:jc w:val="both"/>
        <w:rPr>
          <w:rFonts w:eastAsia="Times New Roman" w:cs="Times New Roman"/>
        </w:rPr>
      </w:pPr>
      <w:r w:rsidRPr="00CE6E5F">
        <w:rPr>
          <w:rFonts w:eastAsia="Times New Roman" w:cs="Times New Roman"/>
        </w:rPr>
        <w:t xml:space="preserve">Vienoje vietoje suleistas </w:t>
      </w:r>
      <w:r w:rsidR="00597EAE">
        <w:rPr>
          <w:rFonts w:eastAsia="Times New Roman" w:cs="Times New Roman"/>
        </w:rPr>
        <w:t xml:space="preserve">vaisto </w:t>
      </w:r>
      <w:r w:rsidRPr="00CE6E5F">
        <w:rPr>
          <w:rFonts w:eastAsia="Times New Roman" w:cs="Times New Roman"/>
        </w:rPr>
        <w:t>kiekis skiriasi, tačiau dideles dozes (&gt;30 ml) rekomenduojama padalyti ir leisti į kelias infuzijos vietas. Kūdikiams ir vaikams infuzijos vietas galima keisti suleidus 5–15 ml.</w:t>
      </w:r>
    </w:p>
    <w:p w14:paraId="3E508043" w14:textId="77777777" w:rsidR="003451F2" w:rsidRPr="00CE6E5F" w:rsidRDefault="003451F2" w:rsidP="00E457A0">
      <w:pPr>
        <w:numPr>
          <w:ilvl w:val="12"/>
          <w:numId w:val="0"/>
        </w:numPr>
        <w:ind w:right="-2"/>
        <w:jc w:val="both"/>
        <w:rPr>
          <w:rFonts w:eastAsia="Times New Roman" w:cs="Times New Roman"/>
        </w:rPr>
      </w:pPr>
    </w:p>
    <w:p w14:paraId="31556395" w14:textId="77777777" w:rsidR="003451F2" w:rsidRPr="00CE6E5F" w:rsidRDefault="003451F2" w:rsidP="00E457A0">
      <w:pPr>
        <w:numPr>
          <w:ilvl w:val="12"/>
          <w:numId w:val="0"/>
        </w:numPr>
        <w:ind w:right="-2"/>
        <w:jc w:val="both"/>
        <w:rPr>
          <w:rFonts w:eastAsia="Times New Roman" w:cs="Times New Roman"/>
          <w:u w:val="single"/>
        </w:rPr>
      </w:pPr>
      <w:r w:rsidRPr="00CE6E5F">
        <w:rPr>
          <w:rFonts w:eastAsia="Times New Roman" w:cs="Times New Roman"/>
          <w:u w:val="single"/>
        </w:rPr>
        <w:t>Infuzijos greitis</w:t>
      </w:r>
    </w:p>
    <w:p w14:paraId="46CCF9C9" w14:textId="450E8340" w:rsidR="00AB21CB" w:rsidRDefault="00AB21CB" w:rsidP="00AC5610">
      <w:pPr>
        <w:numPr>
          <w:ilvl w:val="12"/>
          <w:numId w:val="0"/>
        </w:numPr>
        <w:rPr>
          <w:rFonts w:eastAsia="Times New Roman" w:cs="Times New Roman"/>
        </w:rPr>
      </w:pPr>
      <w:r>
        <w:rPr>
          <w:rFonts w:eastAsia="Times New Roman" w:cs="Times New Roman"/>
        </w:rPr>
        <w:t xml:space="preserve">Jums tinkamą infuzijos greitį nustatys gydytojas, atsižvelgdamas į Jūsų </w:t>
      </w:r>
      <w:r w:rsidR="00150B3F">
        <w:rPr>
          <w:rFonts w:eastAsia="Times New Roman" w:cs="Times New Roman"/>
        </w:rPr>
        <w:t xml:space="preserve">individualią </w:t>
      </w:r>
      <w:r>
        <w:rPr>
          <w:rFonts w:eastAsia="Times New Roman" w:cs="Times New Roman"/>
        </w:rPr>
        <w:t>dozę, dozės vartojimo dažnumą ir vaisto toleravimą.</w:t>
      </w:r>
    </w:p>
    <w:p w14:paraId="4EB18480" w14:textId="77777777" w:rsidR="00AB21CB" w:rsidRDefault="00AB21CB" w:rsidP="00AC5610">
      <w:pPr>
        <w:numPr>
          <w:ilvl w:val="12"/>
          <w:numId w:val="0"/>
        </w:numPr>
        <w:rPr>
          <w:rFonts w:eastAsia="Times New Roman" w:cs="Times New Roman"/>
        </w:rPr>
      </w:pPr>
    </w:p>
    <w:p w14:paraId="22209DD7" w14:textId="3DDF0E88" w:rsidR="003552B0" w:rsidRDefault="003451F2" w:rsidP="00AB21CB">
      <w:pPr>
        <w:numPr>
          <w:ilvl w:val="12"/>
          <w:numId w:val="0"/>
        </w:numPr>
        <w:rPr>
          <w:rFonts w:eastAsia="Times New Roman" w:cs="Times New Roman"/>
        </w:rPr>
      </w:pPr>
      <w:r w:rsidRPr="00CE6E5F">
        <w:rPr>
          <w:rFonts w:eastAsia="Times New Roman" w:cs="Times New Roman"/>
        </w:rPr>
        <w:t>Rekomenduojamas pradinis infuzijos greitis yra 15 ml/val./vietai</w:t>
      </w:r>
      <w:r w:rsidR="00AB21CB">
        <w:rPr>
          <w:rFonts w:eastAsia="Times New Roman" w:cs="Times New Roman"/>
        </w:rPr>
        <w:t>, jeigu niekada</w:t>
      </w:r>
      <w:r w:rsidR="00150B3F">
        <w:rPr>
          <w:rFonts w:eastAsia="Times New Roman" w:cs="Times New Roman"/>
        </w:rPr>
        <w:t xml:space="preserve"> nebuvote gydyti po oda leidžiamu imunoglobulinu (</w:t>
      </w:r>
      <w:proofErr w:type="spellStart"/>
      <w:r w:rsidR="00150B3F">
        <w:rPr>
          <w:rFonts w:eastAsia="Times New Roman" w:cs="Times New Roman"/>
        </w:rPr>
        <w:t>s.c.Ig</w:t>
      </w:r>
      <w:proofErr w:type="spellEnd"/>
      <w:r w:rsidR="00150B3F">
        <w:rPr>
          <w:rFonts w:eastAsia="Times New Roman" w:cs="Times New Roman"/>
        </w:rPr>
        <w:t>)</w:t>
      </w:r>
      <w:r w:rsidRPr="00CE6E5F">
        <w:rPr>
          <w:rFonts w:eastAsia="Times New Roman" w:cs="Times New Roman"/>
        </w:rPr>
        <w:t>.</w:t>
      </w:r>
      <w:r w:rsidR="00150B3F">
        <w:rPr>
          <w:rFonts w:eastAsia="Times New Roman" w:cs="Times New Roman"/>
        </w:rPr>
        <w:t xml:space="preserve"> Jeigu </w:t>
      </w:r>
      <w:r w:rsidR="00673BD6">
        <w:rPr>
          <w:rFonts w:eastAsia="Times New Roman" w:cs="Times New Roman"/>
        </w:rPr>
        <w:t xml:space="preserve">Jums </w:t>
      </w:r>
      <w:r w:rsidR="00150B3F">
        <w:rPr>
          <w:rFonts w:eastAsia="Times New Roman" w:cs="Times New Roman"/>
        </w:rPr>
        <w:t>imunoglobulin</w:t>
      </w:r>
      <w:r w:rsidR="00597EAE">
        <w:rPr>
          <w:rFonts w:eastAsia="Times New Roman" w:cs="Times New Roman"/>
        </w:rPr>
        <w:t>o</w:t>
      </w:r>
      <w:r w:rsidR="00150B3F">
        <w:rPr>
          <w:rFonts w:eastAsia="Times New Roman" w:cs="Times New Roman"/>
        </w:rPr>
        <w:t xml:space="preserve"> jau leidžiama po oda ir šis gydymas keičiamas </w:t>
      </w:r>
      <w:proofErr w:type="spellStart"/>
      <w:r w:rsidR="00150B3F">
        <w:rPr>
          <w:rFonts w:eastAsia="Times New Roman" w:cs="Times New Roman"/>
        </w:rPr>
        <w:t>c</w:t>
      </w:r>
      <w:r w:rsidR="00150B3F" w:rsidRPr="00CE6E5F">
        <w:rPr>
          <w:rFonts w:eastAsia="Times New Roman" w:cs="Times New Roman"/>
        </w:rPr>
        <w:t>utaquig</w:t>
      </w:r>
      <w:proofErr w:type="spellEnd"/>
      <w:r w:rsidR="00673BD6">
        <w:rPr>
          <w:rFonts w:eastAsia="Times New Roman" w:cs="Times New Roman"/>
        </w:rPr>
        <w:t xml:space="preserve">, </w:t>
      </w:r>
      <w:r w:rsidR="00673BD6">
        <w:t>rekomenduojama pradines infuzijas leisti anksčiau taikytu greičiu.</w:t>
      </w:r>
      <w:r w:rsidRPr="00CE6E5F">
        <w:rPr>
          <w:rFonts w:eastAsia="Times New Roman" w:cs="Times New Roman"/>
        </w:rPr>
        <w:t xml:space="preserve"> Jeigu vaistas gerai toleruojamas, </w:t>
      </w:r>
      <w:r w:rsidR="003552B0">
        <w:rPr>
          <w:rFonts w:eastAsia="Times New Roman" w:cs="Times New Roman"/>
        </w:rPr>
        <w:t xml:space="preserve">toliau </w:t>
      </w:r>
      <w:r w:rsidR="003552B0">
        <w:t xml:space="preserve">suaugusiesiems </w:t>
      </w:r>
      <w:r w:rsidR="003552B0" w:rsidRPr="00260399">
        <w:t>(≥</w:t>
      </w:r>
      <w:r w:rsidR="003552B0">
        <w:t> </w:t>
      </w:r>
      <w:r w:rsidR="003552B0" w:rsidRPr="00260399">
        <w:t>40</w:t>
      </w:r>
      <w:r w:rsidR="003552B0">
        <w:t> </w:t>
      </w:r>
      <w:r w:rsidR="003552B0" w:rsidRPr="00260399">
        <w:t>kg)</w:t>
      </w:r>
      <w:r w:rsidR="003552B0">
        <w:t xml:space="preserve"> </w:t>
      </w:r>
      <w:r w:rsidRPr="00CE6E5F">
        <w:rPr>
          <w:rFonts w:eastAsia="Times New Roman" w:cs="Times New Roman"/>
        </w:rPr>
        <w:t xml:space="preserve">infuzijos greitį palaipsniui galite didinti </w:t>
      </w:r>
      <w:r w:rsidR="003552B0">
        <w:t xml:space="preserve">po maždaug </w:t>
      </w:r>
      <w:r w:rsidR="003552B0" w:rsidRPr="00CE6E5F">
        <w:t>10 ml/val./vietai</w:t>
      </w:r>
      <w:r w:rsidR="00840885" w:rsidRPr="00840885">
        <w:t xml:space="preserve"> </w:t>
      </w:r>
      <w:r w:rsidR="00840885">
        <w:t xml:space="preserve">kas </w:t>
      </w:r>
      <w:r w:rsidR="00840885" w:rsidRPr="00CE6E5F">
        <w:t>2</w:t>
      </w:r>
      <w:r w:rsidR="00840885">
        <w:noBreakHyphen/>
      </w:r>
      <w:r w:rsidR="00840885" w:rsidRPr="00CE6E5F">
        <w:t>4</w:t>
      </w:r>
      <w:r w:rsidR="00840885">
        <w:t> savaites</w:t>
      </w:r>
      <w:r w:rsidR="003552B0">
        <w:t xml:space="preserve">, o vaikams </w:t>
      </w:r>
      <w:r w:rsidR="003552B0" w:rsidRPr="00260399">
        <w:t>(&lt;</w:t>
      </w:r>
      <w:r w:rsidR="003552B0">
        <w:t> </w:t>
      </w:r>
      <w:r w:rsidR="003552B0" w:rsidRPr="00260399">
        <w:t>40</w:t>
      </w:r>
      <w:r w:rsidR="003552B0">
        <w:t> </w:t>
      </w:r>
      <w:r w:rsidR="003552B0" w:rsidRPr="00260399">
        <w:t>kg)</w:t>
      </w:r>
      <w:r w:rsidR="003552B0" w:rsidRPr="00CE6E5F">
        <w:t> –</w:t>
      </w:r>
      <w:r w:rsidR="003552B0">
        <w:t xml:space="preserve">iki </w:t>
      </w:r>
      <w:r w:rsidR="003552B0" w:rsidRPr="00CE6E5F">
        <w:t>10 ml/val./vietai</w:t>
      </w:r>
      <w:r w:rsidR="00840885">
        <w:t xml:space="preserve"> kas </w:t>
      </w:r>
      <w:r w:rsidR="00840885" w:rsidRPr="00CE6E5F">
        <w:t>4</w:t>
      </w:r>
      <w:r w:rsidR="00840885">
        <w:t> savaites</w:t>
      </w:r>
      <w:r w:rsidRPr="00CE6E5F">
        <w:rPr>
          <w:rFonts w:eastAsia="Times New Roman" w:cs="Times New Roman"/>
        </w:rPr>
        <w:t>.</w:t>
      </w:r>
    </w:p>
    <w:p w14:paraId="482DE47C" w14:textId="77777777" w:rsidR="003552B0" w:rsidRDefault="003552B0" w:rsidP="00AB21CB">
      <w:pPr>
        <w:numPr>
          <w:ilvl w:val="12"/>
          <w:numId w:val="0"/>
        </w:numPr>
      </w:pPr>
    </w:p>
    <w:p w14:paraId="021A9B72" w14:textId="77777777" w:rsidR="002B1360" w:rsidRDefault="003552B0" w:rsidP="00AB21CB">
      <w:pPr>
        <w:numPr>
          <w:ilvl w:val="12"/>
          <w:numId w:val="0"/>
        </w:numPr>
        <w:rPr>
          <w:rFonts w:eastAsia="Times New Roman" w:cs="Times New Roman"/>
        </w:rPr>
      </w:pPr>
      <w:r>
        <w:t>Jeigu pradines infuzijas toleruojate visą dozę leidžiant didžiausiu greičiu</w:t>
      </w:r>
      <w:r w:rsidR="002B1360">
        <w:t xml:space="preserve"> vienoje vietoje</w:t>
      </w:r>
      <w:r>
        <w:t xml:space="preserve">, vėliau galima apsvarstyti tolesnių infuzijų greičio didinimą, kol bus pasiektas didžiausias </w:t>
      </w:r>
      <w:r w:rsidRPr="00692E4A">
        <w:t>67</w:t>
      </w:r>
      <w:r>
        <w:t>,</w:t>
      </w:r>
      <w:r w:rsidRPr="00692E4A">
        <w:t>5</w:t>
      </w:r>
      <w:r>
        <w:t> </w:t>
      </w:r>
      <w:r w:rsidRPr="00692E4A">
        <w:t>ml</w:t>
      </w:r>
      <w:r w:rsidRPr="00CE6E5F">
        <w:t>/val./vietai</w:t>
      </w:r>
      <w:r>
        <w:t xml:space="preserve"> srauto greitis suaugusiesiems </w:t>
      </w:r>
      <w:r w:rsidR="002B1360" w:rsidRPr="00260399">
        <w:t>(≥</w:t>
      </w:r>
      <w:r w:rsidR="002B1360">
        <w:t> </w:t>
      </w:r>
      <w:r w:rsidR="002B1360" w:rsidRPr="00260399">
        <w:t>40</w:t>
      </w:r>
      <w:r w:rsidR="002B1360">
        <w:t> </w:t>
      </w:r>
      <w:r w:rsidR="002B1360" w:rsidRPr="00260399">
        <w:t>kg)</w:t>
      </w:r>
      <w:r w:rsidR="002B1360">
        <w:t xml:space="preserve"> </w:t>
      </w:r>
      <w:r>
        <w:t xml:space="preserve">ir </w:t>
      </w:r>
      <w:r w:rsidRPr="00CE6E5F">
        <w:t>25 ml/val./vietai –</w:t>
      </w:r>
      <w:r>
        <w:t xml:space="preserve"> vaikams</w:t>
      </w:r>
      <w:r w:rsidR="002B1360">
        <w:t xml:space="preserve"> </w:t>
      </w:r>
      <w:r w:rsidR="002B1360" w:rsidRPr="00260399">
        <w:t>(&lt;</w:t>
      </w:r>
      <w:r w:rsidR="002B1360">
        <w:t> </w:t>
      </w:r>
      <w:r w:rsidR="002B1360" w:rsidRPr="00260399">
        <w:t>40</w:t>
      </w:r>
      <w:r w:rsidR="002B1360">
        <w:t> </w:t>
      </w:r>
      <w:r w:rsidR="002B1360" w:rsidRPr="00260399">
        <w:t>kg)</w:t>
      </w:r>
      <w:r w:rsidR="002B1360">
        <w:t>.</w:t>
      </w:r>
    </w:p>
    <w:p w14:paraId="22A39EE1" w14:textId="05B52F9D" w:rsidR="003451F2" w:rsidRPr="00CE6E5F" w:rsidRDefault="003451F2" w:rsidP="00CE6E5F">
      <w:pPr>
        <w:numPr>
          <w:ilvl w:val="12"/>
          <w:numId w:val="0"/>
        </w:numPr>
        <w:jc w:val="both"/>
        <w:rPr>
          <w:rFonts w:eastAsia="Times New Roman" w:cs="Times New Roman"/>
        </w:rPr>
      </w:pPr>
    </w:p>
    <w:p w14:paraId="7A12DF4C" w14:textId="77777777" w:rsidR="003451F2" w:rsidRPr="00CE6E5F" w:rsidRDefault="003451F2" w:rsidP="00CE6E5F">
      <w:pPr>
        <w:numPr>
          <w:ilvl w:val="12"/>
          <w:numId w:val="0"/>
        </w:numPr>
        <w:jc w:val="both"/>
        <w:rPr>
          <w:rFonts w:eastAsia="Times New Roman" w:cs="Times New Roman"/>
        </w:rPr>
      </w:pPr>
      <w:r w:rsidRPr="00CE6E5F">
        <w:rPr>
          <w:rFonts w:eastAsia="Times New Roman" w:cs="Times New Roman"/>
        </w:rPr>
        <w:t>Išsamūs vartojimo nurodymai pateikti toliau.</w:t>
      </w:r>
    </w:p>
    <w:p w14:paraId="410D6457" w14:textId="313D3B5E" w:rsidR="003451F2" w:rsidRPr="00CE6E5F" w:rsidRDefault="00242227" w:rsidP="00CE6E5F">
      <w:pPr>
        <w:tabs>
          <w:tab w:val="left" w:pos="567"/>
        </w:tabs>
        <w:jc w:val="both"/>
        <w:rPr>
          <w:rFonts w:eastAsia="Times New Roman" w:cs="Times New Roman"/>
          <w:iCs/>
        </w:rPr>
      </w:pPr>
      <w:proofErr w:type="spellStart"/>
      <w:r>
        <w:rPr>
          <w:rFonts w:eastAsia="Times New Roman" w:cs="Times New Roman"/>
        </w:rPr>
        <w:t>c</w:t>
      </w:r>
      <w:r w:rsidR="003451F2" w:rsidRPr="00CE6E5F">
        <w:rPr>
          <w:rFonts w:eastAsia="Times New Roman" w:cs="Times New Roman"/>
        </w:rPr>
        <w:t>utaquig</w:t>
      </w:r>
      <w:proofErr w:type="spellEnd"/>
      <w:r w:rsidR="003451F2" w:rsidRPr="00CE6E5F">
        <w:rPr>
          <w:rFonts w:eastAsia="Times New Roman" w:cs="Times New Roman"/>
        </w:rPr>
        <w:t xml:space="preserve"> skirtas tik poodinei infuzijai (leisti po oda). </w:t>
      </w:r>
      <w:r w:rsidR="00D40A4F">
        <w:rPr>
          <w:rFonts w:eastAsia="Times New Roman" w:cs="Times New Roman"/>
        </w:rPr>
        <w:t>Draudžiama</w:t>
      </w:r>
      <w:r w:rsidR="003451F2" w:rsidRPr="00CE6E5F">
        <w:rPr>
          <w:rFonts w:eastAsia="Times New Roman" w:cs="Times New Roman"/>
        </w:rPr>
        <w:t xml:space="preserve"> leisti į kraujagyslę. </w:t>
      </w:r>
    </w:p>
    <w:p w14:paraId="39CF2FA7" w14:textId="77777777" w:rsidR="003451F2" w:rsidRPr="00CE6E5F" w:rsidRDefault="00242227" w:rsidP="00CE6E5F">
      <w:pPr>
        <w:tabs>
          <w:tab w:val="left" w:pos="567"/>
        </w:tabs>
        <w:jc w:val="both"/>
        <w:rPr>
          <w:rFonts w:eastAsia="Calibri" w:cs="Times New Roman"/>
          <w:iCs/>
        </w:rPr>
      </w:pPr>
      <w:proofErr w:type="spellStart"/>
      <w:r>
        <w:rPr>
          <w:rFonts w:eastAsia="Calibri" w:cs="Times New Roman"/>
        </w:rPr>
        <w:t>c</w:t>
      </w:r>
      <w:r w:rsidR="003451F2" w:rsidRPr="00CE6E5F">
        <w:rPr>
          <w:rFonts w:eastAsia="Calibri" w:cs="Times New Roman"/>
        </w:rPr>
        <w:t>utaquig</w:t>
      </w:r>
      <w:proofErr w:type="spellEnd"/>
      <w:r w:rsidR="003451F2" w:rsidRPr="00CE6E5F">
        <w:rPr>
          <w:rFonts w:eastAsia="Calibri" w:cs="Times New Roman"/>
        </w:rPr>
        <w:t xml:space="preserve"> vartokite namuose tik tada, kai Jūsų sveikatos priežiūros specialistas Jums pateikė tinkamus nurodymus ir išmokė tai daryti.</w:t>
      </w:r>
    </w:p>
    <w:p w14:paraId="5C63EF89" w14:textId="77777777" w:rsidR="003451F2" w:rsidRPr="00CE6E5F" w:rsidRDefault="003451F2" w:rsidP="00CE6E5F">
      <w:pPr>
        <w:numPr>
          <w:ilvl w:val="12"/>
          <w:numId w:val="0"/>
        </w:numPr>
        <w:jc w:val="both"/>
        <w:rPr>
          <w:rFonts w:eastAsia="Times New Roman" w:cs="Times New Roman"/>
        </w:rPr>
      </w:pPr>
      <w:r w:rsidRPr="00CE6E5F">
        <w:rPr>
          <w:rFonts w:eastAsia="Times New Roman" w:cs="Times New Roman"/>
        </w:rPr>
        <w:t xml:space="preserve">Nuosekliai laikykitės pakuotės lapelio pabaigoje (I priede) pateiktų vartojimo nurodymų ir, vartodami </w:t>
      </w:r>
      <w:proofErr w:type="spellStart"/>
      <w:r w:rsidR="00242227">
        <w:rPr>
          <w:rFonts w:eastAsia="Times New Roman" w:cs="Times New Roman"/>
        </w:rPr>
        <w:t>c</w:t>
      </w:r>
      <w:r w:rsidRPr="00CE6E5F">
        <w:rPr>
          <w:rFonts w:eastAsia="Times New Roman" w:cs="Times New Roman"/>
        </w:rPr>
        <w:t>utaquig</w:t>
      </w:r>
      <w:proofErr w:type="spellEnd"/>
      <w:r w:rsidRPr="00CE6E5F">
        <w:rPr>
          <w:rFonts w:eastAsia="Times New Roman" w:cs="Times New Roman"/>
        </w:rPr>
        <w:t xml:space="preserve">, taikykite </w:t>
      </w:r>
      <w:proofErr w:type="spellStart"/>
      <w:r w:rsidRPr="00CE6E5F">
        <w:rPr>
          <w:rFonts w:eastAsia="Times New Roman" w:cs="Times New Roman"/>
        </w:rPr>
        <w:t>aseptinį</w:t>
      </w:r>
      <w:proofErr w:type="spellEnd"/>
      <w:r w:rsidRPr="00CE6E5F">
        <w:rPr>
          <w:rFonts w:eastAsia="Times New Roman" w:cs="Times New Roman"/>
        </w:rPr>
        <w:t xml:space="preserve"> (sterilų) metodą.</w:t>
      </w:r>
    </w:p>
    <w:p w14:paraId="00E93AC2" w14:textId="77777777" w:rsidR="003451F2" w:rsidRPr="00CE6E5F" w:rsidRDefault="003451F2" w:rsidP="00CE6E5F">
      <w:pPr>
        <w:tabs>
          <w:tab w:val="left" w:pos="567"/>
        </w:tabs>
        <w:jc w:val="both"/>
        <w:rPr>
          <w:rFonts w:eastAsia="Calibri" w:cs="Times New Roman"/>
          <w:iCs/>
        </w:rPr>
      </w:pPr>
      <w:r w:rsidRPr="00CE6E5F">
        <w:rPr>
          <w:rFonts w:eastAsia="Calibri" w:cs="Times New Roman"/>
        </w:rPr>
        <w:t>Ruošdamiesi infuzijai, mūvėkite pirštines, jei Jums tai buvo nurodyta.</w:t>
      </w:r>
    </w:p>
    <w:p w14:paraId="0E7FCBBE" w14:textId="77777777" w:rsidR="003451F2" w:rsidRPr="00CE6E5F" w:rsidRDefault="003451F2" w:rsidP="00CE6E5F">
      <w:pPr>
        <w:tabs>
          <w:tab w:val="left" w:pos="567"/>
        </w:tabs>
        <w:jc w:val="both"/>
        <w:rPr>
          <w:rFonts w:eastAsia="Times New Roman" w:cs="Times New Roman"/>
          <w:b/>
        </w:rPr>
      </w:pPr>
    </w:p>
    <w:p w14:paraId="57B7F265" w14:textId="77777777" w:rsidR="003451F2" w:rsidRPr="00CE6E5F" w:rsidRDefault="003451F2" w:rsidP="00CE6E5F">
      <w:pPr>
        <w:tabs>
          <w:tab w:val="left" w:pos="567"/>
        </w:tabs>
        <w:jc w:val="both"/>
        <w:rPr>
          <w:rFonts w:eastAsia="Times New Roman" w:cs="Times New Roman"/>
          <w:b/>
        </w:rPr>
      </w:pPr>
      <w:r w:rsidRPr="00CE6E5F">
        <w:rPr>
          <w:rFonts w:eastAsia="Times New Roman" w:cs="Times New Roman"/>
          <w:b/>
          <w:bCs/>
        </w:rPr>
        <w:t>Vartojimas vaikams ir paaugliams</w:t>
      </w:r>
    </w:p>
    <w:p w14:paraId="46DADEC6" w14:textId="77777777" w:rsidR="003451F2" w:rsidRPr="00CE6E5F" w:rsidRDefault="003451F2" w:rsidP="00CE6E5F">
      <w:pPr>
        <w:tabs>
          <w:tab w:val="left" w:pos="567"/>
        </w:tabs>
        <w:jc w:val="both"/>
        <w:rPr>
          <w:rFonts w:eastAsia="Times New Roman" w:cs="Times New Roman"/>
          <w:b/>
        </w:rPr>
      </w:pPr>
      <w:r w:rsidRPr="00CE6E5F">
        <w:rPr>
          <w:rFonts w:eastAsia="Times New Roman" w:cs="Times New Roman"/>
        </w:rPr>
        <w:t>Vaikams ir paaugliams (0–18 metų) taikomos tokios pačios indikacijos, dozė ir infuzijos dažnumas kaip ir suaugusiesiems.</w:t>
      </w:r>
    </w:p>
    <w:p w14:paraId="55A13E6D" w14:textId="77777777" w:rsidR="003451F2" w:rsidRPr="00CE6E5F" w:rsidRDefault="003451F2" w:rsidP="00CE6E5F">
      <w:pPr>
        <w:tabs>
          <w:tab w:val="left" w:pos="567"/>
        </w:tabs>
        <w:jc w:val="both"/>
        <w:rPr>
          <w:rFonts w:eastAsia="Times New Roman" w:cs="Times New Roman"/>
          <w:highlight w:val="cyan"/>
        </w:rPr>
      </w:pPr>
    </w:p>
    <w:p w14:paraId="25E4B60A" w14:textId="151B5553" w:rsidR="003451F2" w:rsidRPr="00CE6E5F" w:rsidRDefault="003451F2" w:rsidP="00CE6E5F">
      <w:pPr>
        <w:tabs>
          <w:tab w:val="left" w:pos="567"/>
        </w:tabs>
        <w:jc w:val="both"/>
        <w:rPr>
          <w:rFonts w:eastAsia="Times New Roman" w:cs="Times New Roman"/>
          <w:b/>
        </w:rPr>
      </w:pPr>
      <w:r w:rsidRPr="00CE6E5F">
        <w:rPr>
          <w:rFonts w:eastAsia="Times New Roman" w:cs="Times New Roman"/>
          <w:b/>
          <w:bCs/>
        </w:rPr>
        <w:t xml:space="preserve">Ką daryti pavartojus per didelę </w:t>
      </w:r>
      <w:proofErr w:type="spellStart"/>
      <w:r w:rsidR="00D40A4F">
        <w:rPr>
          <w:rFonts w:eastAsia="Times New Roman" w:cs="Times New Roman"/>
          <w:b/>
          <w:bCs/>
        </w:rPr>
        <w:t>c</w:t>
      </w:r>
      <w:r w:rsidRPr="00CE6E5F">
        <w:rPr>
          <w:rFonts w:eastAsia="Times New Roman" w:cs="Times New Roman"/>
          <w:b/>
          <w:bCs/>
        </w:rPr>
        <w:t>utaquig</w:t>
      </w:r>
      <w:proofErr w:type="spellEnd"/>
      <w:r w:rsidRPr="00CE6E5F">
        <w:rPr>
          <w:rFonts w:eastAsia="Times New Roman" w:cs="Times New Roman"/>
          <w:b/>
          <w:bCs/>
        </w:rPr>
        <w:t xml:space="preserve"> dozę</w:t>
      </w:r>
    </w:p>
    <w:p w14:paraId="52285A53" w14:textId="77777777" w:rsidR="003451F2" w:rsidRPr="00CE6E5F" w:rsidRDefault="003451F2" w:rsidP="00E457A0">
      <w:pPr>
        <w:tabs>
          <w:tab w:val="left" w:pos="567"/>
        </w:tabs>
        <w:jc w:val="both"/>
        <w:rPr>
          <w:rFonts w:eastAsia="Calibri" w:cs="Times New Roman"/>
          <w:b/>
        </w:rPr>
      </w:pPr>
      <w:r w:rsidRPr="00CE6E5F">
        <w:rPr>
          <w:rFonts w:eastAsia="Calibri" w:cs="Times New Roman"/>
        </w:rPr>
        <w:t xml:space="preserve">Jei manote, kad Jums suleista daugiau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xml:space="preserve"> negu reikia, kuo greičiau kreipkitės į savo sveikatos priežiūros specialistą.</w:t>
      </w:r>
    </w:p>
    <w:p w14:paraId="711E00EF" w14:textId="77777777" w:rsidR="003451F2" w:rsidRPr="00CE6E5F" w:rsidRDefault="003451F2" w:rsidP="00CE6E5F">
      <w:pPr>
        <w:tabs>
          <w:tab w:val="left" w:pos="567"/>
        </w:tabs>
        <w:jc w:val="both"/>
        <w:rPr>
          <w:rFonts w:eastAsia="Times New Roman" w:cs="Times New Roman"/>
        </w:rPr>
      </w:pPr>
    </w:p>
    <w:p w14:paraId="2716C869" w14:textId="77777777" w:rsidR="003451F2" w:rsidRPr="00CE6E5F" w:rsidRDefault="003451F2" w:rsidP="00CE6E5F">
      <w:pPr>
        <w:tabs>
          <w:tab w:val="left" w:pos="567"/>
        </w:tabs>
        <w:jc w:val="both"/>
        <w:rPr>
          <w:rFonts w:eastAsia="Times New Roman" w:cs="Times New Roman"/>
          <w:b/>
        </w:rPr>
      </w:pPr>
      <w:r w:rsidRPr="00CE6E5F">
        <w:rPr>
          <w:rFonts w:eastAsia="Times New Roman" w:cs="Times New Roman"/>
          <w:b/>
          <w:bCs/>
        </w:rPr>
        <w:t xml:space="preserve">Pamiršus pavartoti </w:t>
      </w:r>
      <w:proofErr w:type="spellStart"/>
      <w:r w:rsidR="00242227">
        <w:rPr>
          <w:rFonts w:eastAsia="Times New Roman" w:cs="Times New Roman"/>
          <w:b/>
          <w:bCs/>
        </w:rPr>
        <w:t>c</w:t>
      </w:r>
      <w:r w:rsidRPr="00CE6E5F">
        <w:rPr>
          <w:rFonts w:eastAsia="Times New Roman" w:cs="Times New Roman"/>
          <w:b/>
          <w:bCs/>
        </w:rPr>
        <w:t>utaquig</w:t>
      </w:r>
      <w:proofErr w:type="spellEnd"/>
    </w:p>
    <w:p w14:paraId="30133A17" w14:textId="54A51244" w:rsidR="003451F2" w:rsidRPr="00CE6E5F" w:rsidRDefault="003451F2" w:rsidP="00E457A0">
      <w:pPr>
        <w:tabs>
          <w:tab w:val="left" w:pos="567"/>
        </w:tabs>
        <w:jc w:val="both"/>
        <w:rPr>
          <w:rFonts w:eastAsia="Calibri" w:cs="Times New Roman"/>
          <w:b/>
          <w:i/>
        </w:rPr>
      </w:pPr>
      <w:r w:rsidRPr="00CE6E5F">
        <w:rPr>
          <w:rFonts w:eastAsia="Calibri" w:cs="Times New Roman"/>
        </w:rPr>
        <w:t>Jei manote, kad praleidote dozę, kuo skubiau kreipkitės į gydytoją ar sveikatos priežiūros specialistą. Negalima vartoti dvigubos dozės norint kompensuoti praleistą dozę.</w:t>
      </w:r>
    </w:p>
    <w:p w14:paraId="6CA844F1" w14:textId="77777777" w:rsidR="003451F2" w:rsidRPr="00CE6E5F" w:rsidRDefault="003451F2" w:rsidP="00E457A0">
      <w:pPr>
        <w:numPr>
          <w:ilvl w:val="12"/>
          <w:numId w:val="0"/>
        </w:numPr>
        <w:ind w:right="-2"/>
        <w:jc w:val="both"/>
        <w:rPr>
          <w:rFonts w:eastAsia="Times New Roman" w:cs="Times New Roman"/>
        </w:rPr>
      </w:pPr>
    </w:p>
    <w:p w14:paraId="0E69C16C" w14:textId="77777777" w:rsidR="003451F2" w:rsidRPr="00CE6E5F" w:rsidRDefault="003451F2" w:rsidP="00E457A0">
      <w:pPr>
        <w:numPr>
          <w:ilvl w:val="12"/>
          <w:numId w:val="0"/>
        </w:numPr>
        <w:ind w:right="-2"/>
        <w:jc w:val="both"/>
        <w:rPr>
          <w:rFonts w:eastAsia="Times New Roman" w:cs="Times New Roman"/>
        </w:rPr>
      </w:pPr>
    </w:p>
    <w:p w14:paraId="0A2E070F" w14:textId="77777777" w:rsidR="003451F2" w:rsidRPr="00CE6E5F" w:rsidRDefault="003451F2" w:rsidP="00CE6E5F">
      <w:pPr>
        <w:pStyle w:val="Antrat1"/>
        <w:rPr>
          <w:b w:val="0"/>
        </w:rPr>
      </w:pPr>
      <w:r w:rsidRPr="00CE6E5F">
        <w:t>4.</w:t>
      </w:r>
      <w:r w:rsidRPr="00CE6E5F">
        <w:tab/>
        <w:t>Galimas šalutinis poveikis</w:t>
      </w:r>
    </w:p>
    <w:p w14:paraId="22D16E1E" w14:textId="77777777" w:rsidR="003451F2" w:rsidRPr="00CE6E5F" w:rsidRDefault="003451F2" w:rsidP="00E457A0">
      <w:pPr>
        <w:numPr>
          <w:ilvl w:val="12"/>
          <w:numId w:val="0"/>
        </w:numPr>
        <w:ind w:right="-2"/>
        <w:jc w:val="both"/>
        <w:rPr>
          <w:rFonts w:eastAsia="Times New Roman" w:cs="Times New Roman"/>
        </w:rPr>
      </w:pPr>
    </w:p>
    <w:p w14:paraId="577A3A0E" w14:textId="5BBA8E9F" w:rsidR="003451F2" w:rsidRPr="00CE6E5F" w:rsidRDefault="003451F2" w:rsidP="00CE6E5F">
      <w:pPr>
        <w:numPr>
          <w:ilvl w:val="12"/>
          <w:numId w:val="0"/>
        </w:numPr>
        <w:ind w:right="-28"/>
        <w:jc w:val="both"/>
        <w:rPr>
          <w:rFonts w:eastAsia="Times New Roman" w:cs="Times New Roman"/>
        </w:rPr>
      </w:pPr>
      <w:r w:rsidRPr="00CE6E5F">
        <w:rPr>
          <w:rFonts w:eastAsia="Times New Roman" w:cs="Times New Roman"/>
        </w:rPr>
        <w:t>Šis vaistas, kaip ir visi kiti, gali sukelti šalutinį poveikį, kaip</w:t>
      </w:r>
      <w:r w:rsidR="004D6F65">
        <w:rPr>
          <w:rFonts w:eastAsia="Times New Roman" w:cs="Times New Roman"/>
        </w:rPr>
        <w:t xml:space="preserve">: </w:t>
      </w:r>
      <w:proofErr w:type="spellStart"/>
      <w:r w:rsidRPr="00CE6E5F">
        <w:rPr>
          <w:rFonts w:eastAsia="Times New Roman" w:cs="Times New Roman"/>
        </w:rPr>
        <w:t>šal</w:t>
      </w:r>
      <w:r w:rsidR="00D01106">
        <w:rPr>
          <w:rFonts w:eastAsia="Times New Roman" w:cs="Times New Roman"/>
        </w:rPr>
        <w:t>tkrėtis</w:t>
      </w:r>
      <w:proofErr w:type="spellEnd"/>
      <w:r w:rsidRPr="00CE6E5F">
        <w:rPr>
          <w:rFonts w:eastAsia="Times New Roman" w:cs="Times New Roman"/>
        </w:rPr>
        <w:t xml:space="preserve">, galvos skausmas, </w:t>
      </w:r>
      <w:r w:rsidR="004D6F65">
        <w:rPr>
          <w:rFonts w:eastAsia="Times New Roman" w:cs="Times New Roman"/>
        </w:rPr>
        <w:t>svaigulys</w:t>
      </w:r>
      <w:r w:rsidRPr="00CE6E5F">
        <w:rPr>
          <w:rFonts w:eastAsia="Times New Roman" w:cs="Times New Roman"/>
        </w:rPr>
        <w:t>, karščiavimas, vėmimas, alerginės reakcijos, pykinimas, sąnarių skausmas, žemas kraujospūdis ir vidutinio stiprumo apatinės nugaros dalies skausmas, nors jis pasireiškia ne visiems žmonėms.</w:t>
      </w:r>
    </w:p>
    <w:p w14:paraId="07121E08" w14:textId="1EFE5463" w:rsidR="003451F2" w:rsidRPr="00CE6E5F" w:rsidRDefault="003451F2" w:rsidP="00CE6E5F">
      <w:pPr>
        <w:numPr>
          <w:ilvl w:val="12"/>
          <w:numId w:val="0"/>
        </w:numPr>
        <w:ind w:right="-28"/>
        <w:jc w:val="both"/>
        <w:rPr>
          <w:rFonts w:eastAsia="Times New Roman" w:cs="Times New Roman"/>
        </w:rPr>
      </w:pPr>
      <w:r w:rsidRPr="00CE6E5F">
        <w:rPr>
          <w:rFonts w:eastAsia="Times New Roman" w:cs="Times New Roman"/>
        </w:rPr>
        <w:t xml:space="preserve">Tam tikrą šalutinį poveikį, pvz., galvos skausmą, </w:t>
      </w:r>
      <w:proofErr w:type="spellStart"/>
      <w:r w:rsidRPr="00CE6E5F">
        <w:rPr>
          <w:rFonts w:eastAsia="Times New Roman" w:cs="Times New Roman"/>
        </w:rPr>
        <w:t>šal</w:t>
      </w:r>
      <w:r w:rsidR="000D3ADC">
        <w:rPr>
          <w:rFonts w:eastAsia="Times New Roman" w:cs="Times New Roman"/>
        </w:rPr>
        <w:t>tkrėtį</w:t>
      </w:r>
      <w:proofErr w:type="spellEnd"/>
      <w:r w:rsidRPr="00CE6E5F">
        <w:rPr>
          <w:rFonts w:eastAsia="Times New Roman" w:cs="Times New Roman"/>
        </w:rPr>
        <w:t xml:space="preserve"> ar kūno skausmus, galima sumažinti sulėtinus infuzijos greitį.</w:t>
      </w:r>
    </w:p>
    <w:p w14:paraId="5D16BE72" w14:textId="1DF81FA7" w:rsidR="003451F2" w:rsidRPr="00CE6E5F" w:rsidRDefault="003451F2" w:rsidP="00CE6E5F">
      <w:pPr>
        <w:tabs>
          <w:tab w:val="left" w:pos="567"/>
        </w:tabs>
        <w:ind w:right="-28"/>
        <w:jc w:val="both"/>
        <w:rPr>
          <w:rFonts w:eastAsia="Calibri" w:cs="Times New Roman"/>
        </w:rPr>
      </w:pPr>
      <w:r w:rsidRPr="00CE6E5F">
        <w:rPr>
          <w:rFonts w:eastAsia="Calibri" w:cs="Times New Roman"/>
        </w:rPr>
        <w:t xml:space="preserve">Atliekant klinikinius tyrimus, kurių metu buvo vertinamas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xml:space="preserve"> saugumas, </w:t>
      </w:r>
      <w:r w:rsidR="000D3ADC">
        <w:rPr>
          <w:rFonts w:eastAsia="Calibri" w:cs="Times New Roman"/>
        </w:rPr>
        <w:t>vaist</w:t>
      </w:r>
      <w:r w:rsidRPr="00CE6E5F">
        <w:rPr>
          <w:rFonts w:eastAsia="Calibri" w:cs="Times New Roman"/>
        </w:rPr>
        <w:t>o vartojusiems tiriamiesiems nebuvo pastebėta jokių susijusių sunkių nepageidaujamų reakcijų.</w:t>
      </w:r>
    </w:p>
    <w:p w14:paraId="4C94F554" w14:textId="3818E815" w:rsidR="003451F2" w:rsidRPr="00CE6E5F" w:rsidRDefault="003451F2" w:rsidP="00CE6E5F">
      <w:pPr>
        <w:tabs>
          <w:tab w:val="left" w:pos="567"/>
        </w:tabs>
        <w:jc w:val="both"/>
        <w:rPr>
          <w:rFonts w:eastAsia="Calibri" w:cs="Times New Roman"/>
        </w:rPr>
      </w:pPr>
      <w:r w:rsidRPr="00CE6E5F">
        <w:rPr>
          <w:rFonts w:eastAsia="Calibri" w:cs="Times New Roman"/>
        </w:rPr>
        <w:t>Jūs galite būti alergiški (</w:t>
      </w:r>
      <w:r w:rsidR="00C04358">
        <w:rPr>
          <w:rFonts w:eastAsia="Calibri" w:cs="Times New Roman"/>
        </w:rPr>
        <w:t xml:space="preserve">turėti </w:t>
      </w:r>
      <w:r w:rsidRPr="00CE6E5F">
        <w:rPr>
          <w:rFonts w:eastAsia="Calibri" w:cs="Times New Roman"/>
        </w:rPr>
        <w:t>padidėj</w:t>
      </w:r>
      <w:r w:rsidR="00C04358">
        <w:rPr>
          <w:rFonts w:eastAsia="Calibri" w:cs="Times New Roman"/>
        </w:rPr>
        <w:t>usį</w:t>
      </w:r>
      <w:r w:rsidRPr="00CE6E5F">
        <w:rPr>
          <w:rFonts w:eastAsia="Calibri" w:cs="Times New Roman"/>
        </w:rPr>
        <w:t xml:space="preserve"> jautrum</w:t>
      </w:r>
      <w:r w:rsidR="00C04358">
        <w:rPr>
          <w:rFonts w:eastAsia="Calibri" w:cs="Times New Roman"/>
        </w:rPr>
        <w:t>ą</w:t>
      </w:r>
      <w:r w:rsidRPr="00CE6E5F">
        <w:rPr>
          <w:rFonts w:eastAsia="Calibri" w:cs="Times New Roman"/>
        </w:rPr>
        <w:t>) imunoglobulinams, todėl gali pasireikšti toki</w:t>
      </w:r>
      <w:r w:rsidR="000D3ADC">
        <w:rPr>
          <w:rFonts w:eastAsia="Calibri" w:cs="Times New Roman"/>
        </w:rPr>
        <w:t>ų</w:t>
      </w:r>
      <w:r w:rsidRPr="00CE6E5F">
        <w:rPr>
          <w:rFonts w:eastAsia="Calibri" w:cs="Times New Roman"/>
        </w:rPr>
        <w:t xml:space="preserve"> alergin</w:t>
      </w:r>
      <w:r w:rsidR="000D3ADC">
        <w:rPr>
          <w:rFonts w:eastAsia="Calibri" w:cs="Times New Roman"/>
        </w:rPr>
        <w:t>ių</w:t>
      </w:r>
      <w:r w:rsidRPr="00CE6E5F">
        <w:rPr>
          <w:rFonts w:eastAsia="Calibri" w:cs="Times New Roman"/>
        </w:rPr>
        <w:t xml:space="preserve"> reakcij</w:t>
      </w:r>
      <w:r w:rsidR="000D3ADC">
        <w:rPr>
          <w:rFonts w:eastAsia="Calibri" w:cs="Times New Roman"/>
        </w:rPr>
        <w:t>ų</w:t>
      </w:r>
      <w:r w:rsidR="004D6F65">
        <w:rPr>
          <w:rFonts w:eastAsia="Calibri" w:cs="Times New Roman"/>
        </w:rPr>
        <w:t>:</w:t>
      </w:r>
      <w:r w:rsidR="00C04358">
        <w:rPr>
          <w:rFonts w:eastAsia="Calibri" w:cs="Times New Roman"/>
        </w:rPr>
        <w:t xml:space="preserve"> </w:t>
      </w:r>
      <w:r w:rsidRPr="00CE6E5F">
        <w:rPr>
          <w:rFonts w:eastAsia="Calibri" w:cs="Times New Roman"/>
        </w:rPr>
        <w:t xml:space="preserve">staigus kraujospūdžio kritimas ar, </w:t>
      </w:r>
      <w:r w:rsidR="004D6F65">
        <w:rPr>
          <w:rFonts w:eastAsia="Calibri" w:cs="Times New Roman"/>
        </w:rPr>
        <w:t>pavieniais</w:t>
      </w:r>
      <w:r w:rsidR="004D6F65" w:rsidRPr="00CE6E5F">
        <w:rPr>
          <w:rFonts w:eastAsia="Calibri" w:cs="Times New Roman"/>
        </w:rPr>
        <w:t xml:space="preserve"> </w:t>
      </w:r>
      <w:r w:rsidRPr="00CE6E5F">
        <w:rPr>
          <w:rFonts w:eastAsia="Calibri" w:cs="Times New Roman"/>
        </w:rPr>
        <w:t>atvejais, – šokas. Gydytojai žino apie šio šalutinio poveikio galimybę ir stebės Jus atliekant pradines infuzijas bei po jų.</w:t>
      </w:r>
    </w:p>
    <w:p w14:paraId="09947029" w14:textId="77777777" w:rsidR="003451F2" w:rsidRPr="00CE6E5F" w:rsidRDefault="003451F2" w:rsidP="00CE6E5F">
      <w:pPr>
        <w:tabs>
          <w:tab w:val="left" w:pos="567"/>
        </w:tabs>
        <w:jc w:val="both"/>
        <w:rPr>
          <w:rFonts w:eastAsia="Calibri" w:cs="Times New Roman"/>
        </w:rPr>
      </w:pPr>
      <w:r w:rsidRPr="00CE6E5F">
        <w:rPr>
          <w:rFonts w:eastAsia="Calibri" w:cs="Times New Roman"/>
        </w:rPr>
        <w:t>Pastebėję bet kokius iš šių požymių, nedelsdami pasakykite gydytojui:</w:t>
      </w:r>
    </w:p>
    <w:p w14:paraId="1E9F83CD" w14:textId="62F548FF" w:rsidR="00733209" w:rsidRPr="00CE6E5F" w:rsidRDefault="00C04358" w:rsidP="00CE6E5F">
      <w:pPr>
        <w:pStyle w:val="Sraopastraipa"/>
        <w:numPr>
          <w:ilvl w:val="0"/>
          <w:numId w:val="36"/>
        </w:numPr>
      </w:pPr>
      <w:r>
        <w:t>galvos sukimosi</w:t>
      </w:r>
      <w:r w:rsidR="003451F2" w:rsidRPr="00CE6E5F">
        <w:t>, svaigulio ar alpimo pojūtis,</w:t>
      </w:r>
    </w:p>
    <w:p w14:paraId="68901E12" w14:textId="77777777" w:rsidR="00733209" w:rsidRPr="00CE6E5F" w:rsidRDefault="003451F2" w:rsidP="00CE6E5F">
      <w:pPr>
        <w:pStyle w:val="Sraopastraipa"/>
        <w:numPr>
          <w:ilvl w:val="0"/>
          <w:numId w:val="36"/>
        </w:numPr>
      </w:pPr>
      <w:r w:rsidRPr="00CE6E5F">
        <w:t>odos bėrimas ir niežulys, burnos ar ryklės patinimas, sunkumas kvėpuoti, švokštimas,</w:t>
      </w:r>
    </w:p>
    <w:p w14:paraId="7BDE8721" w14:textId="77777777" w:rsidR="00733209" w:rsidRPr="00CE6E5F" w:rsidRDefault="003451F2" w:rsidP="00CE6E5F">
      <w:pPr>
        <w:pStyle w:val="Sraopastraipa"/>
        <w:numPr>
          <w:ilvl w:val="0"/>
          <w:numId w:val="36"/>
        </w:numPr>
      </w:pPr>
      <w:r w:rsidRPr="00CE6E5F">
        <w:lastRenderedPageBreak/>
        <w:t>neįprastas širdies susitraukimų dažnis, skausmas krūtinėje, pamėlusios lūpos ar rankų ir kojų pirštai,</w:t>
      </w:r>
    </w:p>
    <w:p w14:paraId="22F30117" w14:textId="77777777" w:rsidR="003451F2" w:rsidRPr="00CE6E5F" w:rsidRDefault="003451F2" w:rsidP="00CE6E5F">
      <w:pPr>
        <w:pStyle w:val="Sraopastraipa"/>
        <w:numPr>
          <w:ilvl w:val="0"/>
          <w:numId w:val="36"/>
        </w:numPr>
      </w:pPr>
      <w:r w:rsidRPr="00CE6E5F">
        <w:t>miglotas matymas.</w:t>
      </w:r>
    </w:p>
    <w:p w14:paraId="5F7D8BD2" w14:textId="2E8C2D9E" w:rsidR="003451F2" w:rsidRPr="00CE6E5F" w:rsidRDefault="003451F2" w:rsidP="00CE6E5F">
      <w:pPr>
        <w:tabs>
          <w:tab w:val="left" w:pos="567"/>
        </w:tabs>
        <w:ind w:right="-28"/>
        <w:jc w:val="both"/>
        <w:rPr>
          <w:rFonts w:eastAsia="Calibri" w:cs="Times New Roman"/>
        </w:rPr>
      </w:pPr>
      <w:r w:rsidRPr="00CE6E5F">
        <w:rPr>
          <w:rFonts w:eastAsia="Calibri" w:cs="Times New Roman"/>
        </w:rPr>
        <w:t xml:space="preserve">Kai vartojate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xml:space="preserve"> namuose, infuziją galite atlikti šalia esant </w:t>
      </w:r>
      <w:r w:rsidR="00D8151D">
        <w:rPr>
          <w:rFonts w:eastAsia="Calibri" w:cs="Times New Roman"/>
        </w:rPr>
        <w:t>slaugytojui</w:t>
      </w:r>
      <w:r w:rsidRPr="00CE6E5F">
        <w:rPr>
          <w:rFonts w:eastAsia="Calibri" w:cs="Times New Roman"/>
        </w:rPr>
        <w:t>, kuris padės stebėti, ar nėra alerginės reakcijos požymių. Atsiradus alerginės reakcijos požymi</w:t>
      </w:r>
      <w:r w:rsidR="00385AEE">
        <w:rPr>
          <w:rFonts w:eastAsia="Calibri" w:cs="Times New Roman"/>
        </w:rPr>
        <w:t>ų</w:t>
      </w:r>
      <w:r w:rsidRPr="00CE6E5F">
        <w:rPr>
          <w:rFonts w:eastAsia="Calibri" w:cs="Times New Roman"/>
        </w:rPr>
        <w:t>, sustabdykite infuziją bei prireikus iškvieskite pagalbą.</w:t>
      </w:r>
    </w:p>
    <w:p w14:paraId="6E69E787" w14:textId="77777777" w:rsidR="003451F2" w:rsidRDefault="003451F2" w:rsidP="00CE6E5F">
      <w:pPr>
        <w:tabs>
          <w:tab w:val="left" w:pos="567"/>
        </w:tabs>
        <w:ind w:right="-28"/>
        <w:jc w:val="both"/>
        <w:rPr>
          <w:rFonts w:eastAsia="Calibri" w:cs="Times New Roman"/>
        </w:rPr>
      </w:pPr>
      <w:r w:rsidRPr="00CE6E5F">
        <w:rPr>
          <w:rFonts w:eastAsia="Calibri" w:cs="Times New Roman"/>
        </w:rPr>
        <w:t>Taip pat apie alerginių reakcijų riziką žr. šio lapelio 2 skyriuje.</w:t>
      </w:r>
    </w:p>
    <w:p w14:paraId="6FE429FD" w14:textId="77777777" w:rsidR="00960BBD" w:rsidRPr="00CE6E5F" w:rsidRDefault="00960BBD" w:rsidP="00CE6E5F">
      <w:pPr>
        <w:tabs>
          <w:tab w:val="left" w:pos="567"/>
        </w:tabs>
        <w:ind w:right="-28"/>
        <w:jc w:val="both"/>
        <w:rPr>
          <w:rFonts w:eastAsia="Calibri" w:cs="Times New Roman"/>
        </w:rPr>
      </w:pPr>
    </w:p>
    <w:p w14:paraId="1F2BCA2B" w14:textId="52BEE4E2" w:rsidR="003451F2" w:rsidRPr="00CE6E5F" w:rsidRDefault="003451F2" w:rsidP="00CE6E5F">
      <w:pPr>
        <w:tabs>
          <w:tab w:val="left" w:pos="567"/>
        </w:tabs>
        <w:ind w:right="-28"/>
        <w:jc w:val="both"/>
        <w:rPr>
          <w:rFonts w:eastAsia="Calibri" w:cs="Times New Roman"/>
        </w:rPr>
      </w:pPr>
      <w:r w:rsidRPr="00CE6E5F">
        <w:rPr>
          <w:rFonts w:eastAsia="Calibri" w:cs="Times New Roman"/>
        </w:rPr>
        <w:t xml:space="preserve">Šie šalutinio poveikio reiškiniai yra labai dažni (gali pasireikšti </w:t>
      </w:r>
      <w:r w:rsidR="004D6F65">
        <w:rPr>
          <w:rFonts w:eastAsia="Calibri" w:cs="Times New Roman"/>
        </w:rPr>
        <w:t>dažniau</w:t>
      </w:r>
      <w:r w:rsidR="004D6F65" w:rsidRPr="00CE6E5F">
        <w:rPr>
          <w:rFonts w:eastAsia="Calibri" w:cs="Times New Roman"/>
        </w:rPr>
        <w:t xml:space="preserve"> </w:t>
      </w:r>
      <w:r w:rsidR="00385AEE">
        <w:rPr>
          <w:rFonts w:eastAsia="Calibri" w:cs="Times New Roman"/>
        </w:rPr>
        <w:t>kaip</w:t>
      </w:r>
      <w:r w:rsidRPr="00CE6E5F">
        <w:rPr>
          <w:rFonts w:eastAsia="Calibri" w:cs="Times New Roman"/>
        </w:rPr>
        <w:t xml:space="preserve"> 1 iš 10 infuzijų atvejų):</w:t>
      </w:r>
    </w:p>
    <w:p w14:paraId="6DF7A5D1" w14:textId="77777777" w:rsidR="003451F2" w:rsidRPr="00CE6E5F" w:rsidRDefault="003451F2" w:rsidP="00CE6E5F">
      <w:pPr>
        <w:pStyle w:val="Sraopastraipa"/>
        <w:numPr>
          <w:ilvl w:val="0"/>
          <w:numId w:val="36"/>
        </w:numPr>
        <w:rPr>
          <w:rFonts w:eastAsia="Calibri" w:cs="Times New Roman"/>
        </w:rPr>
      </w:pPr>
      <w:r w:rsidRPr="00CE6E5F">
        <w:t>reakcijos</w:t>
      </w:r>
      <w:r w:rsidRPr="00CE6E5F">
        <w:rPr>
          <w:rFonts w:eastAsia="Calibri" w:cs="Times New Roman"/>
        </w:rPr>
        <w:t xml:space="preserve"> injekcijos vietoje, pvz., paraudimas, patinimas, niežulys ir diskomfortas. </w:t>
      </w:r>
    </w:p>
    <w:p w14:paraId="169EFC56" w14:textId="77777777" w:rsidR="002B1360" w:rsidRDefault="002B1360" w:rsidP="00CE6E5F">
      <w:pPr>
        <w:tabs>
          <w:tab w:val="left" w:pos="0"/>
        </w:tabs>
        <w:jc w:val="both"/>
        <w:rPr>
          <w:rFonts w:eastAsia="Calibri" w:cs="Times New Roman"/>
        </w:rPr>
      </w:pPr>
    </w:p>
    <w:p w14:paraId="036A6E54" w14:textId="6CD04AFD" w:rsidR="002B1360" w:rsidRPr="00CE6E5F" w:rsidRDefault="002B1360" w:rsidP="005E2EEB">
      <w:pPr>
        <w:tabs>
          <w:tab w:val="left" w:pos="0"/>
        </w:tabs>
        <w:rPr>
          <w:rFonts w:eastAsia="Calibri" w:cs="Times New Roman"/>
        </w:rPr>
      </w:pPr>
      <w:r w:rsidRPr="00CE6E5F">
        <w:rPr>
          <w:rFonts w:eastAsia="Calibri" w:cs="Times New Roman"/>
        </w:rPr>
        <w:t>Ši</w:t>
      </w:r>
      <w:r w:rsidR="007A2B38">
        <w:rPr>
          <w:rFonts w:eastAsia="Calibri" w:cs="Times New Roman"/>
        </w:rPr>
        <w:t>e</w:t>
      </w:r>
      <w:r w:rsidRPr="00CE6E5F">
        <w:rPr>
          <w:rFonts w:eastAsia="Calibri" w:cs="Times New Roman"/>
        </w:rPr>
        <w:t xml:space="preserve"> </w:t>
      </w:r>
      <w:r w:rsidR="005E2EEB" w:rsidRPr="00CE6E5F">
        <w:rPr>
          <w:rFonts w:eastAsia="Calibri" w:cs="Times New Roman"/>
        </w:rPr>
        <w:t xml:space="preserve">šalutinio poveikio reiškiniai </w:t>
      </w:r>
      <w:r w:rsidRPr="00CE6E5F">
        <w:rPr>
          <w:rFonts w:eastAsia="Calibri" w:cs="Times New Roman"/>
        </w:rPr>
        <w:t xml:space="preserve">yra </w:t>
      </w:r>
      <w:r>
        <w:rPr>
          <w:rFonts w:eastAsia="Calibri" w:cs="Times New Roman"/>
        </w:rPr>
        <w:t>nedažn</w:t>
      </w:r>
      <w:r w:rsidR="005E2EEB">
        <w:rPr>
          <w:rFonts w:eastAsia="Calibri" w:cs="Times New Roman"/>
        </w:rPr>
        <w:t>i</w:t>
      </w:r>
      <w:r w:rsidRPr="00CE6E5F">
        <w:rPr>
          <w:rFonts w:eastAsia="Calibri" w:cs="Times New Roman"/>
        </w:rPr>
        <w:t xml:space="preserve"> (gali pasireikšti </w:t>
      </w:r>
      <w:r w:rsidR="005E2EEB">
        <w:rPr>
          <w:rFonts w:eastAsia="Calibri" w:cs="Times New Roman"/>
        </w:rPr>
        <w:t>dažniau</w:t>
      </w:r>
      <w:r w:rsidRPr="00CE6E5F">
        <w:rPr>
          <w:rFonts w:eastAsia="Calibri" w:cs="Times New Roman"/>
        </w:rPr>
        <w:t xml:space="preserve"> </w:t>
      </w:r>
      <w:r w:rsidR="002F0A02">
        <w:rPr>
          <w:rFonts w:eastAsia="Calibri" w:cs="Times New Roman"/>
        </w:rPr>
        <w:t>kaip</w:t>
      </w:r>
      <w:r w:rsidRPr="00CE6E5F">
        <w:rPr>
          <w:rFonts w:eastAsia="Calibri" w:cs="Times New Roman"/>
        </w:rPr>
        <w:t xml:space="preserve"> 1 iš 1 000</w:t>
      </w:r>
      <w:r w:rsidR="005E2EEB">
        <w:rPr>
          <w:rFonts w:eastAsia="Calibri" w:cs="Times New Roman"/>
        </w:rPr>
        <w:t xml:space="preserve">, bet rečiau </w:t>
      </w:r>
      <w:r w:rsidR="002F0A02">
        <w:rPr>
          <w:rFonts w:eastAsia="Calibri" w:cs="Times New Roman"/>
        </w:rPr>
        <w:t>kaip</w:t>
      </w:r>
      <w:r w:rsidR="005E2EEB" w:rsidRPr="00CE6E5F">
        <w:rPr>
          <w:rFonts w:eastAsia="Calibri" w:cs="Times New Roman"/>
        </w:rPr>
        <w:t xml:space="preserve"> 1 iš 100</w:t>
      </w:r>
      <w:r w:rsidRPr="00CE6E5F">
        <w:rPr>
          <w:rFonts w:eastAsia="Calibri" w:cs="Times New Roman"/>
        </w:rPr>
        <w:t> infuzijų atvejų):</w:t>
      </w:r>
    </w:p>
    <w:p w14:paraId="25175160" w14:textId="77777777" w:rsidR="002B1360" w:rsidRPr="00CE6E5F" w:rsidRDefault="002B1360" w:rsidP="002B1360">
      <w:pPr>
        <w:pStyle w:val="Sraopastraipa"/>
        <w:numPr>
          <w:ilvl w:val="0"/>
          <w:numId w:val="36"/>
        </w:numPr>
      </w:pPr>
      <w:r w:rsidRPr="00CE6E5F">
        <w:t>galvos skausmas,</w:t>
      </w:r>
    </w:p>
    <w:p w14:paraId="0A99A6F2" w14:textId="100A10A2" w:rsidR="002B1360" w:rsidRPr="00CE6E5F" w:rsidRDefault="005E2EEB" w:rsidP="002B1360">
      <w:pPr>
        <w:pStyle w:val="Sraopastraipa"/>
        <w:numPr>
          <w:ilvl w:val="0"/>
          <w:numId w:val="36"/>
        </w:numPr>
      </w:pPr>
      <w:r>
        <w:t>negalavimas</w:t>
      </w:r>
      <w:r w:rsidR="002B1360" w:rsidRPr="00CE6E5F">
        <w:t>,</w:t>
      </w:r>
    </w:p>
    <w:p w14:paraId="6276575C" w14:textId="061BADD8" w:rsidR="002B1360" w:rsidRPr="002B1360" w:rsidRDefault="005E2EEB" w:rsidP="00AC5610">
      <w:pPr>
        <w:pStyle w:val="Sraopastraipa"/>
        <w:numPr>
          <w:ilvl w:val="0"/>
          <w:numId w:val="36"/>
        </w:numPr>
      </w:pPr>
      <w:r>
        <w:t>nuovargis</w:t>
      </w:r>
      <w:r w:rsidR="002B1360">
        <w:t>.</w:t>
      </w:r>
    </w:p>
    <w:p w14:paraId="11CC224D" w14:textId="77777777" w:rsidR="002B1360" w:rsidRDefault="002B1360" w:rsidP="00CE6E5F">
      <w:pPr>
        <w:tabs>
          <w:tab w:val="left" w:pos="0"/>
        </w:tabs>
        <w:jc w:val="both"/>
        <w:rPr>
          <w:rFonts w:eastAsia="Calibri" w:cs="Times New Roman"/>
        </w:rPr>
      </w:pPr>
    </w:p>
    <w:p w14:paraId="50A126BB" w14:textId="162074D9" w:rsidR="003451F2" w:rsidRPr="00CE6E5F" w:rsidRDefault="003451F2" w:rsidP="00CE6E5F">
      <w:pPr>
        <w:tabs>
          <w:tab w:val="left" w:pos="0"/>
        </w:tabs>
        <w:jc w:val="both"/>
        <w:rPr>
          <w:rFonts w:eastAsia="Calibri" w:cs="Times New Roman"/>
        </w:rPr>
      </w:pPr>
      <w:r w:rsidRPr="00CE6E5F">
        <w:rPr>
          <w:rFonts w:eastAsia="Calibri" w:cs="Times New Roman"/>
        </w:rPr>
        <w:t>Šie šalutinio poveikio reiškiniai yra ret</w:t>
      </w:r>
      <w:r w:rsidR="004D6F65">
        <w:rPr>
          <w:rFonts w:eastAsia="Calibri" w:cs="Times New Roman"/>
        </w:rPr>
        <w:t>i</w:t>
      </w:r>
      <w:r w:rsidRPr="00CE6E5F">
        <w:rPr>
          <w:rFonts w:eastAsia="Calibri" w:cs="Times New Roman"/>
        </w:rPr>
        <w:t xml:space="preserve"> (gali pasireikšti </w:t>
      </w:r>
      <w:r w:rsidR="003E7920">
        <w:rPr>
          <w:rFonts w:eastAsia="Calibri" w:cs="Times New Roman"/>
        </w:rPr>
        <w:t xml:space="preserve">dažniau </w:t>
      </w:r>
      <w:r w:rsidR="002F0A02">
        <w:rPr>
          <w:rFonts w:eastAsia="Calibri" w:cs="Times New Roman"/>
        </w:rPr>
        <w:t>kaip</w:t>
      </w:r>
      <w:r w:rsidRPr="00CE6E5F">
        <w:rPr>
          <w:rFonts w:eastAsia="Calibri" w:cs="Times New Roman"/>
        </w:rPr>
        <w:t xml:space="preserve"> 1 iš 10 000 infuzijų atvejų):</w:t>
      </w:r>
    </w:p>
    <w:p w14:paraId="5157ABAD" w14:textId="12F0486B" w:rsidR="003451F2" w:rsidRPr="00CE6E5F" w:rsidRDefault="005E2EEB" w:rsidP="00CE6E5F">
      <w:pPr>
        <w:pStyle w:val="Sraopastraipa"/>
        <w:numPr>
          <w:ilvl w:val="0"/>
          <w:numId w:val="36"/>
        </w:numPr>
      </w:pPr>
      <w:r>
        <w:t>svaigulys</w:t>
      </w:r>
      <w:r w:rsidR="003451F2" w:rsidRPr="00CE6E5F">
        <w:t>,</w:t>
      </w:r>
    </w:p>
    <w:p w14:paraId="2B61DA39" w14:textId="77777777" w:rsidR="00541E05" w:rsidRPr="00CE6E5F" w:rsidRDefault="003451F2" w:rsidP="00CE6E5F">
      <w:pPr>
        <w:pStyle w:val="Sraopastraipa"/>
        <w:numPr>
          <w:ilvl w:val="0"/>
          <w:numId w:val="36"/>
        </w:numPr>
      </w:pPr>
      <w:r w:rsidRPr="00CE6E5F">
        <w:t>pilvo skausmas,</w:t>
      </w:r>
    </w:p>
    <w:p w14:paraId="63FD9665" w14:textId="77777777" w:rsidR="00541E05" w:rsidRPr="00CE6E5F" w:rsidRDefault="003451F2" w:rsidP="00CE6E5F">
      <w:pPr>
        <w:pStyle w:val="Sraopastraipa"/>
        <w:numPr>
          <w:ilvl w:val="0"/>
          <w:numId w:val="36"/>
        </w:numPr>
      </w:pPr>
      <w:r w:rsidRPr="00CE6E5F">
        <w:t>pilvo pūtimas,</w:t>
      </w:r>
    </w:p>
    <w:p w14:paraId="127F8ACB" w14:textId="77777777" w:rsidR="00541E05" w:rsidRDefault="003451F2" w:rsidP="00CE6E5F">
      <w:pPr>
        <w:pStyle w:val="Sraopastraipa"/>
        <w:numPr>
          <w:ilvl w:val="0"/>
          <w:numId w:val="36"/>
        </w:numPr>
      </w:pPr>
      <w:r w:rsidRPr="00CE6E5F">
        <w:t>vėmimas,</w:t>
      </w:r>
    </w:p>
    <w:p w14:paraId="251A678C" w14:textId="68C9B3BB" w:rsidR="005E2EEB" w:rsidRPr="00CE6E5F" w:rsidRDefault="005E2EEB" w:rsidP="00CE6E5F">
      <w:pPr>
        <w:pStyle w:val="Sraopastraipa"/>
        <w:numPr>
          <w:ilvl w:val="0"/>
          <w:numId w:val="36"/>
        </w:numPr>
      </w:pPr>
      <w:r>
        <w:t>raugėjimas,</w:t>
      </w:r>
    </w:p>
    <w:p w14:paraId="41FC4904" w14:textId="77777777" w:rsidR="00541E05" w:rsidRDefault="003451F2" w:rsidP="00CE6E5F">
      <w:pPr>
        <w:pStyle w:val="Sraopastraipa"/>
        <w:numPr>
          <w:ilvl w:val="0"/>
          <w:numId w:val="36"/>
        </w:numPr>
      </w:pPr>
      <w:r w:rsidRPr="00CE6E5F">
        <w:t>raumenų skausmas,</w:t>
      </w:r>
    </w:p>
    <w:p w14:paraId="63AC54BE" w14:textId="7B6FFE3C" w:rsidR="005E2EEB" w:rsidRPr="00CE6E5F" w:rsidRDefault="005E2EEB" w:rsidP="00CE6E5F">
      <w:pPr>
        <w:pStyle w:val="Sraopastraipa"/>
        <w:numPr>
          <w:ilvl w:val="0"/>
          <w:numId w:val="36"/>
        </w:numPr>
      </w:pPr>
      <w:r>
        <w:t>sąnarių skausmas,</w:t>
      </w:r>
    </w:p>
    <w:p w14:paraId="0689EBEF" w14:textId="77777777" w:rsidR="00541E05" w:rsidRDefault="003451F2" w:rsidP="00CE6E5F">
      <w:pPr>
        <w:pStyle w:val="Sraopastraipa"/>
        <w:numPr>
          <w:ilvl w:val="0"/>
          <w:numId w:val="36"/>
        </w:numPr>
      </w:pPr>
      <w:r w:rsidRPr="00CE6E5F">
        <w:t>karščiavimas,</w:t>
      </w:r>
    </w:p>
    <w:p w14:paraId="393D60A7" w14:textId="762F72C9" w:rsidR="005E2EEB" w:rsidRDefault="005E2EEB" w:rsidP="00CE6E5F">
      <w:pPr>
        <w:pStyle w:val="Sraopastraipa"/>
        <w:numPr>
          <w:ilvl w:val="0"/>
          <w:numId w:val="36"/>
        </w:numPr>
      </w:pPr>
      <w:proofErr w:type="spellStart"/>
      <w:r>
        <w:t>šal</w:t>
      </w:r>
      <w:r w:rsidR="002F0A02">
        <w:t>tkrėtis</w:t>
      </w:r>
      <w:proofErr w:type="spellEnd"/>
      <w:r>
        <w:t>,</w:t>
      </w:r>
    </w:p>
    <w:p w14:paraId="5B6E24AB" w14:textId="3EC6FE1C" w:rsidR="005E2EEB" w:rsidRDefault="005E2EEB" w:rsidP="00CE6E5F">
      <w:pPr>
        <w:pStyle w:val="Sraopastraipa"/>
        <w:numPr>
          <w:ilvl w:val="0"/>
          <w:numId w:val="36"/>
        </w:numPr>
      </w:pPr>
      <w:r>
        <w:t>diskomfortas krūtinėje,</w:t>
      </w:r>
    </w:p>
    <w:p w14:paraId="5E5227A8" w14:textId="0FC69E85" w:rsidR="005E2EEB" w:rsidRDefault="005E2EEB" w:rsidP="00CE6E5F">
      <w:pPr>
        <w:pStyle w:val="Sraopastraipa"/>
        <w:numPr>
          <w:ilvl w:val="0"/>
          <w:numId w:val="36"/>
        </w:numPr>
      </w:pPr>
      <w:r>
        <w:t>į gripą panaši liga,</w:t>
      </w:r>
    </w:p>
    <w:p w14:paraId="1DF2A86B" w14:textId="7FED30AB" w:rsidR="005E2EEB" w:rsidRDefault="005E2EEB" w:rsidP="00CE6E5F">
      <w:pPr>
        <w:pStyle w:val="Sraopastraipa"/>
        <w:numPr>
          <w:ilvl w:val="0"/>
          <w:numId w:val="36"/>
        </w:numPr>
      </w:pPr>
      <w:r>
        <w:t>skausmas,</w:t>
      </w:r>
    </w:p>
    <w:p w14:paraId="0013AE22" w14:textId="16485BF2" w:rsidR="005E2EEB" w:rsidRPr="00CE6E5F" w:rsidRDefault="007C33DE" w:rsidP="00CE6E5F">
      <w:pPr>
        <w:pStyle w:val="Sraopastraipa"/>
        <w:numPr>
          <w:ilvl w:val="0"/>
          <w:numId w:val="36"/>
        </w:numPr>
      </w:pPr>
      <w:r>
        <w:t>bloga</w:t>
      </w:r>
      <w:r w:rsidR="007A2B38">
        <w:t xml:space="preserve"> </w:t>
      </w:r>
      <w:r w:rsidR="002A3B1B">
        <w:t xml:space="preserve">bendra </w:t>
      </w:r>
      <w:r w:rsidR="007A2B38">
        <w:t>savijauta,</w:t>
      </w:r>
    </w:p>
    <w:p w14:paraId="742CDC41" w14:textId="77777777" w:rsidR="00541E05" w:rsidRPr="00CE6E5F" w:rsidRDefault="003451F2" w:rsidP="00CE6E5F">
      <w:pPr>
        <w:pStyle w:val="Sraopastraipa"/>
        <w:numPr>
          <w:ilvl w:val="0"/>
          <w:numId w:val="36"/>
        </w:numPr>
      </w:pPr>
      <w:r w:rsidRPr="00CE6E5F">
        <w:t>teigiamas antikūnų tyrimo kraujyje rezultatas,</w:t>
      </w:r>
    </w:p>
    <w:p w14:paraId="23D19CA5" w14:textId="3A5894E0" w:rsidR="007A2B38" w:rsidRDefault="003451F2" w:rsidP="00CE6E5F">
      <w:pPr>
        <w:pStyle w:val="Sraopastraipa"/>
        <w:numPr>
          <w:ilvl w:val="0"/>
          <w:numId w:val="36"/>
        </w:numPr>
      </w:pPr>
      <w:r w:rsidRPr="00CE6E5F">
        <w:t>neįprasti kraujo tyrimų rezultatai, rodantys raudonųjų kraujo kūnelių irimą</w:t>
      </w:r>
      <w:r w:rsidR="007A2B38">
        <w:t>,</w:t>
      </w:r>
    </w:p>
    <w:p w14:paraId="48EA4DA1" w14:textId="77777777" w:rsidR="007A2B38" w:rsidRDefault="007A2B38" w:rsidP="00CE6E5F">
      <w:pPr>
        <w:pStyle w:val="Sraopastraipa"/>
        <w:numPr>
          <w:ilvl w:val="0"/>
          <w:numId w:val="36"/>
        </w:numPr>
      </w:pPr>
      <w:r>
        <w:t>padidėjęs hemoglobino kiekis,</w:t>
      </w:r>
    </w:p>
    <w:p w14:paraId="6BBF786C" w14:textId="77777777" w:rsidR="007A2B38" w:rsidRDefault="007A2B38" w:rsidP="00CE6E5F">
      <w:pPr>
        <w:pStyle w:val="Sraopastraipa"/>
        <w:numPr>
          <w:ilvl w:val="0"/>
          <w:numId w:val="36"/>
        </w:numPr>
      </w:pPr>
      <w:r>
        <w:t>padidėjęs kreatinino kiekis kraujyje,</w:t>
      </w:r>
    </w:p>
    <w:p w14:paraId="4085565C" w14:textId="77777777" w:rsidR="007A2B38" w:rsidRDefault="007A2B38" w:rsidP="00CE6E5F">
      <w:pPr>
        <w:pStyle w:val="Sraopastraipa"/>
        <w:numPr>
          <w:ilvl w:val="0"/>
          <w:numId w:val="36"/>
        </w:numPr>
      </w:pPr>
      <w:r>
        <w:t>bėrimas,</w:t>
      </w:r>
    </w:p>
    <w:p w14:paraId="35DCCE40" w14:textId="77777777" w:rsidR="007A2B38" w:rsidRDefault="007A2B38" w:rsidP="00CE6E5F">
      <w:pPr>
        <w:pStyle w:val="Sraopastraipa"/>
        <w:numPr>
          <w:ilvl w:val="0"/>
          <w:numId w:val="36"/>
        </w:numPr>
      </w:pPr>
      <w:r>
        <w:t>odos reakcijos,</w:t>
      </w:r>
    </w:p>
    <w:p w14:paraId="780A9ECC" w14:textId="15536D94" w:rsidR="003451F2" w:rsidRPr="00CE6E5F" w:rsidRDefault="007A2B38" w:rsidP="00CE6E5F">
      <w:pPr>
        <w:pStyle w:val="Sraopastraipa"/>
        <w:numPr>
          <w:ilvl w:val="0"/>
          <w:numId w:val="36"/>
        </w:numPr>
      </w:pPr>
      <w:r>
        <w:t xml:space="preserve">didelis </w:t>
      </w:r>
      <w:r w:rsidR="00127115">
        <w:t xml:space="preserve">tam tikrų </w:t>
      </w:r>
      <w:r>
        <w:t xml:space="preserve">kepenų fermentų, vadinamų </w:t>
      </w:r>
      <w:proofErr w:type="spellStart"/>
      <w:r>
        <w:t>transaminazėmis</w:t>
      </w:r>
      <w:proofErr w:type="spellEnd"/>
      <w:r>
        <w:t xml:space="preserve">, </w:t>
      </w:r>
      <w:r w:rsidR="002F0A02">
        <w:t>aktyvumas</w:t>
      </w:r>
      <w:r w:rsidR="003451F2" w:rsidRPr="00CE6E5F">
        <w:t>.</w:t>
      </w:r>
    </w:p>
    <w:p w14:paraId="4A7AFB9C" w14:textId="77777777" w:rsidR="003451F2" w:rsidRDefault="003451F2" w:rsidP="00E457A0">
      <w:pPr>
        <w:autoSpaceDE w:val="0"/>
        <w:autoSpaceDN w:val="0"/>
        <w:adjustRightInd w:val="0"/>
        <w:jc w:val="both"/>
        <w:rPr>
          <w:rFonts w:eastAsia="Calibri" w:cs="Times New Roman"/>
        </w:rPr>
      </w:pPr>
    </w:p>
    <w:p w14:paraId="64695166" w14:textId="52FCF79D" w:rsidR="007A2B38" w:rsidRPr="00AC5610" w:rsidRDefault="007C33DE" w:rsidP="00AC5610">
      <w:pPr>
        <w:tabs>
          <w:tab w:val="left" w:pos="0"/>
        </w:tabs>
        <w:rPr>
          <w:rFonts w:eastAsia="Calibri" w:cs="Times New Roman"/>
          <w:u w:val="single"/>
        </w:rPr>
      </w:pPr>
      <w:r w:rsidRPr="00AC5610">
        <w:rPr>
          <w:rFonts w:eastAsia="Calibri" w:cs="Times New Roman"/>
          <w:u w:val="single"/>
        </w:rPr>
        <w:t>Kitas</w:t>
      </w:r>
      <w:r w:rsidR="007A2B38" w:rsidRPr="00AC5610">
        <w:rPr>
          <w:rFonts w:eastAsia="Calibri" w:cs="Times New Roman"/>
          <w:u w:val="single"/>
        </w:rPr>
        <w:t xml:space="preserve"> šalutinis poveikis</w:t>
      </w:r>
      <w:r w:rsidRPr="00AC5610">
        <w:rPr>
          <w:rFonts w:eastAsia="Calibri" w:cs="Times New Roman"/>
          <w:u w:val="single"/>
        </w:rPr>
        <w:t>, kuris</w:t>
      </w:r>
      <w:r w:rsidR="007A2B38" w:rsidRPr="00AC5610">
        <w:rPr>
          <w:rFonts w:eastAsia="Calibri" w:cs="Times New Roman"/>
          <w:u w:val="single"/>
        </w:rPr>
        <w:t xml:space="preserve"> klinikinių tyrimų metu nepasireiškė, </w:t>
      </w:r>
      <w:r w:rsidR="00AA3840" w:rsidRPr="00AC5610">
        <w:rPr>
          <w:rFonts w:eastAsia="Calibri" w:cs="Times New Roman"/>
          <w:u w:val="single"/>
        </w:rPr>
        <w:t>tačiau</w:t>
      </w:r>
      <w:r w:rsidR="007A2B38" w:rsidRPr="00AC5610">
        <w:rPr>
          <w:rFonts w:eastAsia="Calibri" w:cs="Times New Roman"/>
          <w:u w:val="single"/>
        </w:rPr>
        <w:t xml:space="preserve"> </w:t>
      </w:r>
      <w:r w:rsidR="00AA3840" w:rsidRPr="00AC5610">
        <w:rPr>
          <w:rFonts w:eastAsia="Calibri" w:cs="Times New Roman"/>
          <w:u w:val="single"/>
        </w:rPr>
        <w:t xml:space="preserve">apie jį </w:t>
      </w:r>
      <w:r w:rsidRPr="00AC5610">
        <w:rPr>
          <w:rFonts w:eastAsia="Calibri" w:cs="Times New Roman"/>
          <w:u w:val="single"/>
        </w:rPr>
        <w:t xml:space="preserve">taip pat </w:t>
      </w:r>
      <w:r w:rsidR="00AA3840" w:rsidRPr="00AC5610">
        <w:rPr>
          <w:rFonts w:eastAsia="Calibri" w:cs="Times New Roman"/>
          <w:u w:val="single"/>
        </w:rPr>
        <w:t>gauta pranešimų</w:t>
      </w:r>
      <w:r w:rsidR="007A2B38" w:rsidRPr="00AC5610">
        <w:rPr>
          <w:rFonts w:eastAsia="Calibri" w:cs="Times New Roman"/>
          <w:u w:val="single"/>
        </w:rPr>
        <w:t>:</w:t>
      </w:r>
    </w:p>
    <w:p w14:paraId="3764960A" w14:textId="5C3966E8" w:rsidR="007A2B38" w:rsidRPr="00CE6E5F" w:rsidRDefault="00AA3840" w:rsidP="007A2B38">
      <w:pPr>
        <w:pStyle w:val="Sraopastraipa"/>
        <w:numPr>
          <w:ilvl w:val="0"/>
          <w:numId w:val="36"/>
        </w:numPr>
      </w:pPr>
      <w:r>
        <w:t>padidėjęs jautrumas (pvz., raudonė, dilgėlinė)</w:t>
      </w:r>
      <w:r w:rsidR="007A2B38" w:rsidRPr="00CE6E5F">
        <w:t>,</w:t>
      </w:r>
    </w:p>
    <w:p w14:paraId="28DCCB43" w14:textId="59A8E3F0" w:rsidR="007A2B38" w:rsidRPr="00CE6E5F" w:rsidRDefault="00AA3840" w:rsidP="007A2B38">
      <w:pPr>
        <w:pStyle w:val="Sraopastraipa"/>
        <w:numPr>
          <w:ilvl w:val="0"/>
          <w:numId w:val="36"/>
        </w:numPr>
      </w:pPr>
      <w:r>
        <w:t>padidėjęs kraujospūdis</w:t>
      </w:r>
      <w:r w:rsidR="007A2B38" w:rsidRPr="00CE6E5F">
        <w:t>,</w:t>
      </w:r>
    </w:p>
    <w:p w14:paraId="396E83B6" w14:textId="3C9F7140" w:rsidR="007A2B38" w:rsidRPr="00CE6E5F" w:rsidRDefault="00AA3840" w:rsidP="007A2B38">
      <w:pPr>
        <w:pStyle w:val="Sraopastraipa"/>
        <w:numPr>
          <w:ilvl w:val="0"/>
          <w:numId w:val="36"/>
        </w:numPr>
      </w:pPr>
      <w:r>
        <w:t>sutrikimai dėl kraujagyslėse susidariusių kraujo krešulių (pvz., giliųjų venų trombozė</w:t>
      </w:r>
      <w:r w:rsidR="007A2B38" w:rsidRPr="00CE6E5F">
        <w:t>,</w:t>
      </w:r>
      <w:r>
        <w:t xml:space="preserve"> insultas),</w:t>
      </w:r>
    </w:p>
    <w:p w14:paraId="5FBFA3B3" w14:textId="337CB833" w:rsidR="007A2B38" w:rsidRDefault="00AA3840" w:rsidP="007A2B38">
      <w:pPr>
        <w:pStyle w:val="Sraopastraipa"/>
        <w:numPr>
          <w:ilvl w:val="0"/>
          <w:numId w:val="36"/>
        </w:numPr>
      </w:pPr>
      <w:r>
        <w:t>kraujagysl</w:t>
      </w:r>
      <w:r w:rsidR="00C47EE4">
        <w:t xml:space="preserve">ių </w:t>
      </w:r>
      <w:proofErr w:type="spellStart"/>
      <w:r w:rsidR="00C47EE4">
        <w:t>trombai</w:t>
      </w:r>
      <w:proofErr w:type="spellEnd"/>
      <w:r>
        <w:t xml:space="preserve"> (taip pat žr. „Įspėjimai ir atsargumo priemonės“</w:t>
      </w:r>
      <w:r w:rsidR="00E57C24">
        <w:t xml:space="preserve"> </w:t>
      </w:r>
      <w:r w:rsidR="00E57C24" w:rsidRPr="00CE6E5F">
        <w:rPr>
          <w:rFonts w:eastAsia="Calibri" w:cs="Times New Roman"/>
        </w:rPr>
        <w:t>2 skyriuje</w:t>
      </w:r>
      <w:r w:rsidR="00E57C24">
        <w:rPr>
          <w:rFonts w:eastAsia="Calibri" w:cs="Times New Roman"/>
        </w:rPr>
        <w:t>)</w:t>
      </w:r>
      <w:r w:rsidR="007A2B38" w:rsidRPr="00CE6E5F">
        <w:t>,</w:t>
      </w:r>
    </w:p>
    <w:p w14:paraId="55F7E7E9" w14:textId="3D3341A5" w:rsidR="007A2B38" w:rsidRDefault="00E57C24" w:rsidP="007A2B38">
      <w:pPr>
        <w:pStyle w:val="Sraopastraipa"/>
        <w:numPr>
          <w:ilvl w:val="0"/>
          <w:numId w:val="36"/>
        </w:numPr>
      </w:pPr>
      <w:r>
        <w:t>niežėjimas</w:t>
      </w:r>
      <w:r w:rsidR="007A2B38">
        <w:t>,</w:t>
      </w:r>
    </w:p>
    <w:p w14:paraId="10A2889C" w14:textId="36A60248" w:rsidR="00E57C24" w:rsidRPr="00CE6E5F" w:rsidRDefault="00E57C24" w:rsidP="007A2B38">
      <w:pPr>
        <w:pStyle w:val="Sraopastraipa"/>
        <w:numPr>
          <w:ilvl w:val="0"/>
          <w:numId w:val="36"/>
        </w:numPr>
      </w:pPr>
      <w:r>
        <w:t>nugaros skausmas.</w:t>
      </w:r>
    </w:p>
    <w:p w14:paraId="174F5D80" w14:textId="77777777" w:rsidR="007A2B38" w:rsidRPr="00CE6E5F" w:rsidRDefault="007A2B38" w:rsidP="00E457A0">
      <w:pPr>
        <w:autoSpaceDE w:val="0"/>
        <w:autoSpaceDN w:val="0"/>
        <w:adjustRightInd w:val="0"/>
        <w:jc w:val="both"/>
        <w:rPr>
          <w:rFonts w:eastAsia="Calibri" w:cs="Times New Roman"/>
        </w:rPr>
      </w:pPr>
    </w:p>
    <w:p w14:paraId="6B13611E" w14:textId="658BAAAC" w:rsidR="003451F2" w:rsidRPr="00CE6E5F" w:rsidRDefault="003451F2" w:rsidP="00E457A0">
      <w:pPr>
        <w:autoSpaceDE w:val="0"/>
        <w:autoSpaceDN w:val="0"/>
        <w:adjustRightInd w:val="0"/>
        <w:jc w:val="both"/>
        <w:rPr>
          <w:rFonts w:eastAsia="Calibri" w:cs="Times New Roman"/>
          <w:u w:val="single"/>
        </w:rPr>
      </w:pPr>
      <w:r w:rsidRPr="00CE6E5F">
        <w:rPr>
          <w:rFonts w:eastAsia="Calibri" w:cs="Times New Roman"/>
          <w:u w:val="single"/>
        </w:rPr>
        <w:t>Šalutinis poveikis, nustatytas vartojant panaši</w:t>
      </w:r>
      <w:r w:rsidR="00B84948">
        <w:rPr>
          <w:rFonts w:eastAsia="Calibri" w:cs="Times New Roman"/>
          <w:u w:val="single"/>
        </w:rPr>
        <w:t>ų</w:t>
      </w:r>
      <w:r w:rsidRPr="00CE6E5F">
        <w:rPr>
          <w:rFonts w:eastAsia="Calibri" w:cs="Times New Roman"/>
          <w:u w:val="single"/>
        </w:rPr>
        <w:t xml:space="preserve"> vaist</w:t>
      </w:r>
      <w:r w:rsidR="00B84948">
        <w:rPr>
          <w:rFonts w:eastAsia="Calibri" w:cs="Times New Roman"/>
          <w:u w:val="single"/>
        </w:rPr>
        <w:t>ų</w:t>
      </w:r>
    </w:p>
    <w:p w14:paraId="6181A6BF" w14:textId="3A1F767B" w:rsidR="003451F2" w:rsidRPr="00CE6E5F" w:rsidRDefault="003451F2" w:rsidP="00CE6E5F">
      <w:pPr>
        <w:autoSpaceDE w:val="0"/>
        <w:autoSpaceDN w:val="0"/>
        <w:adjustRightInd w:val="0"/>
        <w:jc w:val="both"/>
        <w:rPr>
          <w:rFonts w:eastAsia="Times New Roman" w:cs="Times New Roman"/>
        </w:rPr>
      </w:pPr>
      <w:r w:rsidRPr="00CE6E5F">
        <w:rPr>
          <w:rFonts w:eastAsia="Calibri" w:cs="Times New Roman"/>
        </w:rPr>
        <w:t xml:space="preserve">Atliekant žmogaus normaliojo imunoglobulino </w:t>
      </w:r>
      <w:r w:rsidR="00B83EE6">
        <w:rPr>
          <w:rFonts w:eastAsia="Calibri" w:cs="Times New Roman"/>
        </w:rPr>
        <w:t xml:space="preserve">poodinę </w:t>
      </w:r>
      <w:r w:rsidRPr="00CE6E5F">
        <w:rPr>
          <w:rFonts w:eastAsia="Calibri" w:cs="Times New Roman"/>
        </w:rPr>
        <w:t xml:space="preserve">infuziją, pastebėtas </w:t>
      </w:r>
      <w:r w:rsidR="007C33DE">
        <w:rPr>
          <w:rFonts w:eastAsia="Calibri" w:cs="Times New Roman"/>
        </w:rPr>
        <w:t xml:space="preserve">papildomas </w:t>
      </w:r>
      <w:r w:rsidRPr="00CE6E5F">
        <w:rPr>
          <w:rFonts w:eastAsia="Calibri" w:cs="Times New Roman"/>
        </w:rPr>
        <w:t xml:space="preserve">toliau nurodytas šalutinis poveikis. </w:t>
      </w:r>
      <w:r w:rsidR="00B83EE6">
        <w:rPr>
          <w:rFonts w:eastAsia="Calibri" w:cs="Times New Roman"/>
        </w:rPr>
        <w:t>J</w:t>
      </w:r>
      <w:r w:rsidR="00B83EE6" w:rsidRPr="00CE6E5F">
        <w:rPr>
          <w:rFonts w:eastAsia="Calibri" w:cs="Times New Roman"/>
        </w:rPr>
        <w:t xml:space="preserve">is </w:t>
      </w:r>
      <w:r w:rsidRPr="00CE6E5F">
        <w:rPr>
          <w:rFonts w:eastAsia="Calibri" w:cs="Times New Roman"/>
        </w:rPr>
        <w:t xml:space="preserve">gali pasireikšti </w:t>
      </w:r>
      <w:r w:rsidR="00541E05" w:rsidRPr="00CE6E5F">
        <w:rPr>
          <w:rFonts w:eastAsia="Calibri" w:cs="Times New Roman"/>
        </w:rPr>
        <w:t>kai kuriems</w:t>
      </w:r>
      <w:r w:rsidRPr="00CE6E5F">
        <w:rPr>
          <w:rFonts w:eastAsia="Calibri" w:cs="Times New Roman"/>
        </w:rPr>
        <w:t xml:space="preserve">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xml:space="preserve"> vartojantiems </w:t>
      </w:r>
      <w:r w:rsidR="00B84948">
        <w:rPr>
          <w:rFonts w:eastAsia="Calibri" w:cs="Times New Roman"/>
        </w:rPr>
        <w:t>pacientams</w:t>
      </w:r>
      <w:r w:rsidRPr="00CE6E5F">
        <w:rPr>
          <w:rFonts w:eastAsia="Calibri" w:cs="Times New Roman"/>
        </w:rPr>
        <w:t>:</w:t>
      </w:r>
    </w:p>
    <w:p w14:paraId="45E6C820" w14:textId="64111909" w:rsidR="003451F2" w:rsidRPr="00CE6E5F" w:rsidRDefault="00B84948" w:rsidP="00CE6E5F">
      <w:pPr>
        <w:pStyle w:val="Sraopastraipa"/>
        <w:numPr>
          <w:ilvl w:val="0"/>
          <w:numId w:val="36"/>
        </w:numPr>
      </w:pPr>
      <w:r>
        <w:t>drebulys</w:t>
      </w:r>
      <w:r w:rsidR="003451F2" w:rsidRPr="00CE6E5F">
        <w:t>,</w:t>
      </w:r>
    </w:p>
    <w:p w14:paraId="41984C31" w14:textId="77777777" w:rsidR="003451F2" w:rsidRPr="00CE6E5F" w:rsidRDefault="00B83EE6" w:rsidP="00CE6E5F">
      <w:pPr>
        <w:pStyle w:val="Sraopastraipa"/>
        <w:numPr>
          <w:ilvl w:val="0"/>
          <w:numId w:val="36"/>
        </w:numPr>
      </w:pPr>
      <w:r>
        <w:t>išbalimas</w:t>
      </w:r>
      <w:r w:rsidR="003451F2" w:rsidRPr="00CE6E5F">
        <w:t xml:space="preserve">, </w:t>
      </w:r>
    </w:p>
    <w:p w14:paraId="0AAFC21B" w14:textId="77777777" w:rsidR="003451F2" w:rsidRPr="00CE6E5F" w:rsidRDefault="003451F2" w:rsidP="00CE6E5F">
      <w:pPr>
        <w:pStyle w:val="Sraopastraipa"/>
        <w:numPr>
          <w:ilvl w:val="0"/>
          <w:numId w:val="36"/>
        </w:numPr>
      </w:pPr>
      <w:r w:rsidRPr="00CE6E5F">
        <w:t>viduriavimas,</w:t>
      </w:r>
    </w:p>
    <w:p w14:paraId="7F569EC2" w14:textId="77777777" w:rsidR="003451F2" w:rsidRPr="00CE6E5F" w:rsidRDefault="00B83EE6" w:rsidP="00CE6E5F">
      <w:pPr>
        <w:pStyle w:val="Sraopastraipa"/>
        <w:numPr>
          <w:ilvl w:val="0"/>
          <w:numId w:val="36"/>
        </w:numPr>
      </w:pPr>
      <w:r>
        <w:t>skausmas</w:t>
      </w:r>
      <w:r w:rsidRPr="00CE6E5F">
        <w:t xml:space="preserve"> in</w:t>
      </w:r>
      <w:r>
        <w:t>jekci</w:t>
      </w:r>
      <w:r w:rsidRPr="00CE6E5F">
        <w:t xml:space="preserve">jos </w:t>
      </w:r>
      <w:r w:rsidR="003451F2" w:rsidRPr="00CE6E5F">
        <w:t>vietoje,</w:t>
      </w:r>
    </w:p>
    <w:p w14:paraId="3915863E" w14:textId="77777777" w:rsidR="003451F2" w:rsidRDefault="00B83EE6" w:rsidP="00CE6E5F">
      <w:pPr>
        <w:pStyle w:val="Sraopastraipa"/>
        <w:numPr>
          <w:ilvl w:val="0"/>
          <w:numId w:val="36"/>
        </w:numPr>
      </w:pPr>
      <w:r>
        <w:lastRenderedPageBreak/>
        <w:t>greitas kaklo ar veido srities paraudimas</w:t>
      </w:r>
      <w:r w:rsidR="003451F2" w:rsidRPr="00CE6E5F">
        <w:t>,</w:t>
      </w:r>
    </w:p>
    <w:p w14:paraId="09CBC57A" w14:textId="77777777" w:rsidR="00B83EE6" w:rsidRPr="00CE6E5F" w:rsidRDefault="00B83EE6" w:rsidP="00CE6E5F">
      <w:pPr>
        <w:pStyle w:val="Sraopastraipa"/>
        <w:numPr>
          <w:ilvl w:val="0"/>
          <w:numId w:val="36"/>
        </w:numPr>
      </w:pPr>
      <w:r>
        <w:t>karščio pojūtis,</w:t>
      </w:r>
    </w:p>
    <w:p w14:paraId="6963A1B3" w14:textId="77777777" w:rsidR="003451F2" w:rsidRPr="00CE6E5F" w:rsidRDefault="003451F2" w:rsidP="00CE6E5F">
      <w:pPr>
        <w:pStyle w:val="Sraopastraipa"/>
        <w:numPr>
          <w:ilvl w:val="0"/>
          <w:numId w:val="36"/>
        </w:numPr>
      </w:pPr>
      <w:r w:rsidRPr="00CE6E5F">
        <w:t>šalčio pojūtis,</w:t>
      </w:r>
    </w:p>
    <w:p w14:paraId="2E3F3BB3" w14:textId="77777777" w:rsidR="003451F2" w:rsidRDefault="00B83EE6" w:rsidP="00CE6E5F">
      <w:pPr>
        <w:pStyle w:val="Sraopastraipa"/>
        <w:numPr>
          <w:ilvl w:val="0"/>
          <w:numId w:val="36"/>
        </w:numPr>
      </w:pPr>
      <w:r>
        <w:t>silpnumas</w:t>
      </w:r>
      <w:r w:rsidR="003451F2" w:rsidRPr="00CE6E5F">
        <w:t>,</w:t>
      </w:r>
    </w:p>
    <w:p w14:paraId="700608C2" w14:textId="77777777" w:rsidR="003451F2" w:rsidRPr="00CE6E5F" w:rsidRDefault="00B83EE6" w:rsidP="00CE6E5F">
      <w:pPr>
        <w:pStyle w:val="Sraopastraipa"/>
        <w:numPr>
          <w:ilvl w:val="0"/>
          <w:numId w:val="36"/>
        </w:numPr>
      </w:pPr>
      <w:r>
        <w:t>gerklės skausmas</w:t>
      </w:r>
      <w:r w:rsidR="003451F2" w:rsidRPr="00CE6E5F">
        <w:t>,</w:t>
      </w:r>
    </w:p>
    <w:p w14:paraId="328AF343" w14:textId="77777777" w:rsidR="003451F2" w:rsidRPr="00CE6E5F" w:rsidRDefault="00B83EE6" w:rsidP="00CE6E5F">
      <w:pPr>
        <w:pStyle w:val="Sraopastraipa"/>
        <w:numPr>
          <w:ilvl w:val="0"/>
          <w:numId w:val="36"/>
        </w:numPr>
      </w:pPr>
      <w:r>
        <w:t>kvėp</w:t>
      </w:r>
      <w:r w:rsidR="00AD6D0F">
        <w:t>avimo sunkumai</w:t>
      </w:r>
      <w:r w:rsidR="003451F2" w:rsidRPr="00CE6E5F">
        <w:t>,</w:t>
      </w:r>
    </w:p>
    <w:p w14:paraId="17A323B0" w14:textId="77777777" w:rsidR="003451F2" w:rsidRPr="00CE6E5F" w:rsidRDefault="003451F2" w:rsidP="00CE6E5F">
      <w:pPr>
        <w:pStyle w:val="Sraopastraipa"/>
        <w:numPr>
          <w:ilvl w:val="0"/>
          <w:numId w:val="36"/>
        </w:numPr>
      </w:pPr>
      <w:r w:rsidRPr="00CE6E5F">
        <w:t>į astmą panašūs simptomai,</w:t>
      </w:r>
    </w:p>
    <w:p w14:paraId="689CE250" w14:textId="77777777" w:rsidR="003451F2" w:rsidRPr="00CE6E5F" w:rsidRDefault="003451F2" w:rsidP="00CE6E5F">
      <w:pPr>
        <w:pStyle w:val="Sraopastraipa"/>
        <w:numPr>
          <w:ilvl w:val="0"/>
          <w:numId w:val="36"/>
        </w:numPr>
      </w:pPr>
      <w:r w:rsidRPr="00CE6E5F">
        <w:t xml:space="preserve">kosulys, </w:t>
      </w:r>
    </w:p>
    <w:p w14:paraId="65A30CEC" w14:textId="77777777" w:rsidR="003451F2" w:rsidRPr="00CE6E5F" w:rsidRDefault="003451F2" w:rsidP="00CE6E5F">
      <w:pPr>
        <w:pStyle w:val="Sraopastraipa"/>
        <w:numPr>
          <w:ilvl w:val="0"/>
          <w:numId w:val="36"/>
        </w:numPr>
      </w:pPr>
      <w:r w:rsidRPr="00CE6E5F">
        <w:t>veido patinimas,</w:t>
      </w:r>
    </w:p>
    <w:p w14:paraId="527293F2" w14:textId="0A7A12C0" w:rsidR="00AD6D0F" w:rsidRPr="00CE6E5F" w:rsidRDefault="00AD6D0F" w:rsidP="00C47EE4">
      <w:pPr>
        <w:pStyle w:val="Sraopastraipa"/>
        <w:numPr>
          <w:ilvl w:val="0"/>
          <w:numId w:val="36"/>
        </w:numPr>
      </w:pPr>
      <w:proofErr w:type="spellStart"/>
      <w:r>
        <w:t>aseptiniu</w:t>
      </w:r>
      <w:proofErr w:type="spellEnd"/>
      <w:r>
        <w:t xml:space="preserve"> meningitu vadinamas sindromas (taip pat žr. 2 skyrių „Įspėjimai ir atsargumo priemonės“).</w:t>
      </w:r>
    </w:p>
    <w:p w14:paraId="10A2904C" w14:textId="77777777" w:rsidR="003451F2" w:rsidRPr="00CE6E5F" w:rsidRDefault="003451F2" w:rsidP="00CE6E5F">
      <w:pPr>
        <w:autoSpaceDE w:val="0"/>
        <w:autoSpaceDN w:val="0"/>
        <w:adjustRightInd w:val="0"/>
        <w:jc w:val="both"/>
        <w:rPr>
          <w:rFonts w:eastAsia="Times New Roman" w:cs="Times New Roman"/>
        </w:rPr>
      </w:pPr>
    </w:p>
    <w:p w14:paraId="47865DDE" w14:textId="77777777" w:rsidR="003451F2" w:rsidRPr="00CE6E5F" w:rsidRDefault="003451F2" w:rsidP="00CE6E5F">
      <w:pPr>
        <w:tabs>
          <w:tab w:val="left" w:pos="567"/>
        </w:tabs>
        <w:jc w:val="both"/>
        <w:rPr>
          <w:rFonts w:eastAsia="Calibri" w:cs="Times New Roman"/>
        </w:rPr>
      </w:pPr>
      <w:r w:rsidRPr="00CE6E5F">
        <w:rPr>
          <w:rFonts w:eastAsia="Calibri" w:cs="Times New Roman"/>
        </w:rPr>
        <w:t xml:space="preserve">Jei jums pasireiškė bet kokie iš toliau nurodytų simptomų, nedelsdami pasakykite gydytojui. Tai gali būti sunkaus sutrikimo požymiai: </w:t>
      </w:r>
    </w:p>
    <w:p w14:paraId="08CBF893" w14:textId="347E09F0" w:rsidR="003451F2" w:rsidRPr="00CE6E5F" w:rsidRDefault="003451F2" w:rsidP="00CE6E5F">
      <w:pPr>
        <w:pStyle w:val="Sraopastraipa"/>
        <w:numPr>
          <w:ilvl w:val="0"/>
          <w:numId w:val="36"/>
        </w:numPr>
      </w:pPr>
      <w:r w:rsidRPr="00CE6E5F">
        <w:t>S</w:t>
      </w:r>
      <w:r w:rsidR="00755B8E">
        <w:t>tiprus</w:t>
      </w:r>
      <w:r w:rsidRPr="00CE6E5F">
        <w:t xml:space="preserve"> galvos skausmas su pykinimu, vėmimu, kaklo </w:t>
      </w:r>
      <w:proofErr w:type="spellStart"/>
      <w:r w:rsidRPr="00CE6E5F">
        <w:t>nejudrumu</w:t>
      </w:r>
      <w:proofErr w:type="spellEnd"/>
      <w:r w:rsidRPr="00CE6E5F">
        <w:t>, karščiavimu ir jautrumu</w:t>
      </w:r>
      <w:r w:rsidR="00541E05" w:rsidRPr="00CE6E5F">
        <w:t xml:space="preserve"> </w:t>
      </w:r>
      <w:r w:rsidRPr="00CE6E5F">
        <w:t>šviesai. Tai gali būti laikino ir grįžtamo neinfekcinio galvos ir nugaros smegenis supančių membranų patinimo (meningito) požymiai.</w:t>
      </w:r>
    </w:p>
    <w:p w14:paraId="140BDA99" w14:textId="77777777" w:rsidR="003451F2" w:rsidRPr="00CE6E5F" w:rsidRDefault="003451F2" w:rsidP="00CE6E5F">
      <w:pPr>
        <w:pStyle w:val="Sraopastraipa"/>
        <w:numPr>
          <w:ilvl w:val="0"/>
          <w:numId w:val="36"/>
        </w:numPr>
      </w:pPr>
      <w:r w:rsidRPr="00CE6E5F">
        <w:t>Skausmas, tinimas, šiluma, paraudimas arba gumbas kojose arba rankose, nepaaiškinamas dusulys, krūtinės skausmas arba nepatogumas, kuris pablogėja giliai įkvėpus, nepaaiškinamas greitas pulsas, vienos kūno pusės tirpimas arba silpnumas, staigus sumišimas arba sunkumas kalbėti. Tai gali būti kraujo krešulio požymiai.</w:t>
      </w:r>
    </w:p>
    <w:p w14:paraId="25CDE617" w14:textId="77777777" w:rsidR="003451F2" w:rsidRPr="00CE6E5F" w:rsidRDefault="003451F2" w:rsidP="00E457A0">
      <w:pPr>
        <w:numPr>
          <w:ilvl w:val="12"/>
          <w:numId w:val="0"/>
        </w:numPr>
        <w:ind w:right="-2"/>
        <w:jc w:val="both"/>
        <w:rPr>
          <w:rFonts w:eastAsia="Times New Roman" w:cs="Times New Roman"/>
        </w:rPr>
      </w:pPr>
    </w:p>
    <w:p w14:paraId="6700D745" w14:textId="77777777" w:rsidR="003451F2" w:rsidRPr="00CE6E5F" w:rsidRDefault="003451F2" w:rsidP="00CE6E5F">
      <w:pPr>
        <w:numPr>
          <w:ilvl w:val="12"/>
          <w:numId w:val="0"/>
        </w:numPr>
        <w:jc w:val="both"/>
        <w:rPr>
          <w:rFonts w:eastAsia="Times New Roman" w:cs="Times New Roman"/>
        </w:rPr>
      </w:pPr>
      <w:r w:rsidRPr="00CE6E5F">
        <w:rPr>
          <w:rFonts w:eastAsia="Times New Roman" w:cs="Times New Roman"/>
        </w:rPr>
        <w:t>Tokie šalutinio poveikio reiškiniai galimi net jei anksčiau gydėtės žmogaus imunoglobulinu ir jį gerai toleravote.</w:t>
      </w:r>
    </w:p>
    <w:p w14:paraId="264F66E2" w14:textId="77777777" w:rsidR="003451F2" w:rsidRPr="00CE6E5F" w:rsidRDefault="003451F2" w:rsidP="00E457A0">
      <w:pPr>
        <w:numPr>
          <w:ilvl w:val="12"/>
          <w:numId w:val="0"/>
        </w:numPr>
        <w:ind w:right="-2"/>
        <w:jc w:val="both"/>
        <w:rPr>
          <w:rFonts w:eastAsia="Times New Roman" w:cs="Times New Roman"/>
        </w:rPr>
      </w:pPr>
      <w:r w:rsidRPr="00CE6E5F">
        <w:rPr>
          <w:rFonts w:eastAsia="Times New Roman" w:cs="Times New Roman"/>
        </w:rPr>
        <w:t>Papildomos informacijos apie aplinkybes, kurios padidina šalutinio poveikio riziką, rasite 2 skyriuje.</w:t>
      </w:r>
    </w:p>
    <w:p w14:paraId="4F2AA665" w14:textId="77777777" w:rsidR="003451F2" w:rsidRPr="00CE6E5F" w:rsidRDefault="003451F2" w:rsidP="00E457A0">
      <w:pPr>
        <w:numPr>
          <w:ilvl w:val="12"/>
          <w:numId w:val="0"/>
        </w:numPr>
        <w:ind w:right="-2"/>
        <w:jc w:val="both"/>
        <w:rPr>
          <w:rFonts w:eastAsia="Times New Roman" w:cs="Times New Roman"/>
        </w:rPr>
      </w:pPr>
    </w:p>
    <w:p w14:paraId="323E56AC" w14:textId="77777777" w:rsidR="003451F2" w:rsidRPr="00CE6E5F" w:rsidRDefault="003451F2" w:rsidP="00CE6E5F">
      <w:pPr>
        <w:tabs>
          <w:tab w:val="left" w:pos="567"/>
        </w:tabs>
        <w:jc w:val="both"/>
        <w:rPr>
          <w:rFonts w:eastAsia="Times New Roman" w:cs="Times New Roman"/>
          <w:b/>
        </w:rPr>
      </w:pPr>
      <w:r w:rsidRPr="00CE6E5F">
        <w:rPr>
          <w:rFonts w:eastAsia="Times New Roman" w:cs="Times New Roman"/>
          <w:b/>
          <w:bCs/>
        </w:rPr>
        <w:t>Pranešimas apie šalutinį poveikį</w:t>
      </w:r>
    </w:p>
    <w:p w14:paraId="1C8FC021" w14:textId="03A9F96A" w:rsidR="00965CA5" w:rsidRPr="005D554B" w:rsidRDefault="00A650CB" w:rsidP="00965CA5">
      <w:pPr>
        <w:tabs>
          <w:tab w:val="left" w:pos="567"/>
        </w:tabs>
        <w:spacing w:line="260" w:lineRule="exact"/>
        <w:ind w:right="-1"/>
        <w:rPr>
          <w:snapToGrid w:val="0"/>
        </w:rPr>
      </w:pPr>
      <w:r w:rsidRPr="00CE6E5F">
        <w:rPr>
          <w:rFonts w:eastAsia="Verdana" w:cs="Times New Roman"/>
        </w:rPr>
        <w:t xml:space="preserve">Jeigu pasireiškė šalutinis poveikis, įskaitant šiame lapelyje nenurodytą, pasakykite gydytojui </w:t>
      </w:r>
      <w:r w:rsidR="00AF2A8B">
        <w:rPr>
          <w:rFonts w:eastAsia="Verdana" w:cs="Times New Roman"/>
        </w:rPr>
        <w:t xml:space="preserve">arba </w:t>
      </w:r>
      <w:r w:rsidRPr="00CE6E5F">
        <w:rPr>
          <w:rFonts w:eastAsia="Verdana" w:cs="Times New Roman"/>
        </w:rPr>
        <w:t xml:space="preserve">vaistininkui. </w:t>
      </w:r>
      <w:bookmarkStart w:id="6" w:name="_Hlk88725557"/>
      <w:r w:rsidR="00965CA5" w:rsidRPr="00DA084F">
        <w:rPr>
          <w:snapToGrid w:val="0"/>
        </w:rPr>
        <w:t xml:space="preserve">Pranešimą apie šalutinį poveikį galite </w:t>
      </w:r>
      <w:r w:rsidR="00706C34" w:rsidRPr="00AE36BE">
        <w:rPr>
          <w:rFonts w:eastAsia="Times New Roman"/>
          <w:snapToGrid w:val="0"/>
        </w:rPr>
        <w:t xml:space="preserve">užpildyti ir pateikti Valstybinės vaistų kontrolės tarnybos prie Lietuvos Respublikos sveikatos apsaugos ministerijos tinklalapyje </w:t>
      </w:r>
      <w:r w:rsidR="00706C34" w:rsidRPr="00AE36BE">
        <w:rPr>
          <w:rFonts w:eastAsia="Times New Roman"/>
          <w:snapToGrid w:val="0"/>
          <w:u w:val="single"/>
        </w:rPr>
        <w:t>https://vvkt.lrv.lt/lt/</w:t>
      </w:r>
      <w:r w:rsidR="00706C34" w:rsidRPr="00AE36BE">
        <w:rPr>
          <w:rFonts w:eastAsia="Times New Roman"/>
          <w:snapToGrid w:val="0"/>
        </w:rPr>
        <w:t xml:space="preserve"> nurodytais būdais</w:t>
      </w:r>
      <w:r w:rsidR="00965CA5" w:rsidRPr="00DA084F">
        <w:rPr>
          <w:snapToGrid w:val="0"/>
        </w:rPr>
        <w:t xml:space="preserve"> arba nemokamu telefonu 8 800 73 568. Pranešdami apie šalutinį poveikį galite mums padėti gauti daugiau informacijos apie šio vaisto saugumą</w:t>
      </w:r>
      <w:bookmarkEnd w:id="6"/>
      <w:r w:rsidR="00965CA5" w:rsidRPr="00DA084F">
        <w:rPr>
          <w:snapToGrid w:val="0"/>
        </w:rPr>
        <w:t>.</w:t>
      </w:r>
    </w:p>
    <w:p w14:paraId="51CA7BF1" w14:textId="77777777" w:rsidR="003451F2" w:rsidRDefault="003451F2" w:rsidP="00965CA5">
      <w:pPr>
        <w:numPr>
          <w:ilvl w:val="12"/>
          <w:numId w:val="0"/>
        </w:numPr>
        <w:rPr>
          <w:rFonts w:eastAsia="Times New Roman" w:cs="Times New Roman"/>
        </w:rPr>
      </w:pPr>
    </w:p>
    <w:p w14:paraId="6001B11A" w14:textId="77777777" w:rsidR="00B551F6" w:rsidRPr="00CE6E5F" w:rsidRDefault="00B551F6" w:rsidP="00E457A0">
      <w:pPr>
        <w:numPr>
          <w:ilvl w:val="12"/>
          <w:numId w:val="0"/>
        </w:numPr>
        <w:ind w:right="-2"/>
        <w:jc w:val="both"/>
        <w:rPr>
          <w:rFonts w:eastAsia="Times New Roman" w:cs="Times New Roman"/>
        </w:rPr>
      </w:pPr>
    </w:p>
    <w:p w14:paraId="3BF42982" w14:textId="77777777" w:rsidR="003451F2" w:rsidRPr="00CE6E5F" w:rsidRDefault="003451F2" w:rsidP="00CE6E5F">
      <w:pPr>
        <w:pStyle w:val="Antrat1"/>
        <w:rPr>
          <w:b w:val="0"/>
        </w:rPr>
      </w:pPr>
      <w:r w:rsidRPr="00CE6E5F">
        <w:t>5.</w:t>
      </w:r>
      <w:r w:rsidRPr="00CE6E5F">
        <w:tab/>
        <w:t xml:space="preserve">Kaip laikyti </w:t>
      </w:r>
      <w:proofErr w:type="spellStart"/>
      <w:r w:rsidR="00242227">
        <w:t>c</w:t>
      </w:r>
      <w:r w:rsidRPr="00CE6E5F">
        <w:t>utaquig</w:t>
      </w:r>
      <w:proofErr w:type="spellEnd"/>
    </w:p>
    <w:p w14:paraId="20E92BC2" w14:textId="77777777" w:rsidR="003451F2" w:rsidRPr="00CE6E5F" w:rsidRDefault="003451F2" w:rsidP="00E457A0">
      <w:pPr>
        <w:numPr>
          <w:ilvl w:val="12"/>
          <w:numId w:val="0"/>
        </w:numPr>
        <w:ind w:right="-2"/>
        <w:jc w:val="both"/>
        <w:rPr>
          <w:rFonts w:eastAsia="Times New Roman" w:cs="Times New Roman"/>
        </w:rPr>
      </w:pPr>
    </w:p>
    <w:p w14:paraId="2C40688D" w14:textId="77777777" w:rsidR="003451F2" w:rsidRPr="00CE6E5F" w:rsidRDefault="003451F2" w:rsidP="00E457A0">
      <w:pPr>
        <w:numPr>
          <w:ilvl w:val="12"/>
          <w:numId w:val="0"/>
        </w:numPr>
        <w:ind w:right="-2"/>
        <w:jc w:val="both"/>
        <w:rPr>
          <w:rFonts w:eastAsia="Times New Roman" w:cs="Times New Roman"/>
        </w:rPr>
      </w:pPr>
      <w:r w:rsidRPr="00CE6E5F">
        <w:rPr>
          <w:rFonts w:eastAsia="Times New Roman" w:cs="Times New Roman"/>
        </w:rPr>
        <w:t>Šį vaistą laikykite vaikams nepastebimoje ir nepasiekiamoje vietoje.</w:t>
      </w:r>
    </w:p>
    <w:p w14:paraId="3DF7B01B" w14:textId="77777777" w:rsidR="003451F2" w:rsidRPr="00CE6E5F" w:rsidRDefault="003451F2" w:rsidP="00E457A0">
      <w:pPr>
        <w:numPr>
          <w:ilvl w:val="12"/>
          <w:numId w:val="0"/>
        </w:numPr>
        <w:ind w:right="-2"/>
        <w:jc w:val="both"/>
        <w:rPr>
          <w:rFonts w:eastAsia="Times New Roman" w:cs="Times New Roman"/>
          <w:highlight w:val="cyan"/>
        </w:rPr>
      </w:pPr>
    </w:p>
    <w:p w14:paraId="622BCF34" w14:textId="77777777" w:rsidR="003451F2" w:rsidRPr="00CE6E5F" w:rsidRDefault="003451F2" w:rsidP="00E457A0">
      <w:pPr>
        <w:numPr>
          <w:ilvl w:val="12"/>
          <w:numId w:val="0"/>
        </w:numPr>
        <w:ind w:right="-2"/>
        <w:jc w:val="both"/>
        <w:rPr>
          <w:rFonts w:eastAsia="Times New Roman" w:cs="Times New Roman"/>
        </w:rPr>
      </w:pPr>
      <w:r w:rsidRPr="00CE6E5F">
        <w:rPr>
          <w:rFonts w:eastAsia="Times New Roman" w:cs="Times New Roman"/>
        </w:rPr>
        <w:t>Ant etiketės ir dėžutės po „</w:t>
      </w:r>
      <w:r w:rsidR="00E63F2F">
        <w:rPr>
          <w:rFonts w:eastAsia="Times New Roman" w:cs="Times New Roman"/>
        </w:rPr>
        <w:t>EXP</w:t>
      </w:r>
      <w:r w:rsidRPr="00CE6E5F">
        <w:rPr>
          <w:rFonts w:eastAsia="Times New Roman" w:cs="Times New Roman"/>
        </w:rPr>
        <w:t>“ nurodytam tinkamumo laikui pasibaigus, šio vaisto vartoti negalima. Vaistas tinkamas vartoti iki paskutinės nurodyto mėnesio dienos.</w:t>
      </w:r>
    </w:p>
    <w:p w14:paraId="45B8DE19" w14:textId="77777777" w:rsidR="003451F2" w:rsidRPr="00CE6E5F" w:rsidRDefault="003451F2" w:rsidP="00E457A0">
      <w:pPr>
        <w:numPr>
          <w:ilvl w:val="12"/>
          <w:numId w:val="0"/>
        </w:numPr>
        <w:ind w:right="-2"/>
        <w:jc w:val="both"/>
        <w:rPr>
          <w:rFonts w:eastAsia="Times New Roman" w:cs="Times New Roman"/>
        </w:rPr>
      </w:pPr>
    </w:p>
    <w:p w14:paraId="602D479C" w14:textId="77777777" w:rsidR="003451F2" w:rsidRPr="00CE6E5F" w:rsidRDefault="003451F2" w:rsidP="00E457A0">
      <w:pPr>
        <w:numPr>
          <w:ilvl w:val="12"/>
          <w:numId w:val="0"/>
        </w:numPr>
        <w:ind w:right="-2"/>
        <w:jc w:val="both"/>
        <w:rPr>
          <w:rFonts w:eastAsia="Times New Roman" w:cs="Times New Roman"/>
          <w:i/>
          <w:color w:val="538135"/>
          <w:highlight w:val="yellow"/>
        </w:rPr>
      </w:pPr>
      <w:r w:rsidRPr="00CE6E5F">
        <w:rPr>
          <w:rFonts w:eastAsia="Times New Roman" w:cs="Times New Roman"/>
        </w:rPr>
        <w:t>Laikyti šaldytuve (2 °C – 8 </w:t>
      </w:r>
      <w:r w:rsidRPr="00CE6E5F">
        <w:rPr>
          <w:rFonts w:eastAsia="Times New Roman" w:cs="Times New Roman"/>
        </w:rPr>
        <w:sym w:font="Symbol" w:char="F0B0"/>
      </w:r>
      <w:r w:rsidRPr="00CE6E5F">
        <w:rPr>
          <w:rFonts w:eastAsia="Times New Roman" w:cs="Times New Roman"/>
        </w:rPr>
        <w:t>C). Negalima užšaldyti. Flakoną laikyti išorinėje dėžutėje, kad vaistas būtų apsaugotas nuo šviesos.</w:t>
      </w:r>
    </w:p>
    <w:p w14:paraId="44212668" w14:textId="77777777" w:rsidR="003451F2" w:rsidRPr="00CE6E5F" w:rsidRDefault="003451F2" w:rsidP="00E457A0">
      <w:pPr>
        <w:numPr>
          <w:ilvl w:val="12"/>
          <w:numId w:val="0"/>
        </w:numPr>
        <w:ind w:right="-2"/>
        <w:jc w:val="both"/>
        <w:rPr>
          <w:rFonts w:eastAsia="Times New Roman" w:cs="Times New Roman"/>
          <w:i/>
          <w:highlight w:val="yellow"/>
        </w:rPr>
      </w:pPr>
    </w:p>
    <w:p w14:paraId="46CB2B7D" w14:textId="4B2E0E2B" w:rsidR="0085419E" w:rsidRPr="00097045" w:rsidRDefault="0085419E" w:rsidP="00C020BF">
      <w:pPr>
        <w:pStyle w:val="Default"/>
        <w:rPr>
          <w:rFonts w:eastAsia="Times New Roman"/>
          <w:lang w:val="lt-LT"/>
        </w:rPr>
      </w:pPr>
      <w:r>
        <w:rPr>
          <w:sz w:val="22"/>
          <w:szCs w:val="22"/>
          <w:lang w:val="lt-LT"/>
        </w:rPr>
        <w:t>Vaistą</w:t>
      </w:r>
      <w:r w:rsidRPr="00BD0882">
        <w:rPr>
          <w:sz w:val="22"/>
          <w:szCs w:val="22"/>
          <w:lang w:val="lt-LT"/>
        </w:rPr>
        <w:t xml:space="preserve"> iki tinkamumo laiko pabaigos </w:t>
      </w:r>
      <w:r>
        <w:rPr>
          <w:sz w:val="22"/>
          <w:szCs w:val="22"/>
          <w:lang w:val="lt-LT"/>
        </w:rPr>
        <w:t>kambario temperatūroje (</w:t>
      </w:r>
      <w:r w:rsidRPr="00BD0882">
        <w:rPr>
          <w:sz w:val="22"/>
          <w:szCs w:val="22"/>
          <w:lang w:val="lt-LT"/>
        </w:rPr>
        <w:t>ne aukštesnėje kaip 25</w:t>
      </w:r>
      <w:r>
        <w:rPr>
          <w:sz w:val="22"/>
          <w:szCs w:val="22"/>
          <w:lang w:val="lt-LT"/>
        </w:rPr>
        <w:t> </w:t>
      </w:r>
      <w:r w:rsidRPr="00BD0882">
        <w:rPr>
          <w:sz w:val="22"/>
          <w:szCs w:val="22"/>
          <w:lang w:val="lt-LT"/>
        </w:rPr>
        <w:t>°C</w:t>
      </w:r>
      <w:r>
        <w:rPr>
          <w:sz w:val="22"/>
          <w:szCs w:val="22"/>
          <w:lang w:val="lt-LT"/>
        </w:rPr>
        <w:t>)</w:t>
      </w:r>
      <w:r w:rsidRPr="00BD0882">
        <w:rPr>
          <w:sz w:val="22"/>
          <w:szCs w:val="22"/>
          <w:lang w:val="lt-LT"/>
        </w:rPr>
        <w:t xml:space="preserve"> galima laikyti ne ilgiau kaip </w:t>
      </w:r>
      <w:r w:rsidR="009D4DEF">
        <w:rPr>
          <w:sz w:val="22"/>
          <w:szCs w:val="22"/>
          <w:lang w:val="lt-LT"/>
        </w:rPr>
        <w:t>9 </w:t>
      </w:r>
      <w:r w:rsidRPr="00BD0882">
        <w:rPr>
          <w:sz w:val="22"/>
          <w:szCs w:val="22"/>
          <w:lang w:val="lt-LT"/>
        </w:rPr>
        <w:t xml:space="preserve">mėnesius; šiuo laikotarpiu </w:t>
      </w:r>
      <w:r>
        <w:rPr>
          <w:sz w:val="22"/>
          <w:szCs w:val="22"/>
          <w:lang w:val="lt-LT"/>
        </w:rPr>
        <w:t>vaisto</w:t>
      </w:r>
      <w:r w:rsidRPr="00BD0882">
        <w:rPr>
          <w:sz w:val="22"/>
          <w:szCs w:val="22"/>
          <w:lang w:val="lt-LT"/>
        </w:rPr>
        <w:t xml:space="preserve"> vėl dėti į šaldytuvą negalima, </w:t>
      </w:r>
      <w:r>
        <w:rPr>
          <w:sz w:val="22"/>
          <w:szCs w:val="22"/>
          <w:lang w:val="lt-LT"/>
        </w:rPr>
        <w:t>o jam pasibaigus</w:t>
      </w:r>
      <w:r w:rsidRPr="00BD0882">
        <w:rPr>
          <w:sz w:val="22"/>
          <w:szCs w:val="22"/>
          <w:lang w:val="lt-LT"/>
        </w:rPr>
        <w:t xml:space="preserve"> nesuvartotą</w:t>
      </w:r>
      <w:r w:rsidR="00FA1892">
        <w:rPr>
          <w:sz w:val="22"/>
          <w:szCs w:val="22"/>
          <w:lang w:val="lt-LT"/>
        </w:rPr>
        <w:t xml:space="preserve"> vaistą</w:t>
      </w:r>
      <w:r w:rsidRPr="00BD0882">
        <w:rPr>
          <w:sz w:val="22"/>
          <w:szCs w:val="22"/>
          <w:lang w:val="lt-LT"/>
        </w:rPr>
        <w:t xml:space="preserve"> reikia sunaikinti.</w:t>
      </w:r>
    </w:p>
    <w:p w14:paraId="7B502DBA" w14:textId="77777777" w:rsidR="0085419E" w:rsidRDefault="0085419E" w:rsidP="00316E67">
      <w:pPr>
        <w:numPr>
          <w:ilvl w:val="12"/>
          <w:numId w:val="0"/>
        </w:numPr>
        <w:ind w:right="-2"/>
        <w:jc w:val="both"/>
        <w:rPr>
          <w:rFonts w:eastAsia="Times New Roman" w:cs="Times New Roman"/>
        </w:rPr>
      </w:pPr>
    </w:p>
    <w:p w14:paraId="4DF7382C" w14:textId="54FA65CA" w:rsidR="003451F2" w:rsidRPr="00CE6E5F" w:rsidRDefault="003451F2" w:rsidP="00316E67">
      <w:pPr>
        <w:numPr>
          <w:ilvl w:val="12"/>
          <w:numId w:val="0"/>
        </w:numPr>
        <w:ind w:right="-2"/>
        <w:jc w:val="both"/>
        <w:rPr>
          <w:rFonts w:eastAsia="Times New Roman" w:cs="Times New Roman"/>
        </w:rPr>
      </w:pPr>
      <w:r w:rsidRPr="00CE6E5F">
        <w:rPr>
          <w:rFonts w:eastAsia="Times New Roman" w:cs="Times New Roman"/>
        </w:rPr>
        <w:t xml:space="preserve">Atidarius </w:t>
      </w:r>
      <w:r w:rsidR="00C209A5">
        <w:rPr>
          <w:rFonts w:eastAsia="Times New Roman" w:cs="Times New Roman"/>
        </w:rPr>
        <w:t>flakoną</w:t>
      </w:r>
      <w:r w:rsidRPr="00CE6E5F">
        <w:rPr>
          <w:rFonts w:eastAsia="Times New Roman" w:cs="Times New Roman"/>
        </w:rPr>
        <w:t xml:space="preserve">, </w:t>
      </w:r>
      <w:r w:rsidR="00C209A5">
        <w:rPr>
          <w:rFonts w:eastAsia="Times New Roman" w:cs="Times New Roman"/>
        </w:rPr>
        <w:t>vaistą</w:t>
      </w:r>
      <w:r w:rsidRPr="00CE6E5F">
        <w:rPr>
          <w:rFonts w:eastAsia="Times New Roman" w:cs="Times New Roman"/>
        </w:rPr>
        <w:t xml:space="preserve"> reikia</w:t>
      </w:r>
      <w:r w:rsidR="00C209A5">
        <w:rPr>
          <w:rFonts w:eastAsia="Times New Roman" w:cs="Times New Roman"/>
        </w:rPr>
        <w:t xml:space="preserve"> suvartoti</w:t>
      </w:r>
      <w:r w:rsidRPr="00CE6E5F">
        <w:rPr>
          <w:rFonts w:eastAsia="Times New Roman" w:cs="Times New Roman"/>
        </w:rPr>
        <w:t xml:space="preserve"> nedelsiant.</w:t>
      </w:r>
    </w:p>
    <w:p w14:paraId="2032D6B7" w14:textId="77777777" w:rsidR="003451F2" w:rsidRPr="00CE6E5F" w:rsidRDefault="003451F2" w:rsidP="00316E67">
      <w:pPr>
        <w:numPr>
          <w:ilvl w:val="12"/>
          <w:numId w:val="0"/>
        </w:numPr>
        <w:ind w:right="-2"/>
        <w:jc w:val="both"/>
        <w:rPr>
          <w:rFonts w:eastAsia="Times New Roman" w:cs="Times New Roman"/>
        </w:rPr>
      </w:pPr>
    </w:p>
    <w:p w14:paraId="5963DF14" w14:textId="52D6F19C" w:rsidR="003451F2" w:rsidRPr="00CE6E5F" w:rsidRDefault="00E63F2F" w:rsidP="00BE3B67">
      <w:pPr>
        <w:numPr>
          <w:ilvl w:val="12"/>
          <w:numId w:val="0"/>
        </w:numPr>
        <w:ind w:right="-2"/>
        <w:jc w:val="both"/>
        <w:rPr>
          <w:rFonts w:eastAsia="Times New Roman" w:cs="Times New Roman"/>
        </w:rPr>
      </w:pPr>
      <w:r w:rsidRPr="00B34FA1">
        <w:rPr>
          <w:noProof/>
          <w:szCs w:val="24"/>
        </w:rPr>
        <w:t>Pastebėjus</w:t>
      </w:r>
      <w:r>
        <w:rPr>
          <w:noProof/>
          <w:szCs w:val="24"/>
        </w:rPr>
        <w:t xml:space="preserve">, kad tirpalas yra drumstas arba jei jame </w:t>
      </w:r>
      <w:r w:rsidR="00C209A5">
        <w:rPr>
          <w:noProof/>
          <w:szCs w:val="24"/>
        </w:rPr>
        <w:t xml:space="preserve">yra </w:t>
      </w:r>
      <w:r>
        <w:rPr>
          <w:noProof/>
          <w:szCs w:val="24"/>
        </w:rPr>
        <w:t>matom</w:t>
      </w:r>
      <w:r w:rsidR="00C209A5">
        <w:rPr>
          <w:noProof/>
          <w:szCs w:val="24"/>
        </w:rPr>
        <w:t>ų</w:t>
      </w:r>
      <w:r>
        <w:rPr>
          <w:noProof/>
          <w:szCs w:val="24"/>
        </w:rPr>
        <w:t xml:space="preserve"> dalel</w:t>
      </w:r>
      <w:r w:rsidR="00C209A5">
        <w:rPr>
          <w:noProof/>
          <w:szCs w:val="24"/>
        </w:rPr>
        <w:t>ių</w:t>
      </w:r>
      <w:r>
        <w:rPr>
          <w:noProof/>
          <w:szCs w:val="24"/>
        </w:rPr>
        <w:t>, šio vaisto vartoti negalima</w:t>
      </w:r>
      <w:r w:rsidR="003451F2" w:rsidRPr="00CE6E5F">
        <w:rPr>
          <w:rFonts w:eastAsia="Times New Roman" w:cs="Times New Roman"/>
        </w:rPr>
        <w:t>.</w:t>
      </w:r>
    </w:p>
    <w:p w14:paraId="6771EFBC" w14:textId="77777777" w:rsidR="003451F2" w:rsidRPr="00CE6E5F" w:rsidRDefault="003451F2" w:rsidP="00BE3B67">
      <w:pPr>
        <w:numPr>
          <w:ilvl w:val="12"/>
          <w:numId w:val="0"/>
        </w:numPr>
        <w:ind w:right="-2"/>
        <w:jc w:val="both"/>
        <w:rPr>
          <w:rFonts w:eastAsia="Times New Roman" w:cs="Times New Roman"/>
        </w:rPr>
      </w:pPr>
    </w:p>
    <w:p w14:paraId="1906E79A" w14:textId="77777777" w:rsidR="003451F2" w:rsidRPr="00CE6E5F" w:rsidRDefault="003451F2" w:rsidP="00BE3B67">
      <w:pPr>
        <w:numPr>
          <w:ilvl w:val="12"/>
          <w:numId w:val="0"/>
        </w:numPr>
        <w:ind w:right="-2"/>
        <w:jc w:val="both"/>
        <w:rPr>
          <w:rFonts w:eastAsia="Times New Roman" w:cs="Times New Roman"/>
        </w:rPr>
      </w:pPr>
      <w:r w:rsidRPr="00CE6E5F">
        <w:rPr>
          <w:rFonts w:eastAsia="Times New Roman" w:cs="Times New Roman"/>
        </w:rPr>
        <w:t>Vaistų negalima išmesti į kanalizaciją arba su buitinėmis atliekomis. Kaip išmesti nereikalingus vaistus, klauskite vaistininko. Šios priemonės padės apsaugoti aplinką.</w:t>
      </w:r>
    </w:p>
    <w:p w14:paraId="38EFAC6D" w14:textId="77777777" w:rsidR="003451F2" w:rsidRPr="00CE6E5F" w:rsidRDefault="003451F2" w:rsidP="00BE3B67">
      <w:pPr>
        <w:numPr>
          <w:ilvl w:val="12"/>
          <w:numId w:val="0"/>
        </w:numPr>
        <w:ind w:right="-2"/>
        <w:jc w:val="both"/>
        <w:rPr>
          <w:rFonts w:eastAsia="Times New Roman" w:cs="Times New Roman"/>
        </w:rPr>
      </w:pPr>
    </w:p>
    <w:p w14:paraId="5DB6B540" w14:textId="77777777" w:rsidR="003451F2" w:rsidRPr="00CE6E5F" w:rsidRDefault="003451F2" w:rsidP="00BE3B67">
      <w:pPr>
        <w:numPr>
          <w:ilvl w:val="12"/>
          <w:numId w:val="0"/>
        </w:numPr>
        <w:ind w:right="-2"/>
        <w:jc w:val="both"/>
        <w:rPr>
          <w:rFonts w:eastAsia="Times New Roman" w:cs="Times New Roman"/>
        </w:rPr>
      </w:pPr>
    </w:p>
    <w:p w14:paraId="4554486B" w14:textId="77777777" w:rsidR="003451F2" w:rsidRPr="00CE6E5F" w:rsidRDefault="003451F2" w:rsidP="00CE6E5F">
      <w:pPr>
        <w:pStyle w:val="Antrat1"/>
        <w:rPr>
          <w:b w:val="0"/>
        </w:rPr>
      </w:pPr>
      <w:r w:rsidRPr="00CE6E5F">
        <w:lastRenderedPageBreak/>
        <w:t>6.</w:t>
      </w:r>
      <w:r w:rsidRPr="00CE6E5F">
        <w:tab/>
        <w:t>Pakuotės turinys ir kita informacija</w:t>
      </w:r>
    </w:p>
    <w:p w14:paraId="4D6B077D" w14:textId="77777777" w:rsidR="003451F2" w:rsidRPr="00CE6E5F" w:rsidRDefault="003451F2" w:rsidP="00BE3B67">
      <w:pPr>
        <w:numPr>
          <w:ilvl w:val="12"/>
          <w:numId w:val="0"/>
        </w:numPr>
        <w:ind w:right="-2"/>
        <w:jc w:val="both"/>
        <w:rPr>
          <w:rFonts w:eastAsia="Times New Roman" w:cs="Times New Roman"/>
        </w:rPr>
      </w:pPr>
    </w:p>
    <w:p w14:paraId="1E0B1F5A" w14:textId="77777777" w:rsidR="003451F2" w:rsidRPr="00CE6E5F" w:rsidRDefault="00242227" w:rsidP="00CC3E24">
      <w:pPr>
        <w:numPr>
          <w:ilvl w:val="12"/>
          <w:numId w:val="0"/>
        </w:numPr>
        <w:ind w:right="-2"/>
        <w:jc w:val="both"/>
        <w:rPr>
          <w:rFonts w:eastAsia="Times New Roman" w:cs="Times New Roman"/>
          <w:b/>
          <w:bCs/>
        </w:rPr>
      </w:pPr>
      <w:proofErr w:type="spellStart"/>
      <w:r>
        <w:rPr>
          <w:rFonts w:eastAsia="Times New Roman" w:cs="Times New Roman"/>
          <w:b/>
          <w:bCs/>
        </w:rPr>
        <w:t>c</w:t>
      </w:r>
      <w:r w:rsidR="003451F2" w:rsidRPr="00CE6E5F">
        <w:rPr>
          <w:rFonts w:eastAsia="Times New Roman" w:cs="Times New Roman"/>
          <w:b/>
          <w:bCs/>
        </w:rPr>
        <w:t>utaquig</w:t>
      </w:r>
      <w:proofErr w:type="spellEnd"/>
      <w:r w:rsidR="003451F2" w:rsidRPr="00CE6E5F">
        <w:rPr>
          <w:rFonts w:eastAsia="Times New Roman" w:cs="Times New Roman"/>
          <w:b/>
          <w:bCs/>
        </w:rPr>
        <w:t xml:space="preserve"> sudėtis</w:t>
      </w:r>
    </w:p>
    <w:p w14:paraId="2BBE8A7A" w14:textId="77777777" w:rsidR="003451F2" w:rsidRPr="00540233" w:rsidRDefault="003451F2" w:rsidP="00540233">
      <w:pPr>
        <w:pStyle w:val="Sraopastraipa"/>
        <w:numPr>
          <w:ilvl w:val="0"/>
          <w:numId w:val="37"/>
        </w:numPr>
        <w:tabs>
          <w:tab w:val="left" w:pos="567"/>
        </w:tabs>
        <w:ind w:left="357" w:hanging="357"/>
        <w:jc w:val="both"/>
        <w:rPr>
          <w:rFonts w:eastAsia="Times New Roman" w:cs="Times New Roman"/>
          <w:i/>
          <w:iCs/>
        </w:rPr>
      </w:pPr>
      <w:r w:rsidRPr="00540233">
        <w:rPr>
          <w:rFonts w:eastAsia="Times New Roman" w:cs="Times New Roman"/>
        </w:rPr>
        <w:t>Veiklioji medžiaga yra žmogaus normalusis imunoglobulinas, 165 mg/ml (mažiausiai 95 % yra imunoglobulinas G).</w:t>
      </w:r>
    </w:p>
    <w:p w14:paraId="47D32870" w14:textId="77777777" w:rsidR="003451F2" w:rsidRPr="00E457A0" w:rsidRDefault="003451F2" w:rsidP="00540233">
      <w:pPr>
        <w:widowControl w:val="0"/>
        <w:numPr>
          <w:ilvl w:val="0"/>
          <w:numId w:val="15"/>
        </w:numPr>
        <w:tabs>
          <w:tab w:val="left" w:pos="567"/>
        </w:tabs>
        <w:autoSpaceDE w:val="0"/>
        <w:autoSpaceDN w:val="0"/>
        <w:adjustRightInd w:val="0"/>
        <w:ind w:left="567" w:firstLine="0"/>
        <w:jc w:val="both"/>
        <w:rPr>
          <w:rFonts w:eastAsia="Times New Roman" w:cs="Times New Roman"/>
          <w:color w:val="000000"/>
          <w:lang w:val="de-AT" w:eastAsia="de-AT"/>
        </w:rPr>
      </w:pPr>
      <w:r w:rsidRPr="00CE6E5F">
        <w:rPr>
          <w:rFonts w:eastAsia="Times New Roman" w:cs="Times New Roman"/>
          <w:color w:val="000000"/>
          <w:lang w:eastAsia="de-AT"/>
        </w:rPr>
        <w:t>IgG</w:t>
      </w:r>
      <w:r w:rsidRPr="00CE6E5F">
        <w:rPr>
          <w:rFonts w:eastAsia="Times New Roman" w:cs="Times New Roman"/>
          <w:color w:val="000000"/>
          <w:vertAlign w:val="subscript"/>
          <w:lang w:eastAsia="de-AT"/>
        </w:rPr>
        <w:t xml:space="preserve">1 </w:t>
      </w:r>
      <w:r w:rsidRPr="00CE6E5F">
        <w:rPr>
          <w:rFonts w:eastAsia="Times New Roman" w:cs="Times New Roman"/>
          <w:color w:val="000000"/>
          <w:lang w:eastAsia="de-AT"/>
        </w:rPr>
        <w:t>………..  71 %</w:t>
      </w:r>
    </w:p>
    <w:p w14:paraId="0AC31A6C" w14:textId="77777777" w:rsidR="003451F2" w:rsidRPr="00E457A0" w:rsidRDefault="003451F2" w:rsidP="00540233">
      <w:pPr>
        <w:widowControl w:val="0"/>
        <w:numPr>
          <w:ilvl w:val="0"/>
          <w:numId w:val="15"/>
        </w:numPr>
        <w:tabs>
          <w:tab w:val="left" w:pos="567"/>
        </w:tabs>
        <w:autoSpaceDE w:val="0"/>
        <w:autoSpaceDN w:val="0"/>
        <w:adjustRightInd w:val="0"/>
        <w:ind w:left="567" w:firstLine="0"/>
        <w:jc w:val="both"/>
        <w:rPr>
          <w:rFonts w:eastAsia="Times New Roman" w:cs="Times New Roman"/>
          <w:color w:val="000000"/>
          <w:lang w:val="de-AT" w:eastAsia="de-AT"/>
        </w:rPr>
      </w:pPr>
      <w:r w:rsidRPr="00CE6E5F">
        <w:rPr>
          <w:rFonts w:eastAsia="Times New Roman" w:cs="Times New Roman"/>
          <w:color w:val="000000"/>
          <w:lang w:eastAsia="de-AT"/>
        </w:rPr>
        <w:t>IgG</w:t>
      </w:r>
      <w:r w:rsidRPr="00CE6E5F">
        <w:rPr>
          <w:rFonts w:eastAsia="Times New Roman" w:cs="Times New Roman"/>
          <w:color w:val="000000"/>
          <w:vertAlign w:val="subscript"/>
          <w:lang w:eastAsia="de-AT"/>
        </w:rPr>
        <w:t xml:space="preserve">2 </w:t>
      </w:r>
      <w:r w:rsidRPr="00CE6E5F">
        <w:rPr>
          <w:rFonts w:eastAsia="Times New Roman" w:cs="Times New Roman"/>
          <w:color w:val="000000"/>
          <w:lang w:eastAsia="de-AT"/>
        </w:rPr>
        <w:t>………..  25 %</w:t>
      </w:r>
    </w:p>
    <w:p w14:paraId="79D94A84" w14:textId="77777777" w:rsidR="003451F2" w:rsidRPr="00E457A0" w:rsidRDefault="003451F2" w:rsidP="00540233">
      <w:pPr>
        <w:widowControl w:val="0"/>
        <w:numPr>
          <w:ilvl w:val="0"/>
          <w:numId w:val="15"/>
        </w:numPr>
        <w:tabs>
          <w:tab w:val="left" w:pos="567"/>
        </w:tabs>
        <w:autoSpaceDE w:val="0"/>
        <w:autoSpaceDN w:val="0"/>
        <w:adjustRightInd w:val="0"/>
        <w:ind w:left="567" w:firstLine="0"/>
        <w:jc w:val="both"/>
        <w:rPr>
          <w:rFonts w:eastAsia="Times New Roman" w:cs="Times New Roman"/>
          <w:color w:val="000000"/>
          <w:lang w:val="de-AT" w:eastAsia="de-AT"/>
        </w:rPr>
      </w:pPr>
      <w:r w:rsidRPr="00CE6E5F">
        <w:rPr>
          <w:rFonts w:eastAsia="Times New Roman" w:cs="Times New Roman"/>
          <w:color w:val="000000"/>
          <w:lang w:eastAsia="de-AT"/>
        </w:rPr>
        <w:t>IgG</w:t>
      </w:r>
      <w:r w:rsidRPr="00CE6E5F">
        <w:rPr>
          <w:rFonts w:eastAsia="Times New Roman" w:cs="Times New Roman"/>
          <w:color w:val="000000"/>
          <w:vertAlign w:val="subscript"/>
          <w:lang w:eastAsia="de-AT"/>
        </w:rPr>
        <w:t>3</w:t>
      </w:r>
      <w:r w:rsidRPr="00CE6E5F">
        <w:rPr>
          <w:rFonts w:eastAsia="Times New Roman" w:cs="Times New Roman"/>
          <w:color w:val="000000"/>
          <w:lang w:eastAsia="de-AT"/>
        </w:rPr>
        <w:t xml:space="preserve"> ………..  3 %</w:t>
      </w:r>
    </w:p>
    <w:p w14:paraId="200CAD61" w14:textId="77777777" w:rsidR="003451F2" w:rsidRPr="00E457A0" w:rsidRDefault="003451F2" w:rsidP="00540233">
      <w:pPr>
        <w:widowControl w:val="0"/>
        <w:numPr>
          <w:ilvl w:val="0"/>
          <w:numId w:val="15"/>
        </w:numPr>
        <w:tabs>
          <w:tab w:val="left" w:pos="567"/>
        </w:tabs>
        <w:autoSpaceDE w:val="0"/>
        <w:autoSpaceDN w:val="0"/>
        <w:adjustRightInd w:val="0"/>
        <w:ind w:left="567" w:firstLine="0"/>
        <w:jc w:val="both"/>
        <w:rPr>
          <w:rFonts w:eastAsia="Times New Roman" w:cs="Times New Roman"/>
          <w:color w:val="000000"/>
          <w:lang w:val="de-AT" w:eastAsia="de-AT"/>
        </w:rPr>
      </w:pPr>
      <w:r w:rsidRPr="00CE6E5F">
        <w:rPr>
          <w:rFonts w:eastAsia="Times New Roman" w:cs="Times New Roman"/>
          <w:color w:val="000000"/>
          <w:lang w:eastAsia="de-AT"/>
        </w:rPr>
        <w:t>IgG</w:t>
      </w:r>
      <w:r w:rsidRPr="00CE6E5F">
        <w:rPr>
          <w:rFonts w:eastAsia="Times New Roman" w:cs="Times New Roman"/>
          <w:color w:val="000000"/>
          <w:vertAlign w:val="subscript"/>
          <w:lang w:eastAsia="de-AT"/>
        </w:rPr>
        <w:t>4</w:t>
      </w:r>
      <w:r w:rsidRPr="00CE6E5F">
        <w:rPr>
          <w:rFonts w:eastAsia="Times New Roman" w:cs="Times New Roman"/>
          <w:color w:val="000000"/>
          <w:lang w:eastAsia="de-AT"/>
        </w:rPr>
        <w:t>………… 2 %</w:t>
      </w:r>
    </w:p>
    <w:p w14:paraId="21642CCB" w14:textId="77777777" w:rsidR="003451F2" w:rsidRPr="00E457A0" w:rsidRDefault="003451F2" w:rsidP="00540233">
      <w:pPr>
        <w:widowControl w:val="0"/>
        <w:tabs>
          <w:tab w:val="left" w:pos="567"/>
        </w:tabs>
        <w:autoSpaceDE w:val="0"/>
        <w:autoSpaceDN w:val="0"/>
        <w:adjustRightInd w:val="0"/>
        <w:ind w:left="567"/>
        <w:jc w:val="both"/>
        <w:rPr>
          <w:rFonts w:eastAsia="Times New Roman" w:cs="Times New Roman"/>
          <w:color w:val="000000"/>
          <w:lang w:eastAsia="de-AT"/>
        </w:rPr>
      </w:pPr>
    </w:p>
    <w:p w14:paraId="1B173753" w14:textId="77777777" w:rsidR="003451F2" w:rsidRPr="00540233" w:rsidRDefault="00000B72" w:rsidP="00540233">
      <w:pPr>
        <w:pStyle w:val="Sraopastraipa"/>
        <w:numPr>
          <w:ilvl w:val="0"/>
          <w:numId w:val="37"/>
        </w:numPr>
        <w:tabs>
          <w:tab w:val="left" w:pos="567"/>
        </w:tabs>
        <w:ind w:right="-2"/>
        <w:jc w:val="both"/>
        <w:rPr>
          <w:rFonts w:eastAsia="Times New Roman" w:cs="Times New Roman"/>
        </w:rPr>
      </w:pPr>
      <w:r w:rsidRPr="00540233">
        <w:rPr>
          <w:rFonts w:eastAsia="Times New Roman" w:cs="Times New Roman"/>
        </w:rPr>
        <w:t>P</w:t>
      </w:r>
      <w:r w:rsidR="003451F2" w:rsidRPr="00540233">
        <w:rPr>
          <w:rFonts w:eastAsia="Times New Roman" w:cs="Times New Roman"/>
        </w:rPr>
        <w:t xml:space="preserve">agalbinės medžiagos yra </w:t>
      </w:r>
      <w:proofErr w:type="spellStart"/>
      <w:r w:rsidR="003451F2" w:rsidRPr="00540233">
        <w:rPr>
          <w:rFonts w:eastAsia="Times New Roman" w:cs="Times New Roman"/>
        </w:rPr>
        <w:t>maltozė</w:t>
      </w:r>
      <w:proofErr w:type="spellEnd"/>
      <w:r w:rsidR="003451F2" w:rsidRPr="00540233">
        <w:rPr>
          <w:rFonts w:eastAsia="Times New Roman" w:cs="Times New Roman"/>
        </w:rPr>
        <w:t xml:space="preserve">, </w:t>
      </w:r>
      <w:proofErr w:type="spellStart"/>
      <w:r w:rsidR="003451F2" w:rsidRPr="00540233">
        <w:rPr>
          <w:rFonts w:eastAsia="Times New Roman" w:cs="Times New Roman"/>
        </w:rPr>
        <w:t>polisorbatas</w:t>
      </w:r>
      <w:proofErr w:type="spellEnd"/>
      <w:r w:rsidR="003451F2" w:rsidRPr="00540233">
        <w:rPr>
          <w:rFonts w:eastAsia="Times New Roman" w:cs="Times New Roman"/>
        </w:rPr>
        <w:t> 80 ir injekcinis vanduo.</w:t>
      </w:r>
    </w:p>
    <w:p w14:paraId="64B21AE1" w14:textId="40E2626F" w:rsidR="003451F2" w:rsidRPr="00CE6E5F" w:rsidRDefault="003451F2" w:rsidP="00540233">
      <w:pPr>
        <w:tabs>
          <w:tab w:val="left" w:pos="567"/>
        </w:tabs>
        <w:jc w:val="both"/>
        <w:rPr>
          <w:rFonts w:eastAsia="Times New Roman" w:cs="Times New Roman"/>
        </w:rPr>
      </w:pPr>
      <w:r w:rsidRPr="00CE6E5F">
        <w:rPr>
          <w:rFonts w:eastAsia="Times New Roman" w:cs="Times New Roman"/>
        </w:rPr>
        <w:t xml:space="preserve">Didžiausias </w:t>
      </w:r>
      <w:proofErr w:type="spellStart"/>
      <w:r w:rsidRPr="00CE6E5F">
        <w:rPr>
          <w:rFonts w:eastAsia="Times New Roman" w:cs="Times New Roman"/>
        </w:rPr>
        <w:t>IgA</w:t>
      </w:r>
      <w:proofErr w:type="spellEnd"/>
      <w:r w:rsidRPr="00CE6E5F">
        <w:rPr>
          <w:rFonts w:eastAsia="Times New Roman" w:cs="Times New Roman"/>
        </w:rPr>
        <w:t xml:space="preserve"> kiekis yra </w:t>
      </w:r>
      <w:r w:rsidR="009D4DEF">
        <w:rPr>
          <w:rFonts w:eastAsia="Times New Roman" w:cs="Times New Roman"/>
        </w:rPr>
        <w:t>300</w:t>
      </w:r>
      <w:r w:rsidR="009D4DEF" w:rsidRPr="00CE6E5F">
        <w:rPr>
          <w:rFonts w:eastAsia="Times New Roman" w:cs="Times New Roman"/>
        </w:rPr>
        <w:t> </w:t>
      </w:r>
      <w:proofErr w:type="spellStart"/>
      <w:r w:rsidRPr="00CE6E5F">
        <w:rPr>
          <w:rFonts w:eastAsia="Times New Roman" w:cs="Times New Roman"/>
        </w:rPr>
        <w:t>mikrogramų</w:t>
      </w:r>
      <w:proofErr w:type="spellEnd"/>
      <w:r w:rsidRPr="00CE6E5F">
        <w:rPr>
          <w:rFonts w:eastAsia="Times New Roman" w:cs="Times New Roman"/>
        </w:rPr>
        <w:t>/ml</w:t>
      </w:r>
      <w:r w:rsidR="00000B72">
        <w:rPr>
          <w:rFonts w:eastAsia="Times New Roman" w:cs="Times New Roman"/>
        </w:rPr>
        <w:t>.</w:t>
      </w:r>
      <w:r w:rsidRPr="00CE6E5F">
        <w:rPr>
          <w:rFonts w:eastAsia="Times New Roman" w:cs="Times New Roman"/>
        </w:rPr>
        <w:t xml:space="preserve"> </w:t>
      </w:r>
    </w:p>
    <w:p w14:paraId="1FBE1EA1" w14:textId="77777777" w:rsidR="003451F2" w:rsidRPr="00CE6E5F" w:rsidRDefault="003451F2" w:rsidP="00540233">
      <w:pPr>
        <w:tabs>
          <w:tab w:val="left" w:pos="567"/>
        </w:tabs>
        <w:jc w:val="both"/>
        <w:rPr>
          <w:rFonts w:eastAsia="Times New Roman" w:cs="Times New Roman"/>
        </w:rPr>
      </w:pPr>
      <w:proofErr w:type="spellStart"/>
      <w:r w:rsidRPr="00CE6E5F">
        <w:rPr>
          <w:rFonts w:eastAsia="Times New Roman" w:cs="Times New Roman"/>
        </w:rPr>
        <w:t>Cutaquig</w:t>
      </w:r>
      <w:proofErr w:type="spellEnd"/>
      <w:r w:rsidRPr="00CE6E5F">
        <w:rPr>
          <w:rFonts w:eastAsia="Times New Roman" w:cs="Times New Roman"/>
        </w:rPr>
        <w:t xml:space="preserve"> sudėtyje yra ≤30 </w:t>
      </w:r>
      <w:proofErr w:type="spellStart"/>
      <w:r w:rsidRPr="00CE6E5F">
        <w:rPr>
          <w:rFonts w:eastAsia="Times New Roman" w:cs="Times New Roman"/>
        </w:rPr>
        <w:t>mmol</w:t>
      </w:r>
      <w:proofErr w:type="spellEnd"/>
      <w:r w:rsidRPr="00CE6E5F">
        <w:rPr>
          <w:rFonts w:eastAsia="Times New Roman" w:cs="Times New Roman"/>
        </w:rPr>
        <w:t>/l natrio</w:t>
      </w:r>
      <w:r w:rsidR="00000B72">
        <w:rPr>
          <w:rFonts w:eastAsia="Times New Roman" w:cs="Times New Roman"/>
        </w:rPr>
        <w:t>.</w:t>
      </w:r>
    </w:p>
    <w:p w14:paraId="5BA9C7C0" w14:textId="77777777" w:rsidR="003451F2" w:rsidRPr="00CE6E5F" w:rsidRDefault="003451F2" w:rsidP="00540233">
      <w:pPr>
        <w:tabs>
          <w:tab w:val="left" w:pos="567"/>
        </w:tabs>
        <w:ind w:right="-2"/>
        <w:jc w:val="both"/>
        <w:rPr>
          <w:rFonts w:eastAsia="Times New Roman" w:cs="Times New Roman"/>
        </w:rPr>
      </w:pPr>
    </w:p>
    <w:p w14:paraId="1B60F29C" w14:textId="77777777" w:rsidR="003451F2" w:rsidRPr="00CE6E5F" w:rsidRDefault="00242227" w:rsidP="00E457A0">
      <w:pPr>
        <w:numPr>
          <w:ilvl w:val="12"/>
          <w:numId w:val="0"/>
        </w:numPr>
        <w:ind w:right="-2"/>
        <w:jc w:val="both"/>
        <w:rPr>
          <w:rFonts w:eastAsia="Times New Roman" w:cs="Times New Roman"/>
          <w:b/>
          <w:bCs/>
        </w:rPr>
      </w:pPr>
      <w:proofErr w:type="spellStart"/>
      <w:r>
        <w:rPr>
          <w:rFonts w:eastAsia="Times New Roman" w:cs="Times New Roman"/>
          <w:b/>
          <w:bCs/>
        </w:rPr>
        <w:t>c</w:t>
      </w:r>
      <w:r w:rsidR="003451F2" w:rsidRPr="00CE6E5F">
        <w:rPr>
          <w:rFonts w:eastAsia="Times New Roman" w:cs="Times New Roman"/>
          <w:b/>
          <w:bCs/>
        </w:rPr>
        <w:t>utaquig</w:t>
      </w:r>
      <w:proofErr w:type="spellEnd"/>
      <w:r w:rsidR="003451F2" w:rsidRPr="00CE6E5F">
        <w:rPr>
          <w:rFonts w:eastAsia="Times New Roman" w:cs="Times New Roman"/>
          <w:b/>
          <w:bCs/>
        </w:rPr>
        <w:t xml:space="preserve"> išvaizda ir kiekis pakuotėje</w:t>
      </w:r>
    </w:p>
    <w:p w14:paraId="714806B0" w14:textId="77777777" w:rsidR="003451F2" w:rsidRPr="00CE6E5F" w:rsidRDefault="00242227" w:rsidP="00E457A0">
      <w:pPr>
        <w:tabs>
          <w:tab w:val="left" w:pos="567"/>
        </w:tabs>
        <w:jc w:val="both"/>
        <w:rPr>
          <w:rFonts w:eastAsia="Times New Roman" w:cs="Times New Roman"/>
          <w:snapToGrid w:val="0"/>
        </w:rPr>
      </w:pPr>
      <w:proofErr w:type="spellStart"/>
      <w:r>
        <w:rPr>
          <w:rFonts w:eastAsia="Times New Roman" w:cs="Times New Roman"/>
          <w:snapToGrid w:val="0"/>
        </w:rPr>
        <w:t>c</w:t>
      </w:r>
      <w:r w:rsidR="003451F2" w:rsidRPr="00CE6E5F">
        <w:rPr>
          <w:rFonts w:eastAsia="Times New Roman" w:cs="Times New Roman"/>
          <w:snapToGrid w:val="0"/>
        </w:rPr>
        <w:t>utaquig</w:t>
      </w:r>
      <w:proofErr w:type="spellEnd"/>
      <w:r w:rsidR="003451F2" w:rsidRPr="00CE6E5F">
        <w:rPr>
          <w:rFonts w:eastAsia="Times New Roman" w:cs="Times New Roman"/>
          <w:snapToGrid w:val="0"/>
        </w:rPr>
        <w:t xml:space="preserve"> yra injekcinis tirpalas.</w:t>
      </w:r>
    </w:p>
    <w:p w14:paraId="73357ABB" w14:textId="77777777" w:rsidR="003451F2" w:rsidRPr="00CE6E5F" w:rsidRDefault="003451F2" w:rsidP="00E457A0">
      <w:pPr>
        <w:tabs>
          <w:tab w:val="left" w:pos="567"/>
        </w:tabs>
        <w:jc w:val="both"/>
        <w:rPr>
          <w:rFonts w:eastAsia="Times New Roman" w:cs="Times New Roman"/>
          <w:snapToGrid w:val="0"/>
        </w:rPr>
      </w:pPr>
      <w:r w:rsidRPr="00CE6E5F">
        <w:rPr>
          <w:rFonts w:eastAsia="Times New Roman" w:cs="Times New Roman"/>
          <w:snapToGrid w:val="0"/>
        </w:rPr>
        <w:t xml:space="preserve">Tirpalas yra skaidrus ir bespalvis. </w:t>
      </w:r>
    </w:p>
    <w:p w14:paraId="65B24E3E" w14:textId="77777777" w:rsidR="003451F2" w:rsidRPr="00CE6E5F" w:rsidRDefault="003451F2" w:rsidP="00E457A0">
      <w:pPr>
        <w:numPr>
          <w:ilvl w:val="12"/>
          <w:numId w:val="0"/>
        </w:numPr>
        <w:ind w:right="-2"/>
        <w:jc w:val="both"/>
        <w:rPr>
          <w:rFonts w:eastAsia="Times New Roman" w:cs="Times New Roman"/>
        </w:rPr>
      </w:pPr>
      <w:r w:rsidRPr="00CE6E5F">
        <w:rPr>
          <w:rFonts w:eastAsia="Times New Roman" w:cs="Times New Roman"/>
        </w:rPr>
        <w:t xml:space="preserve">Laikant tirpalas gali </w:t>
      </w:r>
      <w:r w:rsidRPr="00CE6E5F">
        <w:rPr>
          <w:rFonts w:eastAsia="Times New Roman" w:cs="Times New Roman"/>
          <w:snapToGrid w:val="0"/>
        </w:rPr>
        <w:t xml:space="preserve">tapti šiek tiek </w:t>
      </w:r>
      <w:proofErr w:type="spellStart"/>
      <w:r w:rsidRPr="00CE6E5F">
        <w:rPr>
          <w:rFonts w:eastAsia="Times New Roman" w:cs="Times New Roman"/>
          <w:snapToGrid w:val="0"/>
        </w:rPr>
        <w:t>opalescuojantis</w:t>
      </w:r>
      <w:proofErr w:type="spellEnd"/>
      <w:r w:rsidRPr="00CE6E5F">
        <w:rPr>
          <w:rFonts w:eastAsia="Times New Roman" w:cs="Times New Roman"/>
          <w:snapToGrid w:val="0"/>
        </w:rPr>
        <w:t xml:space="preserve"> ir vos gelsvas.</w:t>
      </w:r>
    </w:p>
    <w:p w14:paraId="04709989" w14:textId="77777777" w:rsidR="003451F2" w:rsidRPr="00CE6E5F" w:rsidRDefault="003451F2" w:rsidP="00E457A0">
      <w:pPr>
        <w:tabs>
          <w:tab w:val="left" w:pos="567"/>
        </w:tabs>
        <w:jc w:val="both"/>
        <w:rPr>
          <w:rFonts w:eastAsia="Times New Roman" w:cs="Times New Roman"/>
          <w:snapToGrid w:val="0"/>
        </w:rPr>
      </w:pPr>
    </w:p>
    <w:p w14:paraId="6EBEDDA8" w14:textId="5BCD842E" w:rsidR="003451F2" w:rsidRPr="00CE6E5F" w:rsidRDefault="00242227" w:rsidP="00E457A0">
      <w:pPr>
        <w:tabs>
          <w:tab w:val="left" w:pos="567"/>
        </w:tabs>
        <w:jc w:val="both"/>
        <w:rPr>
          <w:rFonts w:eastAsia="Times New Roman" w:cs="Times New Roman"/>
          <w:snapToGrid w:val="0"/>
        </w:rPr>
      </w:pPr>
      <w:proofErr w:type="spellStart"/>
      <w:r>
        <w:rPr>
          <w:rFonts w:eastAsia="Times New Roman" w:cs="Times New Roman"/>
          <w:snapToGrid w:val="0"/>
        </w:rPr>
        <w:t>c</w:t>
      </w:r>
      <w:r w:rsidR="003451F2" w:rsidRPr="00CE6E5F">
        <w:rPr>
          <w:rFonts w:eastAsia="Times New Roman" w:cs="Times New Roman"/>
          <w:snapToGrid w:val="0"/>
        </w:rPr>
        <w:t>utaquig</w:t>
      </w:r>
      <w:proofErr w:type="spellEnd"/>
      <w:r w:rsidR="003451F2" w:rsidRPr="00CE6E5F">
        <w:rPr>
          <w:rFonts w:eastAsia="Times New Roman" w:cs="Times New Roman"/>
          <w:snapToGrid w:val="0"/>
        </w:rPr>
        <w:t xml:space="preserve"> tiekiamas :</w:t>
      </w:r>
    </w:p>
    <w:p w14:paraId="2B4A5B69" w14:textId="6028AEAF" w:rsidR="003451F2" w:rsidRPr="00CE6E5F" w:rsidRDefault="009372FE" w:rsidP="00E457A0">
      <w:pPr>
        <w:tabs>
          <w:tab w:val="left" w:pos="567"/>
        </w:tabs>
        <w:jc w:val="both"/>
        <w:rPr>
          <w:rFonts w:eastAsia="Times New Roman" w:cs="Times New Roman"/>
          <w:snapToGrid w:val="0"/>
        </w:rPr>
      </w:pPr>
      <w:r>
        <w:rPr>
          <w:rFonts w:eastAsia="Times New Roman" w:cs="Times New Roman"/>
          <w:snapToGrid w:val="0"/>
        </w:rPr>
        <w:t>F</w:t>
      </w:r>
      <w:r w:rsidRPr="00CE6E5F">
        <w:rPr>
          <w:rFonts w:eastAsia="Times New Roman" w:cs="Times New Roman"/>
          <w:snapToGrid w:val="0"/>
        </w:rPr>
        <w:t xml:space="preserve">lakone (I tipo stiklo) su </w:t>
      </w:r>
      <w:proofErr w:type="spellStart"/>
      <w:r w:rsidRPr="00CE6E5F">
        <w:rPr>
          <w:rFonts w:eastAsia="Times New Roman" w:cs="Times New Roman"/>
          <w:snapToGrid w:val="0"/>
        </w:rPr>
        <w:t>brombutilo</w:t>
      </w:r>
      <w:proofErr w:type="spellEnd"/>
      <w:r w:rsidRPr="00CE6E5F">
        <w:rPr>
          <w:rFonts w:eastAsia="Times New Roman" w:cs="Times New Roman"/>
          <w:snapToGrid w:val="0"/>
        </w:rPr>
        <w:t xml:space="preserve"> gumos kamščiu</w:t>
      </w:r>
      <w:r>
        <w:rPr>
          <w:rFonts w:eastAsia="Times New Roman" w:cs="Times New Roman"/>
          <w:snapToGrid w:val="0"/>
        </w:rPr>
        <w:t>, kuriame yra</w:t>
      </w:r>
      <w:r w:rsidRPr="00CE6E5F">
        <w:rPr>
          <w:rFonts w:eastAsia="Times New Roman" w:cs="Times New Roman"/>
          <w:snapToGrid w:val="0"/>
        </w:rPr>
        <w:t xml:space="preserve"> </w:t>
      </w:r>
      <w:r w:rsidR="003451F2" w:rsidRPr="00CE6E5F">
        <w:rPr>
          <w:rFonts w:eastAsia="Times New Roman" w:cs="Times New Roman"/>
          <w:snapToGrid w:val="0"/>
        </w:rPr>
        <w:t>6</w:t>
      </w:r>
      <w:r w:rsidR="00000B72">
        <w:rPr>
          <w:rFonts w:eastAsia="Times New Roman" w:cs="Times New Roman"/>
          <w:snapToGrid w:val="0"/>
        </w:rPr>
        <w:t> ml</w:t>
      </w:r>
      <w:r w:rsidR="003451F2" w:rsidRPr="00CE6E5F">
        <w:rPr>
          <w:rFonts w:eastAsia="Times New Roman" w:cs="Times New Roman"/>
          <w:snapToGrid w:val="0"/>
        </w:rPr>
        <w:t>, 10</w:t>
      </w:r>
      <w:r w:rsidR="00000B72">
        <w:rPr>
          <w:rFonts w:eastAsia="Times New Roman" w:cs="Times New Roman"/>
          <w:snapToGrid w:val="0"/>
        </w:rPr>
        <w:t> ml</w:t>
      </w:r>
      <w:r w:rsidR="003451F2" w:rsidRPr="00CE6E5F">
        <w:rPr>
          <w:rFonts w:eastAsia="Times New Roman" w:cs="Times New Roman"/>
          <w:snapToGrid w:val="0"/>
        </w:rPr>
        <w:t>, 12</w:t>
      </w:r>
      <w:r w:rsidR="00000B72">
        <w:rPr>
          <w:rFonts w:eastAsia="Times New Roman" w:cs="Times New Roman"/>
          <w:snapToGrid w:val="0"/>
        </w:rPr>
        <w:t> ml</w:t>
      </w:r>
      <w:r w:rsidR="003451F2" w:rsidRPr="00CE6E5F">
        <w:rPr>
          <w:rFonts w:eastAsia="Times New Roman" w:cs="Times New Roman"/>
          <w:snapToGrid w:val="0"/>
        </w:rPr>
        <w:t>, 20</w:t>
      </w:r>
      <w:r w:rsidR="00000B72">
        <w:rPr>
          <w:rFonts w:eastAsia="Times New Roman" w:cs="Times New Roman"/>
          <w:snapToGrid w:val="0"/>
        </w:rPr>
        <w:t> ml</w:t>
      </w:r>
      <w:r w:rsidR="003451F2" w:rsidRPr="00CE6E5F">
        <w:rPr>
          <w:rFonts w:eastAsia="Times New Roman" w:cs="Times New Roman"/>
          <w:snapToGrid w:val="0"/>
        </w:rPr>
        <w:t>, 24</w:t>
      </w:r>
      <w:r w:rsidR="00000B72">
        <w:rPr>
          <w:rFonts w:eastAsia="Times New Roman" w:cs="Times New Roman"/>
          <w:snapToGrid w:val="0"/>
        </w:rPr>
        <w:t> ml</w:t>
      </w:r>
      <w:r w:rsidR="003451F2" w:rsidRPr="00CE6E5F">
        <w:rPr>
          <w:rFonts w:eastAsia="Times New Roman" w:cs="Times New Roman"/>
          <w:snapToGrid w:val="0"/>
        </w:rPr>
        <w:t xml:space="preserve"> arba 48 ml </w:t>
      </w:r>
      <w:proofErr w:type="spellStart"/>
      <w:r w:rsidR="003451F2" w:rsidRPr="00CE6E5F">
        <w:rPr>
          <w:rFonts w:eastAsia="Times New Roman" w:cs="Times New Roman"/>
          <w:snapToGrid w:val="0"/>
        </w:rPr>
        <w:t>tirpalo</w:t>
      </w:r>
      <w:r>
        <w:rPr>
          <w:rFonts w:eastAsia="Times New Roman" w:cs="Times New Roman"/>
          <w:snapToGrid w:val="0"/>
        </w:rPr>
        <w:t>.P</w:t>
      </w:r>
      <w:r w:rsidR="003451F2" w:rsidRPr="00CE6E5F">
        <w:rPr>
          <w:rFonts w:eastAsia="Times New Roman" w:cs="Times New Roman"/>
          <w:snapToGrid w:val="0"/>
        </w:rPr>
        <w:t>akuotės</w:t>
      </w:r>
      <w:proofErr w:type="spellEnd"/>
      <w:r w:rsidR="003451F2" w:rsidRPr="00CE6E5F">
        <w:rPr>
          <w:rFonts w:eastAsia="Times New Roman" w:cs="Times New Roman"/>
          <w:snapToGrid w:val="0"/>
        </w:rPr>
        <w:t xml:space="preserve"> dydis – 1</w:t>
      </w:r>
      <w:r w:rsidR="003826B7">
        <w:rPr>
          <w:rFonts w:eastAsia="Times New Roman" w:cs="Times New Roman"/>
          <w:snapToGrid w:val="0"/>
        </w:rPr>
        <w:t>,</w:t>
      </w:r>
      <w:r w:rsidR="003451F2" w:rsidRPr="00CE6E5F">
        <w:rPr>
          <w:rFonts w:eastAsia="Times New Roman" w:cs="Times New Roman"/>
          <w:snapToGrid w:val="0"/>
        </w:rPr>
        <w:t xml:space="preserve"> 10</w:t>
      </w:r>
      <w:r w:rsidR="003826B7">
        <w:rPr>
          <w:rFonts w:eastAsia="Times New Roman" w:cs="Times New Roman"/>
          <w:snapToGrid w:val="0"/>
        </w:rPr>
        <w:t xml:space="preserve"> arba 20</w:t>
      </w:r>
      <w:r>
        <w:rPr>
          <w:rFonts w:eastAsia="Times New Roman" w:cs="Times New Roman"/>
          <w:snapToGrid w:val="0"/>
        </w:rPr>
        <w:t xml:space="preserve"> flakonų</w:t>
      </w:r>
      <w:r w:rsidR="003451F2" w:rsidRPr="00CE6E5F">
        <w:rPr>
          <w:rFonts w:eastAsia="Times New Roman" w:cs="Times New Roman"/>
          <w:snapToGrid w:val="0"/>
        </w:rPr>
        <w:t>.</w:t>
      </w:r>
    </w:p>
    <w:p w14:paraId="5EA19BD7" w14:textId="77777777" w:rsidR="003451F2" w:rsidRPr="00CE6E5F" w:rsidRDefault="003451F2" w:rsidP="00E457A0">
      <w:pPr>
        <w:numPr>
          <w:ilvl w:val="12"/>
          <w:numId w:val="0"/>
        </w:numPr>
        <w:jc w:val="both"/>
        <w:rPr>
          <w:rFonts w:eastAsia="Times New Roman" w:cs="Times New Roman"/>
        </w:rPr>
      </w:pPr>
      <w:r w:rsidRPr="00CE6E5F">
        <w:rPr>
          <w:rFonts w:eastAsia="Times New Roman" w:cs="Times New Roman"/>
        </w:rPr>
        <w:t>Gali būti tiekiamos ne visų dydžių pakuotės.</w:t>
      </w:r>
    </w:p>
    <w:p w14:paraId="78E478FE" w14:textId="77777777" w:rsidR="003451F2" w:rsidRPr="00CE6E5F" w:rsidRDefault="003451F2" w:rsidP="00316E67">
      <w:pPr>
        <w:numPr>
          <w:ilvl w:val="12"/>
          <w:numId w:val="0"/>
        </w:numPr>
        <w:jc w:val="both"/>
        <w:rPr>
          <w:rFonts w:eastAsia="Times New Roman" w:cs="Times New Roman"/>
          <w:u w:val="single"/>
        </w:rPr>
      </w:pPr>
    </w:p>
    <w:p w14:paraId="7002AC12" w14:textId="77777777" w:rsidR="003451F2" w:rsidRPr="00CE6E5F" w:rsidRDefault="003451F2" w:rsidP="00316E67">
      <w:pPr>
        <w:numPr>
          <w:ilvl w:val="12"/>
          <w:numId w:val="0"/>
        </w:numPr>
        <w:ind w:right="-2"/>
        <w:jc w:val="both"/>
        <w:rPr>
          <w:rFonts w:eastAsia="Times New Roman" w:cs="Times New Roman"/>
          <w:b/>
          <w:bCs/>
        </w:rPr>
      </w:pPr>
      <w:r w:rsidRPr="00CE6E5F">
        <w:rPr>
          <w:rFonts w:eastAsia="Times New Roman" w:cs="Times New Roman"/>
          <w:b/>
          <w:bCs/>
        </w:rPr>
        <w:t xml:space="preserve">Registruotojas </w:t>
      </w:r>
      <w:r w:rsidRPr="00CE6E5F">
        <w:rPr>
          <w:rFonts w:eastAsia="Times New Roman" w:cs="Times New Roman"/>
          <w:b/>
          <w:bCs/>
          <w:szCs w:val="20"/>
        </w:rPr>
        <w:t>ir gamintojas</w:t>
      </w:r>
    </w:p>
    <w:p w14:paraId="31901BDC" w14:textId="77777777" w:rsidR="003451F2" w:rsidRPr="00CE6E5F" w:rsidRDefault="003451F2" w:rsidP="00BE3B67">
      <w:pPr>
        <w:numPr>
          <w:ilvl w:val="12"/>
          <w:numId w:val="0"/>
        </w:numPr>
        <w:ind w:right="-2"/>
        <w:jc w:val="both"/>
        <w:rPr>
          <w:rFonts w:eastAsia="Times New Roman" w:cs="Times New Roman"/>
          <w:b/>
          <w:bCs/>
        </w:rPr>
      </w:pPr>
    </w:p>
    <w:p w14:paraId="0089A15D" w14:textId="77777777" w:rsidR="003451F2" w:rsidRPr="00C520C1" w:rsidRDefault="003451F2" w:rsidP="00BE3B67">
      <w:pPr>
        <w:numPr>
          <w:ilvl w:val="12"/>
          <w:numId w:val="0"/>
        </w:numPr>
        <w:ind w:right="-2"/>
        <w:jc w:val="both"/>
        <w:rPr>
          <w:rFonts w:eastAsia="Times New Roman" w:cs="Times New Roman"/>
          <w:bCs/>
          <w:u w:val="single"/>
        </w:rPr>
      </w:pPr>
      <w:r w:rsidRPr="00C520C1">
        <w:rPr>
          <w:rFonts w:eastAsia="Times New Roman" w:cs="Times New Roman"/>
          <w:bCs/>
          <w:u w:val="single"/>
        </w:rPr>
        <w:t>Registruotojas:</w:t>
      </w:r>
    </w:p>
    <w:p w14:paraId="3B00297A" w14:textId="77777777" w:rsidR="003451F2" w:rsidRPr="00CE6E5F" w:rsidRDefault="003451F2" w:rsidP="00BE3B67">
      <w:pPr>
        <w:widowControl w:val="0"/>
        <w:autoSpaceDE w:val="0"/>
        <w:autoSpaceDN w:val="0"/>
        <w:adjustRightInd w:val="0"/>
        <w:rPr>
          <w:rFonts w:eastAsia="Times New Roman" w:cs="Times New Roman"/>
          <w:color w:val="000000"/>
          <w:lang w:eastAsia="de-AT"/>
        </w:rPr>
      </w:pPr>
      <w:proofErr w:type="spellStart"/>
      <w:r w:rsidRPr="00CE6E5F">
        <w:rPr>
          <w:rFonts w:eastAsia="Times New Roman" w:cs="Times New Roman"/>
          <w:color w:val="000000"/>
          <w:lang w:eastAsia="de-AT"/>
        </w:rPr>
        <w:t>Octapharma</w:t>
      </w:r>
      <w:proofErr w:type="spellEnd"/>
      <w:r w:rsidRPr="00CE6E5F">
        <w:rPr>
          <w:rFonts w:eastAsia="Times New Roman" w:cs="Times New Roman"/>
          <w:color w:val="000000"/>
          <w:lang w:eastAsia="de-AT"/>
        </w:rPr>
        <w:t xml:space="preserve"> (IP) SPRL</w:t>
      </w:r>
    </w:p>
    <w:p w14:paraId="10440C1C" w14:textId="153F5D31" w:rsidR="003451F2" w:rsidRPr="00CE6E5F" w:rsidRDefault="008B43C5" w:rsidP="00BE3B67">
      <w:pPr>
        <w:widowControl w:val="0"/>
        <w:autoSpaceDE w:val="0"/>
        <w:autoSpaceDN w:val="0"/>
        <w:adjustRightInd w:val="0"/>
        <w:rPr>
          <w:rFonts w:eastAsia="Times New Roman" w:cs="Times New Roman"/>
          <w:color w:val="000000"/>
          <w:lang w:eastAsia="de-AT"/>
        </w:rPr>
      </w:pPr>
      <w:proofErr w:type="spellStart"/>
      <w:r>
        <w:rPr>
          <w:rFonts w:eastAsia="Times New Roman" w:cs="Times New Roman"/>
          <w:color w:val="000000"/>
          <w:lang w:eastAsia="de-AT"/>
        </w:rPr>
        <w:t>Route</w:t>
      </w:r>
      <w:proofErr w:type="spellEnd"/>
      <w:r>
        <w:rPr>
          <w:rFonts w:eastAsia="Times New Roman" w:cs="Times New Roman"/>
          <w:color w:val="000000"/>
          <w:lang w:eastAsia="de-AT"/>
        </w:rPr>
        <w:t xml:space="preserve"> de </w:t>
      </w:r>
      <w:proofErr w:type="spellStart"/>
      <w:r>
        <w:rPr>
          <w:rFonts w:eastAsia="Times New Roman" w:cs="Times New Roman"/>
          <w:color w:val="000000"/>
          <w:lang w:eastAsia="de-AT"/>
        </w:rPr>
        <w:t>Lennik</w:t>
      </w:r>
      <w:proofErr w:type="spellEnd"/>
      <w:r>
        <w:rPr>
          <w:rFonts w:eastAsia="Times New Roman" w:cs="Times New Roman"/>
          <w:color w:val="000000"/>
          <w:lang w:eastAsia="de-AT"/>
        </w:rPr>
        <w:t xml:space="preserve"> 451</w:t>
      </w:r>
    </w:p>
    <w:p w14:paraId="1D91447F" w14:textId="77777777" w:rsidR="003451F2" w:rsidRPr="00CE6E5F" w:rsidRDefault="003451F2" w:rsidP="00BE3B67">
      <w:pPr>
        <w:widowControl w:val="0"/>
        <w:autoSpaceDE w:val="0"/>
        <w:autoSpaceDN w:val="0"/>
        <w:adjustRightInd w:val="0"/>
        <w:rPr>
          <w:rFonts w:eastAsia="Times New Roman" w:cs="Times New Roman"/>
          <w:color w:val="000000"/>
          <w:lang w:eastAsia="de-AT"/>
        </w:rPr>
      </w:pPr>
      <w:r w:rsidRPr="00CE6E5F">
        <w:rPr>
          <w:rFonts w:eastAsia="Times New Roman" w:cs="Times New Roman"/>
          <w:color w:val="000000"/>
          <w:lang w:eastAsia="de-AT"/>
        </w:rPr>
        <w:t xml:space="preserve">1070 </w:t>
      </w:r>
      <w:proofErr w:type="spellStart"/>
      <w:r w:rsidRPr="00CE6E5F">
        <w:rPr>
          <w:rFonts w:eastAsia="Times New Roman" w:cs="Times New Roman"/>
          <w:color w:val="000000"/>
          <w:lang w:eastAsia="de-AT"/>
        </w:rPr>
        <w:t>Brussels</w:t>
      </w:r>
      <w:proofErr w:type="spellEnd"/>
      <w:r w:rsidRPr="00CE6E5F">
        <w:rPr>
          <w:rFonts w:eastAsia="Times New Roman" w:cs="Times New Roman"/>
          <w:color w:val="000000"/>
          <w:lang w:eastAsia="de-AT"/>
        </w:rPr>
        <w:t xml:space="preserve"> (Anderlecht)</w:t>
      </w:r>
    </w:p>
    <w:p w14:paraId="68FD8A0F" w14:textId="77777777" w:rsidR="003451F2" w:rsidRPr="00CE6E5F" w:rsidRDefault="003451F2" w:rsidP="00BE3B67">
      <w:pPr>
        <w:widowControl w:val="0"/>
        <w:autoSpaceDE w:val="0"/>
        <w:autoSpaceDN w:val="0"/>
        <w:adjustRightInd w:val="0"/>
        <w:rPr>
          <w:rFonts w:eastAsia="Times New Roman" w:cs="Times New Roman"/>
          <w:color w:val="000000"/>
          <w:lang w:eastAsia="de-AT"/>
        </w:rPr>
      </w:pPr>
      <w:r w:rsidRPr="00CE6E5F">
        <w:rPr>
          <w:rFonts w:eastAsia="Times New Roman" w:cs="Times New Roman"/>
          <w:color w:val="000000"/>
          <w:lang w:eastAsia="de-AT"/>
        </w:rPr>
        <w:t>Belgija</w:t>
      </w:r>
    </w:p>
    <w:p w14:paraId="61A65E0E" w14:textId="77777777" w:rsidR="003451F2" w:rsidRPr="00CE6E5F" w:rsidRDefault="003451F2" w:rsidP="00BE3B67">
      <w:pPr>
        <w:numPr>
          <w:ilvl w:val="12"/>
          <w:numId w:val="0"/>
        </w:numPr>
        <w:ind w:right="-2"/>
        <w:jc w:val="both"/>
        <w:rPr>
          <w:rFonts w:eastAsia="Times New Roman" w:cs="Times New Roman"/>
          <w:bCs/>
        </w:rPr>
      </w:pPr>
    </w:p>
    <w:p w14:paraId="46731B8C" w14:textId="77777777" w:rsidR="003451F2" w:rsidRPr="00C520C1" w:rsidRDefault="003451F2" w:rsidP="00BE3B67">
      <w:pPr>
        <w:numPr>
          <w:ilvl w:val="12"/>
          <w:numId w:val="0"/>
        </w:numPr>
        <w:ind w:right="-2"/>
        <w:jc w:val="both"/>
        <w:rPr>
          <w:rFonts w:eastAsia="Times New Roman" w:cs="Times New Roman"/>
          <w:u w:val="single"/>
        </w:rPr>
      </w:pPr>
      <w:r w:rsidRPr="00C520C1">
        <w:rPr>
          <w:rFonts w:eastAsia="Times New Roman" w:cs="Times New Roman"/>
          <w:bCs/>
          <w:u w:val="single"/>
        </w:rPr>
        <w:t>Gamintoja</w:t>
      </w:r>
      <w:r w:rsidR="00FB20C4" w:rsidRPr="00C520C1">
        <w:rPr>
          <w:rFonts w:eastAsia="Times New Roman" w:cs="Times New Roman"/>
          <w:bCs/>
          <w:u w:val="single"/>
        </w:rPr>
        <w:t>i</w:t>
      </w:r>
      <w:r w:rsidRPr="00C520C1">
        <w:rPr>
          <w:rFonts w:eastAsia="Times New Roman" w:cs="Times New Roman"/>
          <w:bCs/>
          <w:u w:val="single"/>
        </w:rPr>
        <w:t>:</w:t>
      </w:r>
    </w:p>
    <w:p w14:paraId="48F4A93E" w14:textId="77777777" w:rsidR="003451F2" w:rsidRPr="00CE6E5F" w:rsidRDefault="003451F2" w:rsidP="00BE3B67">
      <w:pPr>
        <w:widowControl w:val="0"/>
        <w:autoSpaceDE w:val="0"/>
        <w:autoSpaceDN w:val="0"/>
        <w:adjustRightInd w:val="0"/>
        <w:jc w:val="both"/>
        <w:rPr>
          <w:rFonts w:eastAsia="Times New Roman" w:cs="Times New Roman"/>
          <w:color w:val="000000"/>
          <w:lang w:eastAsia="de-AT"/>
        </w:rPr>
      </w:pPr>
      <w:proofErr w:type="spellStart"/>
      <w:r w:rsidRPr="00CE6E5F">
        <w:rPr>
          <w:rFonts w:eastAsia="Times New Roman" w:cs="Times New Roman"/>
          <w:color w:val="000000"/>
          <w:lang w:eastAsia="de-AT"/>
        </w:rPr>
        <w:t>Octapharma</w:t>
      </w:r>
      <w:proofErr w:type="spellEnd"/>
      <w:r w:rsidRPr="00CE6E5F">
        <w:rPr>
          <w:rFonts w:eastAsia="Times New Roman" w:cs="Times New Roman"/>
          <w:color w:val="000000"/>
          <w:lang w:eastAsia="de-AT"/>
        </w:rPr>
        <w:t xml:space="preserve"> </w:t>
      </w:r>
      <w:proofErr w:type="spellStart"/>
      <w:r w:rsidRPr="00CE6E5F">
        <w:rPr>
          <w:rFonts w:eastAsia="Times New Roman" w:cs="Times New Roman"/>
          <w:color w:val="000000"/>
          <w:lang w:eastAsia="de-AT"/>
        </w:rPr>
        <w:t>Pharmazeutika</w:t>
      </w:r>
      <w:proofErr w:type="spellEnd"/>
      <w:r w:rsidRPr="00CE6E5F">
        <w:rPr>
          <w:rFonts w:eastAsia="Times New Roman" w:cs="Times New Roman"/>
          <w:color w:val="000000"/>
          <w:lang w:eastAsia="de-AT"/>
        </w:rPr>
        <w:t xml:space="preserve"> </w:t>
      </w:r>
      <w:proofErr w:type="spellStart"/>
      <w:r w:rsidRPr="00CE6E5F">
        <w:rPr>
          <w:rFonts w:eastAsia="Times New Roman" w:cs="Times New Roman"/>
          <w:color w:val="000000"/>
          <w:lang w:eastAsia="de-AT"/>
        </w:rPr>
        <w:t>Produktionsges.m.b.H</w:t>
      </w:r>
      <w:proofErr w:type="spellEnd"/>
      <w:r w:rsidRPr="00CE6E5F">
        <w:rPr>
          <w:rFonts w:eastAsia="Times New Roman" w:cs="Times New Roman"/>
          <w:color w:val="000000"/>
          <w:lang w:eastAsia="de-AT"/>
        </w:rPr>
        <w:t xml:space="preserve">. </w:t>
      </w:r>
    </w:p>
    <w:p w14:paraId="6D0D9220" w14:textId="77777777" w:rsidR="003451F2" w:rsidRPr="00CE6E5F" w:rsidRDefault="003451F2" w:rsidP="00BE3B67">
      <w:pPr>
        <w:widowControl w:val="0"/>
        <w:autoSpaceDE w:val="0"/>
        <w:autoSpaceDN w:val="0"/>
        <w:adjustRightInd w:val="0"/>
        <w:jc w:val="both"/>
        <w:rPr>
          <w:rFonts w:eastAsia="Times New Roman" w:cs="Times New Roman"/>
          <w:color w:val="000000"/>
          <w:lang w:eastAsia="de-AT"/>
        </w:rPr>
      </w:pPr>
      <w:proofErr w:type="spellStart"/>
      <w:r w:rsidRPr="00CE6E5F">
        <w:rPr>
          <w:rFonts w:eastAsia="Times New Roman" w:cs="Times New Roman"/>
          <w:color w:val="000000"/>
          <w:lang w:eastAsia="de-AT"/>
        </w:rPr>
        <w:t>Oberlaaer</w:t>
      </w:r>
      <w:proofErr w:type="spellEnd"/>
      <w:r w:rsidRPr="00CE6E5F">
        <w:rPr>
          <w:rFonts w:eastAsia="Times New Roman" w:cs="Times New Roman"/>
          <w:color w:val="000000"/>
          <w:lang w:eastAsia="de-AT"/>
        </w:rPr>
        <w:t xml:space="preserve"> </w:t>
      </w:r>
      <w:proofErr w:type="spellStart"/>
      <w:r w:rsidRPr="00CE6E5F">
        <w:rPr>
          <w:rFonts w:eastAsia="Times New Roman" w:cs="Times New Roman"/>
          <w:color w:val="000000"/>
          <w:lang w:eastAsia="de-AT"/>
        </w:rPr>
        <w:t>Strasse</w:t>
      </w:r>
      <w:proofErr w:type="spellEnd"/>
      <w:r w:rsidRPr="00CE6E5F">
        <w:rPr>
          <w:rFonts w:eastAsia="Times New Roman" w:cs="Times New Roman"/>
          <w:color w:val="000000"/>
          <w:lang w:eastAsia="de-AT"/>
        </w:rPr>
        <w:t xml:space="preserve"> 235</w:t>
      </w:r>
    </w:p>
    <w:p w14:paraId="3CABD754" w14:textId="77777777" w:rsidR="003451F2" w:rsidRPr="00CE6E5F" w:rsidRDefault="003451F2" w:rsidP="00BE3B67">
      <w:pPr>
        <w:widowControl w:val="0"/>
        <w:autoSpaceDE w:val="0"/>
        <w:autoSpaceDN w:val="0"/>
        <w:adjustRightInd w:val="0"/>
        <w:jc w:val="both"/>
        <w:rPr>
          <w:rFonts w:eastAsia="Times New Roman" w:cs="Times New Roman"/>
          <w:color w:val="000000"/>
          <w:lang w:eastAsia="de-AT"/>
        </w:rPr>
      </w:pPr>
      <w:r w:rsidRPr="00CE6E5F">
        <w:rPr>
          <w:rFonts w:eastAsia="Times New Roman" w:cs="Times New Roman"/>
          <w:color w:val="000000"/>
          <w:lang w:eastAsia="de-AT"/>
        </w:rPr>
        <w:t xml:space="preserve">1100 </w:t>
      </w:r>
      <w:proofErr w:type="spellStart"/>
      <w:r w:rsidRPr="00CE6E5F">
        <w:rPr>
          <w:rFonts w:eastAsia="Times New Roman" w:cs="Times New Roman"/>
          <w:color w:val="000000"/>
          <w:lang w:eastAsia="de-AT"/>
        </w:rPr>
        <w:t>Vienna</w:t>
      </w:r>
      <w:proofErr w:type="spellEnd"/>
    </w:p>
    <w:p w14:paraId="2770752D" w14:textId="77777777" w:rsidR="003451F2" w:rsidRDefault="003451F2" w:rsidP="00BE3B67">
      <w:pPr>
        <w:widowControl w:val="0"/>
        <w:autoSpaceDE w:val="0"/>
        <w:autoSpaceDN w:val="0"/>
        <w:adjustRightInd w:val="0"/>
        <w:jc w:val="both"/>
        <w:rPr>
          <w:rFonts w:eastAsia="Times New Roman" w:cs="Times New Roman"/>
          <w:color w:val="000000"/>
          <w:lang w:eastAsia="de-AT"/>
        </w:rPr>
      </w:pPr>
      <w:r w:rsidRPr="00CE6E5F">
        <w:rPr>
          <w:rFonts w:eastAsia="Times New Roman" w:cs="Times New Roman"/>
          <w:color w:val="000000"/>
          <w:lang w:eastAsia="de-AT"/>
        </w:rPr>
        <w:t>Austrija</w:t>
      </w:r>
    </w:p>
    <w:p w14:paraId="204C1A03" w14:textId="77777777" w:rsidR="00FB20C4" w:rsidRDefault="00FB20C4" w:rsidP="00BE3B67">
      <w:pPr>
        <w:widowControl w:val="0"/>
        <w:autoSpaceDE w:val="0"/>
        <w:autoSpaceDN w:val="0"/>
        <w:adjustRightInd w:val="0"/>
        <w:jc w:val="both"/>
        <w:rPr>
          <w:rFonts w:eastAsia="Times New Roman" w:cs="Times New Roman"/>
          <w:color w:val="000000"/>
          <w:lang w:eastAsia="de-AT"/>
        </w:rPr>
      </w:pPr>
    </w:p>
    <w:p w14:paraId="228EB6B0" w14:textId="77777777" w:rsidR="00FB20C4" w:rsidRDefault="00FB20C4" w:rsidP="00BE3B67">
      <w:pPr>
        <w:widowControl w:val="0"/>
        <w:autoSpaceDE w:val="0"/>
        <w:autoSpaceDN w:val="0"/>
        <w:adjustRightInd w:val="0"/>
        <w:jc w:val="both"/>
        <w:rPr>
          <w:rFonts w:eastAsia="Times New Roman" w:cs="Times New Roman"/>
          <w:color w:val="000000"/>
          <w:lang w:eastAsia="de-AT"/>
        </w:rPr>
      </w:pPr>
      <w:bookmarkStart w:id="7" w:name="_Hlk89677532"/>
      <w:r>
        <w:rPr>
          <w:rFonts w:eastAsia="Times New Roman" w:cs="Times New Roman"/>
          <w:color w:val="000000"/>
          <w:lang w:eastAsia="de-AT"/>
        </w:rPr>
        <w:t>arba</w:t>
      </w:r>
    </w:p>
    <w:p w14:paraId="5803505C" w14:textId="77777777" w:rsidR="00FB20C4" w:rsidRDefault="00FB20C4" w:rsidP="00BE3B67">
      <w:pPr>
        <w:widowControl w:val="0"/>
        <w:autoSpaceDE w:val="0"/>
        <w:autoSpaceDN w:val="0"/>
        <w:adjustRightInd w:val="0"/>
        <w:jc w:val="both"/>
        <w:rPr>
          <w:rFonts w:eastAsia="Times New Roman" w:cs="Times New Roman"/>
          <w:color w:val="000000"/>
          <w:lang w:eastAsia="de-AT"/>
        </w:rPr>
      </w:pPr>
    </w:p>
    <w:p w14:paraId="122EABC5" w14:textId="77777777" w:rsidR="00FB20C4" w:rsidRDefault="00FB20C4" w:rsidP="00BE3B67">
      <w:pPr>
        <w:widowControl w:val="0"/>
        <w:autoSpaceDE w:val="0"/>
        <w:autoSpaceDN w:val="0"/>
        <w:adjustRightInd w:val="0"/>
        <w:jc w:val="both"/>
        <w:rPr>
          <w:rFonts w:eastAsia="Times New Roman" w:cs="Times New Roman"/>
          <w:color w:val="000000"/>
          <w:lang w:eastAsia="de-AT"/>
        </w:rPr>
      </w:pPr>
      <w:proofErr w:type="spellStart"/>
      <w:r>
        <w:rPr>
          <w:rFonts w:eastAsia="Times New Roman" w:cs="Times New Roman"/>
          <w:color w:val="000000"/>
          <w:lang w:eastAsia="de-AT"/>
        </w:rPr>
        <w:t>Octapharma</w:t>
      </w:r>
      <w:proofErr w:type="spellEnd"/>
      <w:r>
        <w:rPr>
          <w:rFonts w:eastAsia="Times New Roman" w:cs="Times New Roman"/>
          <w:color w:val="000000"/>
          <w:lang w:eastAsia="de-AT"/>
        </w:rPr>
        <w:t xml:space="preserve"> AB</w:t>
      </w:r>
    </w:p>
    <w:p w14:paraId="23806FF2" w14:textId="77777777" w:rsidR="00FB20C4" w:rsidRDefault="00FB20C4" w:rsidP="00BE3B67">
      <w:pPr>
        <w:widowControl w:val="0"/>
        <w:autoSpaceDE w:val="0"/>
        <w:autoSpaceDN w:val="0"/>
        <w:adjustRightInd w:val="0"/>
        <w:jc w:val="both"/>
        <w:rPr>
          <w:rFonts w:eastAsia="Times New Roman" w:cs="Times New Roman"/>
          <w:color w:val="000000"/>
          <w:lang w:eastAsia="de-AT"/>
        </w:rPr>
      </w:pPr>
      <w:proofErr w:type="spellStart"/>
      <w:r>
        <w:rPr>
          <w:rFonts w:eastAsia="Times New Roman" w:cs="Times New Roman"/>
          <w:color w:val="000000"/>
          <w:lang w:eastAsia="de-AT"/>
        </w:rPr>
        <w:t>Lars</w:t>
      </w:r>
      <w:proofErr w:type="spellEnd"/>
      <w:r>
        <w:rPr>
          <w:rFonts w:eastAsia="Times New Roman" w:cs="Times New Roman"/>
          <w:color w:val="000000"/>
          <w:lang w:eastAsia="de-AT"/>
        </w:rPr>
        <w:t xml:space="preserve"> </w:t>
      </w:r>
      <w:proofErr w:type="spellStart"/>
      <w:r>
        <w:rPr>
          <w:rFonts w:eastAsia="Times New Roman" w:cs="Times New Roman"/>
          <w:color w:val="000000"/>
          <w:lang w:eastAsia="de-AT"/>
        </w:rPr>
        <w:t>Forssells</w:t>
      </w:r>
      <w:proofErr w:type="spellEnd"/>
      <w:r>
        <w:rPr>
          <w:rFonts w:eastAsia="Times New Roman" w:cs="Times New Roman"/>
          <w:color w:val="000000"/>
          <w:lang w:eastAsia="de-AT"/>
        </w:rPr>
        <w:t xml:space="preserve"> </w:t>
      </w:r>
      <w:proofErr w:type="spellStart"/>
      <w:r>
        <w:rPr>
          <w:rFonts w:eastAsia="Times New Roman" w:cs="Times New Roman"/>
          <w:color w:val="000000"/>
          <w:lang w:eastAsia="de-AT"/>
        </w:rPr>
        <w:t>gata</w:t>
      </w:r>
      <w:proofErr w:type="spellEnd"/>
      <w:r>
        <w:rPr>
          <w:rFonts w:eastAsia="Times New Roman" w:cs="Times New Roman"/>
          <w:color w:val="000000"/>
          <w:lang w:eastAsia="de-AT"/>
        </w:rPr>
        <w:t xml:space="preserve"> 23</w:t>
      </w:r>
    </w:p>
    <w:p w14:paraId="1153666B" w14:textId="77777777" w:rsidR="00FB20C4" w:rsidRDefault="00FB20C4" w:rsidP="00BE3B67">
      <w:pPr>
        <w:widowControl w:val="0"/>
        <w:autoSpaceDE w:val="0"/>
        <w:autoSpaceDN w:val="0"/>
        <w:adjustRightInd w:val="0"/>
        <w:jc w:val="both"/>
        <w:rPr>
          <w:rFonts w:eastAsia="Times New Roman" w:cs="Times New Roman"/>
          <w:color w:val="000000"/>
          <w:lang w:eastAsia="de-AT"/>
        </w:rPr>
      </w:pPr>
      <w:r>
        <w:rPr>
          <w:rFonts w:eastAsia="Times New Roman" w:cs="Times New Roman"/>
          <w:color w:val="000000"/>
          <w:lang w:eastAsia="de-AT"/>
        </w:rPr>
        <w:t xml:space="preserve">112 75 </w:t>
      </w:r>
      <w:proofErr w:type="spellStart"/>
      <w:r>
        <w:rPr>
          <w:rFonts w:eastAsia="Times New Roman" w:cs="Times New Roman"/>
          <w:color w:val="000000"/>
          <w:lang w:eastAsia="de-AT"/>
        </w:rPr>
        <w:t>Stockholm</w:t>
      </w:r>
      <w:proofErr w:type="spellEnd"/>
    </w:p>
    <w:p w14:paraId="478CBFA2" w14:textId="77777777" w:rsidR="00FB20C4" w:rsidRPr="00CE6E5F" w:rsidRDefault="00FB20C4" w:rsidP="00BE3B67">
      <w:pPr>
        <w:widowControl w:val="0"/>
        <w:autoSpaceDE w:val="0"/>
        <w:autoSpaceDN w:val="0"/>
        <w:adjustRightInd w:val="0"/>
        <w:jc w:val="both"/>
        <w:rPr>
          <w:rFonts w:eastAsia="Times New Roman" w:cs="Times New Roman"/>
          <w:color w:val="000000"/>
          <w:lang w:eastAsia="de-AT"/>
        </w:rPr>
      </w:pPr>
      <w:r w:rsidRPr="00FB20C4">
        <w:rPr>
          <w:rFonts w:eastAsia="Times New Roman" w:cs="Times New Roman"/>
          <w:color w:val="000000"/>
          <w:lang w:eastAsia="de-AT"/>
        </w:rPr>
        <w:t>Švedija</w:t>
      </w:r>
    </w:p>
    <w:bookmarkEnd w:id="7"/>
    <w:p w14:paraId="7DA07C7E" w14:textId="77777777" w:rsidR="00110837" w:rsidRDefault="00110837" w:rsidP="00BE3B67">
      <w:pPr>
        <w:widowControl w:val="0"/>
        <w:autoSpaceDE w:val="0"/>
        <w:autoSpaceDN w:val="0"/>
        <w:adjustRightInd w:val="0"/>
        <w:jc w:val="both"/>
        <w:rPr>
          <w:rFonts w:eastAsia="Times New Roman" w:cs="Times New Roman"/>
          <w:b/>
          <w:bCs/>
        </w:rPr>
      </w:pPr>
    </w:p>
    <w:p w14:paraId="10D4FB64" w14:textId="77777777" w:rsidR="003451F2" w:rsidRPr="00C020BF" w:rsidRDefault="00110837" w:rsidP="00BE3B67">
      <w:pPr>
        <w:widowControl w:val="0"/>
        <w:autoSpaceDE w:val="0"/>
        <w:autoSpaceDN w:val="0"/>
        <w:adjustRightInd w:val="0"/>
        <w:jc w:val="both"/>
        <w:rPr>
          <w:rFonts w:eastAsia="Times New Roman" w:cs="Times New Roman"/>
          <w:b/>
          <w:bCs/>
        </w:rPr>
      </w:pPr>
      <w:r w:rsidRPr="00C020BF">
        <w:rPr>
          <w:rFonts w:eastAsia="Times New Roman" w:cs="Times New Roman"/>
          <w:b/>
          <w:bCs/>
        </w:rPr>
        <w:t>Šis vaist</w:t>
      </w:r>
      <w:r w:rsidR="00965CA5">
        <w:rPr>
          <w:rFonts w:eastAsia="Times New Roman" w:cs="Times New Roman"/>
          <w:b/>
          <w:bCs/>
        </w:rPr>
        <w:t>as</w:t>
      </w:r>
      <w:r w:rsidRPr="00C020BF">
        <w:rPr>
          <w:rFonts w:eastAsia="Times New Roman" w:cs="Times New Roman"/>
          <w:b/>
          <w:bCs/>
        </w:rPr>
        <w:t xml:space="preserve"> </w:t>
      </w:r>
      <w:r w:rsidR="00965CA5" w:rsidRPr="00A4019A">
        <w:rPr>
          <w:b/>
          <w:snapToGrid w:val="0"/>
        </w:rPr>
        <w:t>Europos ekonominės erdvės valstybėse narėse ir Jungtinėje Karalystėje (Šiaurės Airijoje) registruotas tokiais pavadinimais</w:t>
      </w:r>
      <w:r w:rsidR="00965CA5" w:rsidRPr="00554070" w:rsidDel="00965CA5">
        <w:rPr>
          <w:rFonts w:eastAsia="Times New Roman" w:cs="Times New Roman"/>
          <w:b/>
          <w:bCs/>
        </w:rPr>
        <w:t xml:space="preserve"> </w:t>
      </w:r>
    </w:p>
    <w:tbl>
      <w:tblPr>
        <w:tblpPr w:leftFromText="141" w:rightFromText="141" w:vertAnchor="text" w:tblpY="1"/>
        <w:tblOverlap w:val="never"/>
        <w:tblW w:w="0" w:type="auto"/>
        <w:tblCellMar>
          <w:top w:w="57" w:type="dxa"/>
          <w:left w:w="70" w:type="dxa"/>
          <w:bottom w:w="57" w:type="dxa"/>
          <w:right w:w="70" w:type="dxa"/>
        </w:tblCellMar>
        <w:tblLook w:val="0000" w:firstRow="0" w:lastRow="0" w:firstColumn="0" w:lastColumn="0" w:noHBand="0" w:noVBand="0"/>
      </w:tblPr>
      <w:tblGrid>
        <w:gridCol w:w="6096"/>
        <w:gridCol w:w="1701"/>
      </w:tblGrid>
      <w:tr w:rsidR="00110837" w:rsidRPr="00110837" w14:paraId="0C381990" w14:textId="77777777" w:rsidTr="00C020BF">
        <w:tc>
          <w:tcPr>
            <w:tcW w:w="6096" w:type="dxa"/>
          </w:tcPr>
          <w:p w14:paraId="55BCEA7E" w14:textId="77777777" w:rsidR="00110837" w:rsidRPr="00C020BF" w:rsidRDefault="006D316C" w:rsidP="002E365B">
            <w:r w:rsidRPr="00A650E5">
              <w:t xml:space="preserve">Airija, Austrija, Belgija, Bulgarija, Čekija, Danija, Estija, Islandija, Ispanija, </w:t>
            </w:r>
            <w:r>
              <w:t xml:space="preserve">Italija, </w:t>
            </w:r>
            <w:r w:rsidRPr="00A650E5">
              <w:t>Jungtinė Karalystė, Kroatija, Latvija, Lenkija, Lietuva, Liuksemburgas, Malta, Norvegija, Nyderlandai, Portugalija, Prancūzija, Rumunija, Slovakija, Slovėnija, Suomija, Švedija, Vengrija, Vokietija</w:t>
            </w:r>
            <w:r w:rsidR="00110837" w:rsidRPr="00110837">
              <w:t>:</w:t>
            </w:r>
          </w:p>
        </w:tc>
        <w:tc>
          <w:tcPr>
            <w:tcW w:w="1701" w:type="dxa"/>
            <w:vAlign w:val="center"/>
          </w:tcPr>
          <w:p w14:paraId="4B7CC255" w14:textId="77777777" w:rsidR="00110837" w:rsidRPr="00110837" w:rsidRDefault="00F5368C" w:rsidP="002E365B">
            <w:r>
              <w:t xml:space="preserve">           </w:t>
            </w:r>
            <w:proofErr w:type="spellStart"/>
            <w:r w:rsidR="00110837" w:rsidRPr="00110837">
              <w:t>Cutaquig</w:t>
            </w:r>
            <w:proofErr w:type="spellEnd"/>
            <w:r w:rsidR="00110837" w:rsidRPr="00110837">
              <w:t>®</w:t>
            </w:r>
          </w:p>
        </w:tc>
      </w:tr>
    </w:tbl>
    <w:p w14:paraId="5F396541" w14:textId="77777777" w:rsidR="003451F2" w:rsidRPr="00CE6E5F" w:rsidRDefault="00110837" w:rsidP="00EA2079">
      <w:pPr>
        <w:numPr>
          <w:ilvl w:val="12"/>
          <w:numId w:val="0"/>
        </w:numPr>
        <w:ind w:right="-2"/>
        <w:jc w:val="both"/>
        <w:rPr>
          <w:rFonts w:eastAsia="Times New Roman" w:cs="Times New Roman"/>
        </w:rPr>
      </w:pPr>
      <w:r>
        <w:rPr>
          <w:i/>
          <w:noProof/>
        </w:rPr>
        <w:br w:type="textWrapping" w:clear="all"/>
      </w:r>
    </w:p>
    <w:p w14:paraId="59557FC5" w14:textId="3AE6CBA9" w:rsidR="00A840BC" w:rsidRDefault="003451F2" w:rsidP="00A840BC">
      <w:pPr>
        <w:tabs>
          <w:tab w:val="left" w:pos="567"/>
        </w:tabs>
        <w:jc w:val="both"/>
        <w:rPr>
          <w:rFonts w:eastAsia="Times New Roman" w:cs="Times New Roman"/>
          <w:b/>
          <w:bCs/>
        </w:rPr>
      </w:pPr>
      <w:r w:rsidRPr="00CE6E5F">
        <w:rPr>
          <w:rFonts w:eastAsia="Times New Roman" w:cs="Times New Roman"/>
          <w:b/>
          <w:bCs/>
        </w:rPr>
        <w:t>Šis pakuotės lapelis paskutinį kartą peržiūrėtas</w:t>
      </w:r>
      <w:r w:rsidR="006D316C">
        <w:rPr>
          <w:rFonts w:eastAsia="Times New Roman" w:cs="Times New Roman"/>
          <w:b/>
          <w:bCs/>
        </w:rPr>
        <w:t xml:space="preserve"> </w:t>
      </w:r>
      <w:r w:rsidR="00E809BF">
        <w:rPr>
          <w:rFonts w:eastAsia="Times New Roman" w:cs="Times New Roman"/>
          <w:b/>
          <w:bCs/>
        </w:rPr>
        <w:t>2025-0</w:t>
      </w:r>
      <w:r w:rsidR="00092889">
        <w:rPr>
          <w:rFonts w:eastAsia="Times New Roman" w:cs="Times New Roman"/>
          <w:b/>
          <w:bCs/>
        </w:rPr>
        <w:t>6</w:t>
      </w:r>
      <w:r w:rsidR="00E809BF">
        <w:rPr>
          <w:rFonts w:eastAsia="Times New Roman" w:cs="Times New Roman"/>
          <w:b/>
          <w:bCs/>
        </w:rPr>
        <w:t>-01</w:t>
      </w:r>
      <w:r w:rsidR="00460DE2">
        <w:rPr>
          <w:rFonts w:eastAsia="Times New Roman" w:cs="Times New Roman"/>
          <w:b/>
          <w:bCs/>
        </w:rPr>
        <w:t>.</w:t>
      </w:r>
    </w:p>
    <w:p w14:paraId="494A8CC3" w14:textId="77777777" w:rsidR="00A840BC" w:rsidRDefault="00A840BC" w:rsidP="00A840BC">
      <w:pPr>
        <w:tabs>
          <w:tab w:val="left" w:pos="567"/>
        </w:tabs>
        <w:jc w:val="both"/>
        <w:rPr>
          <w:rFonts w:eastAsia="Times New Roman" w:cs="Times New Roman"/>
          <w:b/>
          <w:bCs/>
        </w:rPr>
      </w:pPr>
    </w:p>
    <w:p w14:paraId="69F74275" w14:textId="0FE83D09" w:rsidR="00000B72" w:rsidRPr="00CE6E5F" w:rsidRDefault="00000B72" w:rsidP="00A840BC">
      <w:pPr>
        <w:tabs>
          <w:tab w:val="left" w:pos="567"/>
        </w:tabs>
        <w:jc w:val="both"/>
        <w:rPr>
          <w:rFonts w:eastAsia="Times New Roman" w:cs="Times New Roman"/>
          <w:b/>
        </w:rPr>
      </w:pPr>
      <w:r w:rsidRPr="00000B72">
        <w:rPr>
          <w:rFonts w:eastAsia="Times New Roman" w:cs="Times New Roman"/>
          <w:snapToGrid w:val="0"/>
          <w:szCs w:val="20"/>
        </w:rPr>
        <w:t xml:space="preserve">Išsami informacija apie šį </w:t>
      </w:r>
      <w:r w:rsidRPr="00000B72">
        <w:rPr>
          <w:rFonts w:eastAsia="Times New Roman" w:cs="Times New Roman"/>
          <w:snapToGrid w:val="0"/>
          <w:szCs w:val="24"/>
        </w:rPr>
        <w:t>vaistą</w:t>
      </w:r>
      <w:r w:rsidRPr="00000B72">
        <w:rPr>
          <w:rFonts w:eastAsia="Times New Roman" w:cs="Times New Roman"/>
          <w:snapToGrid w:val="0"/>
          <w:szCs w:val="20"/>
        </w:rPr>
        <w:t xml:space="preserve"> pateikiama Valstybinės vaistų kontrolės tarnybos prie Lietuvos Respublikos sveikatos apsaugos ministerijos tinklalapyje</w:t>
      </w:r>
      <w:r w:rsidRPr="00000B72">
        <w:rPr>
          <w:rFonts w:eastAsia="Times New Roman" w:cs="Times New Roman"/>
          <w:i/>
          <w:snapToGrid w:val="0"/>
          <w:szCs w:val="24"/>
        </w:rPr>
        <w:t xml:space="preserve"> </w:t>
      </w:r>
      <w:r w:rsidRPr="00000B72">
        <w:rPr>
          <w:rFonts w:eastAsia="SimSun" w:cs="Times New Roman"/>
          <w:snapToGrid w:val="0"/>
          <w:color w:val="0000FF"/>
          <w:szCs w:val="20"/>
          <w:u w:val="single"/>
        </w:rPr>
        <w:t>http://www.vvkt.lt/</w:t>
      </w:r>
      <w:r w:rsidRPr="00000B72">
        <w:rPr>
          <w:rFonts w:eastAsia="Times New Roman" w:cs="Times New Roman"/>
          <w:snapToGrid w:val="0"/>
          <w:szCs w:val="20"/>
        </w:rPr>
        <w:t>.</w:t>
      </w:r>
    </w:p>
    <w:p w14:paraId="4DBD664F" w14:textId="77777777" w:rsidR="003451F2" w:rsidRPr="00CE6E5F" w:rsidRDefault="003451F2" w:rsidP="00CE6E5F">
      <w:pPr>
        <w:pageBreakBefore/>
        <w:tabs>
          <w:tab w:val="left" w:pos="567"/>
        </w:tabs>
        <w:jc w:val="both"/>
        <w:rPr>
          <w:rFonts w:eastAsia="Times New Roman" w:cs="Times New Roman"/>
          <w:b/>
          <w:u w:val="single"/>
        </w:rPr>
      </w:pPr>
      <w:r w:rsidRPr="00CE6E5F">
        <w:rPr>
          <w:rFonts w:eastAsia="Times New Roman" w:cs="Times New Roman"/>
          <w:b/>
          <w:bCs/>
          <w:u w:val="single"/>
        </w:rPr>
        <w:lastRenderedPageBreak/>
        <w:t>I priedas. Skyrimo gairės</w:t>
      </w:r>
    </w:p>
    <w:p w14:paraId="760ABC70" w14:textId="77777777" w:rsidR="003451F2" w:rsidRPr="00CE6E5F" w:rsidRDefault="003451F2" w:rsidP="00CE6E5F">
      <w:pPr>
        <w:numPr>
          <w:ilvl w:val="0"/>
          <w:numId w:val="20"/>
        </w:numPr>
        <w:tabs>
          <w:tab w:val="left" w:pos="567"/>
        </w:tabs>
        <w:jc w:val="both"/>
        <w:rPr>
          <w:rFonts w:eastAsia="Calibri" w:cs="Times New Roman"/>
          <w:b/>
          <w:iCs/>
        </w:rPr>
      </w:pPr>
      <w:r w:rsidRPr="00CE6E5F">
        <w:rPr>
          <w:rFonts w:eastAsia="Calibri" w:cs="Times New Roman"/>
          <w:b/>
          <w:bCs/>
        </w:rPr>
        <w:t xml:space="preserve">Paruoškite reikiamą </w:t>
      </w:r>
      <w:proofErr w:type="spellStart"/>
      <w:r w:rsidR="00242227">
        <w:rPr>
          <w:rFonts w:eastAsia="Calibri" w:cs="Times New Roman"/>
          <w:b/>
          <w:bCs/>
        </w:rPr>
        <w:t>c</w:t>
      </w:r>
      <w:r w:rsidRPr="00CE6E5F">
        <w:rPr>
          <w:rFonts w:eastAsia="Calibri" w:cs="Times New Roman"/>
          <w:b/>
          <w:bCs/>
        </w:rPr>
        <w:t>utaquig</w:t>
      </w:r>
      <w:proofErr w:type="spellEnd"/>
      <w:r w:rsidRPr="00CE6E5F">
        <w:rPr>
          <w:rFonts w:eastAsia="Calibri" w:cs="Times New Roman"/>
          <w:b/>
          <w:bCs/>
        </w:rPr>
        <w:t xml:space="preserve"> flakonų skaičių</w:t>
      </w:r>
    </w:p>
    <w:p w14:paraId="14EC096E" w14:textId="77777777" w:rsidR="003451F2" w:rsidRPr="00CE6E5F" w:rsidRDefault="003451F2" w:rsidP="00CE6E5F">
      <w:pPr>
        <w:numPr>
          <w:ilvl w:val="1"/>
          <w:numId w:val="19"/>
        </w:numPr>
        <w:rPr>
          <w:rFonts w:eastAsia="Calibri" w:cs="Times New Roman"/>
          <w:iCs/>
        </w:rPr>
      </w:pPr>
      <w:r w:rsidRPr="00CE6E5F">
        <w:rPr>
          <w:rFonts w:eastAsia="Calibri" w:cs="Times New Roman"/>
        </w:rPr>
        <w:t xml:space="preserve">Jei flakonai laikomi šaldytuve, likus mažiausiai 90 minučių iki infuzijos padėkite juos kambario temperatūroje. </w:t>
      </w:r>
    </w:p>
    <w:p w14:paraId="3E327470" w14:textId="77777777" w:rsidR="003451F2" w:rsidRPr="00CE6E5F" w:rsidRDefault="003451F2" w:rsidP="00CE6E5F">
      <w:pPr>
        <w:numPr>
          <w:ilvl w:val="1"/>
          <w:numId w:val="19"/>
        </w:numPr>
        <w:rPr>
          <w:rFonts w:eastAsia="Calibri" w:cs="Times New Roman"/>
          <w:iCs/>
        </w:rPr>
      </w:pPr>
      <w:r w:rsidRPr="00CE6E5F">
        <w:rPr>
          <w:rFonts w:eastAsia="Calibri" w:cs="Times New Roman"/>
        </w:rPr>
        <w:t>Nešildykite flakonų ir nedėkite į mikrobangų krosnelę.</w:t>
      </w:r>
    </w:p>
    <w:p w14:paraId="30A9BE5C" w14:textId="77777777" w:rsidR="003451F2" w:rsidRPr="00CE6E5F" w:rsidRDefault="003451F2" w:rsidP="00CE6E5F">
      <w:pPr>
        <w:numPr>
          <w:ilvl w:val="1"/>
          <w:numId w:val="19"/>
        </w:numPr>
        <w:rPr>
          <w:rFonts w:eastAsia="Calibri" w:cs="Times New Roman"/>
          <w:iCs/>
        </w:rPr>
      </w:pPr>
      <w:r w:rsidRPr="00CE6E5F">
        <w:rPr>
          <w:rFonts w:eastAsia="Calibri" w:cs="Times New Roman"/>
        </w:rPr>
        <w:t>Nekratykite flakonų, kad jie nesuputotų.</w:t>
      </w:r>
    </w:p>
    <w:p w14:paraId="7AF8A8CF" w14:textId="77777777" w:rsidR="003451F2" w:rsidRPr="00CE6E5F" w:rsidRDefault="003451F2" w:rsidP="00CE6E5F">
      <w:pPr>
        <w:numPr>
          <w:ilvl w:val="0"/>
          <w:numId w:val="20"/>
        </w:numPr>
        <w:tabs>
          <w:tab w:val="left" w:pos="567"/>
        </w:tabs>
        <w:jc w:val="both"/>
        <w:rPr>
          <w:rFonts w:eastAsia="Calibri" w:cs="Times New Roman"/>
          <w:b/>
          <w:iCs/>
        </w:rPr>
      </w:pPr>
      <w:r w:rsidRPr="00CE6E5F">
        <w:rPr>
          <w:rFonts w:eastAsia="Calibri" w:cs="Times New Roman"/>
          <w:b/>
          <w:bCs/>
        </w:rPr>
        <w:t xml:space="preserve">Pasiruošimas infuzijai </w:t>
      </w:r>
    </w:p>
    <w:p w14:paraId="307101CA" w14:textId="77777777" w:rsidR="003451F2" w:rsidRPr="00EA2079" w:rsidRDefault="003451F2" w:rsidP="00CE6E5F">
      <w:pPr>
        <w:numPr>
          <w:ilvl w:val="1"/>
          <w:numId w:val="19"/>
        </w:numPr>
        <w:rPr>
          <w:rFonts w:eastAsia="Calibri" w:cs="Times New Roman"/>
          <w:iCs/>
        </w:rPr>
      </w:pPr>
      <w:r w:rsidRPr="00CE6E5F">
        <w:rPr>
          <w:rFonts w:eastAsia="Calibri" w:cs="Times New Roman"/>
        </w:rPr>
        <w:t>Pasirinkite ir paruoškite švarią darbo vietą, naudodami antiseptines servetėles arba dezinfekuojantį tirpalą (1 pav.).</w:t>
      </w:r>
    </w:p>
    <w:p w14:paraId="7A5E6E22" w14:textId="77777777" w:rsidR="00EA2079" w:rsidRPr="00CE6E5F" w:rsidRDefault="00EA2079" w:rsidP="00CE6E5F">
      <w:pPr>
        <w:tabs>
          <w:tab w:val="left" w:pos="567"/>
        </w:tabs>
        <w:ind w:left="1134"/>
        <w:jc w:val="both"/>
        <w:rPr>
          <w:rFonts w:eastAsia="Calibri" w:cs="Times New Roman"/>
          <w:iCs/>
        </w:rPr>
      </w:pPr>
    </w:p>
    <w:p w14:paraId="13B400B2" w14:textId="77777777" w:rsidR="003451F2" w:rsidRDefault="00EA2079" w:rsidP="00CE6E5F">
      <w:pPr>
        <w:jc w:val="center"/>
      </w:pPr>
      <w:r w:rsidRPr="004E245A">
        <w:rPr>
          <w:noProof/>
          <w:lang w:eastAsia="lt-LT"/>
        </w:rPr>
        <w:drawing>
          <wp:inline distT="0" distB="0" distL="0" distR="0" wp14:anchorId="76C1ACA0" wp14:editId="7F08744D">
            <wp:extent cx="1724025" cy="119208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5858" cy="1193355"/>
                    </a:xfrm>
                    <a:prstGeom prst="rect">
                      <a:avLst/>
                    </a:prstGeom>
                  </pic:spPr>
                </pic:pic>
              </a:graphicData>
            </a:graphic>
          </wp:inline>
        </w:drawing>
      </w:r>
    </w:p>
    <w:p w14:paraId="7B8B6754" w14:textId="77777777" w:rsidR="00EA2079" w:rsidRDefault="00EA2079" w:rsidP="00EA2079">
      <w:pPr>
        <w:pStyle w:val="Antrat"/>
        <w:jc w:val="center"/>
        <w:rPr>
          <w:rFonts w:cs="Arial"/>
          <w:sz w:val="22"/>
        </w:rPr>
      </w:pPr>
      <w:r>
        <w:rPr>
          <w:rFonts w:cs="Arial"/>
          <w:sz w:val="22"/>
        </w:rPr>
        <w:t>1 pav.</w:t>
      </w:r>
    </w:p>
    <w:p w14:paraId="2E080A56" w14:textId="77777777" w:rsidR="00EA2079" w:rsidRPr="00CE6E5F" w:rsidRDefault="00EA2079" w:rsidP="00CE6E5F"/>
    <w:p w14:paraId="058152CC" w14:textId="77777777" w:rsidR="003451F2" w:rsidRPr="00CE6E5F" w:rsidRDefault="003451F2" w:rsidP="00CE6E5F">
      <w:pPr>
        <w:numPr>
          <w:ilvl w:val="1"/>
          <w:numId w:val="19"/>
        </w:numPr>
        <w:rPr>
          <w:rFonts w:eastAsia="Calibri" w:cs="Times New Roman"/>
          <w:iCs/>
        </w:rPr>
      </w:pPr>
      <w:r w:rsidRPr="00CE6E5F">
        <w:rPr>
          <w:rFonts w:eastAsia="Calibri" w:cs="Times New Roman"/>
        </w:rPr>
        <w:t xml:space="preserve">Infuzijos įranga, kurią reikia susirinkti: </w:t>
      </w:r>
    </w:p>
    <w:p w14:paraId="4D520F82"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 xml:space="preserve">infuzijos pompa (pasirinktinai) ir </w:t>
      </w:r>
      <w:r w:rsidR="00305801" w:rsidRPr="00CE6E5F">
        <w:rPr>
          <w:rFonts w:eastAsia="Calibri" w:cs="Times New Roman"/>
        </w:rPr>
        <w:t>atitinkamas</w:t>
      </w:r>
      <w:r w:rsidRPr="00CE6E5F">
        <w:rPr>
          <w:rFonts w:eastAsia="Calibri" w:cs="Times New Roman"/>
        </w:rPr>
        <w:t xml:space="preserve"> (-i) švirkštas (-ai),</w:t>
      </w:r>
    </w:p>
    <w:p w14:paraId="6029DF4B"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adata (preparatui iš flakono ištraukti),</w:t>
      </w:r>
    </w:p>
    <w:p w14:paraId="41681DC2"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infuzijos rinkinys,</w:t>
      </w:r>
    </w:p>
    <w:p w14:paraId="524A6954"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 xml:space="preserve">infuzijos vamzdelis ir Y formos jungtis (jei reikia), </w:t>
      </w:r>
    </w:p>
    <w:p w14:paraId="0BB78ACB"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 xml:space="preserve">alkoholis ir alkoholio servetėlės </w:t>
      </w:r>
      <w:r w:rsidR="008153E9">
        <w:rPr>
          <w:rFonts w:eastAsia="Calibri" w:cs="Times New Roman"/>
        </w:rPr>
        <w:t>ar</w:t>
      </w:r>
      <w:r w:rsidRPr="00CE6E5F">
        <w:rPr>
          <w:rFonts w:eastAsia="Calibri" w:cs="Times New Roman"/>
        </w:rPr>
        <w:t xml:space="preserve"> antiseptinės servetėlės, </w:t>
      </w:r>
    </w:p>
    <w:p w14:paraId="1B5447F8"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 xml:space="preserve">marlė ar skaidrus tvarstis ir </w:t>
      </w:r>
      <w:r w:rsidR="00305801" w:rsidRPr="00CE6E5F">
        <w:rPr>
          <w:rFonts w:eastAsia="Calibri" w:cs="Times New Roman"/>
        </w:rPr>
        <w:t>lipni juostelė</w:t>
      </w:r>
      <w:r w:rsidRPr="00CE6E5F">
        <w:rPr>
          <w:rFonts w:eastAsia="Calibri" w:cs="Times New Roman"/>
        </w:rPr>
        <w:t>,</w:t>
      </w:r>
    </w:p>
    <w:p w14:paraId="0B59ADBE" w14:textId="77777777" w:rsidR="003451F2" w:rsidRPr="00CE6E5F" w:rsidRDefault="003451F2" w:rsidP="00CE6E5F">
      <w:pPr>
        <w:numPr>
          <w:ilvl w:val="2"/>
          <w:numId w:val="18"/>
        </w:numPr>
        <w:tabs>
          <w:tab w:val="left" w:pos="567"/>
        </w:tabs>
        <w:jc w:val="both"/>
        <w:rPr>
          <w:rFonts w:eastAsia="Calibri" w:cs="Times New Roman"/>
        </w:rPr>
      </w:pPr>
      <w:proofErr w:type="spellStart"/>
      <w:r w:rsidRPr="00CE6E5F">
        <w:rPr>
          <w:rFonts w:eastAsia="Calibri" w:cs="Times New Roman"/>
        </w:rPr>
        <w:t>talpyklė</w:t>
      </w:r>
      <w:proofErr w:type="spellEnd"/>
      <w:r w:rsidRPr="00CE6E5F">
        <w:rPr>
          <w:rFonts w:eastAsia="Calibri" w:cs="Times New Roman"/>
        </w:rPr>
        <w:t xml:space="preserve"> aštrioms atliekoms,</w:t>
      </w:r>
    </w:p>
    <w:p w14:paraId="0A6B11CA" w14:textId="77777777" w:rsidR="003451F2" w:rsidRDefault="003451F2" w:rsidP="00E457A0">
      <w:pPr>
        <w:numPr>
          <w:ilvl w:val="2"/>
          <w:numId w:val="18"/>
        </w:numPr>
        <w:tabs>
          <w:tab w:val="left" w:pos="567"/>
        </w:tabs>
        <w:jc w:val="both"/>
        <w:rPr>
          <w:rFonts w:eastAsia="Calibri" w:cs="Times New Roman"/>
          <w:lang w:val="de-AT"/>
        </w:rPr>
      </w:pPr>
      <w:r w:rsidRPr="00CE6E5F">
        <w:rPr>
          <w:rFonts w:eastAsia="Calibri" w:cs="Times New Roman"/>
        </w:rPr>
        <w:t>gydymo dienynas ir rašiklis.</w:t>
      </w:r>
    </w:p>
    <w:p w14:paraId="48963BF6" w14:textId="77777777" w:rsidR="00EA2079" w:rsidRPr="00CE6E5F" w:rsidRDefault="00EA2079" w:rsidP="00CE6E5F">
      <w:pPr>
        <w:tabs>
          <w:tab w:val="left" w:pos="567"/>
        </w:tabs>
        <w:jc w:val="both"/>
        <w:rPr>
          <w:rFonts w:eastAsia="Calibri" w:cs="Times New Roman"/>
        </w:rPr>
      </w:pPr>
    </w:p>
    <w:p w14:paraId="46873471" w14:textId="77777777" w:rsidR="003451F2" w:rsidRDefault="003451F2" w:rsidP="00CE6E5F">
      <w:pPr>
        <w:numPr>
          <w:ilvl w:val="1"/>
          <w:numId w:val="19"/>
        </w:numPr>
        <w:rPr>
          <w:rFonts w:eastAsia="Calibri" w:cs="Times New Roman"/>
          <w:lang w:val="de-AT"/>
        </w:rPr>
      </w:pPr>
      <w:r w:rsidRPr="00CE6E5F">
        <w:rPr>
          <w:rFonts w:eastAsia="Calibri" w:cs="Times New Roman"/>
        </w:rPr>
        <w:t>Kruopščiai nusiplaukite rankas ir leiskite joms nudžiūti (2 pav.). Naudokite dezinfekuojantį gelį, kaip Jums buvo parodyta mokymo metu.</w:t>
      </w:r>
    </w:p>
    <w:p w14:paraId="4BF3B85A" w14:textId="77777777" w:rsidR="00EA2079" w:rsidRPr="00CE6E5F" w:rsidRDefault="00EA2079" w:rsidP="00CE6E5F">
      <w:pPr>
        <w:tabs>
          <w:tab w:val="left" w:pos="567"/>
        </w:tabs>
        <w:ind w:left="1134"/>
        <w:jc w:val="both"/>
        <w:rPr>
          <w:rFonts w:eastAsia="Calibri" w:cs="Times New Roman"/>
        </w:rPr>
      </w:pPr>
    </w:p>
    <w:p w14:paraId="5FF444B6" w14:textId="77777777" w:rsidR="003451F2" w:rsidRDefault="003451F2" w:rsidP="00CE6E5F">
      <w:pPr>
        <w:jc w:val="center"/>
      </w:pPr>
      <w:r w:rsidRPr="00CE6E5F">
        <w:rPr>
          <w:noProof/>
          <w:lang w:eastAsia="lt-LT"/>
        </w:rPr>
        <w:drawing>
          <wp:inline distT="0" distB="0" distL="0" distR="0" wp14:anchorId="0262A9AF" wp14:editId="1E144DDB">
            <wp:extent cx="1743075" cy="121647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959" cy="1218490"/>
                    </a:xfrm>
                    <a:prstGeom prst="rect">
                      <a:avLst/>
                    </a:prstGeom>
                  </pic:spPr>
                </pic:pic>
              </a:graphicData>
            </a:graphic>
          </wp:inline>
        </w:drawing>
      </w:r>
    </w:p>
    <w:p w14:paraId="38FCE929" w14:textId="77777777" w:rsidR="00EA2079" w:rsidRPr="005C2122" w:rsidRDefault="00EA2079" w:rsidP="00CE6E5F">
      <w:pPr>
        <w:pStyle w:val="Antrat"/>
        <w:jc w:val="center"/>
        <w:rPr>
          <w:rFonts w:cs="Arial"/>
          <w:b/>
          <w:noProof/>
          <w:sz w:val="28"/>
        </w:rPr>
      </w:pPr>
      <w:r>
        <w:rPr>
          <w:rFonts w:cs="Arial"/>
          <w:sz w:val="22"/>
        </w:rPr>
        <w:t>2 pav.</w:t>
      </w:r>
    </w:p>
    <w:p w14:paraId="5989AB13" w14:textId="77777777" w:rsidR="003451F2" w:rsidRPr="00CE6E5F" w:rsidRDefault="003451F2" w:rsidP="00CE6E5F"/>
    <w:p w14:paraId="1174E84C" w14:textId="77777777" w:rsidR="003451F2" w:rsidRPr="00CE6E5F" w:rsidRDefault="003451F2" w:rsidP="00CE6E5F">
      <w:pPr>
        <w:numPr>
          <w:ilvl w:val="1"/>
          <w:numId w:val="19"/>
        </w:numPr>
        <w:rPr>
          <w:rFonts w:eastAsia="Calibri" w:cs="Times New Roman"/>
          <w:iCs/>
        </w:rPr>
      </w:pPr>
      <w:r w:rsidRPr="00CE6E5F">
        <w:rPr>
          <w:rFonts w:eastAsia="Calibri" w:cs="Times New Roman"/>
        </w:rPr>
        <w:t>Jei reikia, užprogramuokite pompą pagal naudotojo vadovą ir kaip mokymo metu Jums parodė sveikatos priežiūros specialistas.</w:t>
      </w:r>
    </w:p>
    <w:p w14:paraId="4D0070C5" w14:textId="77777777" w:rsidR="003451F2" w:rsidRPr="00CE6E5F" w:rsidRDefault="003451F2" w:rsidP="00CE6E5F">
      <w:pPr>
        <w:numPr>
          <w:ilvl w:val="0"/>
          <w:numId w:val="20"/>
        </w:numPr>
        <w:tabs>
          <w:tab w:val="left" w:pos="567"/>
        </w:tabs>
        <w:jc w:val="both"/>
        <w:rPr>
          <w:rFonts w:eastAsia="Calibri" w:cs="Times New Roman"/>
          <w:b/>
          <w:iCs/>
        </w:rPr>
      </w:pPr>
      <w:r w:rsidRPr="00CE6E5F">
        <w:rPr>
          <w:rFonts w:eastAsia="Calibri" w:cs="Times New Roman"/>
          <w:b/>
          <w:bCs/>
        </w:rPr>
        <w:t>Flakonų tikrinimas ir atidarymas</w:t>
      </w:r>
    </w:p>
    <w:p w14:paraId="24F30225" w14:textId="77777777" w:rsidR="003451F2" w:rsidRPr="00CE6E5F" w:rsidRDefault="003451F2" w:rsidP="00CE6E5F">
      <w:pPr>
        <w:numPr>
          <w:ilvl w:val="1"/>
          <w:numId w:val="19"/>
        </w:numPr>
        <w:tabs>
          <w:tab w:val="left" w:pos="567"/>
        </w:tabs>
        <w:jc w:val="both"/>
        <w:rPr>
          <w:rFonts w:eastAsia="Calibri" w:cs="Times New Roman"/>
          <w:iCs/>
        </w:rPr>
      </w:pPr>
      <w:r w:rsidRPr="00CE6E5F">
        <w:rPr>
          <w:rFonts w:eastAsia="Calibri" w:cs="Times New Roman"/>
        </w:rPr>
        <w:t>Atidžiai apžiūrėkite kiekvieną flakoną, ar:</w:t>
      </w:r>
    </w:p>
    <w:p w14:paraId="19A61159"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teisingai pažymėta dozė pagal Jūsų receptą,</w:t>
      </w:r>
    </w:p>
    <w:p w14:paraId="12F436E3"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patikrinkite tirpalo išvaizdą (jis turi būti skaidrus ir bespalvis arba blyškiai geltonas ar šviesiai rudas),</w:t>
      </w:r>
    </w:p>
    <w:p w14:paraId="3DEA54BE"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 xml:space="preserve">įsitikinkite, kad </w:t>
      </w:r>
      <w:r w:rsidR="00305801" w:rsidRPr="00CE6E5F">
        <w:rPr>
          <w:rFonts w:eastAsia="Calibri" w:cs="Times New Roman"/>
        </w:rPr>
        <w:t xml:space="preserve">yra </w:t>
      </w:r>
      <w:r w:rsidRPr="00CE6E5F">
        <w:rPr>
          <w:rFonts w:eastAsia="Calibri" w:cs="Times New Roman"/>
        </w:rPr>
        <w:t xml:space="preserve">apsauginis dangtelis </w:t>
      </w:r>
      <w:r w:rsidR="00305801" w:rsidRPr="00CE6E5F">
        <w:rPr>
          <w:rFonts w:eastAsia="Calibri" w:cs="Times New Roman"/>
        </w:rPr>
        <w:t>ir jis nepažeistas</w:t>
      </w:r>
      <w:r w:rsidRPr="00CE6E5F">
        <w:rPr>
          <w:rFonts w:eastAsia="Calibri" w:cs="Times New Roman"/>
        </w:rPr>
        <w:t>,</w:t>
      </w:r>
    </w:p>
    <w:p w14:paraId="61C1D24A"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patikrinkite tinkamumo laiką ir serijos numerį,</w:t>
      </w:r>
    </w:p>
    <w:p w14:paraId="63AD55D8" w14:textId="77777777" w:rsidR="003451F2" w:rsidRPr="00CE6E5F" w:rsidRDefault="003451F2" w:rsidP="00CE6E5F">
      <w:pPr>
        <w:numPr>
          <w:ilvl w:val="2"/>
          <w:numId w:val="18"/>
        </w:numPr>
        <w:tabs>
          <w:tab w:val="left" w:pos="567"/>
        </w:tabs>
        <w:jc w:val="both"/>
        <w:rPr>
          <w:rFonts w:eastAsia="Calibri" w:cs="Times New Roman"/>
        </w:rPr>
      </w:pPr>
      <w:r w:rsidRPr="00CE6E5F">
        <w:rPr>
          <w:rFonts w:eastAsia="Calibri" w:cs="Times New Roman"/>
        </w:rPr>
        <w:t>jei tirpalas yra drumstas arba jei jame matomos dalelės, nevartokite jo.</w:t>
      </w:r>
    </w:p>
    <w:p w14:paraId="0BC32E11" w14:textId="77777777" w:rsidR="003451F2" w:rsidRPr="00CE6E5F" w:rsidRDefault="003451F2" w:rsidP="00097045">
      <w:pPr>
        <w:keepNext/>
        <w:keepLines/>
        <w:numPr>
          <w:ilvl w:val="1"/>
          <w:numId w:val="19"/>
        </w:numPr>
        <w:rPr>
          <w:rFonts w:eastAsia="Calibri" w:cs="Times New Roman"/>
        </w:rPr>
      </w:pPr>
      <w:r w:rsidRPr="00CE6E5F">
        <w:rPr>
          <w:rFonts w:eastAsia="Calibri" w:cs="Times New Roman"/>
        </w:rPr>
        <w:lastRenderedPageBreak/>
        <w:t>Nuimkite apsauginį dangtelį.</w:t>
      </w:r>
    </w:p>
    <w:p w14:paraId="59CAF98C" w14:textId="77777777" w:rsidR="003451F2" w:rsidRPr="00CE6E5F" w:rsidRDefault="003451F2" w:rsidP="00097045">
      <w:pPr>
        <w:keepNext/>
        <w:keepLines/>
        <w:numPr>
          <w:ilvl w:val="1"/>
          <w:numId w:val="19"/>
        </w:numPr>
        <w:rPr>
          <w:rFonts w:eastAsia="Calibri" w:cs="Times New Roman"/>
        </w:rPr>
      </w:pPr>
      <w:r w:rsidRPr="00CE6E5F">
        <w:rPr>
          <w:rFonts w:eastAsia="Calibri" w:cs="Times New Roman"/>
        </w:rPr>
        <w:t>Dezinfekuokite guminį kamštį antiseptine servetėle ir leiskite nudžiūti (3 pav.).</w:t>
      </w:r>
    </w:p>
    <w:p w14:paraId="5AD4529D" w14:textId="77777777" w:rsidR="003451F2" w:rsidRPr="00CE6E5F" w:rsidRDefault="003451F2" w:rsidP="00CE6E5F">
      <w:pPr>
        <w:jc w:val="center"/>
      </w:pPr>
      <w:r w:rsidRPr="00CE6E5F">
        <w:rPr>
          <w:noProof/>
          <w:lang w:eastAsia="lt-LT"/>
        </w:rPr>
        <w:drawing>
          <wp:inline distT="0" distB="0" distL="0" distR="0" wp14:anchorId="0BFB95A5" wp14:editId="708BCAB3">
            <wp:extent cx="1836000" cy="1267786"/>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6000" cy="1267786"/>
                    </a:xfrm>
                    <a:prstGeom prst="rect">
                      <a:avLst/>
                    </a:prstGeom>
                  </pic:spPr>
                </pic:pic>
              </a:graphicData>
            </a:graphic>
          </wp:inline>
        </w:drawing>
      </w:r>
    </w:p>
    <w:p w14:paraId="1E723A50" w14:textId="77777777" w:rsidR="00EA2079" w:rsidRPr="00CE6E5F" w:rsidRDefault="00EA2079" w:rsidP="00CE6E5F">
      <w:pPr>
        <w:pStyle w:val="Antrat"/>
        <w:jc w:val="center"/>
        <w:rPr>
          <w:i w:val="0"/>
          <w:iCs w:val="0"/>
        </w:rPr>
      </w:pPr>
      <w:r>
        <w:t>3 </w:t>
      </w:r>
      <w:r w:rsidRPr="00CE6E5F">
        <w:rPr>
          <w:rFonts w:cs="Arial"/>
          <w:sz w:val="22"/>
        </w:rPr>
        <w:t>pav</w:t>
      </w:r>
      <w:r>
        <w:t>.</w:t>
      </w:r>
    </w:p>
    <w:p w14:paraId="1F33CA68" w14:textId="77777777" w:rsidR="003451F2" w:rsidRPr="00CE6E5F" w:rsidRDefault="003451F2" w:rsidP="00CE6E5F"/>
    <w:p w14:paraId="20E8CC3A" w14:textId="77777777" w:rsidR="003451F2" w:rsidRPr="00CE6E5F" w:rsidRDefault="003451F2" w:rsidP="00CE6E5F">
      <w:pPr>
        <w:numPr>
          <w:ilvl w:val="0"/>
          <w:numId w:val="20"/>
        </w:numPr>
        <w:tabs>
          <w:tab w:val="left" w:pos="567"/>
        </w:tabs>
        <w:jc w:val="both"/>
        <w:rPr>
          <w:rFonts w:eastAsia="Calibri" w:cs="Times New Roman"/>
          <w:b/>
          <w:iCs/>
        </w:rPr>
      </w:pPr>
      <w:r w:rsidRPr="00CE6E5F">
        <w:rPr>
          <w:rFonts w:eastAsia="Calibri" w:cs="Times New Roman"/>
          <w:b/>
          <w:bCs/>
        </w:rPr>
        <w:t>Švirkšto paruošimas ir pildymas</w:t>
      </w:r>
    </w:p>
    <w:p w14:paraId="1DEF9BBF" w14:textId="77777777" w:rsidR="003451F2" w:rsidRPr="00CE6E5F" w:rsidRDefault="003451F2" w:rsidP="00CE6E5F">
      <w:pPr>
        <w:numPr>
          <w:ilvl w:val="1"/>
          <w:numId w:val="19"/>
        </w:numPr>
        <w:rPr>
          <w:rFonts w:eastAsia="Calibri" w:cs="Times New Roman"/>
        </w:rPr>
      </w:pPr>
      <w:r w:rsidRPr="00CE6E5F">
        <w:rPr>
          <w:rFonts w:eastAsia="Calibri" w:cs="Times New Roman"/>
        </w:rPr>
        <w:t>Atplėškite sterilų švirkštą ir adatą.</w:t>
      </w:r>
    </w:p>
    <w:p w14:paraId="0C36BD97" w14:textId="77777777" w:rsidR="003451F2" w:rsidRPr="00CE6E5F" w:rsidRDefault="003451F2" w:rsidP="00CE6E5F">
      <w:pPr>
        <w:numPr>
          <w:ilvl w:val="1"/>
          <w:numId w:val="19"/>
        </w:numPr>
        <w:rPr>
          <w:rFonts w:eastAsia="Calibri" w:cs="Times New Roman"/>
        </w:rPr>
      </w:pPr>
      <w:r w:rsidRPr="00CE6E5F">
        <w:rPr>
          <w:rFonts w:eastAsia="Calibri" w:cs="Times New Roman"/>
        </w:rPr>
        <w:t>Prisukite adatą prie švirkšto.</w:t>
      </w:r>
    </w:p>
    <w:p w14:paraId="2B13FD1C" w14:textId="77777777" w:rsidR="003451F2" w:rsidRPr="00CE6E5F" w:rsidRDefault="003451F2" w:rsidP="00CE6E5F">
      <w:pPr>
        <w:numPr>
          <w:ilvl w:val="1"/>
          <w:numId w:val="19"/>
        </w:numPr>
        <w:rPr>
          <w:rFonts w:eastAsia="Calibri" w:cs="Times New Roman"/>
        </w:rPr>
      </w:pPr>
      <w:r w:rsidRPr="00CE6E5F">
        <w:rPr>
          <w:rFonts w:eastAsia="Calibri" w:cs="Times New Roman"/>
        </w:rPr>
        <w:t>Atitraukite stūmoklį, kad švirkštas prisipildytų oro, kurio kiekis apytiksliai atitiktų iš flakono reikiamam pritraukti tirpalo kiekiui.</w:t>
      </w:r>
    </w:p>
    <w:p w14:paraId="38E1D7F1" w14:textId="77777777" w:rsidR="003451F2" w:rsidRPr="00CE6E5F" w:rsidRDefault="003451F2" w:rsidP="00CE6E5F">
      <w:pPr>
        <w:numPr>
          <w:ilvl w:val="1"/>
          <w:numId w:val="19"/>
        </w:numPr>
        <w:rPr>
          <w:rFonts w:eastAsia="Calibri" w:cs="Times New Roman"/>
        </w:rPr>
      </w:pPr>
      <w:r w:rsidRPr="00CE6E5F">
        <w:rPr>
          <w:rFonts w:eastAsia="Calibri" w:cs="Times New Roman"/>
        </w:rPr>
        <w:t>Įdurkite adatą į flakoną ir apverskite flakoną dugnu aukštyn. Sušvirkškite orą, adatos galiuką laikydami ne tirpale, kad jis neimtų putoti.</w:t>
      </w:r>
    </w:p>
    <w:p w14:paraId="4B25F7F1" w14:textId="77777777" w:rsidR="003451F2" w:rsidRDefault="003451F2" w:rsidP="00EA2079">
      <w:pPr>
        <w:numPr>
          <w:ilvl w:val="1"/>
          <w:numId w:val="19"/>
        </w:numPr>
        <w:rPr>
          <w:rFonts w:eastAsia="Calibri" w:cs="Times New Roman"/>
        </w:rPr>
      </w:pPr>
      <w:r w:rsidRPr="00CE6E5F">
        <w:rPr>
          <w:rFonts w:eastAsia="Calibri" w:cs="Times New Roman"/>
        </w:rPr>
        <w:t xml:space="preserve">Toliau, visą laiką laikydami adatą tirpale, lėtai įtraukite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xml:space="preserve"> (4 pav.).</w:t>
      </w:r>
    </w:p>
    <w:p w14:paraId="0AA5A5A8" w14:textId="77777777" w:rsidR="00EA2079" w:rsidRPr="00CE6E5F" w:rsidRDefault="00EA2079" w:rsidP="00CE6E5F">
      <w:pPr>
        <w:ind w:left="1134"/>
        <w:rPr>
          <w:rFonts w:eastAsia="Calibri" w:cs="Times New Roman"/>
        </w:rPr>
      </w:pPr>
    </w:p>
    <w:p w14:paraId="0FD0CDFD" w14:textId="77777777" w:rsidR="003451F2" w:rsidRPr="00CE6E5F" w:rsidRDefault="00EA2079" w:rsidP="00CE6E5F">
      <w:pPr>
        <w:jc w:val="center"/>
      </w:pPr>
      <w:r w:rsidRPr="00EA2079">
        <w:rPr>
          <w:noProof/>
          <w:lang w:eastAsia="lt-LT"/>
        </w:rPr>
        <w:drawing>
          <wp:inline distT="0" distB="0" distL="0" distR="0" wp14:anchorId="5424EACC" wp14:editId="748D6C97">
            <wp:extent cx="1788160" cy="1235816"/>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8160" cy="1235816"/>
                    </a:xfrm>
                    <a:prstGeom prst="rect">
                      <a:avLst/>
                    </a:prstGeom>
                  </pic:spPr>
                </pic:pic>
              </a:graphicData>
            </a:graphic>
          </wp:inline>
        </w:drawing>
      </w:r>
    </w:p>
    <w:p w14:paraId="587B1FFA" w14:textId="77777777" w:rsidR="00EA2079" w:rsidRPr="005C2122" w:rsidRDefault="00EA2079" w:rsidP="00CE6E5F">
      <w:pPr>
        <w:pStyle w:val="Antrat"/>
        <w:jc w:val="center"/>
        <w:rPr>
          <w:rFonts w:cs="Arial"/>
          <w:noProof/>
          <w:sz w:val="28"/>
        </w:rPr>
      </w:pPr>
      <w:r>
        <w:rPr>
          <w:rFonts w:cs="Arial"/>
          <w:sz w:val="22"/>
        </w:rPr>
        <w:t>4 pav.</w:t>
      </w:r>
    </w:p>
    <w:p w14:paraId="06869516" w14:textId="77777777" w:rsidR="003451F2" w:rsidRPr="00CE6E5F" w:rsidRDefault="00D82B79" w:rsidP="00CE6E5F">
      <w:r>
        <w:rPr>
          <w:noProof/>
          <w:lang w:eastAsia="lt-LT"/>
        </w:rPr>
        <mc:AlternateContent>
          <mc:Choice Requires="wps">
            <w:drawing>
              <wp:anchor distT="0" distB="0" distL="114300" distR="114300" simplePos="0" relativeHeight="251664896" behindDoc="1" locked="0" layoutInCell="1" allowOverlap="1" wp14:anchorId="52690287" wp14:editId="2192D926">
                <wp:simplePos x="0" y="0"/>
                <wp:positionH relativeFrom="column">
                  <wp:posOffset>2513965</wp:posOffset>
                </wp:positionH>
                <wp:positionV relativeFrom="paragraph">
                  <wp:posOffset>241935</wp:posOffset>
                </wp:positionV>
                <wp:extent cx="2232025" cy="204470"/>
                <wp:effectExtent l="0" t="0" r="0" b="5080"/>
                <wp:wrapNone/>
                <wp:docPr id="35"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00D90" w14:textId="77777777" w:rsidR="00FB4F03" w:rsidRPr="005C2122" w:rsidRDefault="00FB4F03" w:rsidP="003451F2">
                            <w:pPr>
                              <w:pStyle w:val="Antrat"/>
                              <w:rPr>
                                <w:rFonts w:cs="Arial"/>
                                <w:noProof/>
                                <w:sz w:val="2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90287" id="_x0000_t202" coordsize="21600,21600" o:spt="202" path="m,l,21600r21600,l21600,xe">
                <v:stroke joinstyle="miter"/>
                <v:path gradientshapeok="t" o:connecttype="rect"/>
              </v:shapetype>
              <v:shape id="Textfeld 9" o:spid="_x0000_s1026" type="#_x0000_t202" style="position:absolute;margin-left:197.95pt;margin-top:19.05pt;width:175.75pt;height:1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" stroked="f">
                <v:textbox style="mso-fit-shape-to-text:t" inset="0,0,0,0">
                  <w:txbxContent>
                    <w:p w14:paraId="7E700D90" w14:textId="77777777" w:rsidR="00FB4F03" w:rsidRPr="005C2122" w:rsidRDefault="00FB4F03" w:rsidP="003451F2">
                      <w:pPr>
                        <w:pStyle w:val="Antrat"/>
                        <w:rPr>
                          <w:rFonts w:cs="Arial"/>
                          <w:noProof/>
                          <w:sz w:val="28"/>
                        </w:rPr>
                      </w:pPr>
                    </w:p>
                  </w:txbxContent>
                </v:textbox>
              </v:shape>
            </w:pict>
          </mc:Fallback>
        </mc:AlternateContent>
      </w:r>
    </w:p>
    <w:p w14:paraId="7412299B" w14:textId="77777777" w:rsidR="003451F2" w:rsidRPr="00CE6E5F" w:rsidRDefault="003451F2" w:rsidP="00CE6E5F">
      <w:pPr>
        <w:numPr>
          <w:ilvl w:val="1"/>
          <w:numId w:val="19"/>
        </w:numPr>
        <w:rPr>
          <w:rFonts w:eastAsia="Calibri" w:cs="Times New Roman"/>
        </w:rPr>
      </w:pPr>
      <w:r w:rsidRPr="00CE6E5F">
        <w:rPr>
          <w:rFonts w:eastAsia="Calibri" w:cs="Times New Roman"/>
        </w:rPr>
        <w:t>Ištraukite adatą iš flakono.</w:t>
      </w:r>
    </w:p>
    <w:p w14:paraId="77D31D7C" w14:textId="77777777" w:rsidR="003451F2" w:rsidRPr="00CE6E5F" w:rsidRDefault="003451F2" w:rsidP="00CE6E5F">
      <w:pPr>
        <w:numPr>
          <w:ilvl w:val="1"/>
          <w:numId w:val="19"/>
        </w:numPr>
        <w:rPr>
          <w:rFonts w:eastAsia="Calibri" w:cs="Times New Roman"/>
        </w:rPr>
      </w:pPr>
      <w:r w:rsidRPr="00CE6E5F">
        <w:rPr>
          <w:rFonts w:eastAsia="Calibri" w:cs="Times New Roman"/>
        </w:rPr>
        <w:t>Šią procedūrą gali tekti pakartoti, jei apskaičiuotai dozei reikia kelių flakonų.</w:t>
      </w:r>
    </w:p>
    <w:p w14:paraId="791F19C0" w14:textId="77777777" w:rsidR="003451F2" w:rsidRPr="00CE6E5F" w:rsidRDefault="003451F2" w:rsidP="00CE6E5F">
      <w:pPr>
        <w:numPr>
          <w:ilvl w:val="1"/>
          <w:numId w:val="19"/>
        </w:numPr>
        <w:rPr>
          <w:rFonts w:eastAsia="Calibri" w:cs="Times New Roman"/>
        </w:rPr>
      </w:pPr>
      <w:r w:rsidRPr="00CE6E5F">
        <w:rPr>
          <w:rFonts w:eastAsia="Calibri" w:cs="Times New Roman"/>
        </w:rPr>
        <w:t xml:space="preserve">Baigę, nusukite adatą ir įmeskite į </w:t>
      </w:r>
      <w:proofErr w:type="spellStart"/>
      <w:r w:rsidRPr="00CE6E5F">
        <w:rPr>
          <w:rFonts w:eastAsia="Calibri" w:cs="Times New Roman"/>
        </w:rPr>
        <w:t>talpyklę</w:t>
      </w:r>
      <w:proofErr w:type="spellEnd"/>
      <w:r w:rsidRPr="00CE6E5F">
        <w:rPr>
          <w:rFonts w:eastAsia="Calibri" w:cs="Times New Roman"/>
        </w:rPr>
        <w:t xml:space="preserve"> aštrioms atliekoms.</w:t>
      </w:r>
    </w:p>
    <w:p w14:paraId="392BD6C2" w14:textId="77777777" w:rsidR="003451F2" w:rsidRDefault="003451F2" w:rsidP="00EA2079">
      <w:pPr>
        <w:numPr>
          <w:ilvl w:val="1"/>
          <w:numId w:val="19"/>
        </w:numPr>
        <w:rPr>
          <w:rFonts w:eastAsia="Calibri" w:cs="Times New Roman"/>
        </w:rPr>
      </w:pPr>
      <w:r w:rsidRPr="00CE6E5F">
        <w:rPr>
          <w:rFonts w:eastAsia="Calibri" w:cs="Times New Roman"/>
        </w:rPr>
        <w:t xml:space="preserve">Nedelsdami pereikite prie kito veiksmo, nes </w:t>
      </w:r>
      <w:proofErr w:type="spellStart"/>
      <w:r w:rsidRPr="00CE6E5F">
        <w:rPr>
          <w:rFonts w:eastAsia="Calibri" w:cs="Times New Roman"/>
        </w:rPr>
        <w:t>IgG</w:t>
      </w:r>
      <w:proofErr w:type="spellEnd"/>
      <w:r w:rsidRPr="00CE6E5F">
        <w:rPr>
          <w:rFonts w:eastAsia="Calibri" w:cs="Times New Roman"/>
        </w:rPr>
        <w:t xml:space="preserve"> tirpalą būtina suvartoti skubiai.</w:t>
      </w:r>
    </w:p>
    <w:p w14:paraId="61DA9BA1" w14:textId="77777777" w:rsidR="00EA2079" w:rsidRPr="00CE6E5F" w:rsidRDefault="00EA2079" w:rsidP="00CE6E5F">
      <w:pPr>
        <w:ind w:left="1134"/>
        <w:rPr>
          <w:rFonts w:eastAsia="Calibri" w:cs="Times New Roman"/>
        </w:rPr>
      </w:pPr>
    </w:p>
    <w:p w14:paraId="1A915073" w14:textId="77777777" w:rsidR="003451F2" w:rsidRPr="00CE6E5F" w:rsidRDefault="003451F2" w:rsidP="00CE6E5F">
      <w:pPr>
        <w:numPr>
          <w:ilvl w:val="0"/>
          <w:numId w:val="20"/>
        </w:numPr>
        <w:tabs>
          <w:tab w:val="left" w:pos="567"/>
        </w:tabs>
        <w:jc w:val="both"/>
        <w:rPr>
          <w:rFonts w:eastAsia="Calibri" w:cs="Times New Roman"/>
          <w:b/>
          <w:iCs/>
        </w:rPr>
      </w:pPr>
      <w:r w:rsidRPr="00CE6E5F">
        <w:rPr>
          <w:rFonts w:eastAsia="Calibri" w:cs="Times New Roman"/>
          <w:b/>
          <w:bCs/>
        </w:rPr>
        <w:t>Infuzijos pompos ir vamzdelio paruošimas (pasirinktinai)</w:t>
      </w:r>
    </w:p>
    <w:p w14:paraId="53C800E7" w14:textId="77777777" w:rsidR="003451F2" w:rsidRPr="00CE6E5F" w:rsidRDefault="003451F2" w:rsidP="00CE6E5F">
      <w:pPr>
        <w:numPr>
          <w:ilvl w:val="1"/>
          <w:numId w:val="19"/>
        </w:numPr>
        <w:rPr>
          <w:rFonts w:eastAsia="Calibri" w:cs="Times New Roman"/>
        </w:rPr>
      </w:pPr>
      <w:r w:rsidRPr="00CE6E5F">
        <w:rPr>
          <w:rFonts w:eastAsia="Calibri" w:cs="Times New Roman"/>
        </w:rPr>
        <w:t xml:space="preserve">Laikykitės gamintojo nurodymų, kaip paruošti infuzijos pompą. </w:t>
      </w:r>
    </w:p>
    <w:p w14:paraId="3AD76F71" w14:textId="77777777" w:rsidR="003451F2" w:rsidRPr="00CE6E5F" w:rsidRDefault="003451F2" w:rsidP="00CE6E5F">
      <w:pPr>
        <w:numPr>
          <w:ilvl w:val="1"/>
          <w:numId w:val="19"/>
        </w:numPr>
        <w:rPr>
          <w:rFonts w:eastAsia="Calibri" w:cs="Times New Roman"/>
        </w:rPr>
      </w:pPr>
      <w:r w:rsidRPr="00CE6E5F">
        <w:rPr>
          <w:rFonts w:eastAsia="Calibri" w:cs="Times New Roman"/>
        </w:rPr>
        <w:t xml:space="preserve">Norėdami užpildyti leidimo vamzdelį, prijunkite užpildytą švirkštą prie infuzijos vamzdelio ir atsargiai stumdami stūmoklį užpildykite vamzdelį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xml:space="preserve"> ir pašalinkite visą orą (5 pav.).</w:t>
      </w:r>
    </w:p>
    <w:p w14:paraId="75DB0D80" w14:textId="77777777" w:rsidR="003451F2" w:rsidRPr="00CE6E5F" w:rsidRDefault="003451F2" w:rsidP="00CE6E5F">
      <w:pPr>
        <w:jc w:val="center"/>
      </w:pPr>
    </w:p>
    <w:p w14:paraId="6FA1E454" w14:textId="77777777" w:rsidR="003451F2" w:rsidRPr="00CE6E5F" w:rsidRDefault="003451F2" w:rsidP="00CE6E5F">
      <w:pPr>
        <w:jc w:val="center"/>
      </w:pPr>
      <w:r w:rsidRPr="00CE6E5F">
        <w:rPr>
          <w:noProof/>
          <w:lang w:eastAsia="lt-LT"/>
        </w:rPr>
        <w:drawing>
          <wp:inline distT="0" distB="0" distL="0" distR="0" wp14:anchorId="19A1540F" wp14:editId="071610C1">
            <wp:extent cx="1835785" cy="12623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5785" cy="1262380"/>
                    </a:xfrm>
                    <a:prstGeom prst="rect">
                      <a:avLst/>
                    </a:prstGeom>
                  </pic:spPr>
                </pic:pic>
              </a:graphicData>
            </a:graphic>
          </wp:inline>
        </w:drawing>
      </w:r>
    </w:p>
    <w:p w14:paraId="30C15C09" w14:textId="77777777" w:rsidR="00EA2079" w:rsidRPr="005C2122" w:rsidRDefault="00EA2079" w:rsidP="00CE6E5F">
      <w:pPr>
        <w:pStyle w:val="Antrat"/>
        <w:jc w:val="center"/>
        <w:rPr>
          <w:rFonts w:cs="Arial"/>
          <w:noProof/>
          <w:sz w:val="28"/>
        </w:rPr>
      </w:pPr>
      <w:r>
        <w:rPr>
          <w:rFonts w:cs="Arial"/>
          <w:sz w:val="22"/>
        </w:rPr>
        <w:t>5 pav.</w:t>
      </w:r>
    </w:p>
    <w:p w14:paraId="04F47FF1" w14:textId="77777777" w:rsidR="003451F2" w:rsidRPr="00CE6E5F" w:rsidRDefault="003451F2" w:rsidP="00CE6E5F">
      <w:pPr>
        <w:rPr>
          <w:rFonts w:eastAsia="Calibri" w:cs="Times New Roman"/>
          <w:i/>
        </w:rPr>
      </w:pPr>
    </w:p>
    <w:p w14:paraId="32DCFCA5" w14:textId="77777777" w:rsidR="003451F2" w:rsidRPr="00CE6E5F" w:rsidRDefault="003451F2" w:rsidP="00CE6E5F">
      <w:pPr>
        <w:keepNext/>
        <w:numPr>
          <w:ilvl w:val="0"/>
          <w:numId w:val="20"/>
        </w:numPr>
        <w:tabs>
          <w:tab w:val="left" w:pos="567"/>
        </w:tabs>
        <w:jc w:val="both"/>
        <w:rPr>
          <w:rFonts w:eastAsia="Calibri" w:cs="Times New Roman"/>
          <w:b/>
          <w:iCs/>
        </w:rPr>
      </w:pPr>
      <w:r w:rsidRPr="00CE6E5F">
        <w:rPr>
          <w:rFonts w:eastAsia="Calibri" w:cs="Times New Roman"/>
          <w:b/>
          <w:bCs/>
        </w:rPr>
        <w:lastRenderedPageBreak/>
        <w:t>Sprendimas dėl infuzijos vietų ir infuzijos adatos (-ų) įdūrimas</w:t>
      </w:r>
    </w:p>
    <w:p w14:paraId="62D51357" w14:textId="77777777" w:rsidR="003451F2" w:rsidRDefault="00242227" w:rsidP="00DE547B">
      <w:pPr>
        <w:keepNext/>
        <w:numPr>
          <w:ilvl w:val="1"/>
          <w:numId w:val="19"/>
        </w:numPr>
        <w:rPr>
          <w:rFonts w:eastAsia="Calibri" w:cs="Times New Roman"/>
          <w:i/>
          <w:iCs/>
        </w:rPr>
      </w:pPr>
      <w:proofErr w:type="spellStart"/>
      <w:r>
        <w:rPr>
          <w:rFonts w:eastAsia="Calibri" w:cs="Times New Roman"/>
        </w:rPr>
        <w:t>c</w:t>
      </w:r>
      <w:r w:rsidR="003451F2" w:rsidRPr="00CE6E5F">
        <w:rPr>
          <w:rFonts w:eastAsia="Calibri" w:cs="Times New Roman"/>
        </w:rPr>
        <w:t>utaquig</w:t>
      </w:r>
      <w:proofErr w:type="spellEnd"/>
      <w:r w:rsidR="003451F2" w:rsidRPr="00CE6E5F">
        <w:rPr>
          <w:rFonts w:eastAsia="Calibri" w:cs="Times New Roman"/>
        </w:rPr>
        <w:t xml:space="preserve"> galima leisti į šias vietas: pilvą, šlaunį, žastą ir (arba) viršutinę kojos klubo dalį (6 pav.).</w:t>
      </w:r>
    </w:p>
    <w:p w14:paraId="2353E2CC" w14:textId="77777777" w:rsidR="00DE547B" w:rsidRPr="00CE6E5F" w:rsidRDefault="00DE547B" w:rsidP="00CE6E5F">
      <w:pPr>
        <w:keepNext/>
      </w:pPr>
    </w:p>
    <w:p w14:paraId="64307F0E" w14:textId="77777777" w:rsidR="003451F2" w:rsidRPr="00CE6E5F" w:rsidRDefault="00DE547B" w:rsidP="00CE6E5F">
      <w:pPr>
        <w:tabs>
          <w:tab w:val="left" w:pos="567"/>
        </w:tabs>
        <w:jc w:val="center"/>
        <w:rPr>
          <w:rFonts w:eastAsia="Calibri" w:cs="Times New Roman"/>
          <w:i/>
          <w:iCs/>
        </w:rPr>
      </w:pPr>
      <w:r w:rsidRPr="001E0884">
        <w:rPr>
          <w:rFonts w:eastAsia="Calibri" w:cs="Times New Roman"/>
          <w:noProof/>
          <w:lang w:eastAsia="lt-LT"/>
        </w:rPr>
        <w:drawing>
          <wp:inline distT="0" distB="0" distL="0" distR="0" wp14:anchorId="0FC8C1CC" wp14:editId="7E25B177">
            <wp:extent cx="1835785" cy="12915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5785" cy="1291590"/>
                    </a:xfrm>
                    <a:prstGeom prst="rect">
                      <a:avLst/>
                    </a:prstGeom>
                  </pic:spPr>
                </pic:pic>
              </a:graphicData>
            </a:graphic>
          </wp:inline>
        </w:drawing>
      </w:r>
    </w:p>
    <w:p w14:paraId="338718D9" w14:textId="77777777" w:rsidR="00DE547B" w:rsidRPr="005C2122" w:rsidRDefault="00DE547B" w:rsidP="00CE6E5F">
      <w:pPr>
        <w:pStyle w:val="Antrat"/>
        <w:jc w:val="center"/>
        <w:rPr>
          <w:rFonts w:cs="Arial"/>
          <w:noProof/>
          <w:sz w:val="28"/>
        </w:rPr>
      </w:pPr>
      <w:r>
        <w:rPr>
          <w:rFonts w:cs="Arial"/>
          <w:sz w:val="22"/>
        </w:rPr>
        <w:t>6 pav.</w:t>
      </w:r>
    </w:p>
    <w:p w14:paraId="60D111B9" w14:textId="77777777" w:rsidR="003451F2" w:rsidRPr="00CE6E5F" w:rsidRDefault="00D82B79" w:rsidP="00CE6E5F">
      <w:r>
        <w:rPr>
          <w:noProof/>
          <w:lang w:eastAsia="lt-LT"/>
        </w:rPr>
        <mc:AlternateContent>
          <mc:Choice Requires="wps">
            <w:drawing>
              <wp:anchor distT="0" distB="0" distL="114300" distR="114300" simplePos="0" relativeHeight="251667968" behindDoc="1" locked="0" layoutInCell="1" allowOverlap="1" wp14:anchorId="0089426B" wp14:editId="2CC5B17A">
                <wp:simplePos x="0" y="0"/>
                <wp:positionH relativeFrom="margin">
                  <wp:posOffset>2767965</wp:posOffset>
                </wp:positionH>
                <wp:positionV relativeFrom="paragraph">
                  <wp:posOffset>54610</wp:posOffset>
                </wp:positionV>
                <wp:extent cx="1797685" cy="204470"/>
                <wp:effectExtent l="0" t="0" r="0" b="5080"/>
                <wp:wrapNone/>
                <wp:docPr id="33"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B20CC" w14:textId="77777777" w:rsidR="00FB4F03" w:rsidRPr="005C2122" w:rsidRDefault="00FB4F03" w:rsidP="003451F2">
                            <w:pPr>
                              <w:pStyle w:val="Antrat"/>
                              <w:rPr>
                                <w:rFonts w:cs="Arial"/>
                                <w:noProof/>
                                <w:sz w:val="2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9426B" id="Textfeld 5" o:spid="_x0000_s1027" type="#_x0000_t202" style="position:absolute;margin-left:217.95pt;margin-top:4.3pt;width:141.55pt;height:16.1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" stroked="f">
                <v:textbox style="mso-fit-shape-to-text:t" inset="0,0,0,0">
                  <w:txbxContent>
                    <w:p w14:paraId="4CCB20CC" w14:textId="77777777" w:rsidR="00FB4F03" w:rsidRPr="005C2122" w:rsidRDefault="00FB4F03" w:rsidP="003451F2">
                      <w:pPr>
                        <w:pStyle w:val="Antrat"/>
                        <w:rPr>
                          <w:rFonts w:cs="Arial"/>
                          <w:noProof/>
                          <w:sz w:val="28"/>
                        </w:rPr>
                      </w:pPr>
                    </w:p>
                  </w:txbxContent>
                </v:textbox>
                <w10:wrap anchorx="margin"/>
              </v:shape>
            </w:pict>
          </mc:Fallback>
        </mc:AlternateContent>
      </w:r>
    </w:p>
    <w:p w14:paraId="4FA1DEB1" w14:textId="77777777" w:rsidR="003451F2" w:rsidRPr="00CE6E5F" w:rsidRDefault="003451F2" w:rsidP="00CE6E5F">
      <w:pPr>
        <w:keepNext/>
        <w:numPr>
          <w:ilvl w:val="1"/>
          <w:numId w:val="19"/>
        </w:numPr>
        <w:rPr>
          <w:rFonts w:eastAsia="Calibri" w:cs="Times New Roman"/>
        </w:rPr>
      </w:pPr>
      <w:r w:rsidRPr="00CE6E5F">
        <w:rPr>
          <w:rFonts w:eastAsia="Calibri" w:cs="Times New Roman"/>
        </w:rPr>
        <w:t>Atstumas tarp infuzijų vietų turi būti ne mažesnis kaip 5 cm.</w:t>
      </w:r>
    </w:p>
    <w:p w14:paraId="0FE90924" w14:textId="77777777" w:rsidR="003451F2" w:rsidRPr="00CE6E5F" w:rsidRDefault="003451F2" w:rsidP="00CE6E5F">
      <w:pPr>
        <w:keepNext/>
        <w:numPr>
          <w:ilvl w:val="1"/>
          <w:numId w:val="19"/>
        </w:numPr>
        <w:rPr>
          <w:rFonts w:eastAsia="Calibri" w:cs="Times New Roman"/>
        </w:rPr>
      </w:pPr>
      <w:r w:rsidRPr="00CE6E5F">
        <w:rPr>
          <w:rFonts w:eastAsia="Calibri" w:cs="Times New Roman"/>
        </w:rPr>
        <w:t>Leiskite į kitą vietą, nei leidote ankstesnį kartą.</w:t>
      </w:r>
    </w:p>
    <w:p w14:paraId="7A105F93" w14:textId="77777777" w:rsidR="003451F2" w:rsidRPr="00CE6E5F" w:rsidRDefault="003451F2" w:rsidP="00CE6E5F">
      <w:pPr>
        <w:keepNext/>
        <w:numPr>
          <w:ilvl w:val="1"/>
          <w:numId w:val="19"/>
        </w:numPr>
        <w:rPr>
          <w:rFonts w:eastAsia="Calibri" w:cs="Times New Roman"/>
        </w:rPr>
      </w:pPr>
      <w:r w:rsidRPr="00CE6E5F">
        <w:rPr>
          <w:rFonts w:eastAsia="Calibri" w:cs="Times New Roman"/>
        </w:rPr>
        <w:t xml:space="preserve">Nedurkite adatos į randus, tatuiruotes, </w:t>
      </w:r>
      <w:proofErr w:type="spellStart"/>
      <w:r w:rsidRPr="00CE6E5F">
        <w:rPr>
          <w:rFonts w:eastAsia="Calibri" w:cs="Times New Roman"/>
        </w:rPr>
        <w:t>strijas</w:t>
      </w:r>
      <w:proofErr w:type="spellEnd"/>
      <w:r w:rsidRPr="00CE6E5F">
        <w:rPr>
          <w:rFonts w:eastAsia="Calibri" w:cs="Times New Roman"/>
        </w:rPr>
        <w:t xml:space="preserve"> arba pažeistas, apimtas uždegimo ar paraudusios odos vietas.</w:t>
      </w:r>
    </w:p>
    <w:p w14:paraId="612F7EC4" w14:textId="77777777" w:rsidR="003451F2" w:rsidRPr="00CE6E5F" w:rsidRDefault="003451F2" w:rsidP="00CE6E5F">
      <w:pPr>
        <w:keepNext/>
        <w:numPr>
          <w:ilvl w:val="1"/>
          <w:numId w:val="19"/>
        </w:numPr>
        <w:rPr>
          <w:rFonts w:eastAsia="Calibri" w:cs="Times New Roman"/>
        </w:rPr>
      </w:pPr>
      <w:r w:rsidRPr="00CE6E5F">
        <w:rPr>
          <w:rFonts w:eastAsia="Calibri" w:cs="Times New Roman"/>
        </w:rPr>
        <w:t>Pasirinktoje (-</w:t>
      </w:r>
      <w:proofErr w:type="spellStart"/>
      <w:r w:rsidRPr="00CE6E5F">
        <w:rPr>
          <w:rFonts w:eastAsia="Calibri" w:cs="Times New Roman"/>
        </w:rPr>
        <w:t>ose</w:t>
      </w:r>
      <w:proofErr w:type="spellEnd"/>
      <w:r w:rsidRPr="00CE6E5F">
        <w:rPr>
          <w:rFonts w:eastAsia="Calibri" w:cs="Times New Roman"/>
        </w:rPr>
        <w:t>) infuzijos vietoje (-</w:t>
      </w:r>
      <w:proofErr w:type="spellStart"/>
      <w:r w:rsidRPr="00CE6E5F">
        <w:rPr>
          <w:rFonts w:eastAsia="Calibri" w:cs="Times New Roman"/>
        </w:rPr>
        <w:t>ose</w:t>
      </w:r>
      <w:proofErr w:type="spellEnd"/>
      <w:r w:rsidRPr="00CE6E5F">
        <w:rPr>
          <w:rFonts w:eastAsia="Calibri" w:cs="Times New Roman"/>
        </w:rPr>
        <w:t>) nuvalykite odą antiseptine servetėle ir leiskite odai nudžiūti.</w:t>
      </w:r>
    </w:p>
    <w:p w14:paraId="761F027C" w14:textId="77777777" w:rsidR="00DE547B" w:rsidRDefault="003451F2" w:rsidP="00DE547B">
      <w:pPr>
        <w:keepNext/>
        <w:numPr>
          <w:ilvl w:val="1"/>
          <w:numId w:val="19"/>
        </w:numPr>
        <w:rPr>
          <w:rFonts w:eastAsia="Calibri" w:cs="Times New Roman"/>
          <w:lang w:val="de-AT"/>
        </w:rPr>
      </w:pPr>
      <w:r w:rsidRPr="00CE6E5F">
        <w:rPr>
          <w:rFonts w:eastAsia="Calibri" w:cs="Times New Roman"/>
        </w:rPr>
        <w:t>Nykščiu ir rodomuoju pirštu suimkite odą į raukšlę aplink injekcijos vietą (7 pav.), atsargiai nuimkite adatos dangtelį ir įdurkite adatą į odą (8 pav.). Adatos kampas priklausys nuo naudojamo infuzijos rinkinio.</w:t>
      </w:r>
    </w:p>
    <w:p w14:paraId="1EAF54B9" w14:textId="77777777" w:rsidR="00DE547B" w:rsidRDefault="00DE547B" w:rsidP="00DE547B">
      <w:pPr>
        <w:keepNext/>
        <w:rPr>
          <w:rFonts w:eastAsia="Calibri" w:cs="Times New Roman"/>
        </w:rPr>
      </w:pP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0"/>
        <w:gridCol w:w="4531"/>
      </w:tblGrid>
      <w:tr w:rsidR="00DE547B" w14:paraId="2806A6A7" w14:textId="77777777" w:rsidTr="00CE6E5F">
        <w:tc>
          <w:tcPr>
            <w:tcW w:w="4605" w:type="dxa"/>
            <w:vAlign w:val="center"/>
          </w:tcPr>
          <w:p w14:paraId="4751F27B" w14:textId="77777777" w:rsidR="00DE547B" w:rsidRDefault="00DE547B" w:rsidP="00CE6E5F">
            <w:pPr>
              <w:keepNext/>
              <w:jc w:val="center"/>
              <w:rPr>
                <w:rFonts w:eastAsia="Calibri" w:cs="Times New Roman"/>
              </w:rPr>
            </w:pPr>
            <w:r w:rsidRPr="00902172">
              <w:rPr>
                <w:rFonts w:eastAsia="Calibri" w:cs="Times New Roman"/>
                <w:i/>
                <w:iCs/>
                <w:noProof/>
                <w:lang w:eastAsia="lt-LT"/>
              </w:rPr>
              <w:drawing>
                <wp:inline distT="0" distB="0" distL="0" distR="0" wp14:anchorId="37366E69" wp14:editId="0E9ED388">
                  <wp:extent cx="1835785" cy="1276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5785" cy="1276985"/>
                          </a:xfrm>
                          <a:prstGeom prst="rect">
                            <a:avLst/>
                          </a:prstGeom>
                        </pic:spPr>
                      </pic:pic>
                    </a:graphicData>
                  </a:graphic>
                </wp:inline>
              </w:drawing>
            </w:r>
          </w:p>
        </w:tc>
        <w:tc>
          <w:tcPr>
            <w:tcW w:w="4606" w:type="dxa"/>
            <w:vAlign w:val="center"/>
          </w:tcPr>
          <w:p w14:paraId="2DD03825" w14:textId="77777777" w:rsidR="00DE547B" w:rsidRDefault="00DE547B" w:rsidP="00CE6E5F">
            <w:pPr>
              <w:keepNext/>
              <w:jc w:val="center"/>
              <w:rPr>
                <w:rFonts w:eastAsia="Calibri" w:cs="Times New Roman"/>
              </w:rPr>
            </w:pPr>
            <w:r w:rsidRPr="00186764">
              <w:rPr>
                <w:rFonts w:eastAsia="Calibri" w:cs="Times New Roman"/>
                <w:i/>
                <w:iCs/>
                <w:noProof/>
                <w:lang w:eastAsia="lt-LT"/>
              </w:rPr>
              <w:drawing>
                <wp:inline distT="0" distB="0" distL="0" distR="0" wp14:anchorId="4F333245" wp14:editId="0406A970">
                  <wp:extent cx="1835785" cy="12592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5785" cy="1259205"/>
                          </a:xfrm>
                          <a:prstGeom prst="rect">
                            <a:avLst/>
                          </a:prstGeom>
                        </pic:spPr>
                      </pic:pic>
                    </a:graphicData>
                  </a:graphic>
                </wp:inline>
              </w:drawing>
            </w:r>
          </w:p>
        </w:tc>
      </w:tr>
      <w:tr w:rsidR="00DE547B" w14:paraId="608090C5" w14:textId="77777777" w:rsidTr="00CE6E5F">
        <w:tc>
          <w:tcPr>
            <w:tcW w:w="4605" w:type="dxa"/>
            <w:vAlign w:val="center"/>
          </w:tcPr>
          <w:p w14:paraId="22342BE3" w14:textId="77777777" w:rsidR="00DE547B" w:rsidRDefault="00DE547B" w:rsidP="00CE6E5F">
            <w:pPr>
              <w:pStyle w:val="Antrat"/>
              <w:jc w:val="center"/>
              <w:rPr>
                <w:rFonts w:eastAsia="Calibri" w:cs="Times New Roman"/>
              </w:rPr>
            </w:pPr>
            <w:r>
              <w:rPr>
                <w:rFonts w:cs="Arial"/>
                <w:sz w:val="22"/>
              </w:rPr>
              <w:t>7 pav.</w:t>
            </w:r>
          </w:p>
        </w:tc>
        <w:tc>
          <w:tcPr>
            <w:tcW w:w="4606" w:type="dxa"/>
            <w:vAlign w:val="center"/>
          </w:tcPr>
          <w:p w14:paraId="4684676D" w14:textId="77777777" w:rsidR="00DE547B" w:rsidRDefault="00DE547B" w:rsidP="00CE6E5F">
            <w:pPr>
              <w:pStyle w:val="Antrat"/>
              <w:jc w:val="center"/>
              <w:rPr>
                <w:rFonts w:eastAsia="Calibri" w:cs="Times New Roman"/>
              </w:rPr>
            </w:pPr>
            <w:r>
              <w:rPr>
                <w:rFonts w:cs="Arial"/>
                <w:sz w:val="22"/>
              </w:rPr>
              <w:t>8 pav.</w:t>
            </w:r>
          </w:p>
        </w:tc>
      </w:tr>
    </w:tbl>
    <w:p w14:paraId="3F3EBD0B" w14:textId="77777777" w:rsidR="003451F2" w:rsidRPr="00CE6E5F" w:rsidRDefault="003451F2" w:rsidP="00CE6E5F">
      <w:r w:rsidRPr="00CE6E5F">
        <w:t xml:space="preserve"> </w:t>
      </w:r>
    </w:p>
    <w:p w14:paraId="64E722EA" w14:textId="77777777" w:rsidR="003451F2" w:rsidRPr="00CE6E5F" w:rsidRDefault="003451F2" w:rsidP="00CE6E5F">
      <w:pPr>
        <w:keepNext/>
        <w:numPr>
          <w:ilvl w:val="0"/>
          <w:numId w:val="20"/>
        </w:numPr>
        <w:tabs>
          <w:tab w:val="left" w:pos="567"/>
        </w:tabs>
        <w:jc w:val="both"/>
        <w:rPr>
          <w:rFonts w:eastAsia="Calibri" w:cs="Times New Roman"/>
          <w:b/>
          <w:iCs/>
        </w:rPr>
      </w:pPr>
      <w:r w:rsidRPr="00CE6E5F">
        <w:rPr>
          <w:rFonts w:eastAsia="Calibri" w:cs="Times New Roman"/>
          <w:b/>
          <w:bCs/>
        </w:rPr>
        <w:t>Infuzijos tikrinimas</w:t>
      </w:r>
    </w:p>
    <w:p w14:paraId="123355A2" w14:textId="77777777" w:rsidR="003451F2" w:rsidRPr="00CE6E5F" w:rsidRDefault="003451F2" w:rsidP="00CE6E5F">
      <w:pPr>
        <w:keepNext/>
        <w:numPr>
          <w:ilvl w:val="1"/>
          <w:numId w:val="19"/>
        </w:numPr>
        <w:rPr>
          <w:rFonts w:eastAsia="Calibri" w:cs="Times New Roman"/>
        </w:rPr>
      </w:pPr>
      <w:r w:rsidRPr="00CE6E5F">
        <w:rPr>
          <w:rFonts w:eastAsia="Calibri" w:cs="Times New Roman"/>
        </w:rPr>
        <w:t xml:space="preserve">Tirpalo negalima leisti į kraujagyslę. </w:t>
      </w:r>
    </w:p>
    <w:p w14:paraId="5668ED89" w14:textId="77777777" w:rsidR="003451F2" w:rsidRPr="00CE6E5F" w:rsidRDefault="003451F2" w:rsidP="00DE547B">
      <w:pPr>
        <w:keepNext/>
        <w:numPr>
          <w:ilvl w:val="1"/>
          <w:numId w:val="19"/>
        </w:numPr>
        <w:rPr>
          <w:rFonts w:eastAsia="Calibri" w:cs="Times New Roman"/>
        </w:rPr>
      </w:pPr>
      <w:r w:rsidRPr="00CE6E5F">
        <w:rPr>
          <w:rFonts w:eastAsia="Calibri" w:cs="Times New Roman"/>
        </w:rPr>
        <w:t xml:space="preserve">Pritvirtinkite adatą uždėdami sterilią marlę ir </w:t>
      </w:r>
      <w:r w:rsidR="00305801" w:rsidRPr="00CE6E5F">
        <w:rPr>
          <w:rFonts w:eastAsia="Calibri" w:cs="Times New Roman"/>
        </w:rPr>
        <w:t xml:space="preserve">lipnią </w:t>
      </w:r>
      <w:r w:rsidRPr="00CE6E5F">
        <w:rPr>
          <w:rFonts w:eastAsia="Calibri" w:cs="Times New Roman"/>
        </w:rPr>
        <w:t>juostelę arba skaidrų tvarstį (9 pav.).</w:t>
      </w:r>
    </w:p>
    <w:p w14:paraId="126D77C4" w14:textId="77777777" w:rsidR="00DE547B" w:rsidRPr="00CE6E5F" w:rsidRDefault="00DE547B" w:rsidP="00CE6E5F">
      <w:pPr>
        <w:keepNext/>
        <w:ind w:left="1134"/>
        <w:rPr>
          <w:rFonts w:eastAsia="Calibri" w:cs="Times New Roman"/>
        </w:rPr>
      </w:pPr>
    </w:p>
    <w:p w14:paraId="0C984943" w14:textId="77777777" w:rsidR="003451F2" w:rsidRPr="00CE6E5F" w:rsidRDefault="003451F2" w:rsidP="00CE6E5F">
      <w:pPr>
        <w:jc w:val="center"/>
      </w:pPr>
      <w:r w:rsidRPr="00CE6E5F">
        <w:rPr>
          <w:noProof/>
          <w:lang w:eastAsia="lt-LT"/>
        </w:rPr>
        <w:drawing>
          <wp:inline distT="0" distB="0" distL="0" distR="0" wp14:anchorId="2CF506A9" wp14:editId="54EC3052">
            <wp:extent cx="1836000" cy="1268248"/>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6000" cy="1268248"/>
                    </a:xfrm>
                    <a:prstGeom prst="rect">
                      <a:avLst/>
                    </a:prstGeom>
                  </pic:spPr>
                </pic:pic>
              </a:graphicData>
            </a:graphic>
          </wp:inline>
        </w:drawing>
      </w:r>
    </w:p>
    <w:p w14:paraId="493F4583" w14:textId="77777777" w:rsidR="003451F2" w:rsidRPr="00CE6E5F" w:rsidRDefault="00DE547B" w:rsidP="00CE6E5F">
      <w:pPr>
        <w:pStyle w:val="Antrat"/>
        <w:jc w:val="center"/>
        <w:rPr>
          <w:rFonts w:cs="Arial"/>
          <w:i w:val="0"/>
          <w:iCs w:val="0"/>
        </w:rPr>
      </w:pPr>
      <w:r w:rsidRPr="00CE6E5F">
        <w:rPr>
          <w:rFonts w:cs="Arial"/>
          <w:sz w:val="22"/>
        </w:rPr>
        <w:t>9 </w:t>
      </w:r>
      <w:proofErr w:type="spellStart"/>
      <w:r w:rsidRPr="00CE6E5F">
        <w:rPr>
          <w:rFonts w:cs="Arial"/>
          <w:sz w:val="22"/>
        </w:rPr>
        <w:t>pav</w:t>
      </w:r>
      <w:proofErr w:type="spellEnd"/>
    </w:p>
    <w:p w14:paraId="1B5A98F2" w14:textId="77777777" w:rsidR="003451F2" w:rsidRPr="00CE6E5F" w:rsidRDefault="003451F2" w:rsidP="00CE6E5F"/>
    <w:p w14:paraId="7DAA3408" w14:textId="77777777" w:rsidR="003451F2" w:rsidRPr="00CE6E5F" w:rsidRDefault="003451F2" w:rsidP="00CE6E5F">
      <w:pPr>
        <w:numPr>
          <w:ilvl w:val="0"/>
          <w:numId w:val="20"/>
        </w:numPr>
        <w:tabs>
          <w:tab w:val="left" w:pos="567"/>
        </w:tabs>
        <w:jc w:val="both"/>
        <w:rPr>
          <w:rFonts w:eastAsia="Calibri" w:cs="Times New Roman"/>
          <w:b/>
          <w:iCs/>
        </w:rPr>
      </w:pPr>
      <w:r w:rsidRPr="00CE6E5F">
        <w:rPr>
          <w:rFonts w:eastAsia="Calibri" w:cs="Times New Roman"/>
          <w:b/>
          <w:bCs/>
        </w:rPr>
        <w:t>Infuzijos pradžia</w:t>
      </w:r>
    </w:p>
    <w:p w14:paraId="059B18FC" w14:textId="77777777" w:rsidR="003451F2" w:rsidRPr="00CE6E5F" w:rsidRDefault="003451F2" w:rsidP="00CE6E5F">
      <w:pPr>
        <w:keepNext/>
        <w:numPr>
          <w:ilvl w:val="1"/>
          <w:numId w:val="19"/>
        </w:numPr>
        <w:rPr>
          <w:rFonts w:eastAsia="Calibri" w:cs="Times New Roman"/>
        </w:rPr>
      </w:pPr>
      <w:r w:rsidRPr="00CE6E5F">
        <w:rPr>
          <w:rFonts w:eastAsia="Calibri" w:cs="Times New Roman"/>
        </w:rPr>
        <w:t>Pradėkite infuziją. Jei leidimui naudojate infuzijos pompą, laikykitės gamintojo nurodymų.</w:t>
      </w:r>
    </w:p>
    <w:p w14:paraId="2A1A3B9D" w14:textId="77777777" w:rsidR="003451F2" w:rsidRPr="00CE6E5F" w:rsidRDefault="003451F2" w:rsidP="00CE6E5F">
      <w:pPr>
        <w:tabs>
          <w:tab w:val="left" w:pos="567"/>
        </w:tabs>
        <w:ind w:left="1440"/>
        <w:jc w:val="both"/>
        <w:rPr>
          <w:rFonts w:eastAsia="Calibri" w:cs="Times New Roman"/>
          <w:i/>
        </w:rPr>
      </w:pPr>
    </w:p>
    <w:p w14:paraId="4B6DB520" w14:textId="77777777" w:rsidR="003451F2" w:rsidRPr="00CE6E5F" w:rsidRDefault="003451F2" w:rsidP="00CE6E5F">
      <w:pPr>
        <w:keepNext/>
        <w:numPr>
          <w:ilvl w:val="0"/>
          <w:numId w:val="20"/>
        </w:numPr>
        <w:tabs>
          <w:tab w:val="left" w:pos="567"/>
        </w:tabs>
        <w:jc w:val="both"/>
        <w:rPr>
          <w:rFonts w:eastAsia="Calibri" w:cs="Times New Roman"/>
          <w:b/>
          <w:iCs/>
        </w:rPr>
      </w:pPr>
      <w:r w:rsidRPr="00CE6E5F">
        <w:rPr>
          <w:rFonts w:eastAsia="Calibri" w:cs="Times New Roman"/>
          <w:b/>
          <w:bCs/>
        </w:rPr>
        <w:t>Infuzijos registravimas</w:t>
      </w:r>
    </w:p>
    <w:p w14:paraId="4ACA6437" w14:textId="77777777" w:rsidR="003451F2" w:rsidRPr="00CE6E5F" w:rsidRDefault="003451F2" w:rsidP="00CE6E5F">
      <w:pPr>
        <w:keepNext/>
        <w:numPr>
          <w:ilvl w:val="1"/>
          <w:numId w:val="19"/>
        </w:numPr>
        <w:rPr>
          <w:rFonts w:eastAsia="Calibri" w:cs="Times New Roman"/>
        </w:rPr>
      </w:pPr>
      <w:r w:rsidRPr="00CE6E5F">
        <w:rPr>
          <w:rFonts w:eastAsia="Calibri" w:cs="Times New Roman"/>
        </w:rPr>
        <w:t xml:space="preserve">Kiekvienas </w:t>
      </w:r>
      <w:proofErr w:type="spellStart"/>
      <w:r w:rsidR="00242227">
        <w:rPr>
          <w:rFonts w:eastAsia="Calibri" w:cs="Times New Roman"/>
        </w:rPr>
        <w:t>c</w:t>
      </w:r>
      <w:r w:rsidRPr="00CE6E5F">
        <w:rPr>
          <w:rFonts w:eastAsia="Calibri" w:cs="Times New Roman"/>
        </w:rPr>
        <w:t>utaquig</w:t>
      </w:r>
      <w:proofErr w:type="spellEnd"/>
      <w:r w:rsidRPr="00CE6E5F">
        <w:rPr>
          <w:rFonts w:eastAsia="Calibri" w:cs="Times New Roman"/>
        </w:rPr>
        <w:t xml:space="preserve"> flakonas turi nuplėšiamą etiketę, kurioje nurodytas serijos numeris. Priklijuokite šią etiketę paciento gydymo dienyne arba infuzijų žurnale. Įrašykite dozę, </w:t>
      </w:r>
      <w:r w:rsidRPr="00CE6E5F">
        <w:rPr>
          <w:rFonts w:eastAsia="Calibri" w:cs="Times New Roman"/>
        </w:rPr>
        <w:lastRenderedPageBreak/>
        <w:t>datą, laiką, infuzijos vietą ir visas su šia infuzija susijusias infekcines ligas, šalutinį poveikį ar kitas pastabas.</w:t>
      </w:r>
    </w:p>
    <w:p w14:paraId="517378C8" w14:textId="77777777" w:rsidR="003451F2" w:rsidRPr="00CE6E5F" w:rsidRDefault="003451F2" w:rsidP="00CE6E5F">
      <w:pPr>
        <w:tabs>
          <w:tab w:val="left" w:pos="567"/>
        </w:tabs>
        <w:ind w:left="1440"/>
        <w:jc w:val="both"/>
        <w:rPr>
          <w:rFonts w:eastAsia="Calibri" w:cs="Times New Roman"/>
        </w:rPr>
      </w:pPr>
    </w:p>
    <w:p w14:paraId="55ED7296" w14:textId="77777777" w:rsidR="003451F2" w:rsidRPr="00CE6E5F" w:rsidRDefault="003451F2" w:rsidP="00CE6E5F">
      <w:pPr>
        <w:numPr>
          <w:ilvl w:val="0"/>
          <w:numId w:val="20"/>
        </w:numPr>
        <w:tabs>
          <w:tab w:val="left" w:pos="567"/>
        </w:tabs>
        <w:jc w:val="both"/>
        <w:rPr>
          <w:rFonts w:eastAsia="Calibri" w:cs="Times New Roman"/>
          <w:b/>
          <w:iCs/>
        </w:rPr>
      </w:pPr>
      <w:r w:rsidRPr="00CE6E5F">
        <w:rPr>
          <w:rFonts w:eastAsia="Calibri" w:cs="Times New Roman"/>
          <w:b/>
          <w:bCs/>
        </w:rPr>
        <w:t>Baigus infuziją</w:t>
      </w:r>
    </w:p>
    <w:p w14:paraId="1151CDD8" w14:textId="77777777" w:rsidR="003451F2" w:rsidRPr="00CE6E5F" w:rsidRDefault="003451F2" w:rsidP="00CE6E5F">
      <w:pPr>
        <w:keepNext/>
        <w:numPr>
          <w:ilvl w:val="1"/>
          <w:numId w:val="19"/>
        </w:numPr>
        <w:rPr>
          <w:rFonts w:eastAsia="Calibri" w:cs="Times New Roman"/>
        </w:rPr>
      </w:pPr>
      <w:r w:rsidRPr="00CE6E5F">
        <w:rPr>
          <w:rFonts w:eastAsia="Calibri" w:cs="Times New Roman"/>
        </w:rPr>
        <w:t>Atsargiai nuimkite adatą (-</w:t>
      </w:r>
      <w:proofErr w:type="spellStart"/>
      <w:r w:rsidRPr="00CE6E5F">
        <w:rPr>
          <w:rFonts w:eastAsia="Calibri" w:cs="Times New Roman"/>
        </w:rPr>
        <w:t>as</w:t>
      </w:r>
      <w:proofErr w:type="spellEnd"/>
      <w:r w:rsidRPr="00CE6E5F">
        <w:rPr>
          <w:rFonts w:eastAsia="Calibri" w:cs="Times New Roman"/>
        </w:rPr>
        <w:t xml:space="preserve">) ir iškart įmeskite į </w:t>
      </w:r>
      <w:proofErr w:type="spellStart"/>
      <w:r w:rsidRPr="00CE6E5F">
        <w:rPr>
          <w:rFonts w:eastAsia="Calibri" w:cs="Times New Roman"/>
        </w:rPr>
        <w:t>talpyklę</w:t>
      </w:r>
      <w:proofErr w:type="spellEnd"/>
      <w:r w:rsidRPr="00CE6E5F">
        <w:rPr>
          <w:rFonts w:eastAsia="Calibri" w:cs="Times New Roman"/>
        </w:rPr>
        <w:t xml:space="preserve"> aštrioms atliekoms.</w:t>
      </w:r>
    </w:p>
    <w:p w14:paraId="0A5299C9" w14:textId="77777777" w:rsidR="003451F2" w:rsidRPr="00CE6E5F" w:rsidRDefault="003451F2" w:rsidP="00CE6E5F">
      <w:pPr>
        <w:keepNext/>
        <w:numPr>
          <w:ilvl w:val="1"/>
          <w:numId w:val="19"/>
        </w:numPr>
        <w:rPr>
          <w:rFonts w:eastAsia="Calibri" w:cs="Times New Roman"/>
        </w:rPr>
      </w:pPr>
      <w:r w:rsidRPr="00CE6E5F">
        <w:rPr>
          <w:rFonts w:eastAsia="Calibri" w:cs="Times New Roman"/>
        </w:rPr>
        <w:t>Jei reikia, prie adatos įdūrimo vietos prispauskite nedidelį marlės gabalėlį ir užklijuokite tvarstį.</w:t>
      </w:r>
    </w:p>
    <w:p w14:paraId="1DE25DFB" w14:textId="77777777" w:rsidR="003451F2" w:rsidRPr="00CE6E5F" w:rsidRDefault="003451F2" w:rsidP="00CE6E5F">
      <w:pPr>
        <w:keepNext/>
        <w:numPr>
          <w:ilvl w:val="1"/>
          <w:numId w:val="19"/>
        </w:numPr>
        <w:rPr>
          <w:rFonts w:eastAsia="Calibri" w:cs="Times New Roman"/>
        </w:rPr>
      </w:pPr>
      <w:r w:rsidRPr="00CE6E5F">
        <w:rPr>
          <w:rFonts w:eastAsia="Calibri" w:cs="Times New Roman"/>
        </w:rPr>
        <w:t>Išmeskite visus panaudotus vienkartinius reikmenis ir visą nesuvartotą preparatą bei tuščią (-</w:t>
      </w:r>
      <w:proofErr w:type="spellStart"/>
      <w:r w:rsidRPr="00CE6E5F">
        <w:rPr>
          <w:rFonts w:eastAsia="Calibri" w:cs="Times New Roman"/>
        </w:rPr>
        <w:t>ius</w:t>
      </w:r>
      <w:proofErr w:type="spellEnd"/>
      <w:r w:rsidRPr="00CE6E5F">
        <w:rPr>
          <w:rFonts w:eastAsia="Calibri" w:cs="Times New Roman"/>
        </w:rPr>
        <w:t>) flakoną (-</w:t>
      </w:r>
      <w:proofErr w:type="spellStart"/>
      <w:r w:rsidRPr="00CE6E5F">
        <w:rPr>
          <w:rFonts w:eastAsia="Calibri" w:cs="Times New Roman"/>
        </w:rPr>
        <w:t>us</w:t>
      </w:r>
      <w:proofErr w:type="spellEnd"/>
      <w:r w:rsidRPr="00CE6E5F">
        <w:rPr>
          <w:rFonts w:eastAsia="Calibri" w:cs="Times New Roman"/>
        </w:rPr>
        <w:t>), kaip rekomenduoja Jūsų sveikatos priežiūros specialistas ir pagal vietos reikalavimus.</w:t>
      </w:r>
    </w:p>
    <w:p w14:paraId="103C353C" w14:textId="77777777" w:rsidR="003451F2" w:rsidRPr="00CE6E5F" w:rsidRDefault="003451F2" w:rsidP="00CE6E5F">
      <w:pPr>
        <w:rPr>
          <w:b/>
        </w:rPr>
      </w:pPr>
      <w:r w:rsidRPr="00CE6E5F">
        <w:t>Sutvarkykite visą daugkartinio naudojimo įrangą (pvz., pompą)</w:t>
      </w:r>
      <w:r w:rsidR="00561969">
        <w:t>,</w:t>
      </w:r>
      <w:r w:rsidRPr="00CE6E5F">
        <w:t xml:space="preserve"> padėkite į saugą vietą iki kitos infuzijos</w:t>
      </w:r>
      <w:r w:rsidR="00561969">
        <w:t>.</w:t>
      </w:r>
    </w:p>
    <w:p w14:paraId="70D30A79" w14:textId="77777777" w:rsidR="003451F2" w:rsidRPr="00CE6E5F" w:rsidRDefault="003451F2" w:rsidP="00E457A0">
      <w:pPr>
        <w:rPr>
          <w:rFonts w:cs="Times New Roman"/>
          <w:color w:val="000000"/>
        </w:rPr>
      </w:pPr>
    </w:p>
    <w:sectPr w:rsidR="003451F2" w:rsidRPr="00CE6E5F" w:rsidSect="000C1A8A">
      <w:headerReference w:type="default" r:id="rId19"/>
      <w:footerReference w:type="default" r:id="rId20"/>
      <w:pgSz w:w="11907" w:h="16839" w:code="9"/>
      <w:pgMar w:top="1134" w:right="1418" w:bottom="1134" w:left="1418" w:header="737"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8DBC" w14:textId="77777777" w:rsidR="00F55DF9" w:rsidRDefault="00F55DF9" w:rsidP="008C55F3">
      <w:r>
        <w:separator/>
      </w:r>
    </w:p>
  </w:endnote>
  <w:endnote w:type="continuationSeparator" w:id="0">
    <w:p w14:paraId="4B22EC08" w14:textId="77777777" w:rsidR="00F55DF9" w:rsidRDefault="00F55DF9" w:rsidP="008C55F3">
      <w:r>
        <w:continuationSeparator/>
      </w:r>
    </w:p>
  </w:endnote>
  <w:endnote w:type="continuationNotice" w:id="1">
    <w:p w14:paraId="5FEC9678" w14:textId="77777777" w:rsidR="00F55DF9" w:rsidRDefault="00F55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3FFB" w14:textId="5F24EA8B" w:rsidR="00FB4F03" w:rsidRPr="00630DD1" w:rsidRDefault="00FB4F03" w:rsidP="008C55F3">
    <w:pPr>
      <w:pStyle w:val="Porat"/>
      <w:tabs>
        <w:tab w:val="left" w:pos="5524"/>
      </w:tabs>
      <w:rPr>
        <w:rFonts w:cs="Times New Roman"/>
        <w:i/>
        <w:sz w:val="18"/>
        <w:szCs w:val="18"/>
      </w:rPr>
    </w:pPr>
    <w:r>
      <w:rPr>
        <w:rFonts w:cs="Times New Roman"/>
        <w:sz w:val="18"/>
        <w:szCs w:val="18"/>
      </w:rPr>
      <w:fldChar w:fldCharType="begin"/>
    </w:r>
    <w:r>
      <w:rPr>
        <w:rFonts w:cs="Times New Roman"/>
        <w:sz w:val="18"/>
        <w:szCs w:val="18"/>
      </w:rPr>
      <w:instrText xml:space="preserve"> FILENAME   \* MERGEFORMAT </w:instrText>
    </w:r>
    <w:r>
      <w:rPr>
        <w:rFonts w:cs="Times New Roman"/>
        <w:sz w:val="18"/>
        <w:szCs w:val="18"/>
      </w:rPr>
      <w:fldChar w:fldCharType="end"/>
    </w:r>
    <w:r>
      <w:rPr>
        <w:rFonts w:cs="Times New Roman"/>
        <w:i/>
        <w:iCs/>
        <w:sz w:val="18"/>
        <w:szCs w:val="18"/>
      </w:rPr>
      <w:tab/>
    </w:r>
    <w:r>
      <w:rPr>
        <w:rFonts w:cs="Times New Roman"/>
        <w:i/>
        <w:iCs/>
        <w:sz w:val="18"/>
        <w:szCs w:val="18"/>
      </w:rPr>
      <w:tab/>
    </w:r>
    <w:r>
      <w:rPr>
        <w:rFonts w:cs="Times New Roman"/>
        <w:i/>
        <w:iCs/>
        <w:sz w:val="18"/>
        <w:szCs w:val="18"/>
      </w:rPr>
      <w:tab/>
    </w:r>
    <w:r>
      <w:rPr>
        <w:rFonts w:cs="Times New Roman"/>
        <w:i/>
        <w:iCs/>
        <w:sz w:val="18"/>
        <w:szCs w:val="18"/>
      </w:rPr>
      <w:fldChar w:fldCharType="begin"/>
    </w:r>
    <w:r>
      <w:rPr>
        <w:rFonts w:cs="Times New Roman"/>
        <w:i/>
        <w:iCs/>
        <w:sz w:val="18"/>
        <w:szCs w:val="18"/>
      </w:rPr>
      <w:instrText xml:space="preserve"> PAGE   \* MERGEFORMAT </w:instrText>
    </w:r>
    <w:r>
      <w:rPr>
        <w:rFonts w:cs="Times New Roman"/>
        <w:i/>
        <w:iCs/>
        <w:sz w:val="18"/>
        <w:szCs w:val="18"/>
      </w:rPr>
      <w:fldChar w:fldCharType="separate"/>
    </w:r>
    <w:r w:rsidR="004E3D91">
      <w:rPr>
        <w:rFonts w:cs="Times New Roman"/>
        <w:i/>
        <w:iCs/>
        <w:noProof/>
        <w:sz w:val="18"/>
        <w:szCs w:val="18"/>
      </w:rPr>
      <w:t>2</w:t>
    </w:r>
    <w:r>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2A8D" w14:textId="77777777" w:rsidR="00F55DF9" w:rsidRDefault="00F55DF9" w:rsidP="008C55F3">
      <w:r>
        <w:separator/>
      </w:r>
    </w:p>
  </w:footnote>
  <w:footnote w:type="continuationSeparator" w:id="0">
    <w:p w14:paraId="2615C61B" w14:textId="77777777" w:rsidR="00F55DF9" w:rsidRDefault="00F55DF9" w:rsidP="008C55F3">
      <w:r>
        <w:continuationSeparator/>
      </w:r>
    </w:p>
  </w:footnote>
  <w:footnote w:type="continuationNotice" w:id="1">
    <w:p w14:paraId="213AD647" w14:textId="77777777" w:rsidR="00F55DF9" w:rsidRDefault="00F55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DAF4" w14:textId="77777777" w:rsidR="00FB4F03" w:rsidRDefault="00FB4F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E71FC"/>
    <w:multiLevelType w:val="singleLevel"/>
    <w:tmpl w:val="BAD8620A"/>
    <w:lvl w:ilvl="0">
      <w:start w:val="1"/>
      <w:numFmt w:val="bullet"/>
      <w:lvlText w:val="-"/>
      <w:lvlJc w:val="left"/>
      <w:pPr>
        <w:tabs>
          <w:tab w:val="num" w:pos="567"/>
        </w:tabs>
        <w:ind w:left="567" w:hanging="567"/>
      </w:pPr>
      <w:rPr>
        <w:rFonts w:hint="default"/>
      </w:rPr>
    </w:lvl>
  </w:abstractNum>
  <w:abstractNum w:abstractNumId="2" w15:restartNumberingAfterBreak="0">
    <w:nsid w:val="096E63BC"/>
    <w:multiLevelType w:val="hybridMultilevel"/>
    <w:tmpl w:val="451A79C8"/>
    <w:lvl w:ilvl="0" w:tplc="CFB4C5C2">
      <w:start w:val="12"/>
      <w:numFmt w:val="bullet"/>
      <w:lvlText w:val="-"/>
      <w:lvlJc w:val="left"/>
      <w:pPr>
        <w:ind w:left="720" w:hanging="360"/>
      </w:pPr>
      <w:rPr>
        <w:rFonts w:ascii="Arial" w:eastAsia="Calibri" w:hAnsi="Arial" w:cs="Arial" w:hint="default"/>
      </w:rPr>
    </w:lvl>
    <w:lvl w:ilvl="1" w:tplc="CFB4C5C2">
      <w:start w:val="12"/>
      <w:numFmt w:val="bullet"/>
      <w:lvlText w:val="-"/>
      <w:lvlJc w:val="left"/>
      <w:pPr>
        <w:ind w:left="1440" w:hanging="360"/>
      </w:pPr>
      <w:rPr>
        <w:rFonts w:ascii="Arial" w:eastAsia="Calibri" w:hAnsi="Arial" w:cs="Arial" w:hint="default"/>
      </w:rPr>
    </w:lvl>
    <w:lvl w:ilvl="2" w:tplc="EBCECEE2">
      <w:start w:val="1"/>
      <w:numFmt w:val="bullet"/>
      <w:lvlText w:val=""/>
      <w:lvlJc w:val="left"/>
      <w:pPr>
        <w:tabs>
          <w:tab w:val="num" w:pos="1701"/>
        </w:tabs>
        <w:ind w:left="1701" w:hanging="567"/>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2502F"/>
    <w:multiLevelType w:val="multilevel"/>
    <w:tmpl w:val="E8441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1D53C8"/>
    <w:multiLevelType w:val="hybridMultilevel"/>
    <w:tmpl w:val="DB167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553857"/>
    <w:multiLevelType w:val="hybridMultilevel"/>
    <w:tmpl w:val="2C7CD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F572A75"/>
    <w:multiLevelType w:val="hybridMultilevel"/>
    <w:tmpl w:val="0254CC0E"/>
    <w:lvl w:ilvl="0" w:tplc="CFB4C5C2">
      <w:start w:val="1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0694AAF"/>
    <w:multiLevelType w:val="hybridMultilevel"/>
    <w:tmpl w:val="E06AEFEC"/>
    <w:lvl w:ilvl="0" w:tplc="B282C400">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DE2A41"/>
    <w:multiLevelType w:val="hybridMultilevel"/>
    <w:tmpl w:val="8E12CC68"/>
    <w:lvl w:ilvl="0" w:tplc="FFFFFFFF">
      <w:start w:val="1"/>
      <w:numFmt w:val="bullet"/>
      <w:lvlText w:val="-"/>
      <w:lvlJc w:val="left"/>
      <w:pPr>
        <w:ind w:left="1440" w:hanging="360"/>
      </w:p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9" w15:restartNumberingAfterBreak="0">
    <w:nsid w:val="1AF604B3"/>
    <w:multiLevelType w:val="hybridMultilevel"/>
    <w:tmpl w:val="D7B83E2E"/>
    <w:lvl w:ilvl="0" w:tplc="0C0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1B1815"/>
    <w:multiLevelType w:val="hybridMultilevel"/>
    <w:tmpl w:val="236AE5FE"/>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1706D14"/>
    <w:multiLevelType w:val="hybridMultilevel"/>
    <w:tmpl w:val="5840EC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277742C"/>
    <w:multiLevelType w:val="hybridMultilevel"/>
    <w:tmpl w:val="26C84C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6E14439"/>
    <w:multiLevelType w:val="hybridMultilevel"/>
    <w:tmpl w:val="D388A684"/>
    <w:lvl w:ilvl="0" w:tplc="B282C400">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8CE20D1"/>
    <w:multiLevelType w:val="hybridMultilevel"/>
    <w:tmpl w:val="36FCE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9A5A24"/>
    <w:multiLevelType w:val="hybridMultilevel"/>
    <w:tmpl w:val="C0700BA2"/>
    <w:lvl w:ilvl="0" w:tplc="0C070001">
      <w:start w:val="1"/>
      <w:numFmt w:val="bullet"/>
      <w:lvlText w:val=""/>
      <w:lvlJc w:val="left"/>
      <w:pPr>
        <w:ind w:left="861" w:hanging="360"/>
      </w:pPr>
      <w:rPr>
        <w:rFonts w:ascii="Symbol" w:hAnsi="Symbol" w:hint="default"/>
      </w:rPr>
    </w:lvl>
    <w:lvl w:ilvl="1" w:tplc="0C070003" w:tentative="1">
      <w:start w:val="1"/>
      <w:numFmt w:val="bullet"/>
      <w:lvlText w:val="o"/>
      <w:lvlJc w:val="left"/>
      <w:pPr>
        <w:ind w:left="1581" w:hanging="360"/>
      </w:pPr>
      <w:rPr>
        <w:rFonts w:ascii="Courier New" w:hAnsi="Courier New" w:cs="Courier New" w:hint="default"/>
      </w:rPr>
    </w:lvl>
    <w:lvl w:ilvl="2" w:tplc="0C070005" w:tentative="1">
      <w:start w:val="1"/>
      <w:numFmt w:val="bullet"/>
      <w:lvlText w:val=""/>
      <w:lvlJc w:val="left"/>
      <w:pPr>
        <w:ind w:left="2301" w:hanging="360"/>
      </w:pPr>
      <w:rPr>
        <w:rFonts w:ascii="Wingdings" w:hAnsi="Wingdings" w:hint="default"/>
      </w:rPr>
    </w:lvl>
    <w:lvl w:ilvl="3" w:tplc="0C070001" w:tentative="1">
      <w:start w:val="1"/>
      <w:numFmt w:val="bullet"/>
      <w:lvlText w:val=""/>
      <w:lvlJc w:val="left"/>
      <w:pPr>
        <w:ind w:left="3021" w:hanging="360"/>
      </w:pPr>
      <w:rPr>
        <w:rFonts w:ascii="Symbol" w:hAnsi="Symbol" w:hint="default"/>
      </w:rPr>
    </w:lvl>
    <w:lvl w:ilvl="4" w:tplc="0C070003" w:tentative="1">
      <w:start w:val="1"/>
      <w:numFmt w:val="bullet"/>
      <w:lvlText w:val="o"/>
      <w:lvlJc w:val="left"/>
      <w:pPr>
        <w:ind w:left="3741" w:hanging="360"/>
      </w:pPr>
      <w:rPr>
        <w:rFonts w:ascii="Courier New" w:hAnsi="Courier New" w:cs="Courier New" w:hint="default"/>
      </w:rPr>
    </w:lvl>
    <w:lvl w:ilvl="5" w:tplc="0C070005" w:tentative="1">
      <w:start w:val="1"/>
      <w:numFmt w:val="bullet"/>
      <w:lvlText w:val=""/>
      <w:lvlJc w:val="left"/>
      <w:pPr>
        <w:ind w:left="4461" w:hanging="360"/>
      </w:pPr>
      <w:rPr>
        <w:rFonts w:ascii="Wingdings" w:hAnsi="Wingdings" w:hint="default"/>
      </w:rPr>
    </w:lvl>
    <w:lvl w:ilvl="6" w:tplc="0C070001" w:tentative="1">
      <w:start w:val="1"/>
      <w:numFmt w:val="bullet"/>
      <w:lvlText w:val=""/>
      <w:lvlJc w:val="left"/>
      <w:pPr>
        <w:ind w:left="5181" w:hanging="360"/>
      </w:pPr>
      <w:rPr>
        <w:rFonts w:ascii="Symbol" w:hAnsi="Symbol" w:hint="default"/>
      </w:rPr>
    </w:lvl>
    <w:lvl w:ilvl="7" w:tplc="0C070003" w:tentative="1">
      <w:start w:val="1"/>
      <w:numFmt w:val="bullet"/>
      <w:lvlText w:val="o"/>
      <w:lvlJc w:val="left"/>
      <w:pPr>
        <w:ind w:left="5901" w:hanging="360"/>
      </w:pPr>
      <w:rPr>
        <w:rFonts w:ascii="Courier New" w:hAnsi="Courier New" w:cs="Courier New" w:hint="default"/>
      </w:rPr>
    </w:lvl>
    <w:lvl w:ilvl="8" w:tplc="0C070005" w:tentative="1">
      <w:start w:val="1"/>
      <w:numFmt w:val="bullet"/>
      <w:lvlText w:val=""/>
      <w:lvlJc w:val="left"/>
      <w:pPr>
        <w:ind w:left="6621" w:hanging="360"/>
      </w:pPr>
      <w:rPr>
        <w:rFonts w:ascii="Wingdings" w:hAnsi="Wingdings" w:hint="default"/>
      </w:rPr>
    </w:lvl>
  </w:abstractNum>
  <w:abstractNum w:abstractNumId="16" w15:restartNumberingAfterBreak="0">
    <w:nsid w:val="2CF85D07"/>
    <w:multiLevelType w:val="hybridMultilevel"/>
    <w:tmpl w:val="4D682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9556AC"/>
    <w:multiLevelType w:val="hybridMultilevel"/>
    <w:tmpl w:val="C226CDFC"/>
    <w:lvl w:ilvl="0" w:tplc="4CD4DB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2EE18BE"/>
    <w:multiLevelType w:val="hybridMultilevel"/>
    <w:tmpl w:val="D5B87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0A2CED"/>
    <w:multiLevelType w:val="hybridMultilevel"/>
    <w:tmpl w:val="2B8ACB62"/>
    <w:lvl w:ilvl="0" w:tplc="EB826AD6">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9774913"/>
    <w:multiLevelType w:val="hybridMultilevel"/>
    <w:tmpl w:val="E80496C8"/>
    <w:lvl w:ilvl="0" w:tplc="C98EE1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B37C6"/>
    <w:multiLevelType w:val="hybridMultilevel"/>
    <w:tmpl w:val="86029262"/>
    <w:lvl w:ilvl="0" w:tplc="1AB60906">
      <w:start w:val="1"/>
      <w:numFmt w:val="decimal"/>
      <w:lvlText w:val="%1."/>
      <w:lvlJc w:val="left"/>
      <w:pPr>
        <w:tabs>
          <w:tab w:val="num" w:pos="567"/>
        </w:tabs>
        <w:ind w:left="567" w:hanging="567"/>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72EA4"/>
    <w:multiLevelType w:val="hybridMultilevel"/>
    <w:tmpl w:val="F29E3792"/>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BAF5AAF"/>
    <w:multiLevelType w:val="multilevel"/>
    <w:tmpl w:val="D9EA7624"/>
    <w:lvl w:ilvl="0">
      <w:start w:val="1"/>
      <w:numFmt w:val="decimal"/>
      <w:lvlText w:val="%1"/>
      <w:lvlJc w:val="left"/>
      <w:pPr>
        <w:tabs>
          <w:tab w:val="num" w:pos="432"/>
        </w:tabs>
        <w:ind w:left="432" w:hanging="432"/>
      </w:pPr>
      <w:rPr>
        <w:rFonts w:hint="default"/>
        <w:caps/>
      </w:rPr>
    </w:lvl>
    <w:lvl w:ilvl="1">
      <w:start w:val="1"/>
      <w:numFmt w:val="decimal"/>
      <w:lvlText w:val="%1.%2"/>
      <w:lvlJc w:val="left"/>
      <w:pPr>
        <w:tabs>
          <w:tab w:val="num" w:pos="1116"/>
        </w:tabs>
        <w:ind w:left="1116" w:hanging="1116"/>
      </w:pPr>
      <w:rPr>
        <w:rFonts w:hint="default"/>
        <w:caps/>
      </w:rPr>
    </w:lvl>
    <w:lvl w:ilvl="2">
      <w:start w:val="1"/>
      <w:numFmt w:val="decimal"/>
      <w:lvlText w:val="%1.%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E7D05D5"/>
    <w:multiLevelType w:val="hybridMultilevel"/>
    <w:tmpl w:val="99FAB5DA"/>
    <w:lvl w:ilvl="0" w:tplc="DC984E18">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3D87DFB"/>
    <w:multiLevelType w:val="hybridMultilevel"/>
    <w:tmpl w:val="9490FCC2"/>
    <w:lvl w:ilvl="0" w:tplc="CFB4C5C2">
      <w:start w:val="12"/>
      <w:numFmt w:val="bullet"/>
      <w:lvlText w:val="-"/>
      <w:lvlJc w:val="left"/>
      <w:pPr>
        <w:ind w:left="720" w:hanging="360"/>
      </w:pPr>
      <w:rPr>
        <w:rFonts w:ascii="Arial" w:eastAsia="Calibri" w:hAnsi="Arial" w:cs="Arial" w:hint="default"/>
      </w:rPr>
    </w:lvl>
    <w:lvl w:ilvl="1" w:tplc="03CAD4F0">
      <w:start w:val="12"/>
      <w:numFmt w:val="bullet"/>
      <w:lvlText w:val="-"/>
      <w:lvlJc w:val="left"/>
      <w:pPr>
        <w:tabs>
          <w:tab w:val="num" w:pos="1134"/>
        </w:tabs>
        <w:ind w:left="1134" w:hanging="567"/>
      </w:pPr>
      <w:rPr>
        <w:rFonts w:ascii="Arial" w:eastAsia="Calibri"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97136"/>
    <w:multiLevelType w:val="hybridMultilevel"/>
    <w:tmpl w:val="D9C63F34"/>
    <w:lvl w:ilvl="0" w:tplc="34C24EF0">
      <w:start w:val="1"/>
      <w:numFmt w:val="bullet"/>
      <w:lvlText w:val="•"/>
      <w:lvlJc w:val="left"/>
      <w:pPr>
        <w:tabs>
          <w:tab w:val="num" w:pos="720"/>
        </w:tabs>
        <w:ind w:left="720" w:hanging="360"/>
      </w:pPr>
      <w:rPr>
        <w:rFonts w:ascii="Arial" w:hAnsi="Arial" w:hint="default"/>
      </w:rPr>
    </w:lvl>
    <w:lvl w:ilvl="1" w:tplc="BCD841AA" w:tentative="1">
      <w:start w:val="1"/>
      <w:numFmt w:val="bullet"/>
      <w:lvlText w:val="•"/>
      <w:lvlJc w:val="left"/>
      <w:pPr>
        <w:tabs>
          <w:tab w:val="num" w:pos="1440"/>
        </w:tabs>
        <w:ind w:left="1440" w:hanging="360"/>
      </w:pPr>
      <w:rPr>
        <w:rFonts w:ascii="Arial" w:hAnsi="Arial" w:hint="default"/>
      </w:rPr>
    </w:lvl>
    <w:lvl w:ilvl="2" w:tplc="9B324116" w:tentative="1">
      <w:start w:val="1"/>
      <w:numFmt w:val="bullet"/>
      <w:lvlText w:val="•"/>
      <w:lvlJc w:val="left"/>
      <w:pPr>
        <w:tabs>
          <w:tab w:val="num" w:pos="2160"/>
        </w:tabs>
        <w:ind w:left="2160" w:hanging="360"/>
      </w:pPr>
      <w:rPr>
        <w:rFonts w:ascii="Arial" w:hAnsi="Arial" w:hint="default"/>
      </w:rPr>
    </w:lvl>
    <w:lvl w:ilvl="3" w:tplc="3F18D5A4" w:tentative="1">
      <w:start w:val="1"/>
      <w:numFmt w:val="bullet"/>
      <w:lvlText w:val="•"/>
      <w:lvlJc w:val="left"/>
      <w:pPr>
        <w:tabs>
          <w:tab w:val="num" w:pos="2880"/>
        </w:tabs>
        <w:ind w:left="2880" w:hanging="360"/>
      </w:pPr>
      <w:rPr>
        <w:rFonts w:ascii="Arial" w:hAnsi="Arial" w:hint="default"/>
      </w:rPr>
    </w:lvl>
    <w:lvl w:ilvl="4" w:tplc="A7BC6C3A" w:tentative="1">
      <w:start w:val="1"/>
      <w:numFmt w:val="bullet"/>
      <w:lvlText w:val="•"/>
      <w:lvlJc w:val="left"/>
      <w:pPr>
        <w:tabs>
          <w:tab w:val="num" w:pos="3600"/>
        </w:tabs>
        <w:ind w:left="3600" w:hanging="360"/>
      </w:pPr>
      <w:rPr>
        <w:rFonts w:ascii="Arial" w:hAnsi="Arial" w:hint="default"/>
      </w:rPr>
    </w:lvl>
    <w:lvl w:ilvl="5" w:tplc="5AA02DBA" w:tentative="1">
      <w:start w:val="1"/>
      <w:numFmt w:val="bullet"/>
      <w:lvlText w:val="•"/>
      <w:lvlJc w:val="left"/>
      <w:pPr>
        <w:tabs>
          <w:tab w:val="num" w:pos="4320"/>
        </w:tabs>
        <w:ind w:left="4320" w:hanging="360"/>
      </w:pPr>
      <w:rPr>
        <w:rFonts w:ascii="Arial" w:hAnsi="Arial" w:hint="default"/>
      </w:rPr>
    </w:lvl>
    <w:lvl w:ilvl="6" w:tplc="C8C8289E" w:tentative="1">
      <w:start w:val="1"/>
      <w:numFmt w:val="bullet"/>
      <w:lvlText w:val="•"/>
      <w:lvlJc w:val="left"/>
      <w:pPr>
        <w:tabs>
          <w:tab w:val="num" w:pos="5040"/>
        </w:tabs>
        <w:ind w:left="5040" w:hanging="360"/>
      </w:pPr>
      <w:rPr>
        <w:rFonts w:ascii="Arial" w:hAnsi="Arial" w:hint="default"/>
      </w:rPr>
    </w:lvl>
    <w:lvl w:ilvl="7" w:tplc="7FEE70D4" w:tentative="1">
      <w:start w:val="1"/>
      <w:numFmt w:val="bullet"/>
      <w:lvlText w:val="•"/>
      <w:lvlJc w:val="left"/>
      <w:pPr>
        <w:tabs>
          <w:tab w:val="num" w:pos="5760"/>
        </w:tabs>
        <w:ind w:left="5760" w:hanging="360"/>
      </w:pPr>
      <w:rPr>
        <w:rFonts w:ascii="Arial" w:hAnsi="Arial" w:hint="default"/>
      </w:rPr>
    </w:lvl>
    <w:lvl w:ilvl="8" w:tplc="D578D6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411B52"/>
    <w:multiLevelType w:val="hybridMultilevel"/>
    <w:tmpl w:val="634E263E"/>
    <w:lvl w:ilvl="0" w:tplc="CFB4C5C2">
      <w:start w:val="12"/>
      <w:numFmt w:val="bullet"/>
      <w:lvlText w:val="-"/>
      <w:lvlJc w:val="left"/>
      <w:pPr>
        <w:ind w:left="360" w:hanging="360"/>
      </w:pPr>
      <w:rPr>
        <w:rFonts w:ascii="Arial" w:eastAsia="Calibri"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5310517D"/>
    <w:multiLevelType w:val="hybridMultilevel"/>
    <w:tmpl w:val="C96A89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9EF66A9"/>
    <w:multiLevelType w:val="hybridMultilevel"/>
    <w:tmpl w:val="17E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54449"/>
    <w:multiLevelType w:val="hybridMultilevel"/>
    <w:tmpl w:val="A864A4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1476E18"/>
    <w:multiLevelType w:val="hybridMultilevel"/>
    <w:tmpl w:val="58202768"/>
    <w:lvl w:ilvl="0" w:tplc="DC984E18">
      <w:start w:val="1"/>
      <w:numFmt w:val="bullet"/>
      <w:lvlText w:val=""/>
      <w:lvlJc w:val="left"/>
      <w:pPr>
        <w:tabs>
          <w:tab w:val="num" w:pos="567"/>
        </w:tabs>
        <w:ind w:left="567" w:hanging="567"/>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651432B"/>
    <w:multiLevelType w:val="hybridMultilevel"/>
    <w:tmpl w:val="0A14FE6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AD05691"/>
    <w:multiLevelType w:val="hybridMultilevel"/>
    <w:tmpl w:val="2C1219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CDF45E7"/>
    <w:multiLevelType w:val="hybridMultilevel"/>
    <w:tmpl w:val="F9943A1A"/>
    <w:lvl w:ilvl="0" w:tplc="78745B96">
      <w:start w:val="1"/>
      <w:numFmt w:val="bullet"/>
      <w:lvlText w:val="•"/>
      <w:lvlJc w:val="left"/>
      <w:pPr>
        <w:tabs>
          <w:tab w:val="num" w:pos="720"/>
        </w:tabs>
        <w:ind w:left="720" w:hanging="360"/>
      </w:pPr>
      <w:rPr>
        <w:rFonts w:ascii="Arial" w:hAnsi="Arial" w:hint="default"/>
      </w:rPr>
    </w:lvl>
    <w:lvl w:ilvl="1" w:tplc="22EAD564" w:tentative="1">
      <w:start w:val="1"/>
      <w:numFmt w:val="bullet"/>
      <w:lvlText w:val="•"/>
      <w:lvlJc w:val="left"/>
      <w:pPr>
        <w:tabs>
          <w:tab w:val="num" w:pos="1440"/>
        </w:tabs>
        <w:ind w:left="1440" w:hanging="360"/>
      </w:pPr>
      <w:rPr>
        <w:rFonts w:ascii="Arial" w:hAnsi="Arial" w:hint="default"/>
      </w:rPr>
    </w:lvl>
    <w:lvl w:ilvl="2" w:tplc="E872F0B2" w:tentative="1">
      <w:start w:val="1"/>
      <w:numFmt w:val="bullet"/>
      <w:lvlText w:val="•"/>
      <w:lvlJc w:val="left"/>
      <w:pPr>
        <w:tabs>
          <w:tab w:val="num" w:pos="2160"/>
        </w:tabs>
        <w:ind w:left="2160" w:hanging="360"/>
      </w:pPr>
      <w:rPr>
        <w:rFonts w:ascii="Arial" w:hAnsi="Arial" w:hint="default"/>
      </w:rPr>
    </w:lvl>
    <w:lvl w:ilvl="3" w:tplc="718EE39E" w:tentative="1">
      <w:start w:val="1"/>
      <w:numFmt w:val="bullet"/>
      <w:lvlText w:val="•"/>
      <w:lvlJc w:val="left"/>
      <w:pPr>
        <w:tabs>
          <w:tab w:val="num" w:pos="2880"/>
        </w:tabs>
        <w:ind w:left="2880" w:hanging="360"/>
      </w:pPr>
      <w:rPr>
        <w:rFonts w:ascii="Arial" w:hAnsi="Arial" w:hint="default"/>
      </w:rPr>
    </w:lvl>
    <w:lvl w:ilvl="4" w:tplc="E94A7042" w:tentative="1">
      <w:start w:val="1"/>
      <w:numFmt w:val="bullet"/>
      <w:lvlText w:val="•"/>
      <w:lvlJc w:val="left"/>
      <w:pPr>
        <w:tabs>
          <w:tab w:val="num" w:pos="3600"/>
        </w:tabs>
        <w:ind w:left="3600" w:hanging="360"/>
      </w:pPr>
      <w:rPr>
        <w:rFonts w:ascii="Arial" w:hAnsi="Arial" w:hint="default"/>
      </w:rPr>
    </w:lvl>
    <w:lvl w:ilvl="5" w:tplc="FA786486" w:tentative="1">
      <w:start w:val="1"/>
      <w:numFmt w:val="bullet"/>
      <w:lvlText w:val="•"/>
      <w:lvlJc w:val="left"/>
      <w:pPr>
        <w:tabs>
          <w:tab w:val="num" w:pos="4320"/>
        </w:tabs>
        <w:ind w:left="4320" w:hanging="360"/>
      </w:pPr>
      <w:rPr>
        <w:rFonts w:ascii="Arial" w:hAnsi="Arial" w:hint="default"/>
      </w:rPr>
    </w:lvl>
    <w:lvl w:ilvl="6" w:tplc="F4AADF76" w:tentative="1">
      <w:start w:val="1"/>
      <w:numFmt w:val="bullet"/>
      <w:lvlText w:val="•"/>
      <w:lvlJc w:val="left"/>
      <w:pPr>
        <w:tabs>
          <w:tab w:val="num" w:pos="5040"/>
        </w:tabs>
        <w:ind w:left="5040" w:hanging="360"/>
      </w:pPr>
      <w:rPr>
        <w:rFonts w:ascii="Arial" w:hAnsi="Arial" w:hint="default"/>
      </w:rPr>
    </w:lvl>
    <w:lvl w:ilvl="7" w:tplc="7658687C" w:tentative="1">
      <w:start w:val="1"/>
      <w:numFmt w:val="bullet"/>
      <w:lvlText w:val="•"/>
      <w:lvlJc w:val="left"/>
      <w:pPr>
        <w:tabs>
          <w:tab w:val="num" w:pos="5760"/>
        </w:tabs>
        <w:ind w:left="5760" w:hanging="360"/>
      </w:pPr>
      <w:rPr>
        <w:rFonts w:ascii="Arial" w:hAnsi="Arial" w:hint="default"/>
      </w:rPr>
    </w:lvl>
    <w:lvl w:ilvl="8" w:tplc="F372E58C" w:tentative="1">
      <w:start w:val="1"/>
      <w:numFmt w:val="bullet"/>
      <w:lvlText w:val="•"/>
      <w:lvlJc w:val="left"/>
      <w:pPr>
        <w:tabs>
          <w:tab w:val="num" w:pos="6480"/>
        </w:tabs>
        <w:ind w:left="6480" w:hanging="360"/>
      </w:pPr>
      <w:rPr>
        <w:rFonts w:ascii="Arial" w:hAnsi="Arial" w:hint="default"/>
      </w:rPr>
    </w:lvl>
  </w:abstractNum>
  <w:num w:numId="1" w16cid:durableId="1066340141">
    <w:abstractNumId w:val="24"/>
  </w:num>
  <w:num w:numId="2" w16cid:durableId="1706707639">
    <w:abstractNumId w:val="24"/>
  </w:num>
  <w:num w:numId="3" w16cid:durableId="893082489">
    <w:abstractNumId w:val="3"/>
  </w:num>
  <w:num w:numId="4" w16cid:durableId="363215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388443">
    <w:abstractNumId w:val="29"/>
  </w:num>
  <w:num w:numId="6" w16cid:durableId="1313560070">
    <w:abstractNumId w:val="20"/>
  </w:num>
  <w:num w:numId="7" w16cid:durableId="127013945">
    <w:abstractNumId w:val="17"/>
  </w:num>
  <w:num w:numId="8" w16cid:durableId="1753963560">
    <w:abstractNumId w:val="27"/>
  </w:num>
  <w:num w:numId="9" w16cid:durableId="152645504">
    <w:abstractNumId w:val="35"/>
  </w:num>
  <w:num w:numId="10" w16cid:durableId="320239935">
    <w:abstractNumId w:val="33"/>
  </w:num>
  <w:num w:numId="11" w16cid:durableId="927344477">
    <w:abstractNumId w:val="4"/>
  </w:num>
  <w:num w:numId="12" w16cid:durableId="1634947433">
    <w:abstractNumId w:val="14"/>
  </w:num>
  <w:num w:numId="13" w16cid:durableId="1966500623">
    <w:abstractNumId w:val="34"/>
  </w:num>
  <w:num w:numId="14" w16cid:durableId="2085028251">
    <w:abstractNumId w:val="0"/>
    <w:lvlOverride w:ilvl="0">
      <w:lvl w:ilvl="0">
        <w:start w:val="1"/>
        <w:numFmt w:val="bullet"/>
        <w:lvlText w:val=""/>
        <w:lvlJc w:val="left"/>
        <w:pPr>
          <w:ind w:left="360" w:hanging="360"/>
        </w:pPr>
        <w:rPr>
          <w:rFonts w:ascii="Symbol" w:hAnsi="Symbol" w:hint="default"/>
        </w:rPr>
      </w:lvl>
    </w:lvlOverride>
  </w:num>
  <w:num w:numId="15" w16cid:durableId="1617984725">
    <w:abstractNumId w:val="0"/>
    <w:lvlOverride w:ilvl="0">
      <w:lvl w:ilvl="0">
        <w:start w:val="1"/>
        <w:numFmt w:val="bullet"/>
        <w:lvlText w:val="-"/>
        <w:lvlJc w:val="left"/>
        <w:pPr>
          <w:ind w:left="720" w:hanging="360"/>
        </w:pPr>
      </w:lvl>
    </w:lvlOverride>
  </w:num>
  <w:num w:numId="16" w16cid:durableId="300693258">
    <w:abstractNumId w:val="18"/>
  </w:num>
  <w:num w:numId="17" w16cid:durableId="815294021">
    <w:abstractNumId w:val="1"/>
  </w:num>
  <w:num w:numId="18" w16cid:durableId="947617173">
    <w:abstractNumId w:val="2"/>
  </w:num>
  <w:num w:numId="19" w16cid:durableId="1706254932">
    <w:abstractNumId w:val="26"/>
  </w:num>
  <w:num w:numId="20" w16cid:durableId="775293255">
    <w:abstractNumId w:val="22"/>
  </w:num>
  <w:num w:numId="21" w16cid:durableId="1709718012">
    <w:abstractNumId w:val="6"/>
  </w:num>
  <w:num w:numId="22" w16cid:durableId="1411928076">
    <w:abstractNumId w:val="15"/>
  </w:num>
  <w:num w:numId="23" w16cid:durableId="1105887018">
    <w:abstractNumId w:val="30"/>
  </w:num>
  <w:num w:numId="24" w16cid:durableId="860322298">
    <w:abstractNumId w:val="31"/>
  </w:num>
  <w:num w:numId="25" w16cid:durableId="1454133179">
    <w:abstractNumId w:val="13"/>
  </w:num>
  <w:num w:numId="26" w16cid:durableId="37554534">
    <w:abstractNumId w:val="8"/>
  </w:num>
  <w:num w:numId="27" w16cid:durableId="522138278">
    <w:abstractNumId w:val="32"/>
  </w:num>
  <w:num w:numId="28" w16cid:durableId="552543619">
    <w:abstractNumId w:val="16"/>
  </w:num>
  <w:num w:numId="29" w16cid:durableId="1031806509">
    <w:abstractNumId w:val="11"/>
  </w:num>
  <w:num w:numId="30" w16cid:durableId="793523819">
    <w:abstractNumId w:val="12"/>
  </w:num>
  <w:num w:numId="31" w16cid:durableId="512033558">
    <w:abstractNumId w:val="5"/>
  </w:num>
  <w:num w:numId="32" w16cid:durableId="150291116">
    <w:abstractNumId w:val="19"/>
  </w:num>
  <w:num w:numId="33" w16cid:durableId="887228825">
    <w:abstractNumId w:val="23"/>
  </w:num>
  <w:num w:numId="34" w16cid:durableId="1873103336">
    <w:abstractNumId w:val="10"/>
  </w:num>
  <w:num w:numId="35" w16cid:durableId="1789930151">
    <w:abstractNumId w:val="7"/>
  </w:num>
  <w:num w:numId="36" w16cid:durableId="1500541171">
    <w:abstractNumId w:val="25"/>
  </w:num>
  <w:num w:numId="37" w16cid:durableId="381247350">
    <w:abstractNumId w:val="28"/>
  </w:num>
  <w:num w:numId="38" w16cid:durableId="687172927">
    <w:abstractNumId w:val="9"/>
  </w:num>
  <w:num w:numId="39" w16cid:durableId="6142945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NbAwtjAyNTU3NbdQ0lEKTi0uzszPAykwrAUAd2xgxCwAAAA="/>
  </w:docVars>
  <w:rsids>
    <w:rsidRoot w:val="00FD7C97"/>
    <w:rsid w:val="0000062C"/>
    <w:rsid w:val="00000B72"/>
    <w:rsid w:val="0000208B"/>
    <w:rsid w:val="00003E78"/>
    <w:rsid w:val="00014366"/>
    <w:rsid w:val="00014FC5"/>
    <w:rsid w:val="00024530"/>
    <w:rsid w:val="0002585C"/>
    <w:rsid w:val="000263DF"/>
    <w:rsid w:val="0003070F"/>
    <w:rsid w:val="000339FE"/>
    <w:rsid w:val="00040BEA"/>
    <w:rsid w:val="0004434D"/>
    <w:rsid w:val="000451A3"/>
    <w:rsid w:val="00046D01"/>
    <w:rsid w:val="0005287F"/>
    <w:rsid w:val="0005392F"/>
    <w:rsid w:val="00054B19"/>
    <w:rsid w:val="00057364"/>
    <w:rsid w:val="00057CBD"/>
    <w:rsid w:val="00057F5F"/>
    <w:rsid w:val="00070F19"/>
    <w:rsid w:val="00074792"/>
    <w:rsid w:val="00075D4A"/>
    <w:rsid w:val="00075FCD"/>
    <w:rsid w:val="000767E6"/>
    <w:rsid w:val="00082EC7"/>
    <w:rsid w:val="0008373B"/>
    <w:rsid w:val="00084133"/>
    <w:rsid w:val="00087BCA"/>
    <w:rsid w:val="00087F71"/>
    <w:rsid w:val="00091F91"/>
    <w:rsid w:val="00092889"/>
    <w:rsid w:val="00097045"/>
    <w:rsid w:val="000A0A9E"/>
    <w:rsid w:val="000B34F0"/>
    <w:rsid w:val="000B4213"/>
    <w:rsid w:val="000B5746"/>
    <w:rsid w:val="000B5B0E"/>
    <w:rsid w:val="000C1A8A"/>
    <w:rsid w:val="000C63A5"/>
    <w:rsid w:val="000D0EC7"/>
    <w:rsid w:val="000D1191"/>
    <w:rsid w:val="000D3ADC"/>
    <w:rsid w:val="000D595B"/>
    <w:rsid w:val="000E34B7"/>
    <w:rsid w:val="000E3B94"/>
    <w:rsid w:val="000E66D7"/>
    <w:rsid w:val="000F092F"/>
    <w:rsid w:val="000F0A25"/>
    <w:rsid w:val="000F0DC6"/>
    <w:rsid w:val="000F150C"/>
    <w:rsid w:val="000F2C9C"/>
    <w:rsid w:val="000F6F5C"/>
    <w:rsid w:val="00101198"/>
    <w:rsid w:val="0010769F"/>
    <w:rsid w:val="00110837"/>
    <w:rsid w:val="00117E00"/>
    <w:rsid w:val="00124466"/>
    <w:rsid w:val="001252C3"/>
    <w:rsid w:val="00125F85"/>
    <w:rsid w:val="00127115"/>
    <w:rsid w:val="001300B3"/>
    <w:rsid w:val="00134CDE"/>
    <w:rsid w:val="00141D6E"/>
    <w:rsid w:val="001446F8"/>
    <w:rsid w:val="00146783"/>
    <w:rsid w:val="00150B3F"/>
    <w:rsid w:val="0015126C"/>
    <w:rsid w:val="00151998"/>
    <w:rsid w:val="001605AE"/>
    <w:rsid w:val="00165ACD"/>
    <w:rsid w:val="001711AF"/>
    <w:rsid w:val="00176578"/>
    <w:rsid w:val="00183636"/>
    <w:rsid w:val="00183CA0"/>
    <w:rsid w:val="00184901"/>
    <w:rsid w:val="001878D9"/>
    <w:rsid w:val="00190017"/>
    <w:rsid w:val="00194E33"/>
    <w:rsid w:val="00195B3A"/>
    <w:rsid w:val="001A22DD"/>
    <w:rsid w:val="001A6F01"/>
    <w:rsid w:val="001B04A2"/>
    <w:rsid w:val="001B0C59"/>
    <w:rsid w:val="001B0D4C"/>
    <w:rsid w:val="001B2441"/>
    <w:rsid w:val="001B3743"/>
    <w:rsid w:val="001B4F2F"/>
    <w:rsid w:val="001B52CD"/>
    <w:rsid w:val="001C1811"/>
    <w:rsid w:val="001C4862"/>
    <w:rsid w:val="001F6145"/>
    <w:rsid w:val="0020029A"/>
    <w:rsid w:val="00201B6F"/>
    <w:rsid w:val="002029A3"/>
    <w:rsid w:val="00207D15"/>
    <w:rsid w:val="00210081"/>
    <w:rsid w:val="00211D03"/>
    <w:rsid w:val="00217774"/>
    <w:rsid w:val="0022284D"/>
    <w:rsid w:val="00222C43"/>
    <w:rsid w:val="002244F4"/>
    <w:rsid w:val="00227692"/>
    <w:rsid w:val="00233065"/>
    <w:rsid w:val="00233BC6"/>
    <w:rsid w:val="00235954"/>
    <w:rsid w:val="00236C01"/>
    <w:rsid w:val="00237823"/>
    <w:rsid w:val="00242227"/>
    <w:rsid w:val="00243174"/>
    <w:rsid w:val="0024703E"/>
    <w:rsid w:val="00250129"/>
    <w:rsid w:val="002510BB"/>
    <w:rsid w:val="0025444A"/>
    <w:rsid w:val="00254662"/>
    <w:rsid w:val="00254E0F"/>
    <w:rsid w:val="00254EA0"/>
    <w:rsid w:val="00260399"/>
    <w:rsid w:val="00265115"/>
    <w:rsid w:val="002722A4"/>
    <w:rsid w:val="00275D53"/>
    <w:rsid w:val="00275DF0"/>
    <w:rsid w:val="002767D4"/>
    <w:rsid w:val="00276C14"/>
    <w:rsid w:val="0028089F"/>
    <w:rsid w:val="0028173A"/>
    <w:rsid w:val="00281D23"/>
    <w:rsid w:val="0028209F"/>
    <w:rsid w:val="00282C92"/>
    <w:rsid w:val="00285388"/>
    <w:rsid w:val="0029752E"/>
    <w:rsid w:val="002A3B1B"/>
    <w:rsid w:val="002A7E8A"/>
    <w:rsid w:val="002B0177"/>
    <w:rsid w:val="002B1360"/>
    <w:rsid w:val="002B2AB9"/>
    <w:rsid w:val="002B5705"/>
    <w:rsid w:val="002B63BE"/>
    <w:rsid w:val="002C03DA"/>
    <w:rsid w:val="002C57D5"/>
    <w:rsid w:val="002C7F73"/>
    <w:rsid w:val="002D1CE4"/>
    <w:rsid w:val="002D6844"/>
    <w:rsid w:val="002E0A33"/>
    <w:rsid w:val="002E365B"/>
    <w:rsid w:val="002E5293"/>
    <w:rsid w:val="002E5F82"/>
    <w:rsid w:val="002F0A02"/>
    <w:rsid w:val="002F33AE"/>
    <w:rsid w:val="002F63CE"/>
    <w:rsid w:val="003005C4"/>
    <w:rsid w:val="00302214"/>
    <w:rsid w:val="003042D9"/>
    <w:rsid w:val="00304DFE"/>
    <w:rsid w:val="00305801"/>
    <w:rsid w:val="00313023"/>
    <w:rsid w:val="003169D1"/>
    <w:rsid w:val="00316E67"/>
    <w:rsid w:val="0032373E"/>
    <w:rsid w:val="003256C4"/>
    <w:rsid w:val="003308CB"/>
    <w:rsid w:val="00331F1F"/>
    <w:rsid w:val="00332979"/>
    <w:rsid w:val="003338C6"/>
    <w:rsid w:val="00340D71"/>
    <w:rsid w:val="003451F2"/>
    <w:rsid w:val="00346A80"/>
    <w:rsid w:val="00347112"/>
    <w:rsid w:val="00347362"/>
    <w:rsid w:val="00354D76"/>
    <w:rsid w:val="003552B0"/>
    <w:rsid w:val="003577A1"/>
    <w:rsid w:val="003625B0"/>
    <w:rsid w:val="00362904"/>
    <w:rsid w:val="003649CB"/>
    <w:rsid w:val="00367CB7"/>
    <w:rsid w:val="003701D7"/>
    <w:rsid w:val="003702D6"/>
    <w:rsid w:val="003764AA"/>
    <w:rsid w:val="00380868"/>
    <w:rsid w:val="003826B7"/>
    <w:rsid w:val="00382A39"/>
    <w:rsid w:val="0038444F"/>
    <w:rsid w:val="00384C56"/>
    <w:rsid w:val="00385AEE"/>
    <w:rsid w:val="00392067"/>
    <w:rsid w:val="0039346D"/>
    <w:rsid w:val="00393F8F"/>
    <w:rsid w:val="003948DE"/>
    <w:rsid w:val="0039545F"/>
    <w:rsid w:val="0039551D"/>
    <w:rsid w:val="00397E53"/>
    <w:rsid w:val="003A0D34"/>
    <w:rsid w:val="003A6365"/>
    <w:rsid w:val="003A73CF"/>
    <w:rsid w:val="003A7D71"/>
    <w:rsid w:val="003B5CDA"/>
    <w:rsid w:val="003C0BD6"/>
    <w:rsid w:val="003C6AAA"/>
    <w:rsid w:val="003C7545"/>
    <w:rsid w:val="003D23C9"/>
    <w:rsid w:val="003D305A"/>
    <w:rsid w:val="003D3B69"/>
    <w:rsid w:val="003D485C"/>
    <w:rsid w:val="003D66E0"/>
    <w:rsid w:val="003E516B"/>
    <w:rsid w:val="003E75D0"/>
    <w:rsid w:val="003E7920"/>
    <w:rsid w:val="003E7CF2"/>
    <w:rsid w:val="003F3D4C"/>
    <w:rsid w:val="003F65A6"/>
    <w:rsid w:val="0040212B"/>
    <w:rsid w:val="00412438"/>
    <w:rsid w:val="00413E7E"/>
    <w:rsid w:val="004157F8"/>
    <w:rsid w:val="00415B10"/>
    <w:rsid w:val="004201EB"/>
    <w:rsid w:val="00422315"/>
    <w:rsid w:val="00426E2E"/>
    <w:rsid w:val="00427956"/>
    <w:rsid w:val="0043224F"/>
    <w:rsid w:val="00434094"/>
    <w:rsid w:val="00436FA0"/>
    <w:rsid w:val="00437F05"/>
    <w:rsid w:val="004424B3"/>
    <w:rsid w:val="004447AF"/>
    <w:rsid w:val="004478F4"/>
    <w:rsid w:val="00451251"/>
    <w:rsid w:val="00451F4B"/>
    <w:rsid w:val="0045372C"/>
    <w:rsid w:val="00453CB6"/>
    <w:rsid w:val="00456F34"/>
    <w:rsid w:val="004607E3"/>
    <w:rsid w:val="004607E5"/>
    <w:rsid w:val="00460DE2"/>
    <w:rsid w:val="004675E9"/>
    <w:rsid w:val="00471709"/>
    <w:rsid w:val="00471A60"/>
    <w:rsid w:val="00476FE7"/>
    <w:rsid w:val="004772B1"/>
    <w:rsid w:val="004852DE"/>
    <w:rsid w:val="00487457"/>
    <w:rsid w:val="00491FCB"/>
    <w:rsid w:val="004A101A"/>
    <w:rsid w:val="004A383C"/>
    <w:rsid w:val="004A3B48"/>
    <w:rsid w:val="004A3F84"/>
    <w:rsid w:val="004A41CA"/>
    <w:rsid w:val="004A56BD"/>
    <w:rsid w:val="004A5C0B"/>
    <w:rsid w:val="004B17DB"/>
    <w:rsid w:val="004B422D"/>
    <w:rsid w:val="004B477C"/>
    <w:rsid w:val="004B679B"/>
    <w:rsid w:val="004C15E6"/>
    <w:rsid w:val="004C213F"/>
    <w:rsid w:val="004C2963"/>
    <w:rsid w:val="004D1A7E"/>
    <w:rsid w:val="004D68E0"/>
    <w:rsid w:val="004D6F65"/>
    <w:rsid w:val="004E0028"/>
    <w:rsid w:val="004E2F38"/>
    <w:rsid w:val="004E3417"/>
    <w:rsid w:val="004E3D91"/>
    <w:rsid w:val="004E63F9"/>
    <w:rsid w:val="004E721E"/>
    <w:rsid w:val="00500560"/>
    <w:rsid w:val="00501ACA"/>
    <w:rsid w:val="005065A9"/>
    <w:rsid w:val="0051125E"/>
    <w:rsid w:val="00514E81"/>
    <w:rsid w:val="00521A35"/>
    <w:rsid w:val="005238DF"/>
    <w:rsid w:val="005308BA"/>
    <w:rsid w:val="00532B14"/>
    <w:rsid w:val="00534140"/>
    <w:rsid w:val="0053450E"/>
    <w:rsid w:val="00540233"/>
    <w:rsid w:val="005411F5"/>
    <w:rsid w:val="00541E05"/>
    <w:rsid w:val="005431F6"/>
    <w:rsid w:val="00547434"/>
    <w:rsid w:val="00554070"/>
    <w:rsid w:val="00554C43"/>
    <w:rsid w:val="00560AB5"/>
    <w:rsid w:val="00561969"/>
    <w:rsid w:val="00561C25"/>
    <w:rsid w:val="0056543F"/>
    <w:rsid w:val="00565C58"/>
    <w:rsid w:val="00570783"/>
    <w:rsid w:val="00570F61"/>
    <w:rsid w:val="0057480F"/>
    <w:rsid w:val="00574DA9"/>
    <w:rsid w:val="00580B7B"/>
    <w:rsid w:val="00587566"/>
    <w:rsid w:val="00597EAE"/>
    <w:rsid w:val="005A2D83"/>
    <w:rsid w:val="005A3437"/>
    <w:rsid w:val="005A7389"/>
    <w:rsid w:val="005B0D71"/>
    <w:rsid w:val="005B1689"/>
    <w:rsid w:val="005B3F01"/>
    <w:rsid w:val="005B79D7"/>
    <w:rsid w:val="005C2A16"/>
    <w:rsid w:val="005C66B6"/>
    <w:rsid w:val="005C7EFB"/>
    <w:rsid w:val="005D150D"/>
    <w:rsid w:val="005D6EC7"/>
    <w:rsid w:val="005D7284"/>
    <w:rsid w:val="005D7A3F"/>
    <w:rsid w:val="005E1C0D"/>
    <w:rsid w:val="005E2EEB"/>
    <w:rsid w:val="005E3732"/>
    <w:rsid w:val="005F37A4"/>
    <w:rsid w:val="00600EC1"/>
    <w:rsid w:val="006017A7"/>
    <w:rsid w:val="0060270C"/>
    <w:rsid w:val="00603F6A"/>
    <w:rsid w:val="006057A8"/>
    <w:rsid w:val="00605822"/>
    <w:rsid w:val="00606EBF"/>
    <w:rsid w:val="006107D8"/>
    <w:rsid w:val="00622B45"/>
    <w:rsid w:val="00630DD1"/>
    <w:rsid w:val="00632B9E"/>
    <w:rsid w:val="00637600"/>
    <w:rsid w:val="00637BA6"/>
    <w:rsid w:val="00641673"/>
    <w:rsid w:val="00642204"/>
    <w:rsid w:val="006507DA"/>
    <w:rsid w:val="00650B19"/>
    <w:rsid w:val="006543CF"/>
    <w:rsid w:val="0065506C"/>
    <w:rsid w:val="00655498"/>
    <w:rsid w:val="0066708E"/>
    <w:rsid w:val="00667351"/>
    <w:rsid w:val="00673BD6"/>
    <w:rsid w:val="006804C3"/>
    <w:rsid w:val="00680C84"/>
    <w:rsid w:val="006848F1"/>
    <w:rsid w:val="00684F40"/>
    <w:rsid w:val="00692E4A"/>
    <w:rsid w:val="00692E5A"/>
    <w:rsid w:val="00694FD5"/>
    <w:rsid w:val="0069577D"/>
    <w:rsid w:val="006A0A06"/>
    <w:rsid w:val="006A1939"/>
    <w:rsid w:val="006A79BC"/>
    <w:rsid w:val="006B0523"/>
    <w:rsid w:val="006B1CCA"/>
    <w:rsid w:val="006B268E"/>
    <w:rsid w:val="006B3DF9"/>
    <w:rsid w:val="006C6504"/>
    <w:rsid w:val="006D1A02"/>
    <w:rsid w:val="006D316C"/>
    <w:rsid w:val="006D35AF"/>
    <w:rsid w:val="006D4E77"/>
    <w:rsid w:val="006E1795"/>
    <w:rsid w:val="006E28A1"/>
    <w:rsid w:val="006E3AD9"/>
    <w:rsid w:val="006E5EAA"/>
    <w:rsid w:val="006F1842"/>
    <w:rsid w:val="006F55F8"/>
    <w:rsid w:val="00705478"/>
    <w:rsid w:val="007063C7"/>
    <w:rsid w:val="00706C34"/>
    <w:rsid w:val="00706D2A"/>
    <w:rsid w:val="007079DA"/>
    <w:rsid w:val="00711912"/>
    <w:rsid w:val="00716157"/>
    <w:rsid w:val="00723CE8"/>
    <w:rsid w:val="00723E6B"/>
    <w:rsid w:val="00725D1C"/>
    <w:rsid w:val="00733209"/>
    <w:rsid w:val="00734163"/>
    <w:rsid w:val="007345A2"/>
    <w:rsid w:val="007360F5"/>
    <w:rsid w:val="00755B8E"/>
    <w:rsid w:val="007573CF"/>
    <w:rsid w:val="00761314"/>
    <w:rsid w:val="00764B55"/>
    <w:rsid w:val="00765A44"/>
    <w:rsid w:val="00771535"/>
    <w:rsid w:val="00771FAD"/>
    <w:rsid w:val="00772741"/>
    <w:rsid w:val="00773153"/>
    <w:rsid w:val="00773BA8"/>
    <w:rsid w:val="0077477E"/>
    <w:rsid w:val="007814C1"/>
    <w:rsid w:val="00784461"/>
    <w:rsid w:val="00790087"/>
    <w:rsid w:val="007937CB"/>
    <w:rsid w:val="00793FEF"/>
    <w:rsid w:val="007A1CC0"/>
    <w:rsid w:val="007A2B38"/>
    <w:rsid w:val="007A3C3D"/>
    <w:rsid w:val="007B403D"/>
    <w:rsid w:val="007B4C15"/>
    <w:rsid w:val="007B675E"/>
    <w:rsid w:val="007B79CE"/>
    <w:rsid w:val="007C33DE"/>
    <w:rsid w:val="007C640B"/>
    <w:rsid w:val="007D0231"/>
    <w:rsid w:val="007D025F"/>
    <w:rsid w:val="007D0FB0"/>
    <w:rsid w:val="007D6377"/>
    <w:rsid w:val="007E0688"/>
    <w:rsid w:val="007E354A"/>
    <w:rsid w:val="007F12C3"/>
    <w:rsid w:val="0080145A"/>
    <w:rsid w:val="0080527F"/>
    <w:rsid w:val="00812A1E"/>
    <w:rsid w:val="008139BE"/>
    <w:rsid w:val="00814851"/>
    <w:rsid w:val="008153E9"/>
    <w:rsid w:val="00816F9C"/>
    <w:rsid w:val="008200A1"/>
    <w:rsid w:val="00826C00"/>
    <w:rsid w:val="00833F59"/>
    <w:rsid w:val="00836AE3"/>
    <w:rsid w:val="008370AA"/>
    <w:rsid w:val="00840885"/>
    <w:rsid w:val="0084630C"/>
    <w:rsid w:val="00847665"/>
    <w:rsid w:val="00847777"/>
    <w:rsid w:val="0085419E"/>
    <w:rsid w:val="008654A9"/>
    <w:rsid w:val="00870CF9"/>
    <w:rsid w:val="00872D09"/>
    <w:rsid w:val="00872E67"/>
    <w:rsid w:val="00873C26"/>
    <w:rsid w:val="00875404"/>
    <w:rsid w:val="00876455"/>
    <w:rsid w:val="008878D3"/>
    <w:rsid w:val="00887F6E"/>
    <w:rsid w:val="008A26B8"/>
    <w:rsid w:val="008A2BEE"/>
    <w:rsid w:val="008A3BE1"/>
    <w:rsid w:val="008A5515"/>
    <w:rsid w:val="008A6016"/>
    <w:rsid w:val="008B2B63"/>
    <w:rsid w:val="008B43C5"/>
    <w:rsid w:val="008B5B55"/>
    <w:rsid w:val="008B60AD"/>
    <w:rsid w:val="008C1BAE"/>
    <w:rsid w:val="008C52C6"/>
    <w:rsid w:val="008C55F3"/>
    <w:rsid w:val="008D48B5"/>
    <w:rsid w:val="008D5548"/>
    <w:rsid w:val="008E28E5"/>
    <w:rsid w:val="008F0AAA"/>
    <w:rsid w:val="008F5312"/>
    <w:rsid w:val="008F62B4"/>
    <w:rsid w:val="00900D94"/>
    <w:rsid w:val="00901C9E"/>
    <w:rsid w:val="009116CC"/>
    <w:rsid w:val="0091300C"/>
    <w:rsid w:val="00921353"/>
    <w:rsid w:val="00923AD6"/>
    <w:rsid w:val="009305C9"/>
    <w:rsid w:val="00931026"/>
    <w:rsid w:val="0093348D"/>
    <w:rsid w:val="009342ED"/>
    <w:rsid w:val="00936601"/>
    <w:rsid w:val="00936F17"/>
    <w:rsid w:val="009372FE"/>
    <w:rsid w:val="0094072F"/>
    <w:rsid w:val="00942394"/>
    <w:rsid w:val="009457ED"/>
    <w:rsid w:val="009463F6"/>
    <w:rsid w:val="009508FB"/>
    <w:rsid w:val="009524DE"/>
    <w:rsid w:val="00952D9C"/>
    <w:rsid w:val="00956BDD"/>
    <w:rsid w:val="00960BBD"/>
    <w:rsid w:val="00961AEA"/>
    <w:rsid w:val="00964A98"/>
    <w:rsid w:val="00965CA5"/>
    <w:rsid w:val="00970DCF"/>
    <w:rsid w:val="00974DB3"/>
    <w:rsid w:val="0097612D"/>
    <w:rsid w:val="00984AD0"/>
    <w:rsid w:val="00984B4D"/>
    <w:rsid w:val="009857C6"/>
    <w:rsid w:val="0098659F"/>
    <w:rsid w:val="00990010"/>
    <w:rsid w:val="00991125"/>
    <w:rsid w:val="00994AAB"/>
    <w:rsid w:val="00997595"/>
    <w:rsid w:val="009A0D63"/>
    <w:rsid w:val="009A492E"/>
    <w:rsid w:val="009B10F3"/>
    <w:rsid w:val="009C028E"/>
    <w:rsid w:val="009C3277"/>
    <w:rsid w:val="009C50A7"/>
    <w:rsid w:val="009C51EF"/>
    <w:rsid w:val="009D19E3"/>
    <w:rsid w:val="009D4DEF"/>
    <w:rsid w:val="009D569D"/>
    <w:rsid w:val="009D5EAC"/>
    <w:rsid w:val="009D603D"/>
    <w:rsid w:val="009D671A"/>
    <w:rsid w:val="009E3135"/>
    <w:rsid w:val="009F1369"/>
    <w:rsid w:val="009F1977"/>
    <w:rsid w:val="009F46BE"/>
    <w:rsid w:val="009F5023"/>
    <w:rsid w:val="009F6A6F"/>
    <w:rsid w:val="00A05251"/>
    <w:rsid w:val="00A10B0A"/>
    <w:rsid w:val="00A1240C"/>
    <w:rsid w:val="00A136CC"/>
    <w:rsid w:val="00A146A4"/>
    <w:rsid w:val="00A14F0D"/>
    <w:rsid w:val="00A20A3A"/>
    <w:rsid w:val="00A24D1A"/>
    <w:rsid w:val="00A26F6E"/>
    <w:rsid w:val="00A34F33"/>
    <w:rsid w:val="00A35A9F"/>
    <w:rsid w:val="00A44733"/>
    <w:rsid w:val="00A56652"/>
    <w:rsid w:val="00A6239B"/>
    <w:rsid w:val="00A650CB"/>
    <w:rsid w:val="00A652F2"/>
    <w:rsid w:val="00A6547D"/>
    <w:rsid w:val="00A66EC3"/>
    <w:rsid w:val="00A67F78"/>
    <w:rsid w:val="00A76070"/>
    <w:rsid w:val="00A840BC"/>
    <w:rsid w:val="00AA0DF0"/>
    <w:rsid w:val="00AA3840"/>
    <w:rsid w:val="00AA3CCD"/>
    <w:rsid w:val="00AB1D1D"/>
    <w:rsid w:val="00AB21CB"/>
    <w:rsid w:val="00AC2AF5"/>
    <w:rsid w:val="00AC392D"/>
    <w:rsid w:val="00AC5610"/>
    <w:rsid w:val="00AD0A38"/>
    <w:rsid w:val="00AD2F76"/>
    <w:rsid w:val="00AD4D13"/>
    <w:rsid w:val="00AD6413"/>
    <w:rsid w:val="00AD6D0F"/>
    <w:rsid w:val="00AE2D09"/>
    <w:rsid w:val="00AE3A57"/>
    <w:rsid w:val="00AE5706"/>
    <w:rsid w:val="00AF168F"/>
    <w:rsid w:val="00AF1D42"/>
    <w:rsid w:val="00AF2A8B"/>
    <w:rsid w:val="00AF2E4A"/>
    <w:rsid w:val="00AF4E3A"/>
    <w:rsid w:val="00AF5724"/>
    <w:rsid w:val="00AF7F4E"/>
    <w:rsid w:val="00B00512"/>
    <w:rsid w:val="00B02C8C"/>
    <w:rsid w:val="00B12F46"/>
    <w:rsid w:val="00B175E1"/>
    <w:rsid w:val="00B17809"/>
    <w:rsid w:val="00B2050A"/>
    <w:rsid w:val="00B219F6"/>
    <w:rsid w:val="00B227CF"/>
    <w:rsid w:val="00B279B2"/>
    <w:rsid w:val="00B31DED"/>
    <w:rsid w:val="00B32AE3"/>
    <w:rsid w:val="00B36952"/>
    <w:rsid w:val="00B369B7"/>
    <w:rsid w:val="00B418F0"/>
    <w:rsid w:val="00B42370"/>
    <w:rsid w:val="00B52EAB"/>
    <w:rsid w:val="00B53195"/>
    <w:rsid w:val="00B545F8"/>
    <w:rsid w:val="00B551F6"/>
    <w:rsid w:val="00B576C4"/>
    <w:rsid w:val="00B579EE"/>
    <w:rsid w:val="00B6207D"/>
    <w:rsid w:val="00B6266D"/>
    <w:rsid w:val="00B632C8"/>
    <w:rsid w:val="00B639A2"/>
    <w:rsid w:val="00B703CE"/>
    <w:rsid w:val="00B76429"/>
    <w:rsid w:val="00B80AAE"/>
    <w:rsid w:val="00B8306E"/>
    <w:rsid w:val="00B83EE6"/>
    <w:rsid w:val="00B84948"/>
    <w:rsid w:val="00B85B46"/>
    <w:rsid w:val="00B87A27"/>
    <w:rsid w:val="00B903F2"/>
    <w:rsid w:val="00B90F32"/>
    <w:rsid w:val="00B95529"/>
    <w:rsid w:val="00B97D82"/>
    <w:rsid w:val="00BA0487"/>
    <w:rsid w:val="00BA4D57"/>
    <w:rsid w:val="00BA5D26"/>
    <w:rsid w:val="00BB3805"/>
    <w:rsid w:val="00BB467A"/>
    <w:rsid w:val="00BB5D32"/>
    <w:rsid w:val="00BB74B3"/>
    <w:rsid w:val="00BC10C8"/>
    <w:rsid w:val="00BC3EE9"/>
    <w:rsid w:val="00BC7914"/>
    <w:rsid w:val="00BD0FAA"/>
    <w:rsid w:val="00BD1FE9"/>
    <w:rsid w:val="00BD4074"/>
    <w:rsid w:val="00BE0027"/>
    <w:rsid w:val="00BE26AF"/>
    <w:rsid w:val="00BE28AE"/>
    <w:rsid w:val="00BE3B67"/>
    <w:rsid w:val="00BE3C5B"/>
    <w:rsid w:val="00BF1ED3"/>
    <w:rsid w:val="00BF4581"/>
    <w:rsid w:val="00BF53D8"/>
    <w:rsid w:val="00C00D96"/>
    <w:rsid w:val="00C020BF"/>
    <w:rsid w:val="00C041B8"/>
    <w:rsid w:val="00C04358"/>
    <w:rsid w:val="00C07655"/>
    <w:rsid w:val="00C10B6E"/>
    <w:rsid w:val="00C10D87"/>
    <w:rsid w:val="00C11186"/>
    <w:rsid w:val="00C15CD1"/>
    <w:rsid w:val="00C209A5"/>
    <w:rsid w:val="00C23D6F"/>
    <w:rsid w:val="00C271E1"/>
    <w:rsid w:val="00C31AEF"/>
    <w:rsid w:val="00C320EB"/>
    <w:rsid w:val="00C3468D"/>
    <w:rsid w:val="00C35BD2"/>
    <w:rsid w:val="00C433E3"/>
    <w:rsid w:val="00C4343C"/>
    <w:rsid w:val="00C43FBC"/>
    <w:rsid w:val="00C456E0"/>
    <w:rsid w:val="00C47EE4"/>
    <w:rsid w:val="00C50D24"/>
    <w:rsid w:val="00C51983"/>
    <w:rsid w:val="00C51A95"/>
    <w:rsid w:val="00C520C1"/>
    <w:rsid w:val="00C57229"/>
    <w:rsid w:val="00C67081"/>
    <w:rsid w:val="00C74161"/>
    <w:rsid w:val="00C749AA"/>
    <w:rsid w:val="00C753F0"/>
    <w:rsid w:val="00C77E6B"/>
    <w:rsid w:val="00C80E00"/>
    <w:rsid w:val="00C8263D"/>
    <w:rsid w:val="00C91CBE"/>
    <w:rsid w:val="00C94CD3"/>
    <w:rsid w:val="00CA00D3"/>
    <w:rsid w:val="00CA1165"/>
    <w:rsid w:val="00CA153B"/>
    <w:rsid w:val="00CA58E4"/>
    <w:rsid w:val="00CB15CD"/>
    <w:rsid w:val="00CC3E24"/>
    <w:rsid w:val="00CD011C"/>
    <w:rsid w:val="00CD2B28"/>
    <w:rsid w:val="00CD4499"/>
    <w:rsid w:val="00CD6C26"/>
    <w:rsid w:val="00CE201A"/>
    <w:rsid w:val="00CE6E5F"/>
    <w:rsid w:val="00D01106"/>
    <w:rsid w:val="00D01B89"/>
    <w:rsid w:val="00D03286"/>
    <w:rsid w:val="00D05AB9"/>
    <w:rsid w:val="00D13D85"/>
    <w:rsid w:val="00D14ED0"/>
    <w:rsid w:val="00D1635F"/>
    <w:rsid w:val="00D17FC2"/>
    <w:rsid w:val="00D21AA1"/>
    <w:rsid w:val="00D21D5D"/>
    <w:rsid w:val="00D315A9"/>
    <w:rsid w:val="00D33F07"/>
    <w:rsid w:val="00D342F6"/>
    <w:rsid w:val="00D35A5C"/>
    <w:rsid w:val="00D36987"/>
    <w:rsid w:val="00D40A4F"/>
    <w:rsid w:val="00D45C9E"/>
    <w:rsid w:val="00D51D41"/>
    <w:rsid w:val="00D56F9D"/>
    <w:rsid w:val="00D572C3"/>
    <w:rsid w:val="00D61317"/>
    <w:rsid w:val="00D63E81"/>
    <w:rsid w:val="00D63F65"/>
    <w:rsid w:val="00D63F96"/>
    <w:rsid w:val="00D640EE"/>
    <w:rsid w:val="00D66922"/>
    <w:rsid w:val="00D67B50"/>
    <w:rsid w:val="00D67BBC"/>
    <w:rsid w:val="00D71DF6"/>
    <w:rsid w:val="00D73256"/>
    <w:rsid w:val="00D737FF"/>
    <w:rsid w:val="00D73F75"/>
    <w:rsid w:val="00D73FFD"/>
    <w:rsid w:val="00D740C9"/>
    <w:rsid w:val="00D74C57"/>
    <w:rsid w:val="00D8151D"/>
    <w:rsid w:val="00D8194E"/>
    <w:rsid w:val="00D82482"/>
    <w:rsid w:val="00D82B79"/>
    <w:rsid w:val="00D8369C"/>
    <w:rsid w:val="00DA0759"/>
    <w:rsid w:val="00DA1C85"/>
    <w:rsid w:val="00DA4C86"/>
    <w:rsid w:val="00DA7B9A"/>
    <w:rsid w:val="00DB0F04"/>
    <w:rsid w:val="00DB21D6"/>
    <w:rsid w:val="00DB47FF"/>
    <w:rsid w:val="00DB4CA7"/>
    <w:rsid w:val="00DB4F37"/>
    <w:rsid w:val="00DB6AA1"/>
    <w:rsid w:val="00DB76AF"/>
    <w:rsid w:val="00DC238D"/>
    <w:rsid w:val="00DC3B0E"/>
    <w:rsid w:val="00DC411B"/>
    <w:rsid w:val="00DC797F"/>
    <w:rsid w:val="00DC7B0A"/>
    <w:rsid w:val="00DD04E2"/>
    <w:rsid w:val="00DD23AE"/>
    <w:rsid w:val="00DD515A"/>
    <w:rsid w:val="00DE0442"/>
    <w:rsid w:val="00DE056D"/>
    <w:rsid w:val="00DE3F77"/>
    <w:rsid w:val="00DE547B"/>
    <w:rsid w:val="00DE7D6A"/>
    <w:rsid w:val="00DF39A8"/>
    <w:rsid w:val="00DF5700"/>
    <w:rsid w:val="00E00EB8"/>
    <w:rsid w:val="00E02AFD"/>
    <w:rsid w:val="00E0728C"/>
    <w:rsid w:val="00E07369"/>
    <w:rsid w:val="00E117B1"/>
    <w:rsid w:val="00E20160"/>
    <w:rsid w:val="00E24E49"/>
    <w:rsid w:val="00E260B5"/>
    <w:rsid w:val="00E27FC6"/>
    <w:rsid w:val="00E32250"/>
    <w:rsid w:val="00E33C55"/>
    <w:rsid w:val="00E3448E"/>
    <w:rsid w:val="00E35137"/>
    <w:rsid w:val="00E364A9"/>
    <w:rsid w:val="00E4396C"/>
    <w:rsid w:val="00E457A0"/>
    <w:rsid w:val="00E45F81"/>
    <w:rsid w:val="00E515BF"/>
    <w:rsid w:val="00E51A74"/>
    <w:rsid w:val="00E57C24"/>
    <w:rsid w:val="00E62728"/>
    <w:rsid w:val="00E63F2F"/>
    <w:rsid w:val="00E65FB6"/>
    <w:rsid w:val="00E66519"/>
    <w:rsid w:val="00E679DD"/>
    <w:rsid w:val="00E705AB"/>
    <w:rsid w:val="00E7242F"/>
    <w:rsid w:val="00E74AE7"/>
    <w:rsid w:val="00E74BA5"/>
    <w:rsid w:val="00E75AF8"/>
    <w:rsid w:val="00E773DA"/>
    <w:rsid w:val="00E8081D"/>
    <w:rsid w:val="00E809BF"/>
    <w:rsid w:val="00E81F68"/>
    <w:rsid w:val="00E82403"/>
    <w:rsid w:val="00E93DDB"/>
    <w:rsid w:val="00E971AE"/>
    <w:rsid w:val="00EA08E5"/>
    <w:rsid w:val="00EA2079"/>
    <w:rsid w:val="00EA2930"/>
    <w:rsid w:val="00EA2FAA"/>
    <w:rsid w:val="00EA450B"/>
    <w:rsid w:val="00EA4C4E"/>
    <w:rsid w:val="00EB434B"/>
    <w:rsid w:val="00EB470F"/>
    <w:rsid w:val="00EB5901"/>
    <w:rsid w:val="00EB5C97"/>
    <w:rsid w:val="00EB66C3"/>
    <w:rsid w:val="00EB7F65"/>
    <w:rsid w:val="00EC0C42"/>
    <w:rsid w:val="00EC3AD6"/>
    <w:rsid w:val="00EC6479"/>
    <w:rsid w:val="00EE3FC9"/>
    <w:rsid w:val="00EE797D"/>
    <w:rsid w:val="00EF0C92"/>
    <w:rsid w:val="00EF2F87"/>
    <w:rsid w:val="00EF6993"/>
    <w:rsid w:val="00EF6AD2"/>
    <w:rsid w:val="00EF6C44"/>
    <w:rsid w:val="00EF7852"/>
    <w:rsid w:val="00F027D0"/>
    <w:rsid w:val="00F110B7"/>
    <w:rsid w:val="00F115CD"/>
    <w:rsid w:val="00F22C81"/>
    <w:rsid w:val="00F254F6"/>
    <w:rsid w:val="00F2553A"/>
    <w:rsid w:val="00F25590"/>
    <w:rsid w:val="00F32903"/>
    <w:rsid w:val="00F35EF9"/>
    <w:rsid w:val="00F372E3"/>
    <w:rsid w:val="00F40D70"/>
    <w:rsid w:val="00F42FDF"/>
    <w:rsid w:val="00F4763B"/>
    <w:rsid w:val="00F5368C"/>
    <w:rsid w:val="00F55DF9"/>
    <w:rsid w:val="00F56F01"/>
    <w:rsid w:val="00F60644"/>
    <w:rsid w:val="00F62804"/>
    <w:rsid w:val="00F676A8"/>
    <w:rsid w:val="00F70CD0"/>
    <w:rsid w:val="00F70D2D"/>
    <w:rsid w:val="00F73047"/>
    <w:rsid w:val="00F76AB8"/>
    <w:rsid w:val="00F76E2F"/>
    <w:rsid w:val="00F81480"/>
    <w:rsid w:val="00F8160B"/>
    <w:rsid w:val="00F82701"/>
    <w:rsid w:val="00F82FA0"/>
    <w:rsid w:val="00F84DD7"/>
    <w:rsid w:val="00F8710E"/>
    <w:rsid w:val="00F87706"/>
    <w:rsid w:val="00FA1892"/>
    <w:rsid w:val="00FA5BD1"/>
    <w:rsid w:val="00FA5EAC"/>
    <w:rsid w:val="00FA70EE"/>
    <w:rsid w:val="00FA74FD"/>
    <w:rsid w:val="00FB1A76"/>
    <w:rsid w:val="00FB20C4"/>
    <w:rsid w:val="00FB23C0"/>
    <w:rsid w:val="00FB3EBE"/>
    <w:rsid w:val="00FB4F03"/>
    <w:rsid w:val="00FB6BE9"/>
    <w:rsid w:val="00FC461F"/>
    <w:rsid w:val="00FC558C"/>
    <w:rsid w:val="00FD7C97"/>
    <w:rsid w:val="00FE17D9"/>
    <w:rsid w:val="00FE1831"/>
    <w:rsid w:val="00FE450E"/>
    <w:rsid w:val="00FF5EC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2C8A"/>
  <w15:docId w15:val="{DF5FF418-0352-44A0-A713-AB2E697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57A0"/>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qFormat/>
    <w:rsid w:val="00E457A0"/>
    <w:pPr>
      <w:keepNext/>
      <w:tabs>
        <w:tab w:val="left" w:pos="567"/>
      </w:tabs>
      <w:ind w:left="567" w:hanging="567"/>
      <w:outlineLvl w:val="0"/>
    </w:pPr>
    <w:rPr>
      <w:rFonts w:eastAsia="Times New Roman" w:cs="Times New Roman"/>
      <w:b/>
      <w:bCs/>
      <w:kern w:val="32"/>
    </w:rPr>
  </w:style>
  <w:style w:type="paragraph" w:styleId="Antrat2">
    <w:name w:val="heading 2"/>
    <w:basedOn w:val="Antrat1"/>
    <w:next w:val="prastasis"/>
    <w:link w:val="Antrat2Diagrama"/>
    <w:uiPriority w:val="9"/>
    <w:unhideWhenUsed/>
    <w:qFormat/>
    <w:rsid w:val="00E457A0"/>
    <w:pPr>
      <w:outlineLvl w:val="1"/>
    </w:pPr>
  </w:style>
  <w:style w:type="paragraph" w:styleId="Antrat3">
    <w:name w:val="heading 3"/>
    <w:basedOn w:val="Default"/>
    <w:next w:val="prastasis"/>
    <w:link w:val="Antrat3Diagrama"/>
    <w:uiPriority w:val="9"/>
    <w:unhideWhenUsed/>
    <w:qFormat/>
    <w:rsid w:val="00E457A0"/>
    <w:pPr>
      <w:keepNext/>
      <w:outlineLvl w:val="2"/>
    </w:pPr>
    <w:rPr>
      <w:sz w:val="22"/>
      <w:szCs w:val="22"/>
      <w:u w:val="single"/>
      <w:lang w:val="lt-LT"/>
    </w:rPr>
  </w:style>
  <w:style w:type="paragraph" w:styleId="Antrat4">
    <w:name w:val="heading 4"/>
    <w:basedOn w:val="Default"/>
    <w:next w:val="prastasis"/>
    <w:link w:val="Antrat4Diagrama"/>
    <w:uiPriority w:val="9"/>
    <w:unhideWhenUsed/>
    <w:qFormat/>
    <w:rsid w:val="00E457A0"/>
    <w:pPr>
      <w:keepNext/>
      <w:outlineLvl w:val="3"/>
    </w:pPr>
    <w:rPr>
      <w:i/>
      <w:i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D7C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vorlageberschrift1Automatisch">
    <w:name w:val="Formatvorlage Überschrift 1 + Automatisch"/>
    <w:basedOn w:val="Antrat1"/>
    <w:rsid w:val="004C15E6"/>
    <w:pPr>
      <w:tabs>
        <w:tab w:val="left" w:pos="1871"/>
      </w:tabs>
      <w:spacing w:before="240" w:after="120"/>
      <w:ind w:left="0" w:firstLine="0"/>
    </w:pPr>
    <w:rPr>
      <w:rFonts w:cs="Arial"/>
      <w:caps/>
      <w:sz w:val="24"/>
      <w:szCs w:val="32"/>
      <w:lang w:val="en-GB"/>
    </w:rPr>
  </w:style>
  <w:style w:type="character" w:customStyle="1" w:styleId="Antrat1Diagrama">
    <w:name w:val="Antraštė 1 Diagrama"/>
    <w:basedOn w:val="Numatytasispastraiposriftas"/>
    <w:link w:val="Antrat1"/>
    <w:uiPriority w:val="9"/>
    <w:rsid w:val="00E457A0"/>
    <w:rPr>
      <w:rFonts w:ascii="Times New Roman" w:eastAsia="Times New Roman" w:hAnsi="Times New Roman" w:cs="Times New Roman"/>
      <w:b/>
      <w:bCs/>
      <w:kern w:val="32"/>
      <w:lang w:val="lt-LT"/>
    </w:rPr>
  </w:style>
  <w:style w:type="paragraph" w:customStyle="1" w:styleId="Formatvorlageberschrift2AutomatischBlock">
    <w:name w:val="Formatvorlage Überschrift 2 + Automatisch Block"/>
    <w:basedOn w:val="Antrat2"/>
    <w:rsid w:val="004C15E6"/>
    <w:pPr>
      <w:tabs>
        <w:tab w:val="left" w:pos="720"/>
      </w:tabs>
      <w:spacing w:before="240" w:after="120"/>
      <w:jc w:val="both"/>
    </w:pPr>
    <w:rPr>
      <w:rFonts w:cs="Arial"/>
      <w:iCs/>
      <w:sz w:val="24"/>
      <w:lang w:val="fr-FR"/>
    </w:rPr>
  </w:style>
  <w:style w:type="character" w:customStyle="1" w:styleId="Antrat2Diagrama">
    <w:name w:val="Antraštė 2 Diagrama"/>
    <w:basedOn w:val="Numatytasispastraiposriftas"/>
    <w:link w:val="Antrat2"/>
    <w:uiPriority w:val="9"/>
    <w:rsid w:val="00E457A0"/>
    <w:rPr>
      <w:rFonts w:ascii="Times New Roman" w:eastAsia="Times New Roman" w:hAnsi="Times New Roman" w:cs="Times New Roman"/>
      <w:b/>
      <w:bCs/>
      <w:kern w:val="32"/>
      <w:lang w:val="lt-LT"/>
    </w:rPr>
  </w:style>
  <w:style w:type="paragraph" w:customStyle="1" w:styleId="Text">
    <w:name w:val="Text"/>
    <w:basedOn w:val="prastasis"/>
    <w:link w:val="TextZchn"/>
    <w:qFormat/>
    <w:rsid w:val="004C15E6"/>
    <w:pPr>
      <w:spacing w:before="120" w:after="60"/>
      <w:jc w:val="both"/>
    </w:pPr>
    <w:rPr>
      <w:rFonts w:eastAsia="Times New Roman" w:cs="Times New Roman"/>
      <w:color w:val="000000"/>
      <w:sz w:val="24"/>
      <w:szCs w:val="20"/>
      <w:lang w:val="en-GB"/>
    </w:rPr>
  </w:style>
  <w:style w:type="paragraph" w:styleId="Antrats">
    <w:name w:val="header"/>
    <w:basedOn w:val="prastasis"/>
    <w:link w:val="AntratsDiagrama"/>
    <w:unhideWhenUsed/>
    <w:rsid w:val="008C55F3"/>
    <w:pPr>
      <w:tabs>
        <w:tab w:val="center" w:pos="4536"/>
        <w:tab w:val="right" w:pos="9072"/>
      </w:tabs>
    </w:pPr>
  </w:style>
  <w:style w:type="character" w:customStyle="1" w:styleId="AntratsDiagrama">
    <w:name w:val="Antraštės Diagrama"/>
    <w:basedOn w:val="Numatytasispastraiposriftas"/>
    <w:link w:val="Antrats"/>
    <w:uiPriority w:val="99"/>
    <w:semiHidden/>
    <w:rsid w:val="008C55F3"/>
  </w:style>
  <w:style w:type="paragraph" w:styleId="Porat">
    <w:name w:val="footer"/>
    <w:basedOn w:val="prastasis"/>
    <w:link w:val="PoratDiagrama"/>
    <w:uiPriority w:val="99"/>
    <w:unhideWhenUsed/>
    <w:rsid w:val="008C55F3"/>
    <w:pPr>
      <w:tabs>
        <w:tab w:val="center" w:pos="4536"/>
        <w:tab w:val="right" w:pos="9072"/>
      </w:tabs>
    </w:pPr>
  </w:style>
  <w:style w:type="character" w:customStyle="1" w:styleId="PoratDiagrama">
    <w:name w:val="Poraštė Diagrama"/>
    <w:basedOn w:val="Numatytasispastraiposriftas"/>
    <w:link w:val="Porat"/>
    <w:uiPriority w:val="99"/>
    <w:rsid w:val="008C55F3"/>
  </w:style>
  <w:style w:type="character" w:styleId="Komentaronuoroda">
    <w:name w:val="annotation reference"/>
    <w:basedOn w:val="Numatytasispastraiposriftas"/>
    <w:uiPriority w:val="99"/>
    <w:semiHidden/>
    <w:unhideWhenUsed/>
    <w:rsid w:val="006507DA"/>
    <w:rPr>
      <w:sz w:val="16"/>
      <w:szCs w:val="16"/>
    </w:rPr>
  </w:style>
  <w:style w:type="paragraph" w:styleId="Komentarotekstas">
    <w:name w:val="annotation text"/>
    <w:basedOn w:val="prastasis"/>
    <w:link w:val="KomentarotekstasDiagrama"/>
    <w:uiPriority w:val="99"/>
    <w:unhideWhenUsed/>
    <w:rsid w:val="006507DA"/>
    <w:rPr>
      <w:sz w:val="20"/>
      <w:szCs w:val="20"/>
    </w:rPr>
  </w:style>
  <w:style w:type="character" w:customStyle="1" w:styleId="KomentarotekstasDiagrama">
    <w:name w:val="Komentaro tekstas Diagrama"/>
    <w:basedOn w:val="Numatytasispastraiposriftas"/>
    <w:link w:val="Komentarotekstas"/>
    <w:uiPriority w:val="99"/>
    <w:rsid w:val="006507DA"/>
    <w:rPr>
      <w:sz w:val="20"/>
      <w:szCs w:val="20"/>
    </w:rPr>
  </w:style>
  <w:style w:type="paragraph" w:styleId="Komentarotema">
    <w:name w:val="annotation subject"/>
    <w:basedOn w:val="Komentarotekstas"/>
    <w:next w:val="Komentarotekstas"/>
    <w:link w:val="KomentarotemaDiagrama"/>
    <w:uiPriority w:val="99"/>
    <w:semiHidden/>
    <w:unhideWhenUsed/>
    <w:rsid w:val="006507DA"/>
    <w:rPr>
      <w:b/>
      <w:bCs/>
    </w:rPr>
  </w:style>
  <w:style w:type="character" w:customStyle="1" w:styleId="KomentarotemaDiagrama">
    <w:name w:val="Komentaro tema Diagrama"/>
    <w:basedOn w:val="KomentarotekstasDiagrama"/>
    <w:link w:val="Komentarotema"/>
    <w:uiPriority w:val="99"/>
    <w:semiHidden/>
    <w:rsid w:val="006507DA"/>
    <w:rPr>
      <w:b/>
      <w:bCs/>
      <w:sz w:val="20"/>
      <w:szCs w:val="20"/>
    </w:rPr>
  </w:style>
  <w:style w:type="paragraph" w:styleId="Debesliotekstas">
    <w:name w:val="Balloon Text"/>
    <w:basedOn w:val="prastasis"/>
    <w:link w:val="DebesliotekstasDiagrama"/>
    <w:uiPriority w:val="99"/>
    <w:semiHidden/>
    <w:unhideWhenUsed/>
    <w:rsid w:val="006507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07DA"/>
    <w:rPr>
      <w:rFonts w:ascii="Tahoma" w:hAnsi="Tahoma" w:cs="Tahoma"/>
      <w:sz w:val="16"/>
      <w:szCs w:val="16"/>
    </w:rPr>
  </w:style>
  <w:style w:type="paragraph" w:styleId="Dokumentostruktra">
    <w:name w:val="Document Map"/>
    <w:basedOn w:val="prastasis"/>
    <w:link w:val="DokumentostruktraDiagrama"/>
    <w:uiPriority w:val="99"/>
    <w:semiHidden/>
    <w:unhideWhenUsed/>
    <w:rsid w:val="000767E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767E6"/>
    <w:rPr>
      <w:rFonts w:ascii="Tahoma" w:hAnsi="Tahoma" w:cs="Tahoma"/>
      <w:sz w:val="16"/>
      <w:szCs w:val="16"/>
    </w:rPr>
  </w:style>
  <w:style w:type="paragraph" w:styleId="Sraopastraipa">
    <w:name w:val="List Paragraph"/>
    <w:basedOn w:val="prastasis"/>
    <w:uiPriority w:val="34"/>
    <w:qFormat/>
    <w:rsid w:val="005A3437"/>
    <w:pPr>
      <w:ind w:left="720"/>
      <w:contextualSpacing/>
    </w:pPr>
  </w:style>
  <w:style w:type="character" w:styleId="Hipersaitas">
    <w:name w:val="Hyperlink"/>
    <w:basedOn w:val="Numatytasispastraiposriftas"/>
    <w:uiPriority w:val="99"/>
    <w:unhideWhenUsed/>
    <w:rsid w:val="005238DF"/>
    <w:rPr>
      <w:color w:val="0000FF" w:themeColor="hyperlink"/>
      <w:u w:val="single"/>
    </w:rPr>
  </w:style>
  <w:style w:type="character" w:customStyle="1" w:styleId="TextZchn">
    <w:name w:val="Text Zchn"/>
    <w:link w:val="Text"/>
    <w:rsid w:val="00AC392D"/>
    <w:rPr>
      <w:rFonts w:ascii="Times New Roman" w:eastAsia="Times New Roman" w:hAnsi="Times New Roman" w:cs="Times New Roman"/>
      <w:color w:val="000000"/>
      <w:sz w:val="24"/>
      <w:szCs w:val="20"/>
      <w:lang w:val="en-GB"/>
    </w:rPr>
  </w:style>
  <w:style w:type="paragraph" w:styleId="Pataisymai">
    <w:name w:val="Revision"/>
    <w:hidden/>
    <w:uiPriority w:val="99"/>
    <w:semiHidden/>
    <w:rsid w:val="00812A1E"/>
    <w:pPr>
      <w:spacing w:after="0" w:line="240" w:lineRule="auto"/>
    </w:pPr>
  </w:style>
  <w:style w:type="paragraph" w:styleId="Pagrindinistekstas">
    <w:name w:val="Body Text"/>
    <w:basedOn w:val="prastasis"/>
    <w:link w:val="PagrindinistekstasDiagrama"/>
    <w:semiHidden/>
    <w:rsid w:val="00A76070"/>
    <w:rPr>
      <w:rFonts w:eastAsia="Times New Roman" w:cs="Times New Roman"/>
      <w:b/>
      <w:sz w:val="20"/>
      <w:szCs w:val="20"/>
      <w:u w:val="single"/>
      <w:lang w:val="en-GB" w:eastAsia="fr-FR"/>
    </w:rPr>
  </w:style>
  <w:style w:type="character" w:customStyle="1" w:styleId="PagrindinistekstasDiagrama">
    <w:name w:val="Pagrindinis tekstas Diagrama"/>
    <w:basedOn w:val="Numatytasispastraiposriftas"/>
    <w:link w:val="Pagrindinistekstas"/>
    <w:semiHidden/>
    <w:rsid w:val="00A76070"/>
    <w:rPr>
      <w:rFonts w:ascii="Times New Roman" w:eastAsia="Times New Roman" w:hAnsi="Times New Roman" w:cs="Times New Roman"/>
      <w:b/>
      <w:sz w:val="20"/>
      <w:szCs w:val="20"/>
      <w:u w:val="single"/>
      <w:lang w:val="en-GB" w:eastAsia="fr-FR"/>
    </w:rPr>
  </w:style>
  <w:style w:type="paragraph" w:styleId="Antrat">
    <w:name w:val="caption"/>
    <w:basedOn w:val="prastasis"/>
    <w:next w:val="prastasis"/>
    <w:uiPriority w:val="35"/>
    <w:unhideWhenUsed/>
    <w:qFormat/>
    <w:rsid w:val="003451F2"/>
    <w:rPr>
      <w:i/>
      <w:iCs/>
      <w:color w:val="1F497D" w:themeColor="text2"/>
      <w:sz w:val="18"/>
      <w:szCs w:val="18"/>
    </w:rPr>
  </w:style>
  <w:style w:type="character" w:customStyle="1" w:styleId="Antrat3Diagrama">
    <w:name w:val="Antraštė 3 Diagrama"/>
    <w:basedOn w:val="Numatytasispastraiposriftas"/>
    <w:link w:val="Antrat3"/>
    <w:uiPriority w:val="9"/>
    <w:rsid w:val="00E457A0"/>
    <w:rPr>
      <w:rFonts w:ascii="Times New Roman" w:hAnsi="Times New Roman" w:cs="Times New Roman"/>
      <w:color w:val="000000"/>
      <w:u w:val="single"/>
      <w:lang w:val="lt-LT"/>
    </w:rPr>
  </w:style>
  <w:style w:type="character" w:customStyle="1" w:styleId="Antrat4Diagrama">
    <w:name w:val="Antraštė 4 Diagrama"/>
    <w:basedOn w:val="Numatytasispastraiposriftas"/>
    <w:link w:val="Antrat4"/>
    <w:uiPriority w:val="9"/>
    <w:rsid w:val="00E457A0"/>
    <w:rPr>
      <w:rFonts w:ascii="Times New Roman" w:hAnsi="Times New Roman" w:cs="Times New Roman"/>
      <w:i/>
      <w:iCs/>
      <w:color w:val="000000"/>
      <w:lang w:val="lt-LT"/>
    </w:rPr>
  </w:style>
  <w:style w:type="table" w:styleId="Lentelstinklelis">
    <w:name w:val="Table Grid"/>
    <w:basedOn w:val="prastojilentel"/>
    <w:uiPriority w:val="59"/>
    <w:unhideWhenUsed/>
    <w:rsid w:val="00DE5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rsid w:val="00FA5BD1"/>
    <w:pPr>
      <w:ind w:left="567"/>
    </w:pPr>
    <w:rPr>
      <w:rFonts w:eastAsia="Times New Roman" w:cs="Times New Roman"/>
      <w:sz w:val="20"/>
      <w:szCs w:val="20"/>
      <w:lang w:val="en-GB" w:eastAsia="de-DE"/>
    </w:rPr>
  </w:style>
  <w:style w:type="character" w:customStyle="1" w:styleId="DokumentoinaostekstasDiagrama">
    <w:name w:val="Dokumento išnašos tekstas Diagrama"/>
    <w:basedOn w:val="Numatytasispastraiposriftas"/>
    <w:link w:val="Dokumentoinaostekstas"/>
    <w:semiHidden/>
    <w:rsid w:val="00FA5BD1"/>
    <w:rPr>
      <w:rFonts w:ascii="Times New Roman" w:eastAsia="Times New Roman" w:hAnsi="Times New Roman" w:cs="Times New Roman"/>
      <w:sz w:val="20"/>
      <w:szCs w:val="20"/>
      <w:lang w:val="en-GB" w:eastAsia="de-DE"/>
    </w:rPr>
  </w:style>
  <w:style w:type="character" w:customStyle="1" w:styleId="jlqj4b">
    <w:name w:val="jlqj4b"/>
    <w:basedOn w:val="Numatytasispastraiposriftas"/>
    <w:rsid w:val="00B00512"/>
  </w:style>
  <w:style w:type="character" w:customStyle="1" w:styleId="word">
    <w:name w:val="word"/>
    <w:basedOn w:val="Numatytasispastraiposriftas"/>
    <w:rsid w:val="00C43FBC"/>
  </w:style>
  <w:style w:type="character" w:customStyle="1" w:styleId="UnresolvedMention1">
    <w:name w:val="Unresolved Mention1"/>
    <w:basedOn w:val="Numatytasispastraiposriftas"/>
    <w:uiPriority w:val="99"/>
    <w:semiHidden/>
    <w:unhideWhenUsed/>
    <w:rsid w:val="003A7D71"/>
    <w:rPr>
      <w:color w:val="605E5C"/>
      <w:shd w:val="clear" w:color="auto" w:fill="E1DFDD"/>
    </w:rPr>
  </w:style>
  <w:style w:type="character" w:customStyle="1" w:styleId="Neapdorotaspaminjimas1">
    <w:name w:val="Neapdorotas paminėjimas1"/>
    <w:basedOn w:val="Numatytasispastraiposriftas"/>
    <w:uiPriority w:val="99"/>
    <w:semiHidden/>
    <w:unhideWhenUsed/>
    <w:rsid w:val="00B32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7647">
      <w:bodyDiv w:val="1"/>
      <w:marLeft w:val="0"/>
      <w:marRight w:val="0"/>
      <w:marTop w:val="0"/>
      <w:marBottom w:val="0"/>
      <w:divBdr>
        <w:top w:val="none" w:sz="0" w:space="0" w:color="auto"/>
        <w:left w:val="none" w:sz="0" w:space="0" w:color="auto"/>
        <w:bottom w:val="none" w:sz="0" w:space="0" w:color="auto"/>
        <w:right w:val="none" w:sz="0" w:space="0" w:color="auto"/>
      </w:divBdr>
    </w:div>
    <w:div w:id="980695499">
      <w:bodyDiv w:val="1"/>
      <w:marLeft w:val="0"/>
      <w:marRight w:val="0"/>
      <w:marTop w:val="0"/>
      <w:marBottom w:val="0"/>
      <w:divBdr>
        <w:top w:val="none" w:sz="0" w:space="0" w:color="auto"/>
        <w:left w:val="none" w:sz="0" w:space="0" w:color="auto"/>
        <w:bottom w:val="none" w:sz="0" w:space="0" w:color="auto"/>
        <w:right w:val="none" w:sz="0" w:space="0" w:color="auto"/>
      </w:divBdr>
    </w:div>
    <w:div w:id="1242985691">
      <w:bodyDiv w:val="1"/>
      <w:marLeft w:val="0"/>
      <w:marRight w:val="0"/>
      <w:marTop w:val="0"/>
      <w:marBottom w:val="0"/>
      <w:divBdr>
        <w:top w:val="none" w:sz="0" w:space="0" w:color="auto"/>
        <w:left w:val="none" w:sz="0" w:space="0" w:color="auto"/>
        <w:bottom w:val="none" w:sz="0" w:space="0" w:color="auto"/>
        <w:right w:val="none" w:sz="0" w:space="0" w:color="auto"/>
      </w:divBdr>
      <w:divsChild>
        <w:div w:id="1080715845">
          <w:marLeft w:val="446"/>
          <w:marRight w:val="0"/>
          <w:marTop w:val="0"/>
          <w:marBottom w:val="0"/>
          <w:divBdr>
            <w:top w:val="none" w:sz="0" w:space="0" w:color="auto"/>
            <w:left w:val="none" w:sz="0" w:space="0" w:color="auto"/>
            <w:bottom w:val="none" w:sz="0" w:space="0" w:color="auto"/>
            <w:right w:val="none" w:sz="0" w:space="0" w:color="auto"/>
          </w:divBdr>
        </w:div>
        <w:div w:id="1912159590">
          <w:marLeft w:val="446"/>
          <w:marRight w:val="0"/>
          <w:marTop w:val="0"/>
          <w:marBottom w:val="0"/>
          <w:divBdr>
            <w:top w:val="none" w:sz="0" w:space="0" w:color="auto"/>
            <w:left w:val="none" w:sz="0" w:space="0" w:color="auto"/>
            <w:bottom w:val="none" w:sz="0" w:space="0" w:color="auto"/>
            <w:right w:val="none" w:sz="0" w:space="0" w:color="auto"/>
          </w:divBdr>
        </w:div>
        <w:div w:id="146632093">
          <w:marLeft w:val="446"/>
          <w:marRight w:val="0"/>
          <w:marTop w:val="0"/>
          <w:marBottom w:val="0"/>
          <w:divBdr>
            <w:top w:val="none" w:sz="0" w:space="0" w:color="auto"/>
            <w:left w:val="none" w:sz="0" w:space="0" w:color="auto"/>
            <w:bottom w:val="none" w:sz="0" w:space="0" w:color="auto"/>
            <w:right w:val="none" w:sz="0" w:space="0" w:color="auto"/>
          </w:divBdr>
        </w:div>
        <w:div w:id="1784298355">
          <w:marLeft w:val="446"/>
          <w:marRight w:val="0"/>
          <w:marTop w:val="0"/>
          <w:marBottom w:val="0"/>
          <w:divBdr>
            <w:top w:val="none" w:sz="0" w:space="0" w:color="auto"/>
            <w:left w:val="none" w:sz="0" w:space="0" w:color="auto"/>
            <w:bottom w:val="none" w:sz="0" w:space="0" w:color="auto"/>
            <w:right w:val="none" w:sz="0" w:space="0" w:color="auto"/>
          </w:divBdr>
        </w:div>
        <w:div w:id="1757045884">
          <w:marLeft w:val="446"/>
          <w:marRight w:val="0"/>
          <w:marTop w:val="0"/>
          <w:marBottom w:val="0"/>
          <w:divBdr>
            <w:top w:val="none" w:sz="0" w:space="0" w:color="auto"/>
            <w:left w:val="none" w:sz="0" w:space="0" w:color="auto"/>
            <w:bottom w:val="none" w:sz="0" w:space="0" w:color="auto"/>
            <w:right w:val="none" w:sz="0" w:space="0" w:color="auto"/>
          </w:divBdr>
        </w:div>
        <w:div w:id="1463771875">
          <w:marLeft w:val="446"/>
          <w:marRight w:val="0"/>
          <w:marTop w:val="0"/>
          <w:marBottom w:val="0"/>
          <w:divBdr>
            <w:top w:val="none" w:sz="0" w:space="0" w:color="auto"/>
            <w:left w:val="none" w:sz="0" w:space="0" w:color="auto"/>
            <w:bottom w:val="none" w:sz="0" w:space="0" w:color="auto"/>
            <w:right w:val="none" w:sz="0" w:space="0" w:color="auto"/>
          </w:divBdr>
        </w:div>
      </w:divsChild>
    </w:div>
    <w:div w:id="1673682232">
      <w:bodyDiv w:val="1"/>
      <w:marLeft w:val="0"/>
      <w:marRight w:val="0"/>
      <w:marTop w:val="0"/>
      <w:marBottom w:val="0"/>
      <w:divBdr>
        <w:top w:val="none" w:sz="0" w:space="0" w:color="auto"/>
        <w:left w:val="none" w:sz="0" w:space="0" w:color="auto"/>
        <w:bottom w:val="none" w:sz="0" w:space="0" w:color="auto"/>
        <w:right w:val="none" w:sz="0" w:space="0" w:color="auto"/>
      </w:divBdr>
    </w:div>
    <w:div w:id="199086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f:fields xmlns:f="http://schemas.fabasoft.com/folio/2007/fields">
  <f:record>
    <f:field ref="objname" par="" edit="true" text="Cutaquig_SPC_en_Corr"/>
    <f:field ref="objsubject" par="" edit="true" text=""/>
    <f:field ref="objcreatedby" par="" text="Kerr, Jacqueline, Dr."/>
    <f:field ref="objcreatedat" par="" text="26.10.2018 10:15:13"/>
    <f:field ref="objchangedby" par="" text="Groß, Nannette, Dr."/>
    <f:field ref="objmodifiedat" par="" text="05.11.2018 14:18:00"/>
    <f:field ref="doc_FSCFOLIO_1_1001_FieldDocumentNumber" par="" text=""/>
    <f:field ref="doc_FSCFOLIO_1_1001_FieldSubject" par="" edit="true" text=""/>
    <f:field ref="FSCFOLIO_1_1001_FieldCurrentUser" par="" text="Dr. Nannette Groß"/>
    <f:field ref="CCAPRECONFIG_15_1001_Objektname" par="" edit="true" text="Cutaquig_SPC_en_Corr"/>
    <f:field ref="DEPRECONFIG_15_1001_Objektname" par="" edit="true" text="Cutaquig_SPC_en_Cor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E531A47A-C66F-413C-B661-278C8DDE3BE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44081</Words>
  <Characters>25127</Characters>
  <Application>Microsoft Office Word</Application>
  <DocSecurity>0</DocSecurity>
  <Lines>209</Lines>
  <Paragraphs>138</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Albina Burkauskaitė</cp:lastModifiedBy>
  <cp:revision>4</cp:revision>
  <dcterms:created xsi:type="dcterms:W3CDTF">2026-03-05T09:02:00Z</dcterms:created>
  <dcterms:modified xsi:type="dcterms:W3CDTF">2026-03-05T09:06:00Z</dcterms:modified>
  <cp:contentStatus>ue</cp:contentStatus>
</cp:coreProperties>
</file>