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D1" w:rsidRDefault="001049D1" w:rsidP="001049D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:rsidR="001049D1" w:rsidRDefault="001049D1" w:rsidP="001049D1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1049D1" w:rsidRDefault="001049D1" w:rsidP="001049D1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i w:val="0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i w:val="0"/>
          <w:sz w:val="22"/>
          <w:szCs w:val="22"/>
          <w:lang w:val="lt-LT"/>
        </w:rPr>
        <w:t xml:space="preserve"> 120 mg plėvele dengtos tabletės</w:t>
      </w:r>
    </w:p>
    <w:p w:rsidR="001049D1" w:rsidRDefault="001049D1" w:rsidP="001049D1">
      <w:pPr>
        <w:widowControl w:val="0"/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bismuto oksidas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:rsidR="001049D1" w:rsidRDefault="001049D1" w:rsidP="001049D1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2"/>
          <w:lang w:val="lt-LT"/>
        </w:rPr>
        <w:t>Neišmeskite šio lapelio, nes vėl gali prireikti jį perskaityti.</w:t>
      </w:r>
    </w:p>
    <w:p w:rsidR="001049D1" w:rsidRDefault="001049D1" w:rsidP="001049D1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Jeigu kiltų daugiau klausimų, kreipkitės į gydytoją arba vaistininką.</w:t>
      </w:r>
    </w:p>
    <w:p w:rsidR="001049D1" w:rsidRDefault="001049D1" w:rsidP="001049D1">
      <w:pPr>
        <w:widowControl w:val="0"/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1049D1" w:rsidRDefault="001049D1" w:rsidP="001049D1">
      <w:pPr>
        <w:widowControl w:val="0"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 xml:space="preserve">Kas yra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ir kam jis vartojamas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 xml:space="preserve">Kas žinotina prieš vartojant </w:t>
      </w:r>
      <w:proofErr w:type="spellStart"/>
      <w:r>
        <w:rPr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  <w:t xml:space="preserve">Kaip vartoti </w:t>
      </w:r>
      <w:proofErr w:type="spellStart"/>
      <w:r>
        <w:rPr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>Galimas šalutinis poveikis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 xml:space="preserve">Kaip laikyti </w:t>
      </w:r>
      <w:proofErr w:type="spellStart"/>
      <w:r>
        <w:rPr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>Pakuotės turinys ir kita informacija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1.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Skrandžio ar dvylikapirštės žarnos (pirmosios plonosios žarnos dalies) uždegimas gali sukelti su viršutine pilvo dalimi susijusių simptomų.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gydo opas ir gleivinės uždegimą, nes sudaro apsauginį sluoksnį (tarsi pleistrą) ir apsaugo nuo tolesnio skrandžio rūgšties sukeliamo dirginimo. Be to, sukeliamas antibakterinis poveikis apsaugo nuo </w:t>
      </w:r>
      <w:proofErr w:type="spellStart"/>
      <w:r>
        <w:rPr>
          <w:i/>
          <w:szCs w:val="22"/>
          <w:lang w:val="lt-LT"/>
        </w:rPr>
        <w:t>Helicobacter</w:t>
      </w:r>
      <w:proofErr w:type="spellEnd"/>
      <w:r>
        <w:rPr>
          <w:i/>
          <w:szCs w:val="22"/>
          <w:lang w:val="lt-LT"/>
        </w:rPr>
        <w:t xml:space="preserve"> </w:t>
      </w:r>
      <w:proofErr w:type="spellStart"/>
      <w:r>
        <w:rPr>
          <w:i/>
          <w:szCs w:val="22"/>
          <w:lang w:val="lt-LT"/>
        </w:rPr>
        <w:t>pylori</w:t>
      </w:r>
      <w:proofErr w:type="spellEnd"/>
      <w:r>
        <w:rPr>
          <w:szCs w:val="22"/>
          <w:lang w:val="lt-LT"/>
        </w:rPr>
        <w:t xml:space="preserve">, t. y. bakterijų, kurios, tikėtina, sukelia gleivinės uždegimą ir </w:t>
      </w:r>
      <w:proofErr w:type="spellStart"/>
      <w:r>
        <w:rPr>
          <w:szCs w:val="22"/>
          <w:lang w:val="lt-LT"/>
        </w:rPr>
        <w:t>pepsines</w:t>
      </w:r>
      <w:proofErr w:type="spellEnd"/>
      <w:r>
        <w:rPr>
          <w:szCs w:val="22"/>
          <w:lang w:val="lt-LT"/>
        </w:rPr>
        <w:t xml:space="preserve"> opas.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Kad opa užgytų visam laikui, būtina sunaikinti bakterijas.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padeda pašalinti ar sumažinti šių baterijų sukeliamą infekciją. Jūsų gydytojas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gali skirti kartu su kitais vaistais, kad jis padėtų išnaikinti </w:t>
      </w:r>
      <w:proofErr w:type="spellStart"/>
      <w:r>
        <w:rPr>
          <w:i/>
          <w:szCs w:val="22"/>
          <w:lang w:val="lt-LT"/>
        </w:rPr>
        <w:t>Helicobacter</w:t>
      </w:r>
      <w:proofErr w:type="spellEnd"/>
      <w:r>
        <w:rPr>
          <w:i/>
          <w:szCs w:val="22"/>
          <w:lang w:val="lt-LT"/>
        </w:rPr>
        <w:t xml:space="preserve"> </w:t>
      </w:r>
      <w:proofErr w:type="spellStart"/>
      <w:r>
        <w:rPr>
          <w:i/>
          <w:szCs w:val="22"/>
          <w:lang w:val="lt-LT"/>
        </w:rPr>
        <w:t>pylori</w:t>
      </w:r>
      <w:proofErr w:type="spellEnd"/>
      <w:r>
        <w:rPr>
          <w:szCs w:val="22"/>
          <w:lang w:val="lt-LT"/>
        </w:rPr>
        <w:t>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2.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vartoti negalima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yra alergija bismuto oksidui arba bet kuriai pagalbinei šio vaisto medžiagai (jos išvardytos 6 skyriuje);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yra sunkių inkstų sutrikimų (inkstų nepakankamumas).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Pasitarkite su gydytoju arba vaistininku, prieš pradėdami vartoti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>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Kitų vaistų, kurių sudėtyje yra bismuto, kartu su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vartoti negalima.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Vaistų, kurių sudėtyje yra bismuto, nerekomenduojama vartoti ilgai. Gydytojas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paprastai neskiria ilgiau nei dviem mėnesiams.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Vaikams ir paaugliams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lastRenderedPageBreak/>
        <w:t>Ulcamed</w:t>
      </w:r>
      <w:proofErr w:type="spellEnd"/>
      <w:r>
        <w:rPr>
          <w:szCs w:val="22"/>
          <w:lang w:val="lt-LT"/>
        </w:rPr>
        <w:t xml:space="preserve"> nėra skirtas vartoti vaikams ir paaugliams.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Kitų vaistų (ypač mažinančių skrandžio rūgštingumą) negalima vartoti pusę valandos iki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vartojimo bei pusę valandos po jo, nes gali pakisti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poveikis.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gali silpninti kartu vartojamų antibiotikų, vadinamų </w:t>
      </w:r>
      <w:proofErr w:type="spellStart"/>
      <w:r>
        <w:rPr>
          <w:szCs w:val="22"/>
          <w:lang w:val="lt-LT"/>
        </w:rPr>
        <w:t>tetraciklinais</w:t>
      </w:r>
      <w:proofErr w:type="spellEnd"/>
      <w:r>
        <w:rPr>
          <w:szCs w:val="22"/>
          <w:lang w:val="lt-LT"/>
        </w:rPr>
        <w:t>, poveikį.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vartojimas su maistu ir gėrimais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Negalima nieko valgyti ir gerti pusę valandos iki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vartojimo bei pusę valandos po jo. Tinkamą vaisto poveikį ypač gali sutrikdyti pienas, vaisiai ar jų sultys.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Nėštumas, žindymo laikotarpis ir vaisingumas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nėštumo ir žindymo laikotarpiu galima vartoti tik jei neabejotinai būtina.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Nėra tikėtina, kad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paveiks Jūsų gebėjimą vairuoti ir vadyti mechanizmus.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Ulcamed</w:t>
      </w:r>
      <w:proofErr w:type="spellEnd"/>
      <w:r>
        <w:rPr>
          <w:b/>
          <w:szCs w:val="22"/>
          <w:lang w:val="lt-LT"/>
        </w:rPr>
        <w:t xml:space="preserve"> sudėtyje yra kalio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  <w:lang w:val="lt-LT"/>
        </w:rPr>
        <w:t xml:space="preserve">Šio vaisto tabletėje yra </w:t>
      </w:r>
      <w:r>
        <w:rPr>
          <w:szCs w:val="22"/>
        </w:rPr>
        <w:t>1,19 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46,58 mg) </w:t>
      </w:r>
      <w:proofErr w:type="spellStart"/>
      <w:r>
        <w:rPr>
          <w:szCs w:val="22"/>
        </w:rPr>
        <w:t>kalio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Būtina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atsižvelgti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jei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sutrikusi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inkstų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funkcija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kontroliuojamas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kiekis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maiste</w:t>
      </w:r>
      <w:proofErr w:type="spellEnd"/>
      <w:r>
        <w:rPr>
          <w:szCs w:val="22"/>
        </w:rPr>
        <w:t>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3.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nurodė gydytojas arba vaistininkas. Jeigu abejojate, kreipkitės į gydytoją arba vaistininką.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Rekomenduojama dozė suaugusiems ir senyviems žmonėms yra 4 tabletės. Jas galima išgerti taip:</w:t>
      </w:r>
    </w:p>
    <w:p w:rsidR="001049D1" w:rsidRDefault="001049D1" w:rsidP="001049D1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po 1 tabletę keturis kartus per parą nevalgius (likus pusvalandžiui iki pagrindinių trijų valgių ir prieš miegą),</w:t>
      </w:r>
    </w:p>
    <w:p w:rsidR="001049D1" w:rsidRDefault="001049D1" w:rsidP="001049D1">
      <w:pPr>
        <w:widowControl w:val="0"/>
        <w:spacing w:line="240" w:lineRule="auto"/>
        <w:rPr>
          <w:i/>
          <w:szCs w:val="22"/>
          <w:lang w:val="lt-LT"/>
        </w:rPr>
      </w:pPr>
      <w:r>
        <w:rPr>
          <w:i/>
          <w:szCs w:val="22"/>
          <w:lang w:val="lt-LT"/>
        </w:rPr>
        <w:t>arba</w:t>
      </w:r>
    </w:p>
    <w:p w:rsidR="001049D1" w:rsidRDefault="001049D1" w:rsidP="001049D1">
      <w:pPr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po 2 tabletes du kartus per parą (likus pusvalandžiui iki pusryčių ir pusvalandžiui iki vakarienės arba prieš miegą).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tabletes reikia nuryti sveikas, užgeriant pakankamu kiekiu vandens.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Negalima valgyti ar gerti pusę valandos prieš tablečių gėrimą ir pusę valandos po jo. Jei praleiskite valgį, vis tiek turite išgerti tabletę (-</w:t>
      </w:r>
      <w:proofErr w:type="spellStart"/>
      <w:r>
        <w:rPr>
          <w:snapToGrid/>
          <w:szCs w:val="22"/>
          <w:lang w:val="lt-LT"/>
        </w:rPr>
        <w:t>es</w:t>
      </w:r>
      <w:proofErr w:type="spellEnd"/>
      <w:r>
        <w:rPr>
          <w:snapToGrid/>
          <w:szCs w:val="22"/>
          <w:lang w:val="lt-LT"/>
        </w:rPr>
        <w:t>).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Gydymo trukmė</w:t>
      </w: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Gydant skandžio ar dvylikapirštės žarnos opą, vieno gydymo kurso trukmė yra 4</w:t>
      </w:r>
      <w:r>
        <w:rPr>
          <w:szCs w:val="22"/>
          <w:lang w:val="lt-LT"/>
        </w:rPr>
        <w:noBreakHyphen/>
        <w:t>8 savaitės.</w:t>
      </w: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Naikinant </w:t>
      </w:r>
      <w:r>
        <w:rPr>
          <w:i/>
          <w:szCs w:val="22"/>
          <w:lang w:val="lt-LT"/>
        </w:rPr>
        <w:t xml:space="preserve">H. </w:t>
      </w:r>
      <w:proofErr w:type="spellStart"/>
      <w:r>
        <w:rPr>
          <w:i/>
          <w:szCs w:val="22"/>
          <w:lang w:val="lt-LT"/>
        </w:rPr>
        <w:t>pylori</w:t>
      </w:r>
      <w:proofErr w:type="spellEnd"/>
      <w:r>
        <w:rPr>
          <w:szCs w:val="22"/>
          <w:lang w:val="lt-LT"/>
        </w:rPr>
        <w:t>, kombinuotasis gydymas bei gydymo trukmė (7</w:t>
      </w:r>
      <w:r>
        <w:rPr>
          <w:szCs w:val="22"/>
          <w:lang w:val="lt-LT"/>
        </w:rPr>
        <w:noBreakHyphen/>
        <w:t>14 dienų) turi būti parenkami įvertinant individualų vaisto toleravimą, be to, būtina atsižvelgti į regioninius atsparumo duomenis bei gydymo gaires.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 xml:space="preserve">Ilgiausia vieno gydymo kurso trukmė yra du mėnesiai; </w:t>
      </w:r>
      <w:proofErr w:type="spellStart"/>
      <w:r>
        <w:rPr>
          <w:snapToGrid/>
          <w:szCs w:val="22"/>
          <w:lang w:val="lt-LT"/>
        </w:rPr>
        <w:t>Ulcamed</w:t>
      </w:r>
      <w:proofErr w:type="spellEnd"/>
      <w:r>
        <w:rPr>
          <w:snapToGrid/>
          <w:szCs w:val="22"/>
          <w:lang w:val="lt-LT"/>
        </w:rPr>
        <w:t xml:space="preserve"> ar kitų vaistų, kurių sudėtyje yra bismuto, ilgiau vartoti negalima. </w:t>
      </w:r>
      <w:r>
        <w:rPr>
          <w:szCs w:val="22"/>
          <w:lang w:val="lt-LT"/>
        </w:rPr>
        <w:t xml:space="preserve">Po gydymo 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du mėnesius negalima vartoti jokio vaisto, kurio sudėtyje yra bismuto.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 išgersite vieną ar dvi papildomas tabletes, nesijaudinkite. Vos dėlto jei vienu metu ar per trumpą laikotarpį išgersite daug daugiau tablečių, nedelsdami kreipkitės į savo gydytoją. Jis/ji imsis reikiamų priemonių, kad užtikrintų, jog bismutas nebūtų pasisavintas. Be to, kelias savaites bus stebima Jūsų inkstų funkcija.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Negalima vartoti dvigubos dozės norint kompensuoti praleistą dozę.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 pamiršite pavartoti dozę, ją išgerkite, kai tik prisiminsite, nebent jau laikas gerti kitą dozę (tokiu atveju pamirštą dozę praleiskite).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4.</w:t>
      </w:r>
      <w:r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Šis vaistas, kaip ir visi kiti, gali sukelti šalutinį poveikį, nors jis pasireiškia ne visiems žmonėms.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Vartojant </w:t>
      </w:r>
      <w:proofErr w:type="spellStart"/>
      <w:r>
        <w:rPr>
          <w:snapToGrid/>
          <w:szCs w:val="22"/>
          <w:lang w:val="lt-LT"/>
        </w:rPr>
        <w:t>Ulcamed</w:t>
      </w:r>
      <w:proofErr w:type="spellEnd"/>
      <w:r>
        <w:rPr>
          <w:snapToGrid/>
          <w:szCs w:val="22"/>
          <w:lang w:val="lt-LT"/>
        </w:rPr>
        <w:t xml:space="preserve">, gali pasireikšti gyvybei pavojų sukelti galinti </w:t>
      </w:r>
      <w:r>
        <w:rPr>
          <w:b/>
          <w:snapToGrid/>
          <w:szCs w:val="22"/>
          <w:lang w:val="lt-LT"/>
        </w:rPr>
        <w:t>alerginė reakcija</w:t>
      </w:r>
      <w:r>
        <w:rPr>
          <w:snapToGrid/>
          <w:szCs w:val="22"/>
          <w:lang w:val="lt-LT"/>
        </w:rPr>
        <w:t>. Alergijos požymiai yra staiga pasireiškęs švokštimas, lūpų, liežuvio ir gerklės patinimas, rijimo pasunkėjimas, išbėrimas ar net apalpimas.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Jei pastebėsite bet kurį iš šių simptomų, nutraukite </w:t>
      </w:r>
      <w:proofErr w:type="spellStart"/>
      <w:r>
        <w:rPr>
          <w:snapToGrid/>
          <w:szCs w:val="22"/>
          <w:lang w:val="lt-LT"/>
        </w:rPr>
        <w:t>Ulcamed</w:t>
      </w:r>
      <w:proofErr w:type="spellEnd"/>
      <w:r>
        <w:rPr>
          <w:snapToGrid/>
          <w:szCs w:val="22"/>
          <w:lang w:val="lt-LT"/>
        </w:rPr>
        <w:t xml:space="preserve"> vartojimą ir </w:t>
      </w:r>
      <w:r>
        <w:rPr>
          <w:b/>
          <w:snapToGrid/>
          <w:szCs w:val="22"/>
          <w:lang w:val="lt-LT"/>
        </w:rPr>
        <w:t>nedelsdami kreipkitės į gydytoją</w:t>
      </w:r>
      <w:r>
        <w:rPr>
          <w:snapToGrid/>
          <w:szCs w:val="22"/>
          <w:lang w:val="lt-LT"/>
        </w:rPr>
        <w:t>. Toks poveikis yra sunkus, tačiau pasireiškia labai retai (</w:t>
      </w:r>
      <w:r>
        <w:rPr>
          <w:snapToGrid/>
          <w:szCs w:val="22"/>
          <w:lang w:val="lt-LT" w:eastAsia="sl-SI"/>
        </w:rPr>
        <w:t>gali pasireikšti ne daugiau kaip 1 iš 10000 žmonių</w:t>
      </w:r>
      <w:r>
        <w:rPr>
          <w:snapToGrid/>
          <w:szCs w:val="22"/>
          <w:lang w:val="lt-LT"/>
        </w:rPr>
        <w:t>).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Toliau išvardytas kitoks galimas šalutinis poveikis.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</w:p>
    <w:p w:rsidR="001049D1" w:rsidRDefault="001049D1" w:rsidP="001049D1">
      <w:pPr>
        <w:widowControl w:val="0"/>
        <w:spacing w:line="240" w:lineRule="auto"/>
        <w:rPr>
          <w:lang w:val="lt-LT" w:eastAsia="sl-SI"/>
        </w:rPr>
      </w:pPr>
      <w:r>
        <w:rPr>
          <w:b/>
          <w:snapToGrid/>
          <w:szCs w:val="22"/>
          <w:lang w:val="lt-LT" w:eastAsia="sl-SI"/>
        </w:rPr>
        <w:t>Labai dažnas</w:t>
      </w:r>
      <w:r>
        <w:rPr>
          <w:snapToGrid/>
          <w:szCs w:val="22"/>
          <w:lang w:val="lt-LT" w:eastAsia="sl-SI"/>
        </w:rPr>
        <w:t xml:space="preserve"> (gali pasireikšti dažniau kaip 1 iš 10 žmonių):</w:t>
      </w:r>
    </w:p>
    <w:p w:rsidR="001049D1" w:rsidRDefault="001049D1" w:rsidP="001049D1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sl-SI"/>
        </w:rPr>
      </w:pPr>
      <w:r>
        <w:rPr>
          <w:snapToGrid/>
          <w:szCs w:val="22"/>
          <w:lang w:val="lt-LT" w:eastAsia="sl-SI"/>
        </w:rPr>
        <w:t>juodos išmatos. Dėl to nereikia nerimauti, poveikis išnyks nedelsiant po gydymo nutraukimo.</w:t>
      </w:r>
    </w:p>
    <w:p w:rsidR="001049D1" w:rsidRDefault="001049D1" w:rsidP="001049D1">
      <w:pPr>
        <w:widowControl w:val="0"/>
        <w:spacing w:line="240" w:lineRule="auto"/>
        <w:rPr>
          <w:snapToGrid/>
          <w:szCs w:val="22"/>
          <w:lang w:val="lt-LT" w:eastAsia="sl-SI"/>
        </w:rPr>
      </w:pPr>
    </w:p>
    <w:p w:rsidR="001049D1" w:rsidRDefault="001049D1" w:rsidP="001049D1">
      <w:pPr>
        <w:widowControl w:val="0"/>
        <w:spacing w:line="240" w:lineRule="auto"/>
        <w:rPr>
          <w:snapToGrid/>
          <w:szCs w:val="22"/>
          <w:lang w:val="lt-LT" w:eastAsia="sl-SI"/>
        </w:rPr>
      </w:pPr>
      <w:r>
        <w:rPr>
          <w:b/>
          <w:snapToGrid/>
          <w:szCs w:val="22"/>
          <w:lang w:val="lt-LT" w:eastAsia="sl-SI"/>
        </w:rPr>
        <w:t xml:space="preserve">Nedažnas </w:t>
      </w:r>
      <w:r>
        <w:rPr>
          <w:snapToGrid/>
          <w:szCs w:val="22"/>
          <w:lang w:val="lt-LT" w:eastAsia="sl-SI"/>
        </w:rPr>
        <w:t>(gali pasireikšti rečiau kaip 1 iš 100 žmonių):</w:t>
      </w:r>
    </w:p>
    <w:p w:rsidR="001049D1" w:rsidRDefault="001049D1" w:rsidP="001049D1">
      <w:pPr>
        <w:widowControl w:val="0"/>
        <w:numPr>
          <w:ilvl w:val="0"/>
          <w:numId w:val="3"/>
        </w:numPr>
        <w:spacing w:line="240" w:lineRule="auto"/>
        <w:ind w:left="567" w:hanging="567"/>
        <w:rPr>
          <w:snapToGrid/>
          <w:szCs w:val="22"/>
          <w:lang w:val="lt-LT" w:eastAsia="sl-SI"/>
        </w:rPr>
      </w:pPr>
      <w:r>
        <w:rPr>
          <w:snapToGrid/>
          <w:szCs w:val="22"/>
          <w:lang w:val="lt-LT" w:eastAsia="sl-SI"/>
        </w:rPr>
        <w:t>pykinimas, vėmimas, vidurių užkietėjimas ar viduriavimas;</w:t>
      </w:r>
    </w:p>
    <w:p w:rsidR="001049D1" w:rsidRDefault="001049D1" w:rsidP="001049D1">
      <w:pPr>
        <w:widowControl w:val="0"/>
        <w:numPr>
          <w:ilvl w:val="0"/>
          <w:numId w:val="3"/>
        </w:numPr>
        <w:spacing w:line="240" w:lineRule="auto"/>
        <w:ind w:left="567" w:hanging="567"/>
        <w:rPr>
          <w:snapToGrid/>
          <w:szCs w:val="22"/>
          <w:lang w:val="lt-LT" w:eastAsia="sl-SI"/>
        </w:rPr>
      </w:pPr>
      <w:r>
        <w:rPr>
          <w:snapToGrid/>
          <w:szCs w:val="22"/>
          <w:lang w:val="lt-LT" w:eastAsia="sl-SI"/>
        </w:rPr>
        <w:t>išbėrimas, niežėjimas.</w:t>
      </w:r>
    </w:p>
    <w:p w:rsidR="001049D1" w:rsidRDefault="001049D1" w:rsidP="001049D1">
      <w:pPr>
        <w:widowControl w:val="0"/>
        <w:spacing w:line="240" w:lineRule="auto"/>
        <w:rPr>
          <w:b/>
          <w:szCs w:val="22"/>
          <w:lang w:val="lt-LT"/>
        </w:rPr>
      </w:pPr>
    </w:p>
    <w:p w:rsidR="001049D1" w:rsidRDefault="001049D1" w:rsidP="001049D1">
      <w:pPr>
        <w:widowControl w:val="0"/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Pranešimas apie šalutinį poveikį</w:t>
      </w:r>
    </w:p>
    <w:p w:rsidR="001049D1" w:rsidRDefault="001049D1" w:rsidP="001049D1">
      <w:pPr>
        <w:widowControl w:val="0"/>
        <w:spacing w:line="240" w:lineRule="auto"/>
        <w:ind w:right="-449"/>
        <w:rPr>
          <w:szCs w:val="22"/>
          <w:lang w:val="lt-LT"/>
        </w:rPr>
      </w:pPr>
      <w:r>
        <w:rPr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szCs w:val="22"/>
          <w:lang w:val="lt-LT" w:eastAsia="zh-CN"/>
        </w:rPr>
        <w:t>elefonu 8 800 73568</w:t>
      </w:r>
      <w:r>
        <w:rPr>
          <w:szCs w:val="22"/>
          <w:lang w:val="lt-LT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zCs w:val="22"/>
            <w:lang w:val="lt-LT"/>
          </w:rPr>
          <w:t>www.vvkt.lt</w:t>
        </w:r>
      </w:hyperlink>
      <w:r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Cs w:val="22"/>
          <w:lang w:val="lt-LT" w:eastAsia="zh-CN"/>
        </w:rPr>
        <w:t xml:space="preserve">nemokamu </w:t>
      </w:r>
      <w:r>
        <w:rPr>
          <w:szCs w:val="22"/>
          <w:lang w:val="lt-LT"/>
        </w:rPr>
        <w:t>fakso numeriu 8 800 20131</w:t>
      </w:r>
      <w:r>
        <w:rPr>
          <w:szCs w:val="22"/>
          <w:lang w:val="lt-LT" w:eastAsia="zh-CN"/>
        </w:rPr>
        <w:t xml:space="preserve">, </w:t>
      </w:r>
      <w:r>
        <w:rPr>
          <w:szCs w:val="22"/>
          <w:lang w:val="lt-LT"/>
        </w:rPr>
        <w:t xml:space="preserve">el. paštu </w:t>
      </w:r>
      <w:hyperlink r:id="rId6" w:history="1">
        <w:r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>
        <w:rPr>
          <w:szCs w:val="22"/>
          <w:lang w:val="lt-LT"/>
        </w:rPr>
        <w:t>). Pranešdami apie šalutinį poveikį galite mums padėti gauti daugiau informacijos apie šio vaisto saugumą.</w:t>
      </w:r>
    </w:p>
    <w:p w:rsidR="001049D1" w:rsidRDefault="001049D1" w:rsidP="001049D1">
      <w:pPr>
        <w:widowControl w:val="0"/>
        <w:spacing w:line="240" w:lineRule="auto"/>
        <w:ind w:right="-449"/>
        <w:rPr>
          <w:szCs w:val="22"/>
          <w:lang w:val="lt-LT"/>
        </w:rPr>
      </w:pPr>
    </w:p>
    <w:p w:rsidR="001049D1" w:rsidRDefault="001049D1" w:rsidP="001049D1">
      <w:pPr>
        <w:widowControl w:val="0"/>
        <w:spacing w:line="240" w:lineRule="auto"/>
        <w:ind w:right="-449"/>
        <w:rPr>
          <w:szCs w:val="22"/>
          <w:lang w:val="lt-LT"/>
        </w:rPr>
      </w:pPr>
    </w:p>
    <w:p w:rsidR="001049D1" w:rsidRDefault="001049D1" w:rsidP="001049D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5.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lastRenderedPageBreak/>
        <w:t>Ant dėžutės ir lizdinės plokštelės po „Tinka iki“ arba „EXP“ nurodytam tinkamumo laikui pasibaigus, šio vaisto vartoti negalima. Vaistas tinkamas vartoti iki paskutinės nurodyto mėnesio dienos.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  <w:r>
        <w:rPr>
          <w:color w:val="0D0D0D"/>
          <w:szCs w:val="22"/>
          <w:lang w:val="lt-LT"/>
        </w:rPr>
        <w:t>Laikyti gamintojo pakuotėje, kad vaistas būtų apsaugotas nuo šviesos ir drėgmės.</w:t>
      </w: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  <w:r>
        <w:rPr>
          <w:color w:val="0D0D0D"/>
          <w:szCs w:val="22"/>
          <w:lang w:val="lt-LT"/>
        </w:rPr>
        <w:t>Šio vaisto laikymui specialių temperatūros sąlygų nereikalaujama.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6.</w:t>
      </w:r>
      <w:r>
        <w:rPr>
          <w:rFonts w:ascii="Times New Roman" w:hAnsi="Times New Roman"/>
          <w:b w:val="0"/>
          <w:sz w:val="22"/>
          <w:szCs w:val="22"/>
          <w:lang w:val="lt-LT"/>
        </w:rPr>
        <w:tab/>
      </w:r>
      <w:r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:rsidR="001049D1" w:rsidRDefault="001049D1" w:rsidP="001049D1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Veiklioji medžiaga yra bismuto oksidas. Kiekvienoje plėvele dengtoje tabletėje yra 120 mg bismuto oksido (</w:t>
      </w:r>
      <w:proofErr w:type="spellStart"/>
      <w:r>
        <w:rPr>
          <w:szCs w:val="22"/>
          <w:lang w:val="lt-LT"/>
        </w:rPr>
        <w:t>trikalio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dicitrato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bismutato</w:t>
      </w:r>
      <w:proofErr w:type="spellEnd"/>
      <w:r>
        <w:rPr>
          <w:szCs w:val="22"/>
          <w:lang w:val="lt-LT"/>
        </w:rPr>
        <w:t xml:space="preserve"> (bismuto </w:t>
      </w:r>
      <w:proofErr w:type="spellStart"/>
      <w:r>
        <w:rPr>
          <w:szCs w:val="22"/>
          <w:lang w:val="lt-LT"/>
        </w:rPr>
        <w:t>subcitrato</w:t>
      </w:r>
      <w:proofErr w:type="spellEnd"/>
      <w:r>
        <w:rPr>
          <w:szCs w:val="22"/>
          <w:lang w:val="lt-LT"/>
        </w:rPr>
        <w:t>) pavidalu).</w:t>
      </w:r>
    </w:p>
    <w:p w:rsidR="001049D1" w:rsidRDefault="001049D1" w:rsidP="001049D1">
      <w:pPr>
        <w:widowControl w:val="0"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 xml:space="preserve">Pagalbinės medžiagos yra kukurūzų krakmolas, </w:t>
      </w:r>
      <w:proofErr w:type="spellStart"/>
      <w:r>
        <w:rPr>
          <w:szCs w:val="22"/>
          <w:lang w:val="lt-LT"/>
        </w:rPr>
        <w:t>povidonas</w:t>
      </w:r>
      <w:proofErr w:type="spellEnd"/>
      <w:r>
        <w:rPr>
          <w:szCs w:val="22"/>
          <w:lang w:val="lt-LT"/>
        </w:rPr>
        <w:t xml:space="preserve"> K30, </w:t>
      </w:r>
      <w:proofErr w:type="spellStart"/>
      <w:r>
        <w:rPr>
          <w:szCs w:val="22"/>
          <w:lang w:val="lt-LT"/>
        </w:rPr>
        <w:t>polakrilino</w:t>
      </w:r>
      <w:proofErr w:type="spellEnd"/>
      <w:r>
        <w:rPr>
          <w:szCs w:val="22"/>
          <w:lang w:val="lt-LT"/>
        </w:rPr>
        <w:t xml:space="preserve"> kalio druska, </w:t>
      </w:r>
      <w:proofErr w:type="spellStart"/>
      <w:r>
        <w:rPr>
          <w:szCs w:val="22"/>
          <w:lang w:val="lt-LT"/>
        </w:rPr>
        <w:t>makrogolis</w:t>
      </w:r>
      <w:proofErr w:type="spellEnd"/>
      <w:r>
        <w:rPr>
          <w:szCs w:val="22"/>
          <w:lang w:val="lt-LT"/>
        </w:rPr>
        <w:t xml:space="preserve"> 6000 ir magnio </w:t>
      </w:r>
      <w:proofErr w:type="spellStart"/>
      <w:r>
        <w:rPr>
          <w:szCs w:val="22"/>
          <w:lang w:val="lt-LT"/>
        </w:rPr>
        <w:t>stearatas</w:t>
      </w:r>
      <w:proofErr w:type="spellEnd"/>
      <w:r>
        <w:rPr>
          <w:szCs w:val="22"/>
          <w:lang w:val="lt-LT"/>
        </w:rPr>
        <w:t xml:space="preserve"> (E470b) (tabletės branduolys) bei </w:t>
      </w:r>
      <w:proofErr w:type="spellStart"/>
      <w:r>
        <w:rPr>
          <w:szCs w:val="22"/>
          <w:lang w:val="lt-LT"/>
        </w:rPr>
        <w:t>polivinilo</w:t>
      </w:r>
      <w:proofErr w:type="spellEnd"/>
      <w:r>
        <w:rPr>
          <w:szCs w:val="22"/>
          <w:lang w:val="lt-LT"/>
        </w:rPr>
        <w:t xml:space="preserve"> alkoholis, </w:t>
      </w:r>
      <w:proofErr w:type="spellStart"/>
      <w:r>
        <w:rPr>
          <w:szCs w:val="22"/>
          <w:lang w:val="lt-LT"/>
        </w:rPr>
        <w:t>makrogolis</w:t>
      </w:r>
      <w:proofErr w:type="spellEnd"/>
      <w:r>
        <w:rPr>
          <w:szCs w:val="22"/>
          <w:lang w:val="lt-LT"/>
        </w:rPr>
        <w:t> 4000, talkas ir titano dioksidas (E171) (tabletės plėvelė).</w:t>
      </w: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>
        <w:rPr>
          <w:szCs w:val="22"/>
          <w:lang w:val="lt-LT"/>
        </w:rPr>
        <w:t>Žr. 2 skyrių „</w:t>
      </w: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sudėtyje yra kalio“.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Ulcamed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Plėvele dengtos tabletės (tabletės) yra baltos arba beveik baltos, apvalios (10 mm skersmens), šiek tiek abipus išgaubtos, nuožulniais kraštais. Su nedidelėmis dėmelėmis tablečių paviršiuje.</w:t>
      </w: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Ulcamed</w:t>
      </w:r>
      <w:proofErr w:type="spellEnd"/>
      <w:r>
        <w:rPr>
          <w:szCs w:val="22"/>
          <w:lang w:val="lt-LT"/>
        </w:rPr>
        <w:t xml:space="preserve"> pakuotėje yra 28, 30, 40, 42, 45, 56 arba 60 plėvele dengtų tablečių lizdinėse plokštelėse.</w:t>
      </w:r>
    </w:p>
    <w:p w:rsidR="001049D1" w:rsidRDefault="001049D1" w:rsidP="001049D1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 xml:space="preserve">KRKA, </w:t>
      </w:r>
      <w:proofErr w:type="spellStart"/>
      <w:r>
        <w:rPr>
          <w:lang w:val="lt-LT"/>
        </w:rPr>
        <w:t>d.d</w:t>
      </w:r>
      <w:proofErr w:type="spellEnd"/>
      <w:r>
        <w:rPr>
          <w:lang w:val="lt-LT"/>
        </w:rPr>
        <w:t>., Novo mesto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lang w:val="lt-LT"/>
        </w:rPr>
      </w:pPr>
      <w:proofErr w:type="spellStart"/>
      <w:r>
        <w:rPr>
          <w:lang w:val="lt-LT"/>
        </w:rPr>
        <w:t>Šmarješka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cesta</w:t>
      </w:r>
      <w:proofErr w:type="spellEnd"/>
      <w:r>
        <w:rPr>
          <w:lang w:val="lt-LT"/>
        </w:rPr>
        <w:t xml:space="preserve"> 6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8501 Novo mesto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Slovėnija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apie šį vaistą norite sužinoti daugiau, kreipkitės į vietinį registruotojo atstovą.</w:t>
      </w:r>
    </w:p>
    <w:p w:rsidR="001049D1" w:rsidRDefault="001049D1" w:rsidP="001049D1">
      <w:pPr>
        <w:widowControl w:val="0"/>
        <w:spacing w:line="240" w:lineRule="auto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UAB KRKA Lietuva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Senasis Ukmergės kelias 4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Vilniaus raj., </w:t>
      </w:r>
      <w:proofErr w:type="spellStart"/>
      <w:r>
        <w:rPr>
          <w:szCs w:val="22"/>
          <w:lang w:val="lt-LT"/>
        </w:rPr>
        <w:t>Užubalių</w:t>
      </w:r>
      <w:proofErr w:type="spellEnd"/>
      <w:r>
        <w:rPr>
          <w:szCs w:val="22"/>
          <w:lang w:val="lt-LT"/>
        </w:rPr>
        <w:t xml:space="preserve"> k.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LT - 14013</w:t>
      </w:r>
    </w:p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Tel. + 370 5 236 27 40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b/>
          <w:szCs w:val="22"/>
          <w:lang w:val="lt-LT"/>
        </w:rPr>
        <w:t>Šis vaistas EEE valstybėse narėse registruotas tokiais pavadinimais</w:t>
      </w:r>
      <w:r>
        <w:rPr>
          <w:szCs w:val="22"/>
          <w:lang w:val="lt-LT"/>
        </w:rPr>
        <w:t>:</w:t>
      </w:r>
    </w:p>
    <w:p w:rsidR="001049D1" w:rsidRDefault="001049D1" w:rsidP="001049D1">
      <w:pPr>
        <w:widowControl w:val="0"/>
        <w:spacing w:line="240" w:lineRule="auto"/>
        <w:ind w:left="567" w:hanging="567"/>
        <w:rPr>
          <w:szCs w:val="22"/>
          <w:lang w:val="lt-LT"/>
        </w:rPr>
      </w:pP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827"/>
      </w:tblGrid>
      <w:tr w:rsidR="001049D1" w:rsidTr="001049D1">
        <w:tc>
          <w:tcPr>
            <w:tcW w:w="3998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r>
              <w:rPr>
                <w:szCs w:val="22"/>
                <w:lang w:val="lt-LT"/>
              </w:rPr>
              <w:t>Valstybės narės pavadinimas</w:t>
            </w:r>
          </w:p>
        </w:tc>
        <w:tc>
          <w:tcPr>
            <w:tcW w:w="3827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r>
              <w:rPr>
                <w:szCs w:val="22"/>
                <w:lang w:val="lt-LT"/>
              </w:rPr>
              <w:t>Vaisto pavadinimas</w:t>
            </w:r>
          </w:p>
        </w:tc>
      </w:tr>
      <w:tr w:rsidR="001049D1" w:rsidTr="001049D1">
        <w:tc>
          <w:tcPr>
            <w:tcW w:w="3998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rPr>
                <w:snapToGrid/>
                <w:szCs w:val="22"/>
                <w:lang w:eastAsia="sl-SI"/>
              </w:rPr>
              <w:t>Austrija</w:t>
            </w:r>
            <w:proofErr w:type="spellEnd"/>
            <w:r>
              <w:rPr>
                <w:snapToGrid/>
                <w:szCs w:val="22"/>
                <w:lang w:eastAsia="sl-SI"/>
              </w:rPr>
              <w:t xml:space="preserve">, </w:t>
            </w:r>
            <w:proofErr w:type="spellStart"/>
            <w:r>
              <w:t>Lietuva</w:t>
            </w:r>
            <w:proofErr w:type="spellEnd"/>
            <w:r>
              <w:t xml:space="preserve">, </w:t>
            </w:r>
            <w:proofErr w:type="spellStart"/>
            <w:r>
              <w:t>Estija</w:t>
            </w:r>
            <w:proofErr w:type="spellEnd"/>
            <w:r>
              <w:t xml:space="preserve">, </w:t>
            </w:r>
            <w:proofErr w:type="spellStart"/>
            <w:r>
              <w:t>Čekija</w:t>
            </w:r>
            <w:proofErr w:type="spellEnd"/>
            <w:r>
              <w:t xml:space="preserve">, </w:t>
            </w:r>
            <w:proofErr w:type="spellStart"/>
            <w:r>
              <w:t>Vengrija</w:t>
            </w:r>
            <w:proofErr w:type="spellEnd"/>
            <w:r>
              <w:t xml:space="preserve">, </w:t>
            </w:r>
            <w:proofErr w:type="spellStart"/>
            <w:r>
              <w:t>Lenkija</w:t>
            </w:r>
            <w:proofErr w:type="spellEnd"/>
            <w:r>
              <w:t xml:space="preserve">, </w:t>
            </w:r>
            <w:proofErr w:type="spellStart"/>
            <w:r>
              <w:t>Rumunija</w:t>
            </w:r>
            <w:proofErr w:type="spellEnd"/>
            <w:r>
              <w:t xml:space="preserve">, </w:t>
            </w:r>
            <w:proofErr w:type="spellStart"/>
            <w:r>
              <w:t>Slovakija</w:t>
            </w:r>
            <w:proofErr w:type="spellEnd"/>
            <w:r>
              <w:t xml:space="preserve">, </w:t>
            </w:r>
            <w:proofErr w:type="spellStart"/>
            <w:r>
              <w:t>Kroatija</w:t>
            </w:r>
            <w:proofErr w:type="spellEnd"/>
          </w:p>
        </w:tc>
        <w:tc>
          <w:tcPr>
            <w:tcW w:w="3827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proofErr w:type="spellStart"/>
            <w:r>
              <w:rPr>
                <w:snapToGrid/>
                <w:szCs w:val="22"/>
                <w:lang w:eastAsia="sl-SI"/>
              </w:rPr>
              <w:t>Ulcamed</w:t>
            </w:r>
            <w:proofErr w:type="spellEnd"/>
          </w:p>
        </w:tc>
      </w:tr>
      <w:tr w:rsidR="001049D1" w:rsidTr="001049D1">
        <w:tc>
          <w:tcPr>
            <w:tcW w:w="3998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proofErr w:type="spellStart"/>
            <w:r>
              <w:rPr>
                <w:snapToGrid/>
                <w:szCs w:val="22"/>
                <w:lang w:eastAsia="sl-SI"/>
              </w:rPr>
              <w:t>Bulgarija</w:t>
            </w:r>
            <w:proofErr w:type="spellEnd"/>
          </w:p>
        </w:tc>
        <w:tc>
          <w:tcPr>
            <w:tcW w:w="3827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proofErr w:type="spellStart"/>
            <w:r>
              <w:rPr>
                <w:snapToGrid/>
                <w:szCs w:val="22"/>
                <w:lang w:eastAsia="sl-SI"/>
              </w:rPr>
              <w:t>Улкамед</w:t>
            </w:r>
            <w:proofErr w:type="spellEnd"/>
          </w:p>
        </w:tc>
      </w:tr>
      <w:tr w:rsidR="001049D1" w:rsidTr="001049D1">
        <w:tc>
          <w:tcPr>
            <w:tcW w:w="3998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proofErr w:type="spellStart"/>
            <w:r>
              <w:rPr>
                <w:snapToGrid/>
                <w:szCs w:val="22"/>
                <w:lang w:eastAsia="sl-SI"/>
              </w:rPr>
              <w:t>Slovėnija</w:t>
            </w:r>
            <w:proofErr w:type="spellEnd"/>
          </w:p>
        </w:tc>
        <w:tc>
          <w:tcPr>
            <w:tcW w:w="3827" w:type="dxa"/>
          </w:tcPr>
          <w:p w:rsidR="001049D1" w:rsidRDefault="001049D1" w:rsidP="00E914D4">
            <w:pPr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napToGrid/>
                <w:szCs w:val="22"/>
                <w:lang w:eastAsia="sl-SI"/>
              </w:rPr>
            </w:pPr>
            <w:proofErr w:type="spellStart"/>
            <w:r>
              <w:rPr>
                <w:snapToGrid/>
                <w:szCs w:val="22"/>
                <w:lang w:eastAsia="sl-SI"/>
              </w:rPr>
              <w:t>Bizmutov</w:t>
            </w:r>
            <w:proofErr w:type="spellEnd"/>
            <w:r>
              <w:rPr>
                <w:snapToGrid/>
                <w:szCs w:val="22"/>
                <w:lang w:eastAsia="sl-SI"/>
              </w:rPr>
              <w:t xml:space="preserve"> </w:t>
            </w:r>
            <w:proofErr w:type="spellStart"/>
            <w:r>
              <w:rPr>
                <w:snapToGrid/>
                <w:szCs w:val="22"/>
                <w:lang w:eastAsia="sl-SI"/>
              </w:rPr>
              <w:t>oksid</w:t>
            </w:r>
            <w:proofErr w:type="spellEnd"/>
            <w:r>
              <w:rPr>
                <w:snapToGrid/>
                <w:szCs w:val="22"/>
                <w:lang w:eastAsia="sl-SI"/>
              </w:rPr>
              <w:t xml:space="preserve"> Krka</w:t>
            </w:r>
          </w:p>
        </w:tc>
      </w:tr>
    </w:tbl>
    <w:p w:rsidR="001049D1" w:rsidRDefault="001049D1" w:rsidP="001049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lang w:val="lt-LT"/>
        </w:rPr>
      </w:pPr>
      <w:r>
        <w:rPr>
          <w:b/>
          <w:szCs w:val="22"/>
          <w:lang w:val="lt-LT"/>
        </w:rPr>
        <w:t>Šis pakuotės lapelis paskutinį kartą peržiūrėtas 2024-12-24.</w:t>
      </w:r>
    </w:p>
    <w:p w:rsidR="001049D1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:rsidR="00BA6577" w:rsidRDefault="001049D1" w:rsidP="001049D1">
      <w:pPr>
        <w:widowControl w:val="0"/>
        <w:numPr>
          <w:ilvl w:val="12"/>
          <w:numId w:val="0"/>
        </w:numPr>
        <w:spacing w:line="240" w:lineRule="auto"/>
        <w:ind w:right="-2"/>
      </w:pPr>
      <w:r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i/>
          <w:szCs w:val="22"/>
          <w:lang w:val="lt-LT"/>
        </w:rPr>
        <w:t xml:space="preserve"> </w:t>
      </w:r>
      <w:hyperlink r:id="rId8" w:history="1">
        <w:r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>
        <w:rPr>
          <w:szCs w:val="22"/>
          <w:lang w:val="lt-LT"/>
        </w:rPr>
        <w:t>.</w:t>
      </w:r>
      <w:r>
        <w:rPr>
          <w:szCs w:val="22"/>
          <w:lang w:val="lt-LT"/>
        </w:rPr>
        <w:t xml:space="preserve">   </w:t>
      </w:r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D1"/>
    <w:rsid w:val="00072F85"/>
    <w:rsid w:val="000A5E72"/>
    <w:rsid w:val="000A7B60"/>
    <w:rsid w:val="001049D1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72D"/>
  <w15:chartTrackingRefBased/>
  <w15:docId w15:val="{D54CC0D2-5722-44DF-B145-7788C747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9D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049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49D1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49D1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049D1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049D1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49D1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104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6114</Words>
  <Characters>3486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pacientui</vt:lpstr>
      <vt:lpstr>    Ulcamed 120 mg plėvele dengtos tabletės</vt:lpstr>
      <vt:lpstr>        3.	Kaip vartoti Ulcamed</vt:lpstr>
      <vt:lpstr>        4.	Galimas šalutinis poveikis</vt:lpstr>
      <vt:lpstr>        5.	Kaip laikyti Ulcamed</vt:lpstr>
      <vt:lpstr>        6.	Pakuotės turinys ir kita informacija</vt:lpstr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2025-03-14T07:56:00Z</dcterms:created>
  <dcterms:modified xsi:type="dcterms:W3CDTF">2025-03-14T07:57:00Z</dcterms:modified>
</cp:coreProperties>
</file>