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60E" w:rsidRPr="00B077D8" w:rsidRDefault="00F5660E" w:rsidP="00F5660E">
      <w:pPr>
        <w:widowControl w:val="0"/>
        <w:ind w:left="0" w:firstLine="0"/>
        <w:jc w:val="center"/>
        <w:rPr>
          <w:rFonts w:ascii="Times New Roman" w:eastAsia="Calibri" w:hAnsi="Times New Roman" w:cs="Times New Roman"/>
          <w:b/>
          <w:lang w:eastAsia="sl-SI"/>
        </w:rPr>
      </w:pPr>
      <w:r w:rsidRPr="00B077D8">
        <w:rPr>
          <w:rFonts w:ascii="Times New Roman" w:eastAsia="Calibri" w:hAnsi="Times New Roman" w:cs="Times New Roman"/>
          <w:b/>
          <w:lang w:eastAsia="sl-SI"/>
        </w:rPr>
        <w:t>Pakuotės lapelis: informacija pacientui</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tabs>
          <w:tab w:val="left" w:pos="567"/>
        </w:tabs>
        <w:ind w:left="0" w:firstLine="0"/>
        <w:jc w:val="center"/>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2,85 mg/2,5 mg tabletės</w:t>
      </w:r>
    </w:p>
    <w:p w:rsidR="00F5660E" w:rsidRPr="00B077D8" w:rsidRDefault="00F5660E" w:rsidP="00F5660E">
      <w:pPr>
        <w:widowControl w:val="0"/>
        <w:tabs>
          <w:tab w:val="left" w:pos="567"/>
        </w:tabs>
        <w:ind w:left="0" w:firstLine="0"/>
        <w:jc w:val="center"/>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5,7 mg/5 mg tabletės</w:t>
      </w:r>
    </w:p>
    <w:p w:rsidR="00F5660E" w:rsidRPr="00B077D8" w:rsidRDefault="00F5660E" w:rsidP="00F5660E">
      <w:pPr>
        <w:widowControl w:val="0"/>
        <w:ind w:left="0" w:firstLine="0"/>
        <w:jc w:val="cente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tert-butilamino perindoprilis/amlodipinas</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Calibri" w:hAnsi="Times New Roman" w:cs="Times New Roman"/>
          <w:b/>
          <w:lang w:eastAsia="sl-SI"/>
        </w:rPr>
      </w:pPr>
      <w:r w:rsidRPr="00B077D8">
        <w:rPr>
          <w:rFonts w:ascii="Times New Roman" w:eastAsia="Calibri" w:hAnsi="Times New Roman" w:cs="Times New Roman"/>
          <w:b/>
          <w:lang w:eastAsia="sl-SI"/>
        </w:rPr>
        <w:t>Atidžiai perskaitykite visą šį lapelį, prieš pradėdami vartoti vaistą, nes jame pateikiama Jums svarbi informacija.</w:t>
      </w:r>
    </w:p>
    <w:p w:rsidR="00F5660E" w:rsidRPr="00B077D8" w:rsidRDefault="00F5660E" w:rsidP="00F5660E">
      <w:pPr>
        <w:widowControl w:val="0"/>
        <w:numPr>
          <w:ilvl w:val="0"/>
          <w:numId w:val="5"/>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Neišmeskite šio lapelio, nes vėl gali prireikti jį perskaityti.</w:t>
      </w:r>
    </w:p>
    <w:p w:rsidR="00F5660E" w:rsidRPr="00B077D8" w:rsidRDefault="00F5660E" w:rsidP="00F5660E">
      <w:pPr>
        <w:widowControl w:val="0"/>
        <w:numPr>
          <w:ilvl w:val="0"/>
          <w:numId w:val="5"/>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Jeigu kiltų daugiau klausimų, kreipkitės į gydytoją arba vaistininką.</w:t>
      </w:r>
    </w:p>
    <w:p w:rsidR="00F5660E" w:rsidRPr="00B077D8" w:rsidRDefault="00F5660E" w:rsidP="00F5660E">
      <w:pPr>
        <w:widowControl w:val="0"/>
        <w:numPr>
          <w:ilvl w:val="0"/>
          <w:numId w:val="5"/>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Šis vaistas skirtas tik Jums, todėl kitiems žmonėms jo duoti negalima. Vaistas gali jiems pakenkti (net tiems, kurių ligos požymiai yra tokie patys kaip Jūsų).</w:t>
      </w:r>
    </w:p>
    <w:p w:rsidR="00F5660E" w:rsidRPr="00B077D8" w:rsidRDefault="00F5660E" w:rsidP="00F5660E">
      <w:pPr>
        <w:widowControl w:val="0"/>
        <w:numPr>
          <w:ilvl w:val="0"/>
          <w:numId w:val="5"/>
        </w:numPr>
        <w:ind w:left="567" w:hanging="567"/>
        <w:rPr>
          <w:rFonts w:ascii="Times New Roman" w:eastAsia="Calibri" w:hAnsi="Times New Roman" w:cs="Times New Roman"/>
          <w:lang w:eastAsia="sl-SI"/>
        </w:rPr>
      </w:pPr>
      <w:r w:rsidRPr="00B077D8">
        <w:rPr>
          <w:rFonts w:ascii="Times New Roman" w:eastAsia="Calibri" w:hAnsi="Times New Roman" w:cs="Times New Roman"/>
          <w:lang w:eastAsia="sl-SI"/>
        </w:rPr>
        <w:t>Jeigu pasireiškė šalutinis poveikis (net jeigu jis šiame lapelyje nenurodytas), kreipkitės į gydytoją arba vaistininką. Žr. 4 skyrių.</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Calibri" w:hAnsi="Times New Roman" w:cs="Times New Roman"/>
          <w:b/>
          <w:lang w:eastAsia="sl-SI"/>
        </w:rPr>
      </w:pPr>
      <w:r w:rsidRPr="00B077D8">
        <w:rPr>
          <w:rFonts w:ascii="Times New Roman" w:eastAsia="Calibri" w:hAnsi="Times New Roman" w:cs="Times New Roman"/>
          <w:b/>
          <w:lang w:eastAsia="sl-SI"/>
        </w:rPr>
        <w:t>Apie ką rašoma šiame lapelyje?</w:t>
      </w:r>
    </w:p>
    <w:p w:rsidR="00F5660E" w:rsidRPr="00B077D8" w:rsidRDefault="00F5660E" w:rsidP="00F5660E">
      <w:pPr>
        <w:widowControl w:val="0"/>
        <w:ind w:left="0" w:firstLine="0"/>
        <w:rPr>
          <w:rFonts w:ascii="Times New Roman" w:eastAsia="Calibri" w:hAnsi="Times New Roman" w:cs="Times New Roman"/>
          <w:b/>
          <w:lang w:eastAsia="sl-SI"/>
        </w:rPr>
      </w:pPr>
    </w:p>
    <w:p w:rsidR="00F5660E" w:rsidRPr="00B077D8" w:rsidRDefault="00F5660E" w:rsidP="00F5660E">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1.</w:t>
      </w:r>
      <w:r w:rsidRPr="00B077D8">
        <w:rPr>
          <w:rFonts w:ascii="Times New Roman" w:eastAsia="Times New Roman" w:hAnsi="Times New Roman" w:cs="Times New Roman"/>
          <w:lang w:eastAsia="sl-SI"/>
        </w:rPr>
        <w:tab/>
        <w:t>Kas yra Tonarssa ir kam ji vartojama</w:t>
      </w:r>
    </w:p>
    <w:p w:rsidR="00F5660E" w:rsidRPr="00B077D8" w:rsidRDefault="00F5660E" w:rsidP="00F5660E">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2.</w:t>
      </w:r>
      <w:r w:rsidRPr="00B077D8">
        <w:rPr>
          <w:rFonts w:ascii="Times New Roman" w:eastAsia="Times New Roman" w:hAnsi="Times New Roman" w:cs="Times New Roman"/>
          <w:lang w:eastAsia="sl-SI"/>
        </w:rPr>
        <w:tab/>
        <w:t>Kas žinotina prieš vartojant Tonarssa</w:t>
      </w:r>
    </w:p>
    <w:p w:rsidR="00F5660E" w:rsidRPr="00B077D8" w:rsidRDefault="00F5660E" w:rsidP="00F5660E">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3.</w:t>
      </w:r>
      <w:r w:rsidRPr="00B077D8">
        <w:rPr>
          <w:rFonts w:ascii="Times New Roman" w:eastAsia="Times New Roman" w:hAnsi="Times New Roman" w:cs="Times New Roman"/>
          <w:lang w:eastAsia="sl-SI"/>
        </w:rPr>
        <w:tab/>
        <w:t>Kaip vartoti Tonarssa</w:t>
      </w:r>
    </w:p>
    <w:p w:rsidR="00F5660E" w:rsidRPr="00B077D8" w:rsidRDefault="00F5660E" w:rsidP="00F5660E">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4.</w:t>
      </w:r>
      <w:r w:rsidRPr="00B077D8">
        <w:rPr>
          <w:rFonts w:ascii="Times New Roman" w:eastAsia="Times New Roman" w:hAnsi="Times New Roman" w:cs="Times New Roman"/>
          <w:lang w:eastAsia="sl-SI"/>
        </w:rPr>
        <w:tab/>
        <w:t>Galimas šalutinis poveikis</w:t>
      </w:r>
    </w:p>
    <w:p w:rsidR="00F5660E" w:rsidRPr="00B077D8" w:rsidRDefault="00F5660E" w:rsidP="00F5660E">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5.</w:t>
      </w:r>
      <w:r w:rsidRPr="00B077D8">
        <w:rPr>
          <w:rFonts w:ascii="Times New Roman" w:eastAsia="Times New Roman" w:hAnsi="Times New Roman" w:cs="Times New Roman"/>
          <w:lang w:eastAsia="sl-SI"/>
        </w:rPr>
        <w:tab/>
        <w:t>Kaip laikyti Tonarssa</w:t>
      </w:r>
    </w:p>
    <w:p w:rsidR="00F5660E" w:rsidRPr="00B077D8" w:rsidRDefault="00F5660E" w:rsidP="00F5660E">
      <w:pPr>
        <w:widowControl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6.</w:t>
      </w:r>
      <w:r w:rsidRPr="00B077D8">
        <w:rPr>
          <w:rFonts w:ascii="Times New Roman" w:eastAsia="Times New Roman" w:hAnsi="Times New Roman" w:cs="Times New Roman"/>
          <w:lang w:eastAsia="sl-SI"/>
        </w:rPr>
        <w:tab/>
        <w:t>Pakuotės turinys ir kita informacija</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ind w:left="0" w:firstLine="0"/>
        <w:jc w:val="both"/>
        <w:outlineLvl w:val="3"/>
        <w:rPr>
          <w:rFonts w:ascii="Times New Roman" w:eastAsia="Times New Roman" w:hAnsi="Times New Roman" w:cs="Times New Roman"/>
          <w:b/>
          <w:lang w:eastAsia="sl-SI"/>
        </w:rPr>
      </w:pPr>
      <w:bookmarkStart w:id="0" w:name="_Toc129243264"/>
      <w:bookmarkStart w:id="1" w:name="_Toc129243139"/>
      <w:r w:rsidRPr="00B077D8">
        <w:rPr>
          <w:rFonts w:ascii="Times New Roman" w:eastAsia="Times New Roman" w:hAnsi="Times New Roman" w:cs="Times New Roman"/>
          <w:b/>
          <w:lang w:eastAsia="sl-SI"/>
        </w:rPr>
        <w:t>1.</w:t>
      </w:r>
      <w:r w:rsidRPr="00B077D8">
        <w:rPr>
          <w:rFonts w:ascii="Times New Roman" w:eastAsia="Times New Roman" w:hAnsi="Times New Roman" w:cs="Times New Roman"/>
          <w:b/>
          <w:lang w:eastAsia="sl-SI"/>
        </w:rPr>
        <w:tab/>
        <w:t>Kas yra Tonarssa ir kam jis vartojamas</w:t>
      </w:r>
    </w:p>
    <w:bookmarkEnd w:id="0"/>
    <w:bookmarkEnd w:id="1"/>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yra dviejų veikliųjų medžiagų perindoprilio ir amlodipino derinys. Abi šios medžiagos padeda kontroliuoti didelį kraujospūdį.</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Perindoprilis yra AKF (angiotenziną konvertuojančio fermento) inhibitorius. Amlodipinas yra kalcio antagonistas (jis priklauso vaistų, vadinamų dihidropiridinais, grupei). Kartu jie išplečia ir atpalaiduoja kraujagysles, kad kraujas galėtų laisviau jomis tekėti ir širdžiai būtų lengviau palaikyti gerą kraujotaką.</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vartojamas didelio kraujospūdžio ligai (hipertenzijai) gydyti suaugusiesiems.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ind w:left="0" w:firstLine="0"/>
        <w:jc w:val="both"/>
        <w:outlineLvl w:val="3"/>
        <w:rPr>
          <w:rFonts w:ascii="Times New Roman" w:eastAsia="Times New Roman" w:hAnsi="Times New Roman" w:cs="Times New Roman"/>
          <w:b/>
          <w:lang w:eastAsia="sl-SI"/>
        </w:rPr>
      </w:pPr>
      <w:bookmarkStart w:id="2" w:name="_Toc129243265"/>
      <w:bookmarkStart w:id="3" w:name="_Toc129243140"/>
      <w:r w:rsidRPr="00B077D8">
        <w:rPr>
          <w:rFonts w:ascii="Times New Roman" w:eastAsia="Times New Roman" w:hAnsi="Times New Roman" w:cs="Times New Roman"/>
          <w:b/>
          <w:lang w:eastAsia="sl-SI"/>
        </w:rPr>
        <w:t>2.</w:t>
      </w:r>
      <w:r w:rsidRPr="00B077D8">
        <w:rPr>
          <w:rFonts w:ascii="Times New Roman" w:eastAsia="Times New Roman" w:hAnsi="Times New Roman" w:cs="Times New Roman"/>
          <w:b/>
          <w:lang w:eastAsia="sl-SI"/>
        </w:rPr>
        <w:tab/>
        <w:t>Kas žinotina prieš vartojant Tonarssa</w:t>
      </w:r>
    </w:p>
    <w:bookmarkEnd w:id="2"/>
    <w:bookmarkEnd w:id="3"/>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 xml:space="preserve">Tonarssa vartoti </w:t>
      </w:r>
      <w:r>
        <w:rPr>
          <w:rFonts w:ascii="Times New Roman" w:eastAsia="Times New Roman" w:hAnsi="Times New Roman" w:cs="Times New Roman"/>
          <w:b/>
          <w:lang w:eastAsia="sl-SI"/>
        </w:rPr>
        <w:t>draudžiama:</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alergija tert-butilamino perindopriliui ar amlodipinui arba bet kuriai pagalbinei šio vaisto medžiagai (jos išvardytos 6 skyriuje);</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sunkių inkstų sutrikimų;</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anksčiau gydant kitais AKF inhibitoriais buvo pasireiškę tokių simptomų kaip švokštimas, veido ar liežuvio patinimas, stiprus niežėjimas ar stiprus odos išbėrimas, arba jeigu tokių simptomų Jums arba Jūsų giminaičiui buvo pasireiškę kitomis aplinkybėmis (būklė, vadinama angioneurozinė edema);</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širdies aortos vožtuvo susiaurėjimas (aortos stenozė) ar kardiogeninis šokas (būklė, kai širdis nepajėgia organizmą pakankamai aprūpinti krauju);</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labai mažas kraujospūdis (hipotenzija);</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širdies nepakankamumas po širdies priepuolio;</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esate daugiau nei 3 mėnesius nėščia. Taip pat yra geriau vengti Tonarssa vartoti ankstyvojo nėštumo metu (žr. skyrių „Nėštumas“);</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Jūs sergate cukriniu diabetu arba Jūsų inkstų veikla sutrikusi ir Jums skirtas kraujospūdį mažinantis vaistas, kurio sudėtyje yra aliskireno;</w:t>
      </w:r>
    </w:p>
    <w:p w:rsidR="00F5660E" w:rsidRPr="00B077D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lastRenderedPageBreak/>
        <w:t>jeigu Jums atliekama dializė arba bet kuri kita kraujo filtravimo procedūra. Tonarssa gali būti jums netinkamas, tai priklauso nuo naudojimo aparato;</w:t>
      </w:r>
    </w:p>
    <w:p w:rsidR="00F5660E"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inkstų sutrikimų, kuomet sumažėja inkstų aprūpinimas krauju (inksto arterijos stenozė)</w:t>
      </w:r>
      <w:r>
        <w:rPr>
          <w:rFonts w:ascii="Times New Roman" w:eastAsia="Times New Roman" w:hAnsi="Times New Roman" w:cs="Times New Roman"/>
          <w:lang w:eastAsia="sl-SI"/>
        </w:rPr>
        <w:t>;</w:t>
      </w:r>
    </w:p>
    <w:p w:rsidR="00F5660E" w:rsidRPr="00F31FF8" w:rsidRDefault="00F5660E" w:rsidP="00F5660E">
      <w:pPr>
        <w:widowControl w:val="0"/>
        <w:numPr>
          <w:ilvl w:val="0"/>
          <w:numId w:val="4"/>
        </w:numPr>
        <w:autoSpaceDE w:val="0"/>
        <w:autoSpaceDN w:val="0"/>
        <w:adjustRightInd w:val="0"/>
        <w:ind w:left="567" w:hanging="567"/>
        <w:rPr>
          <w:rFonts w:ascii="Times New Roman" w:eastAsia="Times New Roman" w:hAnsi="Times New Roman" w:cs="Times New Roman"/>
          <w:lang w:eastAsia="sl-SI"/>
        </w:rPr>
      </w:pPr>
      <w:r w:rsidRPr="00771159">
        <w:rPr>
          <w:rFonts w:ascii="Times New Roman" w:eastAsia="Times New Roman" w:hAnsi="Times New Roman" w:cs="Times New Roman"/>
          <w:iCs/>
          <w:lang w:eastAsia="lt-LT"/>
        </w:rPr>
        <w:t>jeigu vartojote arba šiuo metu vartojate sakubitrilo ir valsartano derinį, suaugusiųjų ilgalaikio (lėtinio) širdies nepakankamumo gydymui, nes yra padidėjęs angioedemos (staigaus patinimo po oda tokiose vietose kaip gerklė) pavojus</w:t>
      </w:r>
      <w:r>
        <w:rPr>
          <w:rFonts w:ascii="Times New Roman" w:eastAsia="Times New Roman" w:hAnsi="Times New Roman" w:cs="Times New Roman"/>
          <w:iCs/>
          <w:lang w:eastAsia="lt-LT"/>
        </w:rPr>
        <w:t xml:space="preserve"> </w:t>
      </w:r>
      <w:r w:rsidRPr="00F132F8">
        <w:rPr>
          <w:rFonts w:ascii="Times New Roman" w:eastAsia="Times New Roman" w:hAnsi="Times New Roman" w:cs="Times New Roman"/>
          <w:iCs/>
          <w:lang w:eastAsia="lt-LT"/>
        </w:rPr>
        <w:t>(žr. skyrius „Įspėjimai ir atsargumo priemonės“ ir „Kiti vaistai ir Tonarssa“).</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Įspėjimai ir atsargumo priemonės</w:t>
      </w:r>
    </w:p>
    <w:p w:rsidR="00F5660E" w:rsidRPr="00B077D8" w:rsidRDefault="00F5660E" w:rsidP="00F5660E">
      <w:pPr>
        <w:tabs>
          <w:tab w:val="left" w:pos="540"/>
          <w:tab w:val="left" w:pos="567"/>
        </w:tabs>
        <w:ind w:left="0" w:firstLine="0"/>
        <w:rPr>
          <w:rFonts w:ascii="Times New Roman" w:eastAsia="Times New Roman" w:hAnsi="Times New Roman" w:cs="Times New Roman"/>
        </w:rPr>
      </w:pPr>
      <w:r w:rsidRPr="00B077D8">
        <w:rPr>
          <w:rFonts w:ascii="Times New Roman" w:eastAsia="Times New Roman" w:hAnsi="Times New Roman" w:cs="Times New Roman"/>
        </w:rPr>
        <w:t>Pasitarkite su gydytoju arba vaistininku, prieš pradėdami vartoti Tonarssa, jeigu yra bet kuri iš išvardytų būklių:</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hipertrofinė kardiomiopatija (širdies raumens liga);</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širdies nepakankamumas;</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didelis kraujospūdžio padidėjimas (hipertenzinė krizė);</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bet kokia kita širdies liga;</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kepenų liga;</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inkstų liga (įskaitant būklę po inksto persodinimo);</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nenormaliai padidėjęs hormono, vadinamo aldosteronu, kiekis kraujyje (pirminis aldosteronizmas);</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kolageninė kraujagyslių liga (jungiamojo audinio liga), pvz., sisteminė raudonoji vilkligė ar skleroderma;</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cukrinis diabetas;</w:t>
      </w:r>
    </w:p>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ribojate druskos kiekį maiste arba vartojate druskos pakaitalų, kuriuose yra kalio (labai svarbu, kad kraujyje būtų gerai subalansuotas kalio kiekis);</w:t>
      </w:r>
    </w:p>
    <w:p w:rsidR="00F5660E" w:rsidRPr="00B077D8" w:rsidRDefault="00F5660E" w:rsidP="00F5660E">
      <w:pPr>
        <w:numPr>
          <w:ilvl w:val="0"/>
          <w:numId w:val="11"/>
        </w:numPr>
        <w:ind w:left="567" w:hanging="567"/>
        <w:rPr>
          <w:rFonts w:ascii="Times New Roman" w:eastAsia="Times New Roman" w:hAnsi="Times New Roman" w:cs="Times New Roman"/>
        </w:rPr>
      </w:pPr>
      <w:bookmarkStart w:id="4" w:name="OLE_LINK5"/>
      <w:bookmarkStart w:id="5" w:name="OLE_LINK6"/>
      <w:r w:rsidRPr="00B077D8">
        <w:rPr>
          <w:rFonts w:ascii="Times New Roman" w:eastAsia="Times New Roman" w:hAnsi="Times New Roman" w:cs="Times New Roman"/>
        </w:rPr>
        <w:t>esate senyvas ir reikia padidinti vaisto dozę;</w:t>
      </w:r>
    </w:p>
    <w:bookmarkEnd w:id="4"/>
    <w:bookmarkEnd w:id="5"/>
    <w:p w:rsidR="00F5660E" w:rsidRPr="00B077D8" w:rsidRDefault="00F5660E" w:rsidP="00F5660E">
      <w:pPr>
        <w:numPr>
          <w:ilvl w:val="0"/>
          <w:numId w:val="11"/>
        </w:numPr>
        <w:ind w:left="567" w:hanging="567"/>
        <w:rPr>
          <w:rFonts w:ascii="Times New Roman" w:eastAsia="Times New Roman" w:hAnsi="Times New Roman" w:cs="Times New Roman"/>
        </w:rPr>
      </w:pPr>
      <w:r w:rsidRPr="00B077D8">
        <w:rPr>
          <w:rFonts w:ascii="Times New Roman" w:eastAsia="Times New Roman" w:hAnsi="Times New Roman" w:cs="Times New Roman"/>
        </w:rPr>
        <w:t>jeigu vartojate kurį nors iš šių vaistų padidėjusiam kraujospūdžiui gydyti:</w:t>
      </w:r>
    </w:p>
    <w:p w:rsidR="00F5660E" w:rsidRPr="00B077D8" w:rsidRDefault="00F5660E" w:rsidP="00F5660E">
      <w:pPr>
        <w:tabs>
          <w:tab w:val="left" w:pos="540"/>
          <w:tab w:val="left" w:pos="567"/>
        </w:tabs>
        <w:ind w:left="1080" w:hanging="540"/>
        <w:rPr>
          <w:rFonts w:ascii="Times New Roman" w:eastAsia="Times New Roman" w:hAnsi="Times New Roman" w:cs="Times New Roman"/>
        </w:rPr>
      </w:pPr>
      <w:r w:rsidRPr="00B077D8">
        <w:rPr>
          <w:rFonts w:ascii="Times New Roman" w:eastAsia="Times New Roman" w:hAnsi="Times New Roman" w:cs="Times New Roman"/>
          <w:i/>
        </w:rPr>
        <w:t>-</w:t>
      </w:r>
      <w:r w:rsidRPr="00B077D8">
        <w:rPr>
          <w:rFonts w:ascii="Times New Roman" w:eastAsia="Times New Roman" w:hAnsi="Times New Roman" w:cs="Times New Roman"/>
          <w:i/>
        </w:rPr>
        <w:tab/>
      </w:r>
      <w:r w:rsidRPr="00B077D8">
        <w:rPr>
          <w:rFonts w:ascii="Times New Roman" w:eastAsia="Times New Roman" w:hAnsi="Times New Roman" w:cs="Times New Roman"/>
        </w:rPr>
        <w:t>angiotenzino II receptorių blokatorių (ARB) (vadinamąjį sartaną, pavyzdžiui, valsartaną, telmisartaną, irbesartaną), ypač jei turite su diabetu susijusių inkstų sutrikimų;</w:t>
      </w:r>
    </w:p>
    <w:p w:rsidR="00F5660E" w:rsidRPr="00B077D8" w:rsidRDefault="00F5660E" w:rsidP="00F5660E">
      <w:pPr>
        <w:tabs>
          <w:tab w:val="left" w:pos="567"/>
          <w:tab w:val="left" w:pos="1080"/>
        </w:tabs>
        <w:ind w:left="540" w:firstLine="0"/>
        <w:rPr>
          <w:rFonts w:ascii="Times New Roman" w:eastAsia="Times New Roman" w:hAnsi="Times New Roman" w:cs="Times New Roman"/>
        </w:rPr>
      </w:pPr>
      <w:r w:rsidRPr="00B077D8">
        <w:rPr>
          <w:rFonts w:ascii="Times New Roman" w:eastAsia="Times New Roman" w:hAnsi="Times New Roman" w:cs="Times New Roman"/>
        </w:rPr>
        <w:t>-</w:t>
      </w:r>
      <w:r w:rsidRPr="00B077D8">
        <w:rPr>
          <w:rFonts w:ascii="Times New Roman" w:eastAsia="Times New Roman" w:hAnsi="Times New Roman" w:cs="Times New Roman"/>
        </w:rPr>
        <w:tab/>
        <w:t>aliskireną.</w:t>
      </w:r>
    </w:p>
    <w:p w:rsidR="00F5660E" w:rsidRPr="00B077D8" w:rsidRDefault="00F5660E" w:rsidP="00F5660E">
      <w:pPr>
        <w:tabs>
          <w:tab w:val="left" w:pos="540"/>
          <w:tab w:val="left" w:pos="567"/>
        </w:tabs>
        <w:ind w:firstLine="0"/>
        <w:rPr>
          <w:rFonts w:ascii="Times New Roman" w:eastAsia="Times New Roman" w:hAnsi="Times New Roman" w:cs="Times New Roman"/>
        </w:rPr>
      </w:pPr>
      <w:r w:rsidRPr="00B077D8">
        <w:rPr>
          <w:rFonts w:ascii="Times New Roman" w:eastAsia="Times New Roman" w:hAnsi="Times New Roman" w:cs="Times New Roman"/>
        </w:rPr>
        <w:t>Jūsų gydytojas gali reguliariai ištirti Jūsų inkstų funkciją, kraujospūdį ir elektrolitų kiekį (pvz., kalio) kraujyje.</w:t>
      </w:r>
    </w:p>
    <w:p w:rsidR="00F5660E" w:rsidRPr="00B077D8" w:rsidRDefault="00F5660E" w:rsidP="00F5660E">
      <w:pPr>
        <w:numPr>
          <w:ilvl w:val="0"/>
          <w:numId w:val="10"/>
        </w:numPr>
        <w:tabs>
          <w:tab w:val="left" w:pos="567"/>
        </w:tabs>
        <w:ind w:left="567" w:hanging="567"/>
        <w:rPr>
          <w:rFonts w:ascii="Times New Roman" w:eastAsia="Times New Roman" w:hAnsi="Times New Roman" w:cs="Times New Roman"/>
        </w:rPr>
      </w:pPr>
      <w:r w:rsidRPr="00B077D8">
        <w:rPr>
          <w:rFonts w:ascii="Times New Roman" w:eastAsia="Times New Roman" w:hAnsi="Times New Roman" w:cs="Times New Roman"/>
        </w:rPr>
        <w:t xml:space="preserve">Taip pat žiūrėkite informaciją, pateiktą poskyryje „Tonarssa vartoti </w:t>
      </w:r>
      <w:r>
        <w:rPr>
          <w:rFonts w:ascii="Times New Roman" w:eastAsia="Times New Roman" w:hAnsi="Times New Roman" w:cs="Times New Roman"/>
        </w:rPr>
        <w:t>draudžiama</w:t>
      </w:r>
      <w:r w:rsidRPr="00B077D8">
        <w:rPr>
          <w:rFonts w:ascii="Times New Roman" w:eastAsia="Times New Roman" w:hAnsi="Times New Roman" w:cs="Times New Roman"/>
        </w:rPr>
        <w:t>“;</w:t>
      </w:r>
    </w:p>
    <w:p w:rsidR="00F5660E" w:rsidRPr="00B077D8" w:rsidRDefault="00F5660E" w:rsidP="00F5660E">
      <w:pPr>
        <w:numPr>
          <w:ilvl w:val="0"/>
          <w:numId w:val="10"/>
        </w:numPr>
        <w:tabs>
          <w:tab w:val="left" w:pos="567"/>
        </w:tabs>
        <w:ind w:left="567" w:hanging="567"/>
        <w:rPr>
          <w:rFonts w:ascii="Times New Roman" w:eastAsia="Times New Roman" w:hAnsi="Times New Roman" w:cs="Times New Roman"/>
        </w:rPr>
      </w:pPr>
      <w:r w:rsidRPr="00B077D8">
        <w:rPr>
          <w:rFonts w:ascii="Times New Roman" w:eastAsia="Times New Roman" w:hAnsi="Times New Roman" w:cs="Times New Roman"/>
        </w:rPr>
        <w:t>esate juodaodis, nes gali būti didesnė angioneurozinės edemos pasireiškimo rizika ir šis vaistas gali ne taip veiksmingai mažinti kraujospūdį, kaip nejuodaodžiams pacientams;</w:t>
      </w:r>
    </w:p>
    <w:p w:rsidR="00F5660E" w:rsidRPr="00B077D8" w:rsidRDefault="00F5660E" w:rsidP="00F5660E">
      <w:pPr>
        <w:numPr>
          <w:ilvl w:val="0"/>
          <w:numId w:val="10"/>
        </w:numPr>
        <w:tabs>
          <w:tab w:val="left" w:pos="567"/>
        </w:tabs>
        <w:ind w:left="567" w:hanging="567"/>
        <w:rPr>
          <w:rFonts w:ascii="Times New Roman" w:eastAsia="Times New Roman" w:hAnsi="Times New Roman" w:cs="Times New Roman"/>
        </w:rPr>
      </w:pPr>
      <w:r w:rsidRPr="00B077D8">
        <w:rPr>
          <w:rFonts w:ascii="Times New Roman" w:eastAsia="Times New Roman" w:hAnsi="Times New Roman" w:cs="Times New Roman"/>
        </w:rPr>
        <w:t>vartojate kurį nors iš toliau išvardytų vaistų, gali padidėti angioneurozinės edemos pasireiškimo rizika:</w:t>
      </w:r>
    </w:p>
    <w:p w:rsidR="00F5660E" w:rsidRPr="00771159" w:rsidRDefault="00F5660E" w:rsidP="00F5660E">
      <w:pPr>
        <w:numPr>
          <w:ilvl w:val="0"/>
          <w:numId w:val="1"/>
        </w:numPr>
        <w:tabs>
          <w:tab w:val="left" w:pos="1134"/>
        </w:tabs>
        <w:ind w:left="1134" w:hanging="567"/>
        <w:rPr>
          <w:rFonts w:ascii="Times New Roman" w:eastAsia="Calibri" w:hAnsi="Times New Roman" w:cs="Times New Roman"/>
        </w:rPr>
      </w:pPr>
      <w:r w:rsidRPr="00771159">
        <w:rPr>
          <w:rFonts w:ascii="Times New Roman" w:eastAsia="Calibri" w:hAnsi="Times New Roman" w:cs="Times New Roman"/>
        </w:rPr>
        <w:t>racekadotrilio - viduriavimui gydyti vartojamo vaisto;</w:t>
      </w:r>
    </w:p>
    <w:p w:rsidR="00F5660E" w:rsidRPr="00F132F8" w:rsidRDefault="00F5660E" w:rsidP="00F5660E">
      <w:pPr>
        <w:numPr>
          <w:ilvl w:val="0"/>
          <w:numId w:val="1"/>
        </w:numPr>
        <w:tabs>
          <w:tab w:val="left" w:pos="1134"/>
        </w:tabs>
        <w:ind w:left="1134" w:hanging="567"/>
        <w:rPr>
          <w:rFonts w:ascii="Times New Roman" w:eastAsia="Calibri" w:hAnsi="Times New Roman" w:cs="Times New Roman"/>
        </w:rPr>
      </w:pPr>
      <w:r w:rsidRPr="00F132F8">
        <w:rPr>
          <w:rFonts w:ascii="Times New Roman" w:eastAsia="Calibri" w:hAnsi="Times New Roman" w:cs="Times New Roman"/>
        </w:rPr>
        <w:t>sirolimuzas, everolimuzas, temsirolimuzas ir kiti vaistai, priklausantys vadinamųjų mTor inhibitorių klasei (vartojami siekiant išvengti persodintų organų atmetimo ir nuo vėžio);</w:t>
      </w:r>
    </w:p>
    <w:p w:rsidR="00F5660E" w:rsidRPr="00F132F8" w:rsidRDefault="00F5660E" w:rsidP="00F5660E">
      <w:pPr>
        <w:numPr>
          <w:ilvl w:val="0"/>
          <w:numId w:val="1"/>
        </w:numPr>
        <w:tabs>
          <w:tab w:val="left" w:pos="1134"/>
        </w:tabs>
        <w:ind w:left="1134" w:hanging="567"/>
        <w:rPr>
          <w:rFonts w:ascii="Times New Roman" w:eastAsia="Calibri" w:hAnsi="Times New Roman" w:cs="Times New Roman"/>
        </w:rPr>
      </w:pPr>
      <w:r w:rsidRPr="00F132F8">
        <w:rPr>
          <w:rFonts w:ascii="Times New Roman" w:eastAsia="Calibri" w:hAnsi="Times New Roman" w:cs="Times New Roman"/>
        </w:rPr>
        <w:t>sakubitril</w:t>
      </w:r>
      <w:r>
        <w:rPr>
          <w:rFonts w:ascii="Times New Roman" w:eastAsia="Calibri" w:hAnsi="Times New Roman" w:cs="Times New Roman"/>
        </w:rPr>
        <w:t>a</w:t>
      </w:r>
      <w:r w:rsidRPr="00F132F8">
        <w:rPr>
          <w:rFonts w:ascii="Times New Roman" w:eastAsia="Calibri" w:hAnsi="Times New Roman" w:cs="Times New Roman"/>
        </w:rPr>
        <w:t>s (tiekiamas kaip fiksuotos dozės derinys su valsartanu), vartojamas ilgalaikiam širdies nepakankamumui gydyti;</w:t>
      </w:r>
    </w:p>
    <w:p w:rsidR="00F5660E" w:rsidRPr="00F132F8" w:rsidRDefault="00F5660E" w:rsidP="00F5660E">
      <w:pPr>
        <w:numPr>
          <w:ilvl w:val="0"/>
          <w:numId w:val="1"/>
        </w:numPr>
        <w:tabs>
          <w:tab w:val="left" w:pos="1134"/>
        </w:tabs>
        <w:ind w:left="1134" w:hanging="567"/>
        <w:rPr>
          <w:rFonts w:ascii="Times New Roman" w:eastAsia="Calibri" w:hAnsi="Times New Roman" w:cs="Times New Roman"/>
        </w:rPr>
      </w:pPr>
      <w:r w:rsidRPr="00F132F8">
        <w:rPr>
          <w:rFonts w:ascii="Times New Roman" w:eastAsia="Calibri" w:hAnsi="Times New Roman" w:cs="Times New Roman"/>
        </w:rPr>
        <w:t>linagliptinas, saksagliptinas, sitagliptinas, vildagliptinas ir kiti vaistai, priklausantys vadinamų gliptinų klasei (vartojami diabetui gydyti).</w:t>
      </w:r>
    </w:p>
    <w:p w:rsidR="00F5660E" w:rsidRPr="00B077D8" w:rsidRDefault="00F5660E" w:rsidP="00F5660E">
      <w:pPr>
        <w:widowControl w:val="0"/>
        <w:tabs>
          <w:tab w:val="left" w:pos="567"/>
        </w:tabs>
        <w:ind w:left="0" w:right="-2"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Angioneurozinė edema</w:t>
      </w:r>
      <w:r>
        <w:rPr>
          <w:rFonts w:ascii="Times New Roman" w:eastAsia="Times New Roman" w:hAnsi="Times New Roman" w:cs="Times New Roman"/>
          <w:lang w:eastAsia="sl-SI"/>
        </w:rPr>
        <w:t>:</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Pacientams, gydytiems AKF inhibitoriais, įskaitant perindoprilį, buvo angioneurozinės edemos (sunkios alerginės reakcijos, pasireiškiančios veido, lūpų, liežuvio ar gerklės patinimu bei pasunkėjusiu rijimu ar kvėpavimu), atvejų. Tai gali įvykti bet kuriuo gydymo laikotarpiu. Jei Jums atsirado tokių simptomų, turite nutraukti Tonarssa vartojimą ir nedelsdami kreiptis į gydytoją. Taip pat žr. 4 skyrių.</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manote, kad esate (arba galite tapti) nėščia, turite apie tai pasakyti savo gydytojui. Ankstyvuoju nėštumo laikotarpiu Tonarssa vartoti nerekomenduojama. Vartojamas po trečio nėštumo mėnesio, šis vaistas gali padaryti didžiulės žalos Jūsų kūdikiui, žr. skyrių “Nėštumas ir žindymo laikotarpis“</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vartojate Tonarssa turite pranešti savo gydytojui ar medicinos personalui, jeigu:</w:t>
      </w:r>
    </w:p>
    <w:p w:rsidR="00F5660E" w:rsidRPr="00B077D8" w:rsidRDefault="00F5660E" w:rsidP="00F5660E">
      <w:pPr>
        <w:widowControl w:val="0"/>
        <w:numPr>
          <w:ilvl w:val="0"/>
          <w:numId w:val="2"/>
        </w:numPr>
        <w:autoSpaceDE w:val="0"/>
        <w:autoSpaceDN w:val="0"/>
        <w:adjustRightInd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Jums bus sukeliama bendroji anestezija ir (arba) atliekama didelė chirurginė operacija;</w:t>
      </w:r>
    </w:p>
    <w:p w:rsidR="00F5660E" w:rsidRDefault="00F5660E" w:rsidP="00F5660E">
      <w:pPr>
        <w:widowControl w:val="0"/>
        <w:numPr>
          <w:ilvl w:val="0"/>
          <w:numId w:val="2"/>
        </w:numPr>
        <w:autoSpaceDE w:val="0"/>
        <w:autoSpaceDN w:val="0"/>
        <w:adjustRightInd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neseniai viduriavote ar vėmėte;</w:t>
      </w:r>
    </w:p>
    <w:p w:rsidR="00F5660E" w:rsidRPr="00206D83" w:rsidRDefault="00F5660E" w:rsidP="00F5660E">
      <w:pPr>
        <w:widowControl w:val="0"/>
        <w:numPr>
          <w:ilvl w:val="0"/>
          <w:numId w:val="2"/>
        </w:numPr>
        <w:autoSpaceDE w:val="0"/>
        <w:autoSpaceDN w:val="0"/>
        <w:adjustRightInd w:val="0"/>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Jums bus atliekama MTL aferezė (cholesterolio pašalinimas iš jūsų kraujo aparatu);</w:t>
      </w:r>
    </w:p>
    <w:p w:rsidR="00F5660E" w:rsidRPr="00B077D8" w:rsidRDefault="00F5660E" w:rsidP="00F5660E">
      <w:pPr>
        <w:widowControl w:val="0"/>
        <w:numPr>
          <w:ilvl w:val="0"/>
          <w:numId w:val="2"/>
        </w:numPr>
        <w:autoSpaceDE w:val="0"/>
        <w:autoSpaceDN w:val="0"/>
        <w:adjustRightInd w:val="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Jums bus atliekamas jautrumo sumažinimas (desensibilizacija), kad susilpnėtų alerginės reakcijos į bičių ar vapsvų įkandimą.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Vaikams ir paaugliams</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negalima vartoti vaikams ir paaugliams.</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ind w:left="0" w:firstLine="0"/>
        <w:jc w:val="both"/>
        <w:outlineLvl w:val="3"/>
        <w:rPr>
          <w:rFonts w:ascii="Times New Roman" w:eastAsia="Times New Roman" w:hAnsi="Times New Roman" w:cs="Times New Roman"/>
          <w:lang w:eastAsia="sl-SI"/>
        </w:rPr>
      </w:pPr>
      <w:r w:rsidRPr="00B077D8">
        <w:rPr>
          <w:rFonts w:ascii="Times New Roman" w:eastAsia="Times New Roman" w:hAnsi="Times New Roman" w:cs="Times New Roman"/>
          <w:b/>
          <w:lang w:eastAsia="sl-SI"/>
        </w:rPr>
        <w:t>Kiti vaistai ir Tonarssa</w:t>
      </w:r>
    </w:p>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Jeigu vartojate arba neseniai vartojote kitų vaistų arba dėl to nesate tikri, apie tai pasakykite gydytojui arba vaistininkui.</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nerekomenduojama vartoti su:</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ličiu (vartojamu manijai ar depresijai gydyti);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estramustinu (vartojamu gydant vėžį);</w:t>
      </w:r>
    </w:p>
    <w:p w:rsidR="00F5660E" w:rsidRPr="00F132F8" w:rsidRDefault="00F5660E" w:rsidP="00F5660E">
      <w:pPr>
        <w:numPr>
          <w:ilvl w:val="0"/>
          <w:numId w:val="3"/>
        </w:numPr>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kalį organizme sulaikantys vaistai (pvz., triamterenas, amiloridas), kalio papildai arba druskos pakaitalai, kurių sudėtyje yra kalio, kiti vaistai, galintys padidinti kalio kiekį jūsų organizme (pvz., heparinas, vaista</w:t>
      </w:r>
      <w:r>
        <w:rPr>
          <w:rFonts w:ascii="Times New Roman" w:eastAsia="Times New Roman" w:hAnsi="Times New Roman" w:cs="Times New Roman"/>
          <w:lang w:eastAsia="sl-SI"/>
        </w:rPr>
        <w:t>s</w:t>
      </w:r>
      <w:r w:rsidRPr="00F132F8">
        <w:rPr>
          <w:rFonts w:ascii="Times New Roman" w:eastAsia="Times New Roman" w:hAnsi="Times New Roman" w:cs="Times New Roman"/>
          <w:lang w:eastAsia="sl-SI"/>
        </w:rPr>
        <w:t>, skirt</w:t>
      </w:r>
      <w:r>
        <w:rPr>
          <w:rFonts w:ascii="Times New Roman" w:eastAsia="Times New Roman" w:hAnsi="Times New Roman" w:cs="Times New Roman"/>
          <w:lang w:eastAsia="sl-SI"/>
        </w:rPr>
        <w:t>as</w:t>
      </w:r>
      <w:r w:rsidRPr="00F132F8">
        <w:rPr>
          <w:rFonts w:ascii="Times New Roman" w:eastAsia="Times New Roman" w:hAnsi="Times New Roman" w:cs="Times New Roman"/>
          <w:lang w:eastAsia="sl-SI"/>
        </w:rPr>
        <w:t xml:space="preserve"> skystinti kraują nuo krešulių susidarymo, trimetoprimas ir kotrimoksazolas kaip trimetoprimas/sulfametoksazolas infekcijoms gydyti ir ciklosporinas – imunosupresantas, vartojamas persodinto organo atmetimo profilaktikai);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aliskirenu (vartojamu dideliam kraujospūdžiui mažinti) (taip pat žiūrėkite informaciją, pateiktą poskyriuose „Tonarssa vartoti </w:t>
      </w:r>
      <w:r>
        <w:rPr>
          <w:rFonts w:ascii="Times New Roman" w:eastAsia="Times New Roman" w:hAnsi="Times New Roman" w:cs="Times New Roman"/>
          <w:lang w:eastAsia="sl-SI"/>
        </w:rPr>
        <w:t>draudžiama</w:t>
      </w:r>
      <w:r w:rsidRPr="00B077D8">
        <w:rPr>
          <w:rFonts w:ascii="Times New Roman" w:eastAsia="Times New Roman" w:hAnsi="Times New Roman" w:cs="Times New Roman"/>
          <w:lang w:eastAsia="sl-SI"/>
        </w:rPr>
        <w:t>“ ir „Įspėjimai ir atsargumo priemonės“);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angiotenzino II receptorių blokatoriais (ARB) (jų vartojama dideliam kraujospūdžiui mažinti) (pvz., valsartanu, telmisartanu, irbesartanu ir kt.);</w:t>
      </w:r>
    </w:p>
    <w:p w:rsidR="00F5660E"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dantrolenu (leidžiamu) (vartojamu raumenų sustingimui gydyti esant tokioms ligoms kaip išsėtinė sklerozė arba anestezijos metu pasireiškus piktybinei hipertermijai, kuriai būdingi tokie simptomai kaip labai didelė kūno temperatūra ir raumenų sustingimas)</w:t>
      </w:r>
      <w:r>
        <w:rPr>
          <w:rFonts w:ascii="Times New Roman" w:eastAsia="Times New Roman" w:hAnsi="Times New Roman" w:cs="Times New Roman"/>
          <w:lang w:eastAsia="sl-SI"/>
        </w:rPr>
        <w:t>;</w:t>
      </w:r>
    </w:p>
    <w:p w:rsidR="00F5660E" w:rsidRPr="00C128D9" w:rsidRDefault="00F5660E" w:rsidP="00F5660E">
      <w:pPr>
        <w:numPr>
          <w:ilvl w:val="0"/>
          <w:numId w:val="3"/>
        </w:numPr>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sakubitril</w:t>
      </w:r>
      <w:r>
        <w:rPr>
          <w:rFonts w:ascii="Times New Roman" w:eastAsia="Times New Roman" w:hAnsi="Times New Roman" w:cs="Times New Roman"/>
          <w:lang w:eastAsia="sl-SI"/>
        </w:rPr>
        <w:t>a</w:t>
      </w:r>
      <w:r w:rsidRPr="00F132F8">
        <w:rPr>
          <w:rFonts w:ascii="Times New Roman" w:eastAsia="Times New Roman" w:hAnsi="Times New Roman" w:cs="Times New Roman"/>
          <w:lang w:eastAsia="sl-SI"/>
        </w:rPr>
        <w:t xml:space="preserve">s/valsartanas (vartojamas ilgalaikiam širdies nepakankamumui gydyti). Žr. skyrius „Tonarssa vartoti </w:t>
      </w:r>
      <w:r>
        <w:rPr>
          <w:rFonts w:ascii="Times New Roman" w:eastAsia="Times New Roman" w:hAnsi="Times New Roman" w:cs="Times New Roman"/>
          <w:lang w:eastAsia="sl-SI"/>
        </w:rPr>
        <w:t>draudžiama</w:t>
      </w:r>
      <w:r w:rsidRPr="00F132F8">
        <w:rPr>
          <w:rFonts w:ascii="Times New Roman" w:eastAsia="Times New Roman" w:hAnsi="Times New Roman" w:cs="Times New Roman"/>
          <w:lang w:eastAsia="sl-SI"/>
        </w:rPr>
        <w:t>“ ir „Įspėjimai ir atsargumo priemonės“.</w:t>
      </w:r>
    </w:p>
    <w:p w:rsidR="00F5660E" w:rsidRPr="00B077D8" w:rsidRDefault="00F5660E" w:rsidP="00F5660E">
      <w:pPr>
        <w:ind w:left="0" w:firstLine="0"/>
        <w:rPr>
          <w:rFonts w:ascii="Times New Roman" w:eastAsia="Times New Roman" w:hAnsi="Times New Roman" w:cs="Times New Roman"/>
          <w:lang w:eastAsia="sl-SI"/>
        </w:rPr>
      </w:pPr>
    </w:p>
    <w:p w:rsidR="00F5660E" w:rsidRPr="00B077D8" w:rsidRDefault="00F5660E" w:rsidP="00F5660E">
      <w:pPr>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Kiti vaistai gali daryti įtaką gydymui Tonarssa. Būtinai pasakykite gydytojui, kad vartojate kurį nors iš toliau išvardytų vaistų, nes Jums gali prireikti ypatingos priežiūros:</w:t>
      </w:r>
    </w:p>
    <w:p w:rsidR="00F5660E"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kiti vaistai nuo didelio kraujospūdžio, įskaitant diuretikus (vaistus, kurie didina inkstų išskiriamo šlapimo kiekį);</w:t>
      </w:r>
    </w:p>
    <w:p w:rsidR="00F5660E" w:rsidRPr="000808A7" w:rsidRDefault="00F5660E" w:rsidP="00F5660E">
      <w:pPr>
        <w:numPr>
          <w:ilvl w:val="0"/>
          <w:numId w:val="3"/>
        </w:numPr>
        <w:rPr>
          <w:rFonts w:ascii="Times New Roman" w:eastAsia="Times New Roman" w:hAnsi="Times New Roman" w:cs="Times New Roman"/>
          <w:lang w:eastAsia="sl-SI"/>
        </w:rPr>
      </w:pPr>
      <w:r w:rsidRPr="00F132F8">
        <w:rPr>
          <w:rFonts w:ascii="Times New Roman" w:eastAsia="Times New Roman" w:hAnsi="Times New Roman" w:cs="Times New Roman"/>
          <w:lang w:eastAsia="sl-SI"/>
        </w:rPr>
        <w:t>vaistai, kurie dažniausiai vartojami viduriavimui gydyti (racekadotrilis) arba išvengti persodintų organų atmetimo (sirolimuzas, everolimuzas, temsirolimuzas ir kiti vaistai, priklausantys vadinamųjų mTor inhibitorių klasei). Žr. skyrių „Įspėjimai ir atsargumo priemonės“;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nesteroidiniai vaistai nuo uždegimo (pvz., ibuprofenas) skausmui malšinti arba aspirinas didelėmis dozėmis;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vaistai cukriniam diabetui gydyti (pvz., insulinas, gliptinai);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vaistai psichikos sutrikimams, tokiems kaip depresija, nerimas, šizofrenija ir kt., gydyti (pvz., tricikliai antidepresantai, vaistai nuo psichozių, imipramino tipo antidepresantai, neuroleptikai);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imuninę sistemą slopinantys vaistai (vaistai, kurie susilpnina organizmo gynybos mechanizmą), vartojami autoimuniniams sutrikimams gydyti arba po organo persodinimo (pvz., ciklosporinas, takrolimuzas);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alopurinolis (vartojamas podagrai gydyti);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prokainamidas (vartojamas neritmiškam širdies plakimui gydyti);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kraujagysles plečiantys vaistai, įskaitant nitratus;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efedrinas, noradrenalinas ar adrenalinas (vaistai, vartojami mažam kraujospūdžiui, šokui ar astmai gydyti);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baklofenas, vartojamas raumenų sustingimui mažinti sergant tokiomis ligomis kaip išsėtinė sklerozė;</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kai kurie antibiotikai, tokie kaip rifampicinas, eritromicinas, klaritromicinas (vartojami bakterijų sukeltoms infekcinėms ligoms gydyti);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antiepilepsiniai vaistai, tokie kaip karbamazepinas, fenobarbitalis, fenitoinas, fosfenitoinas, primidonas;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itrakonazolas, ketokonazolas (vaistai, kuriais gydomos grybelių sukeltos infekcinės ligos);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alfa adrenoreceptorių blokatoriai, vartojami esant padidėjusiai prostatai, tokie kaip prazosinas, alfuzosinas, doksazosinas, tamsulozinas, terazosinas;</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amifostinas (vartojamas siekiant sustabdyti ar sumažinti šalutinį poveikį, kurį sukėlė vėžiui gydyti vartojami vaistai ar spindulinė terapija);</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kortikosteroidai (vartojami gydyti įvairiems sveikatos sutrikimams, įskaitant sunkią astmą ir reumatoidinį artritą);</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aukso druskos, ypač leidžiamos į veną (vartojamos reumatoidinio artrito simptomams lengvinti);</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ritonaviras, indinaviras, nelfinaviras (vadinamieji proteazės inhibitoriai, skirti ŽIV gydyti);</w:t>
      </w:r>
    </w:p>
    <w:p w:rsidR="00F5660E" w:rsidRPr="000E5E8A"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kalį organizme sulaikantys vaistai, vartojami širdies nepakankamumui gydyti (eplerenonas ir spironolaktonas, kai paros dozė yra 12,5–50 mg);</w:t>
      </w:r>
    </w:p>
    <w:p w:rsidR="00F5660E" w:rsidRPr="00B077D8" w:rsidRDefault="00F5660E" w:rsidP="00F5660E">
      <w:pPr>
        <w:numPr>
          <w:ilvl w:val="0"/>
          <w:numId w:val="3"/>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paprastųjų jonažolių augaliniai preparatai, vartojami depresijai gydyti</w:t>
      </w:r>
      <w:r>
        <w:rPr>
          <w:rFonts w:ascii="Times New Roman" w:eastAsia="Times New Roman" w:hAnsi="Times New Roman" w:cs="Times New Roman"/>
          <w:lang w:eastAsia="sl-SI"/>
        </w:rPr>
        <w:t>.</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vartojimas su maistu ir gėrimais</w:t>
      </w:r>
    </w:p>
    <w:p w:rsidR="00F5660E" w:rsidRPr="00B077D8" w:rsidRDefault="00F5660E" w:rsidP="00F5660E">
      <w:pPr>
        <w:widowControl w:val="0"/>
        <w:numPr>
          <w:ilvl w:val="12"/>
          <w:numId w:val="0"/>
        </w:numPr>
        <w:tabs>
          <w:tab w:val="left" w:pos="1290"/>
        </w:tabs>
        <w:ind w:right="-2"/>
        <w:rPr>
          <w:rFonts w:ascii="Times New Roman" w:eastAsia="Times New Roman" w:hAnsi="Times New Roman" w:cs="Times New Roman"/>
          <w:lang w:eastAsia="sl-SI"/>
        </w:rPr>
      </w:pPr>
    </w:p>
    <w:p w:rsidR="00F5660E" w:rsidRPr="00B077D8" w:rsidRDefault="00F5660E" w:rsidP="00F5660E">
      <w:pPr>
        <w:widowControl w:val="0"/>
        <w:numPr>
          <w:ilvl w:val="12"/>
          <w:numId w:val="0"/>
        </w:numPr>
        <w:tabs>
          <w:tab w:val="left" w:pos="1290"/>
        </w:tabs>
        <w:ind w:right="-2"/>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Žiūrėkite 3 skyrių.</w:t>
      </w:r>
    </w:p>
    <w:p w:rsidR="00F5660E" w:rsidRPr="00B077D8" w:rsidRDefault="00F5660E" w:rsidP="00F5660E">
      <w:pPr>
        <w:widowControl w:val="0"/>
        <w:numPr>
          <w:ilvl w:val="12"/>
          <w:numId w:val="0"/>
        </w:numPr>
        <w:tabs>
          <w:tab w:val="left" w:pos="1290"/>
        </w:tabs>
        <w:ind w:right="-2"/>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 xml:space="preserve">Žmonės, kurie vartoja </w:t>
      </w:r>
      <w:r w:rsidRPr="00B077D8">
        <w:rPr>
          <w:rFonts w:ascii="Times New Roman" w:eastAsia="Times New Roman" w:hAnsi="Times New Roman" w:cs="Times New Roman"/>
          <w:lang w:eastAsia="sl-SI"/>
        </w:rPr>
        <w:t>Tonarssa</w:t>
      </w:r>
      <w:r w:rsidRPr="00B077D8">
        <w:rPr>
          <w:rFonts w:ascii="Times New Roman" w:eastAsia="Calibri" w:hAnsi="Times New Roman" w:cs="Times New Roman"/>
          <w:lang w:eastAsia="sl-SI"/>
        </w:rPr>
        <w:t xml:space="preserve">, neturėtų vartoti greipfrutų sulčių ir greipfrutų. Greipfrutai ir greipfrutų sultys gali padidinti veikliosios medžiagos amlodipino kiekį kraujyje, o tai gali sukelti nenuspėjamą </w:t>
      </w:r>
      <w:r w:rsidRPr="00B077D8">
        <w:rPr>
          <w:rFonts w:ascii="Times New Roman" w:eastAsia="Times New Roman" w:hAnsi="Times New Roman" w:cs="Times New Roman"/>
          <w:lang w:eastAsia="sl-SI"/>
        </w:rPr>
        <w:t xml:space="preserve">Tonarssa </w:t>
      </w:r>
      <w:r w:rsidRPr="00B077D8">
        <w:rPr>
          <w:rFonts w:ascii="Times New Roman" w:eastAsia="Calibri" w:hAnsi="Times New Roman" w:cs="Times New Roman"/>
          <w:lang w:eastAsia="sl-SI"/>
        </w:rPr>
        <w:t>kraujospūdį mažinančio poveikio sustiprėjimą.</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Nėštumas ir žindymo laikotarpis</w:t>
      </w:r>
    </w:p>
    <w:p w:rsidR="00F5660E" w:rsidRPr="00B077D8" w:rsidRDefault="00F5660E" w:rsidP="00F5660E">
      <w:pPr>
        <w:widowControl w:val="0"/>
        <w:ind w:left="0" w:firstLine="0"/>
        <w:rPr>
          <w:rFonts w:ascii="Times New Roman" w:eastAsia="Times New Roman" w:hAnsi="Times New Roman" w:cs="Times New Roman"/>
          <w:b/>
          <w:lang w:eastAsia="sl-SI"/>
        </w:rPr>
      </w:pPr>
    </w:p>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Jeigu esate nėščia, žindote kūdikį, manote, kad galbūt esate nėščia, arba planuojate pastoti, tai prieš vartodama šį vaistą, pasitarkite su gydytoju arba vaistininku.</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Nėštumas</w:t>
      </w:r>
    </w:p>
    <w:p w:rsidR="00F5660E" w:rsidRPr="00B077D8" w:rsidRDefault="00F5660E" w:rsidP="00F5660E">
      <w:pPr>
        <w:ind w:left="0" w:firstLine="0"/>
        <w:rPr>
          <w:rFonts w:ascii="Times New Roman" w:eastAsia="Times New Roman" w:hAnsi="Times New Roman" w:cs="Times New Roman"/>
          <w:lang w:eastAsia="lt-LT"/>
        </w:rPr>
      </w:pPr>
      <w:r w:rsidRPr="00B077D8">
        <w:rPr>
          <w:rFonts w:ascii="Times New Roman" w:eastAsia="Times New Roman" w:hAnsi="Times New Roman" w:cs="Times New Roman"/>
          <w:lang w:eastAsia="lt-LT"/>
        </w:rPr>
        <w:t>Jeigu esate nėščia (</w:t>
      </w:r>
      <w:r w:rsidRPr="00B077D8">
        <w:rPr>
          <w:rFonts w:ascii="Times New Roman" w:eastAsia="Times New Roman" w:hAnsi="Times New Roman" w:cs="Times New Roman"/>
          <w:u w:val="single"/>
          <w:lang w:eastAsia="lt-LT"/>
        </w:rPr>
        <w:t>manote, kad galite būti pastojusi</w:t>
      </w:r>
      <w:r w:rsidRPr="00B077D8">
        <w:rPr>
          <w:rFonts w:ascii="Times New Roman" w:eastAsia="Times New Roman" w:hAnsi="Times New Roman" w:cs="Times New Roman"/>
          <w:lang w:eastAsia="lt-LT"/>
        </w:rPr>
        <w:t>), pasakykite apie tai gydytojui. Jūsų gydytojas lieps Jums nebevartoti vaisto prieš planuojant pastojimą arba iš karto sužinojus apie nėštumą ir paskirs kitą vaist</w:t>
      </w:r>
      <w:r>
        <w:rPr>
          <w:rFonts w:ascii="Times New Roman" w:eastAsia="Times New Roman" w:hAnsi="Times New Roman" w:cs="Times New Roman"/>
          <w:lang w:eastAsia="lt-LT"/>
        </w:rPr>
        <w:t>ą</w:t>
      </w:r>
      <w:r w:rsidRPr="00B077D8">
        <w:rPr>
          <w:rFonts w:ascii="Times New Roman" w:eastAsia="Times New Roman" w:hAnsi="Times New Roman" w:cs="Times New Roman"/>
          <w:lang w:eastAsia="lt-LT"/>
        </w:rPr>
        <w:t xml:space="preserve"> vietoje </w:t>
      </w:r>
      <w:r w:rsidRPr="00B077D8">
        <w:rPr>
          <w:rFonts w:ascii="Times New Roman" w:eastAsia="Times New Roman" w:hAnsi="Times New Roman" w:cs="Times New Roman"/>
          <w:lang w:eastAsia="sl-SI"/>
        </w:rPr>
        <w:t>Tonarssa</w:t>
      </w:r>
      <w:r w:rsidRPr="00B077D8">
        <w:rPr>
          <w:rFonts w:ascii="Times New Roman" w:eastAsia="Times New Roman" w:hAnsi="Times New Roman" w:cs="Times New Roman"/>
          <w:lang w:eastAsia="lt-LT"/>
        </w:rPr>
        <w:t xml:space="preserve">. </w:t>
      </w:r>
      <w:r w:rsidRPr="00B077D8">
        <w:rPr>
          <w:rFonts w:ascii="Times New Roman" w:eastAsia="Times New Roman" w:hAnsi="Times New Roman" w:cs="Times New Roman"/>
          <w:lang w:eastAsia="sl-SI"/>
        </w:rPr>
        <w:t>Tonarssa</w:t>
      </w:r>
      <w:r w:rsidRPr="00B077D8">
        <w:rPr>
          <w:rFonts w:ascii="Times New Roman" w:eastAsia="Times New Roman" w:hAnsi="Times New Roman" w:cs="Times New Roman"/>
          <w:lang w:eastAsia="lt-LT"/>
        </w:rPr>
        <w:t xml:space="preserve"> yra nerekomenduojamas ankstyvojo nėštumo laikotarpiu ir negali būti vartojamas, jei esate daugiau kaip tris mėnesius nėščia, nes tuomet jis gali labai pakenkti jūsų kūdikiui.</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u w:val="single"/>
          <w:lang w:eastAsia="sl-SI"/>
        </w:rPr>
      </w:pPr>
      <w:r w:rsidRPr="00B077D8">
        <w:rPr>
          <w:rFonts w:ascii="Times New Roman" w:eastAsia="Times New Roman" w:hAnsi="Times New Roman" w:cs="Times New Roman"/>
          <w:u w:val="single"/>
          <w:lang w:eastAsia="sl-SI"/>
        </w:rPr>
        <w:t>Žindymo laikotarpis</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771159">
        <w:rPr>
          <w:rFonts w:ascii="Times New Roman" w:eastAsia="Times New Roman" w:hAnsi="Times New Roman" w:cs="Times New Roman"/>
          <w:lang w:eastAsia="lt-LT"/>
        </w:rPr>
        <w:t xml:space="preserve">Nustatyta, kad </w:t>
      </w:r>
      <w:r w:rsidRPr="00771159">
        <w:rPr>
          <w:rFonts w:ascii="Times New Roman" w:eastAsia="Calibri" w:hAnsi="Times New Roman" w:cs="Times New Roman"/>
        </w:rPr>
        <w:t>nedidelis kiekis amlodipino</w:t>
      </w:r>
      <w:r w:rsidRPr="00771159">
        <w:rPr>
          <w:rFonts w:ascii="Calibri" w:eastAsia="Calibri" w:hAnsi="Calibri" w:cs="Times New Roman"/>
        </w:rPr>
        <w:t xml:space="preserve"> </w:t>
      </w:r>
      <w:r w:rsidRPr="00771159">
        <w:rPr>
          <w:rFonts w:ascii="Times New Roman" w:eastAsia="Times New Roman" w:hAnsi="Times New Roman" w:cs="Times New Roman"/>
          <w:lang w:eastAsia="lt-LT"/>
        </w:rPr>
        <w:t>patenka į motinos pieną</w:t>
      </w:r>
      <w:r>
        <w:rPr>
          <w:rFonts w:ascii="Times New Roman" w:eastAsia="Times New Roman" w:hAnsi="Times New Roman" w:cs="Times New Roman"/>
          <w:lang w:eastAsia="lt-LT"/>
        </w:rPr>
        <w:t>.</w:t>
      </w:r>
      <w:r w:rsidRPr="00B077D8">
        <w:rPr>
          <w:rFonts w:ascii="Times New Roman" w:eastAsia="Times New Roman" w:hAnsi="Times New Roman" w:cs="Times New Roman"/>
          <w:lang w:eastAsia="sl-SI"/>
        </w:rPr>
        <w:t xml:space="preserve"> Pasakykite savo gydytojui, jei maitinate krūtimi ar ruošiatės pradėti tai daryti. Tonarssa nerekomenduojamas krūtimi maitinančioms motinoms. Jei motina nori maitinti krūtimi, gydytojas gali paskirti kitą vaistą, ypač jei norima žindyti naujagimį arba prieš laiką gimusį kūdikį.</w:t>
      </w:r>
    </w:p>
    <w:p w:rsidR="00F5660E" w:rsidRPr="00B077D8" w:rsidRDefault="00F5660E" w:rsidP="00F5660E">
      <w:pPr>
        <w:widowControl w:val="0"/>
        <w:numPr>
          <w:ilvl w:val="12"/>
          <w:numId w:val="0"/>
        </w:numPr>
        <w:ind w:right="-2"/>
        <w:outlineLvl w:val="0"/>
        <w:rPr>
          <w:rFonts w:ascii="Times New Roman" w:eastAsia="Times New Roman" w:hAnsi="Times New Roman" w:cs="Times New Roman"/>
          <w:b/>
          <w:lang w:eastAsia="sl-SI"/>
        </w:rPr>
      </w:pPr>
    </w:p>
    <w:p w:rsidR="00F5660E" w:rsidRPr="00B077D8" w:rsidRDefault="00F5660E" w:rsidP="00F5660E">
      <w:pPr>
        <w:widowControl w:val="0"/>
        <w:numPr>
          <w:ilvl w:val="12"/>
          <w:numId w:val="0"/>
        </w:numPr>
        <w:ind w:right="-2"/>
        <w:outlineLvl w:val="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Vairavimas ir mechanizmų valdymas</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gali paveikti Jūsų gebėjimą vairuoti arba valdyti mechanizmus. Jeigu tabletės Jums sukelia pykinimą, svaigulį, silpnumą, nuovargį ar galvos skausmą, nevairuokite ar nevaldykite mechanizmų ir nedelsdami kreipkitės į gydytoją.</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Calibri" w:hAnsi="Times New Roman" w:cs="Times New Roman"/>
          <w:b/>
          <w:lang w:eastAsia="sl-SI"/>
        </w:rPr>
      </w:pPr>
      <w:r w:rsidRPr="00B077D8">
        <w:rPr>
          <w:rFonts w:ascii="Times New Roman" w:eastAsia="Calibri" w:hAnsi="Times New Roman" w:cs="Times New Roman"/>
          <w:b/>
          <w:lang w:eastAsia="sl-SI"/>
        </w:rPr>
        <w:t>Tonarssa sudėtyje yra natrio</w:t>
      </w:r>
    </w:p>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Šio vaisto dozėje yra mažiau nei 1 mmol (23 mg) natrio,</w:t>
      </w:r>
      <w:r w:rsidRPr="00B077D8">
        <w:rPr>
          <w:rFonts w:ascii="Times New Roman" w:eastAsia="Times New Roman" w:hAnsi="Times New Roman" w:cs="Times New Roman"/>
          <w:lang w:eastAsia="sl-SI"/>
        </w:rPr>
        <w:t xml:space="preserve"> t. y., jis beveik neturi reikšmės.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ind w:left="0" w:firstLine="0"/>
        <w:outlineLvl w:val="2"/>
        <w:rPr>
          <w:rFonts w:ascii="Times New Roman" w:eastAsia="Times New Roman" w:hAnsi="Times New Roman" w:cs="Times New Roman"/>
          <w:b/>
          <w:lang w:eastAsia="sl-SI"/>
        </w:rPr>
      </w:pPr>
      <w:bookmarkStart w:id="6" w:name="_Toc129243266"/>
      <w:bookmarkStart w:id="7" w:name="_Toc129243141"/>
      <w:r w:rsidRPr="00B077D8">
        <w:rPr>
          <w:rFonts w:ascii="Times New Roman" w:eastAsia="Times New Roman" w:hAnsi="Times New Roman" w:cs="Times New Roman"/>
          <w:b/>
          <w:lang w:eastAsia="sl-SI"/>
        </w:rPr>
        <w:t>3.</w:t>
      </w:r>
      <w:r w:rsidRPr="00B077D8">
        <w:rPr>
          <w:rFonts w:ascii="Times New Roman" w:eastAsia="Times New Roman" w:hAnsi="Times New Roman" w:cs="Times New Roman"/>
          <w:lang w:eastAsia="sl-SI"/>
        </w:rPr>
        <w:tab/>
      </w:r>
      <w:r w:rsidRPr="00B077D8">
        <w:rPr>
          <w:rFonts w:ascii="Times New Roman" w:eastAsia="Times New Roman" w:hAnsi="Times New Roman" w:cs="Times New Roman"/>
          <w:b/>
          <w:lang w:eastAsia="sl-SI"/>
        </w:rPr>
        <w:t>Kaip vartoti Tonarssa</w:t>
      </w:r>
    </w:p>
    <w:bookmarkEnd w:id="6"/>
    <w:bookmarkEnd w:id="7"/>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Visada vartokite šį vaistą tiksliai kaip nurodė gydytojas arba vaistininkas. Jeigu abejojate, kreipkitės į gydytoją arba vaistininką.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Rekomenduojama dozė yra viena Tonarssa 2,85 mg/2,5 mg tabletė kartą per parą.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yra vidutinio sunkumo inkstų funkcijos sutrikimas, gydymo pradžioje gydytojas Jums gali nurodyti gerti po vieną Tonarssa 2,85 mg/2,5 mg tabletę kas antrą parą.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Priklausomai nuo Jūsų reakcijos į gydymą gydytojas, jei reikia, po vieno mėnesio gali nuspręsti padidinti Jūsų vartojamą dozę iki Tonarssa 5,7 mg/5 mg kartą per parą.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Viena Tonarssa 5,7 mg/5 mg tabletė kartą per parą yra didžiausia rekomenduojama dozė gydant didelio kraujospūdžio ligą.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Tabletę geriausia gerti kasdien tuo pačiu metu ryte, prieš valgį.</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Neviršykite Jums skirtos dozės.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Ką daryti pavartojus per didelę Tonarssa dozę</w:t>
      </w: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išgėrėte per daug tablečių, nedelsdami kreipkitės į artimiausią skubios pagalbos skyrių arba savo gydytoją. Perdozavus labiausiai tikėtinas poveikis yra kraujospūdžio sumažėjimas, todėl galite pajusti galvos svaigimą arba nualpti. Jei taip atsitinka, gali būti naudinga atsigulti ir kojas pakelti aukštyn.</w:t>
      </w:r>
    </w:p>
    <w:p w:rsidR="00F5660E" w:rsidRDefault="00F5660E" w:rsidP="00F5660E">
      <w:pPr>
        <w:widowControl w:val="0"/>
        <w:ind w:left="0" w:firstLine="0"/>
        <w:rPr>
          <w:rFonts w:ascii="Times New Roman" w:eastAsia="Calibri" w:hAnsi="Times New Roman" w:cs="Times New Roman"/>
          <w:lang w:eastAsia="sl-SI"/>
        </w:rPr>
      </w:pPr>
    </w:p>
    <w:p w:rsidR="00F5660E" w:rsidRDefault="00F5660E" w:rsidP="00F5660E">
      <w:pPr>
        <w:widowControl w:val="0"/>
        <w:ind w:left="0" w:firstLine="0"/>
        <w:rPr>
          <w:rFonts w:ascii="Times New Roman" w:eastAsia="Calibri" w:hAnsi="Times New Roman" w:cs="Times New Roman"/>
          <w:lang w:eastAsia="sl-SI"/>
        </w:rPr>
      </w:pPr>
      <w:r w:rsidRPr="00FF380F">
        <w:rPr>
          <w:rFonts w:ascii="Times New Roman" w:hAnsi="Times New Roman"/>
        </w:rPr>
        <w:t>Jūsų plaučiuose gali kauptis skystis (plaučių edema), sukeldamas dusulį, kuris gali išsivystyti per 24 – 48 valandas nuo vaisto pavartojimo.</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Pamiršus pavartoti Tonarssa</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Svarbu, kad vaistą išgertumėte kasdien, nes reguliarus gydymas yra veiksmingesnis. Vis dėlto jeigu užmiršote išgerti Tonarssa, kitą dozę išgerkite įprastu metu. Negalima vartoti dvigubos dozės norint kompensuoti praleistą dozę.</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Nustojus vartoti Tonarssa</w:t>
      </w:r>
    </w:p>
    <w:p w:rsidR="00F5660E" w:rsidRPr="00B077D8" w:rsidRDefault="00F5660E" w:rsidP="00F5660E">
      <w:pPr>
        <w:widowControl w:val="0"/>
        <w:autoSpaceDE w:val="0"/>
        <w:autoSpaceDN w:val="0"/>
        <w:adjustRightInd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Kadangi paprastai gydymas Tonarssa trunka  visą gyvenimą, Jūs turėtumėte pasikalbėti su savo gydytoju prieš nutraukdami šio vaisto vartojimą.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kiltų daugiau klausimų dėl šio vaisto vartojimo, kreipkitės į gydytoją arba vaistininką.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outlineLvl w:val="1"/>
        <w:rPr>
          <w:rFonts w:ascii="Times New Roman" w:eastAsia="Times New Roman" w:hAnsi="Times New Roman" w:cs="Times New Roman"/>
          <w:b/>
          <w:lang w:eastAsia="sl-SI"/>
        </w:rPr>
      </w:pPr>
      <w:bookmarkStart w:id="8" w:name="_Toc129243267"/>
      <w:bookmarkStart w:id="9" w:name="_Toc129243142"/>
      <w:r w:rsidRPr="00B077D8">
        <w:rPr>
          <w:rFonts w:ascii="Times New Roman" w:eastAsia="Times New Roman" w:hAnsi="Times New Roman" w:cs="Times New Roman"/>
          <w:b/>
          <w:lang w:eastAsia="sl-SI"/>
        </w:rPr>
        <w:t>4.</w:t>
      </w:r>
      <w:r w:rsidRPr="00B077D8">
        <w:rPr>
          <w:rFonts w:ascii="Times New Roman" w:eastAsia="Times New Roman" w:hAnsi="Times New Roman" w:cs="Times New Roman"/>
          <w:b/>
          <w:lang w:eastAsia="sl-SI"/>
        </w:rPr>
        <w:tab/>
      </w:r>
      <w:bookmarkEnd w:id="8"/>
      <w:bookmarkEnd w:id="9"/>
      <w:r w:rsidRPr="00B077D8">
        <w:rPr>
          <w:rFonts w:ascii="Times New Roman" w:eastAsia="Times New Roman" w:hAnsi="Times New Roman" w:cs="Times New Roman"/>
          <w:b/>
          <w:lang w:eastAsia="sl-SI"/>
        </w:rPr>
        <w:t>Galimas šalutinis poveikis</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Šis vaistas, kaip ir visi kiti, gali sukelti šalutinį poveikį, nors jis pasireiškia ne visiems žmonėms.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Jeigu Jums pasireiškė bet kuris toliau paminėtas šalutinis poveikis, kuris gali būti sunkus, nutraukite vaisto vartojimą ir nedelsdami kreipkitės į gydytoją:</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staiga pasireiškęs švokštimas, skausmas krūtinėje, dusulys, kvėpavimo pasunkėjimas (bronchų spazmas) (nedažnas – gali pasireikšti rečiau kaip 1 iš 100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akių vokų, veido ar lūpų patinimas (</w:t>
      </w:r>
      <w:bookmarkStart w:id="10" w:name="_Hlk97120118"/>
      <w:r>
        <w:rPr>
          <w:rFonts w:ascii="Times New Roman" w:eastAsia="Times New Roman" w:hAnsi="Times New Roman" w:cs="Times New Roman"/>
          <w:lang w:eastAsia="sl-SI"/>
        </w:rPr>
        <w:t>ned</w:t>
      </w:r>
      <w:r w:rsidRPr="002A52A1">
        <w:rPr>
          <w:rFonts w:ascii="Times New Roman" w:eastAsia="Times New Roman" w:hAnsi="Times New Roman" w:cs="Times New Roman"/>
          <w:lang w:eastAsia="sl-SI"/>
        </w:rPr>
        <w:t>ažni šalutinio poveikio reiškiniai</w:t>
      </w:r>
      <w:bookmarkEnd w:id="10"/>
      <w:r w:rsidRPr="00B077D8">
        <w:rPr>
          <w:rFonts w:ascii="Times New Roman" w:eastAsia="Times New Roman" w:hAnsi="Times New Roman" w:cs="Times New Roman"/>
          <w:lang w:eastAsia="sl-SI"/>
        </w:rPr>
        <w:t xml:space="preserve"> – gali pasireikšti rečiau kaip 1 iš 100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liežuvio ir gerklų patinimas, kuris labai apsunkina kvėpavimą (angioneurozinė edema) (</w:t>
      </w:r>
      <w:r w:rsidRPr="002A52A1">
        <w:rPr>
          <w:rFonts w:ascii="Times New Roman" w:eastAsia="Times New Roman" w:hAnsi="Times New Roman" w:cs="Times New Roman"/>
          <w:lang w:eastAsia="sl-SI"/>
        </w:rPr>
        <w:t>nedažni 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sunkios odos reakcijos, įskaitant intensyvų odos išbėrimą, dilgėlinę, viso kūno odos paraudimą, sunkų niežėjimą (daugiaformė raudonė) (labai ret</w:t>
      </w:r>
      <w:r>
        <w:rPr>
          <w:rFonts w:ascii="Times New Roman" w:eastAsia="Times New Roman" w:hAnsi="Times New Roman" w:cs="Times New Roman"/>
          <w:lang w:eastAsia="sl-SI"/>
        </w:rPr>
        <w:t>i</w:t>
      </w:r>
      <w:r w:rsidRPr="002A52A1">
        <w:rPr>
          <w:rFonts w:ascii="Times New Roman" w:eastAsia="Times New Roman" w:hAnsi="Times New Roman" w:cs="Times New Roman"/>
          <w:lang w:eastAsia="sl-SI"/>
        </w:rPr>
        <w:t xml:space="preserve"> 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 odos pūslių atsiradimą, lupimąsi ir tinimą (eksfoliacinis dermatitas) (labai ret</w:t>
      </w:r>
      <w:r>
        <w:rPr>
          <w:rFonts w:ascii="Times New Roman" w:eastAsia="Times New Roman" w:hAnsi="Times New Roman" w:cs="Times New Roman"/>
          <w:lang w:eastAsia="sl-SI"/>
        </w:rPr>
        <w:t xml:space="preserve">i </w:t>
      </w:r>
      <w:r w:rsidRPr="002A52A1">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 gleivinių uždegimą (Stivenso</w:t>
      </w:r>
      <w:r>
        <w:rPr>
          <w:rFonts w:ascii="Times New Roman" w:eastAsia="Times New Roman" w:hAnsi="Times New Roman" w:cs="Times New Roman"/>
          <w:lang w:eastAsia="sl-SI"/>
        </w:rPr>
        <w:t>-</w:t>
      </w:r>
      <w:r w:rsidRPr="00B077D8">
        <w:rPr>
          <w:rFonts w:ascii="Times New Roman" w:eastAsia="Times New Roman" w:hAnsi="Times New Roman" w:cs="Times New Roman"/>
          <w:lang w:eastAsia="sl-SI"/>
        </w:rPr>
        <w:t xml:space="preserve">Džonsono </w:t>
      </w:r>
      <w:r>
        <w:rPr>
          <w:rFonts w:ascii="Times New Roman" w:eastAsia="Times New Roman" w:hAnsi="Times New Roman" w:cs="Times New Roman"/>
          <w:lang w:eastAsia="sl-SI"/>
        </w:rPr>
        <w:t>(</w:t>
      </w:r>
      <w:r w:rsidRPr="00FF380F">
        <w:rPr>
          <w:rFonts w:ascii="Times New Roman" w:eastAsia="Times New Roman" w:hAnsi="Times New Roman" w:cs="Times New Roman"/>
          <w:i/>
          <w:iCs/>
          <w:lang w:eastAsia="sl-SI"/>
        </w:rPr>
        <w:t>Stevens-Johnson</w:t>
      </w:r>
      <w:r>
        <w:rPr>
          <w:rFonts w:ascii="Times New Roman" w:eastAsia="Times New Roman" w:hAnsi="Times New Roman" w:cs="Times New Roman"/>
          <w:lang w:eastAsia="sl-SI"/>
        </w:rPr>
        <w:t xml:space="preserve">) </w:t>
      </w:r>
      <w:r w:rsidRPr="006812BB">
        <w:rPr>
          <w:rFonts w:ascii="Times New Roman" w:eastAsia="Times New Roman" w:hAnsi="Times New Roman" w:cs="Times New Roman"/>
          <w:lang w:eastAsia="sl-SI"/>
        </w:rPr>
        <w:t>sindromas</w:t>
      </w:r>
      <w:r>
        <w:rPr>
          <w:rFonts w:ascii="Times New Roman" w:eastAsia="Times New Roman" w:hAnsi="Times New Roman" w:cs="Times New Roman"/>
          <w:lang w:eastAsia="sl-SI"/>
        </w:rPr>
        <w:t>)</w:t>
      </w:r>
      <w:r w:rsidRPr="006812BB">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(labai ret</w:t>
      </w:r>
      <w:r>
        <w:rPr>
          <w:rFonts w:ascii="Times New Roman" w:eastAsia="Times New Roman" w:hAnsi="Times New Roman" w:cs="Times New Roman"/>
          <w:lang w:eastAsia="sl-SI"/>
        </w:rPr>
        <w:t xml:space="preserve">i </w:t>
      </w:r>
      <w:r w:rsidRPr="002A52A1">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r>
        <w:rPr>
          <w:rFonts w:ascii="Times New Roman" w:eastAsia="Times New Roman" w:hAnsi="Times New Roman" w:cs="Times New Roman"/>
          <w:lang w:eastAsia="sl-SI"/>
        </w:rPr>
        <w:t xml:space="preserve"> ir </w:t>
      </w:r>
      <w:r w:rsidRPr="00771159">
        <w:rPr>
          <w:rFonts w:ascii="Times New Roman" w:eastAsia="Times New Roman" w:hAnsi="Times New Roman" w:cs="Times New Roman"/>
          <w:lang w:eastAsia="sl-SI"/>
        </w:rPr>
        <w:t>toksinė epidermio nekrolizė) (</w:t>
      </w:r>
      <w:r>
        <w:rPr>
          <w:rFonts w:ascii="Times New Roman" w:eastAsia="Times New Roman" w:hAnsi="Times New Roman" w:cs="Times New Roman"/>
          <w:lang w:eastAsia="sl-SI"/>
        </w:rPr>
        <w:t xml:space="preserve">šalutinio poveikio reiškiniai, kurių dažnis nežinomas – </w:t>
      </w:r>
      <w:r w:rsidRPr="00771159">
        <w:rPr>
          <w:rFonts w:ascii="Times New Roman" w:eastAsia="Times New Roman" w:hAnsi="Times New Roman" w:cs="Times New Roman"/>
          <w:lang w:eastAsia="sl-SI"/>
        </w:rPr>
        <w:t xml:space="preserve">negali būti apskaičiuotas pagal turimus duomenis) </w:t>
      </w:r>
      <w:r w:rsidRPr="00B077D8">
        <w:rPr>
          <w:rFonts w:ascii="Times New Roman" w:eastAsia="Times New Roman" w:hAnsi="Times New Roman" w:cs="Times New Roman"/>
          <w:lang w:eastAsia="sl-SI"/>
        </w:rPr>
        <w:t>arba kitas alergines reakcijas (</w:t>
      </w:r>
      <w:r w:rsidRPr="00B70E23">
        <w:rPr>
          <w:rFonts w:ascii="Times New Roman" w:eastAsia="Times New Roman" w:hAnsi="Times New Roman" w:cs="Times New Roman"/>
          <w:lang w:eastAsia="sl-SI"/>
        </w:rPr>
        <w:t>nedažni 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stiprus svaigulys ar alpimas dėl mažo kraujospūdžio (</w:t>
      </w:r>
      <w:r w:rsidRPr="00B70E23">
        <w:rPr>
          <w:rFonts w:ascii="Times New Roman" w:eastAsia="Times New Roman" w:hAnsi="Times New Roman" w:cs="Times New Roman"/>
          <w:lang w:eastAsia="sl-SI"/>
        </w:rPr>
        <w:t>dažni 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rankų ar kojų silpnumas ar kalbos pasunkėjimas – tai gali būti insulto požymis (labai ret</w:t>
      </w:r>
      <w:r>
        <w:rPr>
          <w:rFonts w:ascii="Times New Roman" w:eastAsia="Times New Roman" w:hAnsi="Times New Roman" w:cs="Times New Roman"/>
          <w:lang w:eastAsia="sl-SI"/>
        </w:rPr>
        <w:t>i</w:t>
      </w:r>
      <w:r w:rsidRPr="00B077D8">
        <w:rPr>
          <w:rFonts w:ascii="Times New Roman" w:eastAsia="Times New Roman" w:hAnsi="Times New Roman" w:cs="Times New Roman"/>
          <w:lang w:eastAsia="sl-SI"/>
        </w:rPr>
        <w:t xml:space="preserve"> </w:t>
      </w:r>
      <w:r w:rsidRPr="00B70E23">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širdies priepuolis, krūtinės skausmas (angina) (labai ret</w:t>
      </w:r>
      <w:r>
        <w:rPr>
          <w:rFonts w:ascii="Times New Roman" w:eastAsia="Times New Roman" w:hAnsi="Times New Roman" w:cs="Times New Roman"/>
          <w:lang w:eastAsia="sl-SI"/>
        </w:rPr>
        <w:t xml:space="preserve">i </w:t>
      </w:r>
      <w:r w:rsidRPr="00B70E23">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 neįprastai dažnas ar nenormalus širdies plakimas (</w:t>
      </w:r>
      <w:r w:rsidRPr="00B70E23">
        <w:rPr>
          <w:rFonts w:ascii="Times New Roman" w:eastAsia="Times New Roman" w:hAnsi="Times New Roman" w:cs="Times New Roman"/>
          <w:lang w:eastAsia="sl-SI"/>
        </w:rPr>
        <w:t>dažni 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kasos uždegimas, kuris gali sukelti stiprų pilvo ir nugaros skausmą kartu su labai bloga bendrąja savijauta (labai ret</w:t>
      </w:r>
      <w:r>
        <w:rPr>
          <w:rFonts w:ascii="Times New Roman" w:eastAsia="Times New Roman" w:hAnsi="Times New Roman" w:cs="Times New Roman"/>
          <w:lang w:eastAsia="sl-SI"/>
        </w:rPr>
        <w:t>i</w:t>
      </w:r>
      <w:r w:rsidRPr="00B70E23">
        <w:rPr>
          <w:rFonts w:ascii="Times New Roman" w:eastAsia="Times New Roman" w:hAnsi="Times New Roman" w:cs="Times New Roman"/>
          <w:lang w:eastAsia="sl-SI"/>
        </w:rPr>
        <w:t xml:space="preserve"> 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9"/>
        </w:numPr>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odos ar akių pageltimas (gelta), kuris gali būti kepenų uždegimo požymis (labai ret</w:t>
      </w:r>
      <w:r>
        <w:rPr>
          <w:rFonts w:ascii="Times New Roman" w:eastAsia="Times New Roman" w:hAnsi="Times New Roman" w:cs="Times New Roman"/>
          <w:lang w:eastAsia="sl-SI"/>
        </w:rPr>
        <w:t xml:space="preserve">i </w:t>
      </w:r>
      <w:r w:rsidRPr="00E17C74">
        <w:rPr>
          <w:rFonts w:ascii="Times New Roman" w:eastAsia="Times New Roman" w:hAnsi="Times New Roman" w:cs="Times New Roman"/>
          <w:lang w:eastAsia="sl-SI"/>
        </w:rPr>
        <w:t>šalutinio poveikio reiškiniai</w:t>
      </w:r>
      <w:r w:rsidRPr="00B077D8">
        <w:rPr>
          <w:rFonts w:ascii="Times New Roman" w:eastAsia="Times New Roman" w:hAnsi="Times New Roman" w:cs="Times New Roman"/>
          <w:lang w:eastAsia="sl-SI"/>
        </w:rPr>
        <w:t xml:space="preserve"> – gali pasireikšti rečiau</w:t>
      </w:r>
      <w:r>
        <w:rPr>
          <w:rFonts w:ascii="Times New Roman" w:eastAsia="Times New Roman" w:hAnsi="Times New Roman" w:cs="Times New Roman"/>
          <w:lang w:eastAsia="sl-SI"/>
        </w:rPr>
        <w:t xml:space="preserve"> </w:t>
      </w:r>
      <w:r w:rsidRPr="00B077D8">
        <w:rPr>
          <w:rFonts w:ascii="Times New Roman" w:eastAsia="Times New Roman" w:hAnsi="Times New Roman" w:cs="Times New Roman"/>
          <w:lang w:eastAsia="sl-SI"/>
        </w:rPr>
        <w:t xml:space="preserve">kaip 1 iš 10 000 </w:t>
      </w:r>
      <w:r>
        <w:rPr>
          <w:rFonts w:ascii="Times New Roman" w:eastAsia="Times New Roman" w:hAnsi="Times New Roman" w:cs="Times New Roman"/>
          <w:lang w:eastAsia="sl-SI"/>
        </w:rPr>
        <w:t>asmenų</w:t>
      </w:r>
      <w:r w:rsidRPr="00B077D8">
        <w:rPr>
          <w:rFonts w:ascii="Times New Roman" w:eastAsia="Times New Roman" w:hAnsi="Times New Roman" w:cs="Times New Roman"/>
          <w:lang w:eastAsia="sl-SI"/>
        </w:rPr>
        <w:t>).</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Toliau išvardytas </w:t>
      </w:r>
      <w:r w:rsidRPr="00B077D8">
        <w:rPr>
          <w:rFonts w:ascii="Times New Roman" w:eastAsia="Times New Roman" w:hAnsi="Times New Roman" w:cs="Times New Roman"/>
          <w:b/>
          <w:lang w:eastAsia="sl-SI"/>
        </w:rPr>
        <w:t>šalutinis poveikis</w:t>
      </w:r>
      <w:r w:rsidRPr="00B077D8">
        <w:rPr>
          <w:rFonts w:ascii="Times New Roman" w:eastAsia="Times New Roman" w:hAnsi="Times New Roman" w:cs="Times New Roman"/>
          <w:lang w:eastAsia="sl-SI"/>
        </w:rPr>
        <w:t xml:space="preserve"> nustatytas pacientams, gydytiems Tonarssa. Jeigu bet kuris paminėtas poveikis Jums kelia problemų, turite </w:t>
      </w:r>
      <w:r w:rsidRPr="00B077D8">
        <w:rPr>
          <w:rFonts w:ascii="Times New Roman" w:eastAsia="Times New Roman" w:hAnsi="Times New Roman" w:cs="Times New Roman"/>
          <w:b/>
          <w:lang w:eastAsia="sl-SI"/>
        </w:rPr>
        <w:t>kreiptis į savo gydytoją</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sidRPr="00B077D8">
        <w:rPr>
          <w:rFonts w:ascii="Times New Roman" w:eastAsia="Times New Roman" w:hAnsi="Times New Roman" w:cs="Times New Roman"/>
          <w:u w:val="single"/>
          <w:lang w:eastAsia="sl-SI"/>
        </w:rPr>
        <w:t>Dažn</w:t>
      </w:r>
      <w:r w:rsidRPr="00E17C74">
        <w:rPr>
          <w:rFonts w:ascii="Times New Roman" w:eastAsia="Times New Roman" w:hAnsi="Times New Roman" w:cs="Times New Roman"/>
          <w:u w:val="single"/>
          <w:lang w:eastAsia="sl-SI"/>
        </w:rPr>
        <w:t>i šalutinio poveikio reiškiniai</w:t>
      </w:r>
      <w:r w:rsidRPr="00B077D8">
        <w:rPr>
          <w:rFonts w:ascii="Times New Roman" w:eastAsia="Times New Roman" w:hAnsi="Times New Roman" w:cs="Times New Roman"/>
          <w:u w:val="single"/>
          <w:lang w:eastAsia="sl-SI"/>
        </w:rPr>
        <w:t xml:space="preserve"> (gali pasireikšti rečiau</w:t>
      </w:r>
      <w:r>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u w:val="single"/>
          <w:lang w:eastAsia="sl-SI"/>
        </w:rPr>
        <w:t xml:space="preserve">kaip 1 iš 10 </w:t>
      </w:r>
      <w:r w:rsidRPr="00E33D1B">
        <w:rPr>
          <w:rFonts w:ascii="Times New Roman" w:eastAsia="Times New Roman" w:hAnsi="Times New Roman" w:cs="Times New Roman"/>
          <w:u w:val="single"/>
          <w:lang w:eastAsia="sl-SI"/>
        </w:rPr>
        <w:t>asmenų</w:t>
      </w:r>
      <w:r w:rsidRPr="00B077D8">
        <w:rPr>
          <w:rFonts w:ascii="Times New Roman" w:eastAsia="Times New Roman" w:hAnsi="Times New Roman" w:cs="Times New Roman"/>
          <w:u w:val="single"/>
          <w:lang w:eastAsia="sl-SI"/>
        </w:rPr>
        <w:t>)</w:t>
      </w:r>
      <w:r w:rsidRPr="00B077D8">
        <w:rPr>
          <w:rFonts w:ascii="Times New Roman" w:eastAsia="Times New Roman" w:hAnsi="Times New Roman" w:cs="Times New Roman"/>
          <w:lang w:eastAsia="sl-SI"/>
        </w:rPr>
        <w:t>: alpulys, kosulys, patinimas (skysčių susilaikymas).</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Pr>
          <w:rFonts w:ascii="Times New Roman" w:eastAsia="Times New Roman" w:hAnsi="Times New Roman" w:cs="Times New Roman"/>
          <w:u w:val="single"/>
          <w:lang w:eastAsia="sl-SI"/>
        </w:rPr>
        <w:t>N</w:t>
      </w:r>
      <w:r w:rsidRPr="00E17C74">
        <w:rPr>
          <w:rFonts w:ascii="Times New Roman" w:eastAsia="Times New Roman" w:hAnsi="Times New Roman" w:cs="Times New Roman"/>
          <w:u w:val="single"/>
          <w:lang w:eastAsia="sl-SI"/>
        </w:rPr>
        <w:t>edažni šalutinio poveikio reiškiniai</w:t>
      </w:r>
      <w:r w:rsidRPr="00E17C74" w:rsidDel="00E17C74">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u w:val="single"/>
          <w:lang w:eastAsia="sl-SI"/>
        </w:rPr>
        <w:t xml:space="preserve">(gali </w:t>
      </w:r>
      <w:r w:rsidRPr="00EA1C91">
        <w:rPr>
          <w:rFonts w:ascii="Times New Roman" w:eastAsia="Times New Roman" w:hAnsi="Times New Roman" w:cs="Times New Roman"/>
          <w:u w:val="single"/>
          <w:lang w:eastAsia="sl-SI"/>
        </w:rPr>
        <w:t xml:space="preserve">pasireikšti </w:t>
      </w:r>
      <w:r w:rsidRPr="00771159">
        <w:rPr>
          <w:rFonts w:ascii="Times New Roman" w:eastAsia="Times New Roman" w:hAnsi="Times New Roman" w:cs="Times New Roman"/>
          <w:u w:val="single"/>
          <w:lang w:eastAsia="sl-SI"/>
        </w:rPr>
        <w:t xml:space="preserve">rečiau </w:t>
      </w:r>
      <w:r w:rsidRPr="00EA1C91">
        <w:rPr>
          <w:rFonts w:ascii="Times New Roman" w:eastAsia="Times New Roman" w:hAnsi="Times New Roman" w:cs="Times New Roman"/>
          <w:u w:val="single"/>
          <w:lang w:eastAsia="sl-SI"/>
        </w:rPr>
        <w:t>kaip</w:t>
      </w:r>
      <w:r w:rsidRPr="00B077D8">
        <w:rPr>
          <w:rFonts w:ascii="Times New Roman" w:eastAsia="Times New Roman" w:hAnsi="Times New Roman" w:cs="Times New Roman"/>
          <w:u w:val="single"/>
          <w:lang w:eastAsia="sl-SI"/>
        </w:rPr>
        <w:t xml:space="preserve"> 1 iš 100 </w:t>
      </w:r>
      <w:r w:rsidRPr="00E33D1B">
        <w:rPr>
          <w:rFonts w:ascii="Times New Roman" w:eastAsia="Times New Roman" w:hAnsi="Times New Roman" w:cs="Times New Roman"/>
          <w:u w:val="single"/>
          <w:lang w:eastAsia="sl-SI"/>
        </w:rPr>
        <w:t>asmenų</w:t>
      </w:r>
      <w:r w:rsidRPr="00B077D8">
        <w:rPr>
          <w:rFonts w:ascii="Times New Roman" w:eastAsia="Times New Roman" w:hAnsi="Times New Roman" w:cs="Times New Roman"/>
          <w:u w:val="single"/>
          <w:lang w:eastAsia="sl-SI"/>
        </w:rPr>
        <w:t>)</w:t>
      </w:r>
      <w:r w:rsidRPr="00B077D8">
        <w:rPr>
          <w:rFonts w:ascii="Times New Roman" w:eastAsia="Times New Roman" w:hAnsi="Times New Roman" w:cs="Times New Roman"/>
          <w:lang w:eastAsia="sl-SI"/>
        </w:rPr>
        <w:t>: didelis kalio kiekis kraujyje, galintis sukelti nenormalų širdies plakimą (hiperkalemija), per didelis cukraus kiekis kraujyje (hiperglikemija), nuovargis.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Toliau išvardytas šalutinis poveikis nusta</w:t>
      </w:r>
      <w:r>
        <w:rPr>
          <w:rFonts w:ascii="Times New Roman" w:eastAsia="Times New Roman" w:hAnsi="Times New Roman" w:cs="Times New Roman"/>
          <w:lang w:eastAsia="sl-SI"/>
        </w:rPr>
        <w:t>t</w:t>
      </w:r>
      <w:r w:rsidRPr="00B077D8">
        <w:rPr>
          <w:rFonts w:ascii="Times New Roman" w:eastAsia="Times New Roman" w:hAnsi="Times New Roman" w:cs="Times New Roman"/>
          <w:lang w:eastAsia="sl-SI"/>
        </w:rPr>
        <w:t>ytas pacientams vartojant perindoprilį ar amlodipiną ir nebuvo pastebėtas vartojant Tonarssa, arba vartojant perindoprilį ar amlodipiną jo dažnis buvo didesnis. Toks šalutinis poveikis gali pasireikšti ir vartojant Tonarssa. Jeigu bet kuris paminėtas poveikis Jums kelia problemų, turite kreiptis į savo gydytoją.</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Labai dažni šalutinio poveikio reiškiniai (gali pasireikšti ne rečiau kaip 1 iš 10 asmenų):</w:t>
      </w:r>
      <w:r>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lang w:eastAsia="sl-SI"/>
        </w:rPr>
        <w:t>patinimas (skysčių susilaikymas).</w:t>
      </w:r>
    </w:p>
    <w:p w:rsidR="00F5660E" w:rsidRPr="00B077D8" w:rsidRDefault="00F5660E" w:rsidP="00F5660E">
      <w:pPr>
        <w:widowControl w:val="0"/>
        <w:numPr>
          <w:ilvl w:val="0"/>
          <w:numId w:val="6"/>
        </w:numPr>
        <w:rPr>
          <w:rFonts w:ascii="Times New Roman" w:eastAsia="Times New Roman" w:hAnsi="Times New Roman" w:cs="Times New Roman"/>
          <w:lang w:eastAsia="sl-SI"/>
        </w:rPr>
      </w:pPr>
      <w:bookmarkStart w:id="11" w:name="_Hlk97120080"/>
      <w:r w:rsidRPr="00E33D1B">
        <w:rPr>
          <w:rFonts w:ascii="Times New Roman" w:eastAsia="Times New Roman" w:hAnsi="Times New Roman" w:cs="Times New Roman"/>
          <w:u w:val="single"/>
          <w:lang w:eastAsia="sl-SI"/>
        </w:rPr>
        <w:t xml:space="preserve">Dažni šalutinio poveikio reiškiniai </w:t>
      </w:r>
      <w:bookmarkEnd w:id="11"/>
      <w:r w:rsidRPr="00E33D1B">
        <w:rPr>
          <w:rFonts w:ascii="Times New Roman" w:eastAsia="Times New Roman" w:hAnsi="Times New Roman" w:cs="Times New Roman"/>
          <w:u w:val="single"/>
          <w:lang w:eastAsia="sl-SI"/>
        </w:rPr>
        <w:t>(gali pasireikšti rečiau kaip 1 iš 10 asmenų)</w:t>
      </w:r>
      <w:r>
        <w:rPr>
          <w:rFonts w:ascii="Times New Roman" w:eastAsia="Times New Roman" w:hAnsi="Times New Roman" w:cs="Times New Roman"/>
          <w:u w:val="single"/>
          <w:lang w:eastAsia="sl-SI"/>
        </w:rPr>
        <w:t>:</w:t>
      </w:r>
      <w:r w:rsidRPr="00B077D8">
        <w:rPr>
          <w:rFonts w:ascii="Times New Roman" w:eastAsia="Times New Roman" w:hAnsi="Times New Roman" w:cs="Times New Roman"/>
          <w:lang w:eastAsia="sl-SI"/>
        </w:rPr>
        <w:t xml:space="preserve"> galvos skausmas, mieguistumas (ypač gydymo pradžioje), pakitęs skonio pojūtis, galūnių sustingimas ar dilgčiojimo pojūtis, svaigimas (</w:t>
      </w:r>
      <w:r w:rsidRPr="00B077D8">
        <w:rPr>
          <w:rFonts w:ascii="Times New Roman" w:eastAsia="Times New Roman" w:hAnsi="Times New Roman" w:cs="Times New Roman"/>
          <w:i/>
          <w:lang w:eastAsia="sl-SI"/>
        </w:rPr>
        <w:t>vertigo</w:t>
      </w:r>
      <w:r w:rsidRPr="00B077D8">
        <w:rPr>
          <w:rFonts w:ascii="Times New Roman" w:eastAsia="Times New Roman" w:hAnsi="Times New Roman" w:cs="Times New Roman"/>
          <w:lang w:eastAsia="sl-SI"/>
        </w:rPr>
        <w:t>), regos sutrikimai (įskaitant vaizdo susidvigubinimą), ūžesys (garsai ausyse), palpitacijos (širdies plakimo pojūtis), paraudimas, dusulys (dispnėja), pilvo skausmas, pykinimas, vėmimas, dispepsija ar virškinimo sutrikimas, tuštinimosi pokyčiai, vidurių užkietėjimas, viduriavimas, niežėjimas, odos išbėrimas, odos paraudimas, niežulys, kulkšnių patinimas, raumenų mėšlungis, nuovargis, silpnumas.</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Nedažni šalutinio poveikio reiškiniai (gali pasireikšti rečiau kaip 1 iš 100 asmenų):</w:t>
      </w:r>
      <w:r>
        <w:rPr>
          <w:rFonts w:ascii="Times New Roman" w:eastAsia="Times New Roman" w:hAnsi="Times New Roman" w:cs="Times New Roman"/>
          <w:u w:val="single"/>
          <w:lang w:eastAsia="sl-SI"/>
        </w:rPr>
        <w:t xml:space="preserve"> </w:t>
      </w:r>
      <w:r w:rsidRPr="00B077D8">
        <w:rPr>
          <w:rFonts w:ascii="Times New Roman" w:eastAsia="Times New Roman" w:hAnsi="Times New Roman" w:cs="Times New Roman"/>
          <w:lang w:eastAsia="sl-SI"/>
        </w:rPr>
        <w:t>kai kurių baltųjų kraujo ląstelių skaičiaus padidėjimas (eozinofilija), mažas natrio kiekis kraujyje (hiponatremija), mažas cukraus kiekis kraujyje (hipoglikemija), nuotaikos svyravimai, nerimas, nemiga, depresija, miego sutrikimai, nualpimas, skausmo pojūčio išnykimas, drebulys, vaskulitas (kraujagyslių uždegimas), rinitas (užsikimšusi arba „bėganti“ nosis), burnos džiūvimas, sustiprėjęs prakaitavimas, plaukų slinkimas, paraudusios odos plotai, odos spalvos pakitimai, pūslelių grupių atsiradimas odoje, jautrumas šviesai, nugaros skausmas, raumenų ar sąnarių skausmas, šlapinimosi sutrikimas, padidėjęs poreikis šlapintis naktimis, padažnėjęs šlapinimasis, inkstų sutrikimas, impotencija, vyrų krūtų diskomfortas arba padidėjimas, krūtinės skausmas, bloga bendroji savijauta, skausmas, kūno svorio padidėjimas arba sumažėjimas, šlapalo kiekio padidėjimas kraujyje, kreatinino kiekio padidėjimas kraujyje, griuvimas</w:t>
      </w:r>
      <w:r>
        <w:rPr>
          <w:rFonts w:ascii="Times New Roman" w:eastAsia="Times New Roman" w:hAnsi="Times New Roman" w:cs="Times New Roman"/>
          <w:lang w:eastAsia="sl-SI"/>
        </w:rPr>
        <w:t>, karščiavimas</w:t>
      </w:r>
      <w:r w:rsidRPr="00B077D8">
        <w:rPr>
          <w:rFonts w:ascii="Times New Roman" w:eastAsia="Times New Roman" w:hAnsi="Times New Roman" w:cs="Times New Roman"/>
          <w:lang w:eastAsia="sl-SI"/>
        </w:rPr>
        <w:t>.</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Reti šalutinio poveikio reiškiniai (gali</w:t>
      </w:r>
      <w:r>
        <w:rPr>
          <w:rFonts w:ascii="Times New Roman" w:eastAsia="Times New Roman" w:hAnsi="Times New Roman" w:cs="Times New Roman"/>
          <w:u w:val="single"/>
          <w:lang w:eastAsia="sl-SI"/>
        </w:rPr>
        <w:t xml:space="preserve"> pasireikšti rečiau kaip 1 iš 1 </w:t>
      </w:r>
      <w:r w:rsidRPr="00E33D1B">
        <w:rPr>
          <w:rFonts w:ascii="Times New Roman" w:eastAsia="Times New Roman" w:hAnsi="Times New Roman" w:cs="Times New Roman"/>
          <w:u w:val="single"/>
          <w:lang w:eastAsia="sl-SI"/>
        </w:rPr>
        <w:t xml:space="preserve">000 asmenų): </w:t>
      </w:r>
      <w:r w:rsidRPr="00244555">
        <w:rPr>
          <w:rFonts w:ascii="Times New Roman" w:eastAsia="Times New Roman" w:hAnsi="Times New Roman" w:cs="Times New Roman"/>
          <w:lang w:eastAsia="sl-SI"/>
        </w:rPr>
        <w:t>ūminis inkstų nepakankamumas; būklė, vadinam</w:t>
      </w:r>
      <w:r>
        <w:rPr>
          <w:rFonts w:ascii="Times New Roman" w:eastAsia="Times New Roman" w:hAnsi="Times New Roman" w:cs="Times New Roman"/>
          <w:lang w:eastAsia="sl-SI"/>
        </w:rPr>
        <w:t>a</w:t>
      </w:r>
      <w:r w:rsidRPr="00244555">
        <w:rPr>
          <w:rFonts w:ascii="Times New Roman" w:eastAsia="Times New Roman" w:hAnsi="Times New Roman" w:cs="Times New Roman"/>
          <w:lang w:eastAsia="sl-SI"/>
        </w:rPr>
        <w:t xml:space="preserve"> SIADH (netinkama antidiuretinio hormono sekrecija), simptomai: tamsus šlapimas, šleikštulys (pykinimas) arba vėmimas, raumenų mėšlungis, sumišimas ir traukuliai; sumažėjęs šlapimo išsiskyrimas arba jo nebuvimas; psoriazės</w:t>
      </w:r>
      <w:r>
        <w:rPr>
          <w:rFonts w:ascii="Times New Roman" w:eastAsia="Times New Roman" w:hAnsi="Times New Roman" w:cs="Times New Roman"/>
          <w:lang w:eastAsia="sl-SI"/>
        </w:rPr>
        <w:t xml:space="preserve"> (žvynelinės)</w:t>
      </w:r>
      <w:r w:rsidRPr="00244555">
        <w:rPr>
          <w:rFonts w:ascii="Times New Roman" w:eastAsia="Times New Roman" w:hAnsi="Times New Roman" w:cs="Times New Roman"/>
          <w:lang w:eastAsia="sl-SI"/>
        </w:rPr>
        <w:t xml:space="preserve"> pablogėjimas; didelis bilirubino kiekis serume; padidėjęs kepenų fermentų </w:t>
      </w:r>
      <w:r>
        <w:rPr>
          <w:rFonts w:ascii="Times New Roman" w:eastAsia="Times New Roman" w:hAnsi="Times New Roman" w:cs="Times New Roman"/>
          <w:lang w:eastAsia="sl-SI"/>
        </w:rPr>
        <w:t>aktyvumas</w:t>
      </w:r>
      <w:r w:rsidRPr="00244555">
        <w:rPr>
          <w:rFonts w:ascii="Times New Roman" w:eastAsia="Times New Roman" w:hAnsi="Times New Roman" w:cs="Times New Roman"/>
          <w:lang w:eastAsia="sl-SI"/>
        </w:rPr>
        <w:t>.</w:t>
      </w:r>
      <w:r w:rsidRPr="001A5072">
        <w:rPr>
          <w:rFonts w:ascii="Times New Roman" w:eastAsia="Times New Roman" w:hAnsi="Times New Roman" w:cs="Times New Roman"/>
          <w:lang w:eastAsia="sl-SI"/>
        </w:rPr>
        <w:t>.</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 xml:space="preserve">Labai reti šalutinio poveikio reiškiniai (gali </w:t>
      </w:r>
      <w:r>
        <w:rPr>
          <w:rFonts w:ascii="Times New Roman" w:eastAsia="Times New Roman" w:hAnsi="Times New Roman" w:cs="Times New Roman"/>
          <w:u w:val="single"/>
          <w:lang w:eastAsia="sl-SI"/>
        </w:rPr>
        <w:t>pasireikšti rečiau kaip 1 iš 10 </w:t>
      </w:r>
      <w:r w:rsidRPr="00E33D1B">
        <w:rPr>
          <w:rFonts w:ascii="Times New Roman" w:eastAsia="Times New Roman" w:hAnsi="Times New Roman" w:cs="Times New Roman"/>
          <w:u w:val="single"/>
          <w:lang w:eastAsia="sl-SI"/>
        </w:rPr>
        <w:t>000 asmenų</w:t>
      </w:r>
      <w:r>
        <w:rPr>
          <w:rFonts w:ascii="Times New Roman" w:eastAsia="Times New Roman" w:hAnsi="Times New Roman" w:cs="Times New Roman"/>
          <w:u w:val="single"/>
          <w:lang w:eastAsia="sl-SI"/>
        </w:rPr>
        <w:t>):</w:t>
      </w:r>
      <w:r w:rsidRPr="00B077D8">
        <w:rPr>
          <w:rFonts w:ascii="Times New Roman" w:eastAsia="Times New Roman" w:hAnsi="Times New Roman" w:cs="Times New Roman"/>
          <w:lang w:eastAsia="sl-SI"/>
        </w:rPr>
        <w:t xml:space="preserve"> kraujo rodmenų pokyčiai, tokie kaip mažesnis baltųjų ir raudonųjų kraujo ląstelių skaičius, mažesnis hemoglobino kiekis, mažesnis kraujo plokštelių skaičius, padidėjęs raumenų tonusas, nervų sutrikimai, galintys sukelti silpnumą, dilgčiojimą arba tirpimą, eozinofilinė pneumonija (retas plaučių uždegimo tipas), dantenų patinimas, pilvo pūtimas (gastritas), odos pageltimas (gelta).</w:t>
      </w:r>
    </w:p>
    <w:p w:rsidR="00F5660E" w:rsidRPr="00B077D8" w:rsidRDefault="00F5660E" w:rsidP="00F5660E">
      <w:pPr>
        <w:widowControl w:val="0"/>
        <w:numPr>
          <w:ilvl w:val="0"/>
          <w:numId w:val="6"/>
        </w:numPr>
        <w:rPr>
          <w:rFonts w:ascii="Times New Roman" w:eastAsia="Times New Roman" w:hAnsi="Times New Roman" w:cs="Times New Roman"/>
          <w:lang w:eastAsia="sl-SI"/>
        </w:rPr>
      </w:pPr>
      <w:r w:rsidRPr="00E33D1B">
        <w:rPr>
          <w:rFonts w:ascii="Times New Roman" w:eastAsia="Times New Roman" w:hAnsi="Times New Roman" w:cs="Times New Roman"/>
          <w:u w:val="single"/>
          <w:lang w:eastAsia="sl-SI"/>
        </w:rPr>
        <w:t>Šaluti</w:t>
      </w:r>
      <w:r>
        <w:rPr>
          <w:rFonts w:ascii="Times New Roman" w:eastAsia="Times New Roman" w:hAnsi="Times New Roman" w:cs="Times New Roman"/>
          <w:u w:val="single"/>
          <w:lang w:eastAsia="sl-SI"/>
        </w:rPr>
        <w:t>nio poveikio reiškiniai, kurių</w:t>
      </w:r>
      <w:r w:rsidRPr="00E33D1B">
        <w:rPr>
          <w:rFonts w:ascii="Times New Roman" w:eastAsia="Times New Roman" w:hAnsi="Times New Roman" w:cs="Times New Roman"/>
          <w:u w:val="single"/>
          <w:lang w:eastAsia="sl-SI"/>
        </w:rPr>
        <w:t xml:space="preserve"> dažnis nežinomas (negali būti apskaičiuotas pagal turimus duomenis): </w:t>
      </w:r>
      <w:r w:rsidRPr="00B077D8">
        <w:rPr>
          <w:rFonts w:ascii="Times New Roman" w:eastAsia="Times New Roman" w:hAnsi="Times New Roman" w:cs="Times New Roman"/>
          <w:lang w:eastAsia="sl-SI"/>
        </w:rPr>
        <w:t xml:space="preserve"> drebulys, nelankstumas, į kaukę panašus veidas, lėti judesiai ir nesubalansuota eisena velkant kojas, </w:t>
      </w:r>
      <w:r w:rsidRPr="00771159">
        <w:rPr>
          <w:rFonts w:ascii="Times New Roman" w:eastAsia="Times New Roman" w:hAnsi="Times New Roman" w:cs="Times New Roman"/>
          <w:lang w:eastAsia="sl-SI"/>
        </w:rPr>
        <w:t>rankų arba kojų pirštų spalvos pakitimas, tirpulys ir skausmas (Reino fenomenas)</w:t>
      </w:r>
      <w:r w:rsidRPr="00B077D8">
        <w:rPr>
          <w:rFonts w:ascii="Times New Roman" w:eastAsia="Times New Roman" w:hAnsi="Times New Roman" w:cs="Times New Roman"/>
          <w:lang w:eastAsia="sl-SI"/>
        </w:rPr>
        <w:t>.</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tabs>
          <w:tab w:val="left" w:pos="567"/>
        </w:tabs>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Pranešimas apie šalutinį poveikį</w:t>
      </w:r>
    </w:p>
    <w:p w:rsidR="00F5660E" w:rsidRPr="00B077D8" w:rsidRDefault="00F5660E" w:rsidP="00F5660E">
      <w:pPr>
        <w:widowControl w:val="0"/>
        <w:tabs>
          <w:tab w:val="left" w:pos="567"/>
        </w:tabs>
        <w:ind w:left="0" w:right="-449"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 xml:space="preserve">Jeigu pasireiškė šalutinis poveikis, įskaitant šiame lapelyje nenurodytą, pasakykite gydytojui arba vaistininkui. </w:t>
      </w:r>
      <w:r w:rsidRPr="00170EC5">
        <w:rPr>
          <w:rFonts w:ascii="Times New Roman" w:eastAsia="Times New Roman" w:hAnsi="Times New Roman" w:cs="Times New Roman"/>
          <w:lang w:eastAsia="sl-SI"/>
        </w:rPr>
        <w:t>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ind w:left="0" w:firstLine="0"/>
        <w:outlineLvl w:val="2"/>
        <w:rPr>
          <w:rFonts w:ascii="Times New Roman" w:eastAsia="Times New Roman" w:hAnsi="Times New Roman" w:cs="Times New Roman"/>
          <w:b/>
          <w:lang w:eastAsia="sl-SI"/>
        </w:rPr>
      </w:pPr>
      <w:bookmarkStart w:id="12" w:name="_Toc129243143"/>
      <w:bookmarkStart w:id="13" w:name="_Toc129243268"/>
      <w:r w:rsidRPr="00B077D8">
        <w:rPr>
          <w:rFonts w:ascii="Times New Roman" w:eastAsia="Times New Roman" w:hAnsi="Times New Roman" w:cs="Times New Roman"/>
          <w:b/>
          <w:lang w:eastAsia="sl-SI"/>
        </w:rPr>
        <w:t>5.</w:t>
      </w:r>
      <w:r w:rsidRPr="00B077D8">
        <w:rPr>
          <w:rFonts w:ascii="Times New Roman" w:eastAsia="Times New Roman" w:hAnsi="Times New Roman" w:cs="Times New Roman"/>
          <w:b/>
          <w:lang w:eastAsia="sl-SI"/>
        </w:rPr>
        <w:tab/>
      </w:r>
      <w:bookmarkEnd w:id="12"/>
      <w:bookmarkEnd w:id="13"/>
      <w:r w:rsidRPr="00B077D8">
        <w:rPr>
          <w:rFonts w:ascii="Times New Roman" w:eastAsia="Times New Roman" w:hAnsi="Times New Roman" w:cs="Times New Roman"/>
          <w:b/>
          <w:lang w:eastAsia="sl-SI"/>
        </w:rPr>
        <w:t>Kaip laikyti Tonarssa</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Šį vaistą laikykite vaikams nepastebimoje ir nepasiekiamoje vietoje.</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Ant dėžutės ir lizdinės plokštelės po „EXP“/</w:t>
      </w:r>
      <w:r w:rsidRPr="00B077D8">
        <w:rPr>
          <w:rFonts w:ascii="Times New Roman" w:eastAsia="Times New Roman" w:hAnsi="Times New Roman" w:cs="Times New Roman"/>
          <w:highlight w:val="lightGray"/>
          <w:lang w:eastAsia="sl-SI"/>
        </w:rPr>
        <w:t>„Tinka iki</w:t>
      </w:r>
      <w:r w:rsidRPr="00B077D8">
        <w:rPr>
          <w:rFonts w:ascii="Times New Roman" w:eastAsia="Times New Roman" w:hAnsi="Times New Roman" w:cs="Times New Roman"/>
          <w:szCs w:val="20"/>
          <w:lang w:eastAsia="sl-SI"/>
        </w:rPr>
        <w:t>“</w:t>
      </w:r>
      <w:r w:rsidRPr="00B077D8">
        <w:rPr>
          <w:rFonts w:ascii="Times New Roman" w:eastAsia="Times New Roman" w:hAnsi="Times New Roman" w:cs="Times New Roman"/>
          <w:lang w:eastAsia="sl-SI"/>
        </w:rPr>
        <w:t xml:space="preserve"> nurodytam tinkamumo laikui pasibaigus, šio vaisto vartoti negalima. Vaistas tinkamas vartoti iki paskutinės nurodyto mėnesio dienos.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žemesnėje kaip 30</w:t>
      </w:r>
      <w:r>
        <w:rPr>
          <w:rFonts w:ascii="Times New Roman" w:eastAsia="Times New Roman" w:hAnsi="Times New Roman" w:cs="Times New Roman"/>
          <w:lang w:eastAsia="sl-SI"/>
        </w:rPr>
        <w:t> </w:t>
      </w:r>
      <w:r w:rsidRPr="00B077D8">
        <w:rPr>
          <w:rFonts w:ascii="Times New Roman" w:eastAsia="Times New Roman" w:hAnsi="Times New Roman" w:cs="Times New Roman"/>
          <w:lang w:eastAsia="sl-SI"/>
        </w:rPr>
        <w:t>°C temperatūroje.</w:t>
      </w: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Laikyti gamintojo pakuotėje, kad vaistas būtų apsaugotas nuo šviesos ir drėgmės.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Vaistų negalima išmesti į kanalizaciją arba su buitinėmis atliekomis. Kaip išmesti nereikalingus vaistus, klauskite vaistininko. Šios priemonės padės apsaugoti aplinką.</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tabs>
          <w:tab w:val="left" w:pos="567"/>
        </w:tabs>
        <w:outlineLvl w:val="1"/>
        <w:rPr>
          <w:rFonts w:ascii="Times New Roman" w:eastAsia="Times New Roman" w:hAnsi="Times New Roman" w:cs="Times New Roman"/>
          <w:b/>
          <w:lang w:eastAsia="sl-SI"/>
        </w:rPr>
      </w:pPr>
      <w:bookmarkStart w:id="14" w:name="_Toc129243269"/>
      <w:bookmarkStart w:id="15" w:name="_Toc129243144"/>
      <w:r w:rsidRPr="00B077D8">
        <w:rPr>
          <w:rFonts w:ascii="Times New Roman" w:eastAsia="Times New Roman" w:hAnsi="Times New Roman" w:cs="Times New Roman"/>
          <w:b/>
          <w:lang w:eastAsia="sl-SI"/>
        </w:rPr>
        <w:t>6.</w:t>
      </w:r>
      <w:r w:rsidRPr="00B077D8">
        <w:rPr>
          <w:rFonts w:ascii="Times New Roman" w:eastAsia="Times New Roman" w:hAnsi="Times New Roman" w:cs="Times New Roman"/>
          <w:b/>
          <w:lang w:eastAsia="sl-SI"/>
        </w:rPr>
        <w:tab/>
        <w:t>Pakuotės turinys ir kita informacija</w:t>
      </w:r>
      <w:bookmarkEnd w:id="14"/>
      <w:bookmarkEnd w:id="15"/>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sudėtis</w:t>
      </w:r>
    </w:p>
    <w:p w:rsidR="00F5660E" w:rsidRPr="00B077D8" w:rsidRDefault="00F5660E" w:rsidP="00F5660E">
      <w:pPr>
        <w:widowControl w:val="0"/>
        <w:numPr>
          <w:ilvl w:val="0"/>
          <w:numId w:val="8"/>
        </w:numPr>
        <w:ind w:left="567" w:hanging="425"/>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Veikliosios medžiagos yra tert-butilamino perindoprilis ir amlodipinas.</w:t>
      </w:r>
    </w:p>
    <w:p w:rsidR="00F5660E" w:rsidRPr="00B077D8" w:rsidRDefault="00F5660E" w:rsidP="00F5660E">
      <w:pPr>
        <w:widowControl w:val="0"/>
        <w:tabs>
          <w:tab w:val="left" w:pos="567"/>
        </w:tabs>
        <w:ind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2,85 mg/2,5 mg tabletės</w:t>
      </w:r>
    </w:p>
    <w:p w:rsidR="00F5660E" w:rsidRPr="00B077D8" w:rsidRDefault="00F5660E" w:rsidP="00F5660E">
      <w:pPr>
        <w:widowControl w:val="0"/>
        <w:ind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2,85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2,38 mg perindoprilio) ir 2,5 mg amlodipino (amlodipino besilato pavidalu).</w:t>
      </w:r>
    </w:p>
    <w:p w:rsidR="00F5660E" w:rsidRPr="00B077D8" w:rsidRDefault="00F5660E" w:rsidP="00F5660E">
      <w:pPr>
        <w:widowControl w:val="0"/>
        <w:tabs>
          <w:tab w:val="left" w:pos="567"/>
        </w:tabs>
        <w:ind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Tonarssa 5,7 mg/5 mg tabletės</w:t>
      </w:r>
    </w:p>
    <w:p w:rsidR="00F5660E" w:rsidRPr="00B077D8" w:rsidRDefault="00F5660E" w:rsidP="00F5660E">
      <w:pPr>
        <w:widowControl w:val="0"/>
        <w:ind w:firstLine="0"/>
        <w:rPr>
          <w:rFonts w:ascii="Times New Roman" w:eastAsia="Calibri" w:hAnsi="Times New Roman" w:cs="Times New Roman"/>
          <w:lang w:eastAsia="sl-SI"/>
        </w:rPr>
      </w:pPr>
      <w:r w:rsidRPr="00B077D8">
        <w:rPr>
          <w:rFonts w:ascii="Times New Roman" w:eastAsia="Calibri" w:hAnsi="Times New Roman" w:cs="Times New Roman"/>
          <w:lang w:eastAsia="sl-SI"/>
        </w:rPr>
        <w:t>Kiekvienoje tabletėje yra 5,7 mg tert</w:t>
      </w:r>
      <w:r w:rsidRPr="00B077D8">
        <w:rPr>
          <w:rFonts w:ascii="Times New Roman" w:eastAsia="Calibri" w:hAnsi="Times New Roman" w:cs="Times New Roman"/>
          <w:i/>
          <w:lang w:eastAsia="sl-SI"/>
        </w:rPr>
        <w:t>-</w:t>
      </w:r>
      <w:r w:rsidRPr="00B077D8">
        <w:rPr>
          <w:rFonts w:ascii="Times New Roman" w:eastAsia="Calibri" w:hAnsi="Times New Roman" w:cs="Times New Roman"/>
          <w:lang w:eastAsia="sl-SI"/>
        </w:rPr>
        <w:t>butilamino perindoprilio (atitinka 4,76 mg perindoprilio) ir 5 mg amlodipino (amlodipino besilato pavidalu).</w:t>
      </w:r>
    </w:p>
    <w:p w:rsidR="00F5660E" w:rsidRPr="00B077D8" w:rsidRDefault="00F5660E" w:rsidP="00F5660E">
      <w:pPr>
        <w:widowControl w:val="0"/>
        <w:numPr>
          <w:ilvl w:val="0"/>
          <w:numId w:val="7"/>
        </w:numPr>
        <w:ind w:left="567" w:hanging="425"/>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Pagalbinės medžiagos yra natrio-vandenilio karbonatas, mikrokristalinė celiuliozė, pregelifikuotas kukurūzų krakmolas, karboksimetilkrakmolo natrio druska, koloidinis bevandenis silicio dioksidas ir magnio stearatas. Žr. 2 skyriaus poskyrį „Tonarssa sudėtyje yra natrio“).</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Tonarssa išvaizda ir kiekis pakuotėje</w:t>
      </w:r>
    </w:p>
    <w:p w:rsidR="00F5660E" w:rsidRPr="00B077D8" w:rsidRDefault="00F5660E" w:rsidP="00F5660E">
      <w:pPr>
        <w:widowControl w:val="0"/>
        <w:tabs>
          <w:tab w:val="left" w:pos="567"/>
        </w:tabs>
        <w:ind w:left="0" w:firstLine="0"/>
        <w:rPr>
          <w:rFonts w:ascii="Times New Roman" w:eastAsia="Calibri" w:hAnsi="Times New Roman" w:cs="Times New Roman"/>
          <w:lang w:eastAsia="sl-SI"/>
        </w:rPr>
      </w:pPr>
      <w:r w:rsidRPr="00B077D8">
        <w:rPr>
          <w:rFonts w:ascii="Times New Roman" w:eastAsia="Times New Roman" w:hAnsi="Times New Roman" w:cs="Times New Roman"/>
          <w:lang w:eastAsia="sl-SI"/>
        </w:rPr>
        <w:t>Tonarssa 2,85 mg/2,5 mg tabletės yra b</w:t>
      </w:r>
      <w:r w:rsidRPr="00B077D8">
        <w:rPr>
          <w:rFonts w:ascii="Times New Roman" w:eastAsia="Calibri" w:hAnsi="Times New Roman" w:cs="Times New Roman"/>
          <w:lang w:eastAsia="sl-SI"/>
        </w:rPr>
        <w:t>altos ar beveik baltos, apvalios, šiek tiek abipus išgaubtos, nuožulniais kraštais. Skersmuo – 5,5 mm.</w:t>
      </w:r>
    </w:p>
    <w:p w:rsidR="00F5660E" w:rsidRPr="00B077D8" w:rsidRDefault="00F5660E" w:rsidP="00F5660E">
      <w:pPr>
        <w:widowControl w:val="0"/>
        <w:tabs>
          <w:tab w:val="left" w:pos="567"/>
        </w:tabs>
        <w:ind w:left="0" w:firstLine="0"/>
        <w:rPr>
          <w:rFonts w:ascii="Times New Roman" w:eastAsia="Calibri" w:hAnsi="Times New Roman" w:cs="Times New Roman"/>
          <w:lang w:eastAsia="sl-SI"/>
        </w:rPr>
      </w:pPr>
      <w:r w:rsidRPr="00B077D8">
        <w:rPr>
          <w:rFonts w:ascii="Times New Roman" w:eastAsia="Times New Roman" w:hAnsi="Times New Roman" w:cs="Times New Roman"/>
          <w:lang w:eastAsia="sl-SI"/>
        </w:rPr>
        <w:t>Tonarssa 5,7 mg/5 mg tabletės yra b</w:t>
      </w:r>
      <w:r w:rsidRPr="00B077D8">
        <w:rPr>
          <w:rFonts w:ascii="Times New Roman" w:eastAsia="Calibri" w:hAnsi="Times New Roman" w:cs="Times New Roman"/>
          <w:lang w:eastAsia="sl-SI"/>
        </w:rPr>
        <w:t>altos ar beveik baltos, apvalios, šiek tiek abipus išgaubtos, nuožulniais kraštais, vienoje pusėje yra vagelė. Skersmuo – 7 mm.</w:t>
      </w:r>
      <w:r w:rsidRPr="00B077D8">
        <w:rPr>
          <w:rFonts w:ascii="Times New Roman" w:eastAsia="Times New Roman" w:hAnsi="Times New Roman" w:cs="Times New Roman"/>
          <w:lang w:eastAsia="sl-SI"/>
        </w:rPr>
        <w:t xml:space="preserve"> </w:t>
      </w:r>
      <w:r w:rsidRPr="00B077D8">
        <w:rPr>
          <w:rFonts w:ascii="Times New Roman" w:eastAsia="Calibri" w:hAnsi="Times New Roman" w:cs="Times New Roman"/>
          <w:lang w:eastAsia="sl-SI"/>
        </w:rPr>
        <w:t>Vagelė nėra skirta tabletei perlaužti.</w:t>
      </w:r>
    </w:p>
    <w:p w:rsidR="00F5660E" w:rsidRPr="00B077D8" w:rsidRDefault="00F5660E" w:rsidP="00F5660E">
      <w:pPr>
        <w:widowControl w:val="0"/>
        <w:tabs>
          <w:tab w:val="left" w:pos="567"/>
        </w:tabs>
        <w:ind w:left="0" w:firstLine="0"/>
        <w:rPr>
          <w:rFonts w:ascii="Times New Roman" w:eastAsia="Calibri" w:hAnsi="Times New Roman" w:cs="Times New Roman"/>
          <w:lang w:eastAsia="sl-SI"/>
        </w:rPr>
      </w:pPr>
    </w:p>
    <w:p w:rsidR="00F5660E" w:rsidRPr="00B077D8" w:rsidRDefault="00F5660E" w:rsidP="00F5660E">
      <w:pPr>
        <w:widowControl w:val="0"/>
        <w:tabs>
          <w:tab w:val="left" w:pos="567"/>
        </w:tabs>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Tabletės tiekiamos kartono dėžutėse, kuriose yra:</w:t>
      </w:r>
    </w:p>
    <w:p w:rsidR="00F5660E" w:rsidRPr="00B077D8" w:rsidRDefault="00F5660E" w:rsidP="00F5660E">
      <w:pPr>
        <w:widowControl w:val="0"/>
        <w:numPr>
          <w:ilvl w:val="0"/>
          <w:numId w:val="7"/>
        </w:numPr>
        <w:rPr>
          <w:rFonts w:ascii="Times New Roman" w:eastAsia="Calibri" w:hAnsi="Times New Roman" w:cs="Times New Roman"/>
          <w:u w:val="single"/>
          <w:lang w:eastAsia="sl-SI"/>
        </w:rPr>
      </w:pPr>
      <w:r w:rsidRPr="00B077D8">
        <w:rPr>
          <w:rFonts w:ascii="Times New Roman" w:eastAsia="Calibri" w:hAnsi="Times New Roman" w:cs="Times New Roman"/>
          <w:lang w:eastAsia="sl-SI"/>
        </w:rPr>
        <w:t>10, 30, 60, 90 arba 100 tablečių lizdinėse plokštelėse.</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Gali būti tiekiamos ne visų dydžių pakuotės.</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Times New Roman" w:hAnsi="Times New Roman" w:cs="Times New Roman"/>
          <w:b/>
          <w:lang w:eastAsia="sl-SI"/>
        </w:rPr>
      </w:pPr>
      <w:r w:rsidRPr="00B077D8">
        <w:rPr>
          <w:rFonts w:ascii="Times New Roman" w:eastAsia="Times New Roman" w:hAnsi="Times New Roman" w:cs="Times New Roman"/>
          <w:b/>
          <w:lang w:eastAsia="sl-SI"/>
        </w:rPr>
        <w:t>Registruotojas ir gamintojas</w:t>
      </w:r>
    </w:p>
    <w:p w:rsidR="00F5660E" w:rsidRPr="00B077D8" w:rsidRDefault="00F5660E" w:rsidP="00F5660E">
      <w:pPr>
        <w:widowControl w:val="0"/>
        <w:ind w:left="0" w:firstLine="0"/>
        <w:jc w:val="both"/>
        <w:rPr>
          <w:rFonts w:ascii="Times New Roman" w:eastAsia="Times New Roman" w:hAnsi="Times New Roman" w:cs="Times New Roman"/>
          <w:u w:val="single"/>
          <w:lang w:eastAsia="sl-SI"/>
        </w:rPr>
      </w:pPr>
    </w:p>
    <w:p w:rsidR="00F5660E" w:rsidRPr="00B077D8" w:rsidRDefault="00F5660E" w:rsidP="00F5660E">
      <w:pPr>
        <w:widowControl w:val="0"/>
        <w:ind w:left="0" w:firstLine="0"/>
        <w:jc w:val="both"/>
        <w:rPr>
          <w:rFonts w:ascii="Times New Roman" w:eastAsia="Times New Roman" w:hAnsi="Times New Roman" w:cs="Times New Roman"/>
          <w:i/>
          <w:lang w:eastAsia="sl-SI"/>
        </w:rPr>
      </w:pPr>
      <w:r w:rsidRPr="00B077D8">
        <w:rPr>
          <w:rFonts w:ascii="Times New Roman" w:eastAsia="Times New Roman" w:hAnsi="Times New Roman" w:cs="Times New Roman"/>
          <w:i/>
          <w:lang w:eastAsia="sl-SI"/>
        </w:rPr>
        <w:t>Registruotojas</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KRKA, d.d., Novo mesto</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Šmarješka cesta 6</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8501 Novo mesto</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Slovėnija</w:t>
      </w:r>
    </w:p>
    <w:p w:rsidR="00F5660E" w:rsidRPr="00B077D8" w:rsidRDefault="00F5660E" w:rsidP="00F5660E">
      <w:pPr>
        <w:widowControl w:val="0"/>
        <w:ind w:left="0" w:firstLine="0"/>
        <w:rPr>
          <w:rFonts w:ascii="Times New Roman" w:eastAsia="Times New Roman" w:hAnsi="Times New Roman" w:cs="Times New Roman"/>
          <w:bCs/>
        </w:rPr>
      </w:pPr>
    </w:p>
    <w:p w:rsidR="00F5660E" w:rsidRPr="00B077D8" w:rsidRDefault="00F5660E" w:rsidP="00F5660E">
      <w:pPr>
        <w:widowControl w:val="0"/>
        <w:ind w:left="0" w:firstLine="0"/>
        <w:jc w:val="both"/>
        <w:rPr>
          <w:rFonts w:ascii="Times New Roman" w:eastAsia="Times New Roman" w:hAnsi="Times New Roman" w:cs="Times New Roman"/>
          <w:i/>
        </w:rPr>
      </w:pPr>
      <w:r w:rsidRPr="00B077D8">
        <w:rPr>
          <w:rFonts w:ascii="Times New Roman" w:eastAsia="Times New Roman" w:hAnsi="Times New Roman" w:cs="Times New Roman"/>
          <w:i/>
        </w:rPr>
        <w:t>Gamintojas</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KRKA, d.d., Novo mesto</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Šmarješka cesta 6</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8501 Novo mesto</w:t>
      </w:r>
    </w:p>
    <w:p w:rsidR="00F5660E" w:rsidRPr="00B077D8" w:rsidRDefault="00F5660E" w:rsidP="00F5660E">
      <w:pPr>
        <w:widowControl w:val="0"/>
        <w:ind w:left="0" w:firstLine="0"/>
        <w:jc w:val="both"/>
        <w:rPr>
          <w:rFonts w:ascii="Times New Roman" w:eastAsia="Times New Roman" w:hAnsi="Times New Roman" w:cs="Times New Roman"/>
        </w:rPr>
      </w:pPr>
      <w:r w:rsidRPr="00B077D8">
        <w:rPr>
          <w:rFonts w:ascii="Times New Roman" w:eastAsia="Times New Roman" w:hAnsi="Times New Roman" w:cs="Times New Roman"/>
        </w:rPr>
        <w:t>Slovėnija</w:t>
      </w:r>
    </w:p>
    <w:p w:rsidR="00F5660E" w:rsidRPr="00B077D8" w:rsidRDefault="00F5660E" w:rsidP="00F5660E">
      <w:pPr>
        <w:widowControl w:val="0"/>
        <w:ind w:left="0" w:firstLine="0"/>
        <w:rPr>
          <w:rFonts w:ascii="Times New Roman" w:eastAsia="Times New Roman" w:hAnsi="Times New Roman" w:cs="Times New Roman"/>
          <w:bCs/>
        </w:rPr>
      </w:pPr>
    </w:p>
    <w:p w:rsidR="00F5660E" w:rsidRPr="00B077D8" w:rsidRDefault="00F5660E" w:rsidP="00F5660E">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arba</w:t>
      </w:r>
    </w:p>
    <w:p w:rsidR="00F5660E" w:rsidRPr="00B077D8" w:rsidRDefault="00F5660E" w:rsidP="00F5660E">
      <w:pPr>
        <w:widowControl w:val="0"/>
        <w:ind w:left="0" w:firstLine="0"/>
        <w:rPr>
          <w:rFonts w:ascii="Times New Roman" w:eastAsia="Times New Roman" w:hAnsi="Times New Roman" w:cs="Times New Roman"/>
          <w:bCs/>
        </w:rPr>
      </w:pPr>
    </w:p>
    <w:p w:rsidR="00F5660E" w:rsidRPr="00B077D8" w:rsidRDefault="00F5660E" w:rsidP="00F5660E">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TAD Pharma GmbH</w:t>
      </w:r>
    </w:p>
    <w:p w:rsidR="00F5660E" w:rsidRPr="00B077D8" w:rsidRDefault="00F5660E" w:rsidP="00F5660E">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Heinz-Lohmann-Straße 5</w:t>
      </w:r>
    </w:p>
    <w:p w:rsidR="00F5660E" w:rsidRPr="00B077D8" w:rsidRDefault="00F5660E" w:rsidP="00F5660E">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27472 Cuxhaven</w:t>
      </w:r>
    </w:p>
    <w:p w:rsidR="00F5660E" w:rsidRPr="00B077D8" w:rsidRDefault="00F5660E" w:rsidP="00F5660E">
      <w:pPr>
        <w:widowControl w:val="0"/>
        <w:ind w:left="0" w:firstLine="0"/>
        <w:rPr>
          <w:rFonts w:ascii="Times New Roman" w:eastAsia="Times New Roman" w:hAnsi="Times New Roman" w:cs="Times New Roman"/>
          <w:bCs/>
        </w:rPr>
      </w:pPr>
      <w:r w:rsidRPr="00B077D8">
        <w:rPr>
          <w:rFonts w:ascii="Times New Roman" w:eastAsia="Times New Roman" w:hAnsi="Times New Roman" w:cs="Times New Roman"/>
          <w:bCs/>
        </w:rPr>
        <w:t>Vokietija</w:t>
      </w:r>
    </w:p>
    <w:p w:rsidR="00F5660E" w:rsidRPr="00B077D8" w:rsidRDefault="00F5660E" w:rsidP="00F5660E">
      <w:pPr>
        <w:widowControl w:val="0"/>
        <w:tabs>
          <w:tab w:val="left" w:pos="567"/>
        </w:tabs>
        <w:ind w:left="0" w:firstLine="0"/>
        <w:rPr>
          <w:rFonts w:ascii="Times New Roman" w:eastAsia="Times New Roman" w:hAnsi="Times New Roman" w:cs="Times New Roman"/>
          <w:highlight w:val="yellow"/>
          <w:lang w:eastAsia="sl-SI"/>
        </w:rPr>
      </w:pPr>
    </w:p>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Jeigu apie šį vaistą norite sužinoti daugiau, kreipkitės į vietinį registruotojo atstovą.</w:t>
      </w:r>
    </w:p>
    <w:p w:rsidR="00F5660E" w:rsidRPr="00B077D8" w:rsidRDefault="00F5660E" w:rsidP="00F5660E">
      <w:pPr>
        <w:widowControl w:val="0"/>
        <w:ind w:left="0" w:firstLine="0"/>
        <w:rPr>
          <w:rFonts w:ascii="Times New Roman" w:eastAsia="Calibri" w:hAnsi="Times New Roman" w:cs="Times New Roman"/>
          <w:lang w:eastAsia="sl-SI"/>
        </w:rPr>
      </w:pPr>
    </w:p>
    <w:p w:rsidR="00F5660E" w:rsidRPr="00B077D8" w:rsidRDefault="00F5660E" w:rsidP="00F5660E">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UAB KRKA Lietuva</w:t>
      </w:r>
    </w:p>
    <w:p w:rsidR="00F5660E" w:rsidRPr="00B077D8" w:rsidRDefault="00F5660E" w:rsidP="00F5660E">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Senasis Ukmergės kelias 4,</w:t>
      </w:r>
    </w:p>
    <w:p w:rsidR="00F5660E" w:rsidRPr="00B077D8" w:rsidRDefault="00F5660E" w:rsidP="00F5660E">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Užubalių km., Vilniaus r.</w:t>
      </w:r>
    </w:p>
    <w:p w:rsidR="00F5660E" w:rsidRPr="00B077D8" w:rsidRDefault="00F5660E" w:rsidP="00F5660E">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LT – 14013</w:t>
      </w:r>
    </w:p>
    <w:p w:rsidR="00F5660E" w:rsidRPr="00B077D8" w:rsidRDefault="00F5660E" w:rsidP="00F5660E">
      <w:pPr>
        <w:widowControl w:val="0"/>
        <w:tabs>
          <w:tab w:val="left" w:pos="-720"/>
        </w:tabs>
        <w:ind w:left="0" w:firstLine="0"/>
        <w:rPr>
          <w:rFonts w:ascii="Times New Roman" w:eastAsia="Times New Roman" w:hAnsi="Times New Roman" w:cs="Times New Roman"/>
          <w:lang w:eastAsia="sl-SI"/>
        </w:rPr>
      </w:pPr>
      <w:r w:rsidRPr="00B077D8">
        <w:rPr>
          <w:rFonts w:ascii="Times New Roman" w:eastAsia="Times New Roman" w:hAnsi="Times New Roman" w:cs="Times New Roman"/>
          <w:lang w:eastAsia="sl-SI"/>
        </w:rPr>
        <w:t>Tel. +370 5 236 27 40</w:t>
      </w:r>
    </w:p>
    <w:p w:rsidR="00F5660E" w:rsidRPr="00B077D8" w:rsidRDefault="00F5660E" w:rsidP="00F5660E">
      <w:pPr>
        <w:numPr>
          <w:ilvl w:val="12"/>
          <w:numId w:val="0"/>
        </w:numPr>
        <w:tabs>
          <w:tab w:val="left" w:pos="567"/>
        </w:tabs>
        <w:spacing w:line="260" w:lineRule="exact"/>
        <w:ind w:right="-2"/>
        <w:rPr>
          <w:rFonts w:ascii="Times New Roman" w:eastAsia="Times New Roman" w:hAnsi="Times New Roman" w:cs="Times New Roman"/>
          <w:snapToGrid w:val="0"/>
          <w:szCs w:val="20"/>
        </w:rPr>
      </w:pPr>
    </w:p>
    <w:p w:rsidR="00F5660E" w:rsidRPr="00B077D8" w:rsidRDefault="00F5660E" w:rsidP="00F5660E">
      <w:pPr>
        <w:numPr>
          <w:ilvl w:val="12"/>
          <w:numId w:val="0"/>
        </w:numPr>
        <w:tabs>
          <w:tab w:val="left" w:pos="567"/>
        </w:tabs>
        <w:spacing w:line="260" w:lineRule="exact"/>
        <w:ind w:right="-2"/>
        <w:rPr>
          <w:rFonts w:ascii="Times New Roman" w:eastAsia="Times New Roman" w:hAnsi="Times New Roman" w:cs="Times New Roman"/>
          <w:snapToGrid w:val="0"/>
          <w:szCs w:val="20"/>
        </w:rPr>
      </w:pPr>
      <w:r w:rsidRPr="00B077D8">
        <w:rPr>
          <w:rFonts w:ascii="Times New Roman" w:eastAsia="Times New Roman" w:hAnsi="Times New Roman" w:cs="Times New Roman"/>
          <w:b/>
          <w:snapToGrid w:val="0"/>
          <w:szCs w:val="20"/>
        </w:rPr>
        <w:t>Šis vaistas E</w:t>
      </w:r>
      <w:r>
        <w:rPr>
          <w:rFonts w:ascii="Times New Roman" w:eastAsia="Times New Roman" w:hAnsi="Times New Roman" w:cs="Times New Roman"/>
          <w:b/>
          <w:snapToGrid w:val="0"/>
          <w:szCs w:val="20"/>
        </w:rPr>
        <w:t>uropos ekonominės erdvės</w:t>
      </w:r>
      <w:r w:rsidRPr="00B077D8">
        <w:rPr>
          <w:rFonts w:ascii="Times New Roman" w:eastAsia="Times New Roman" w:hAnsi="Times New Roman" w:cs="Times New Roman"/>
          <w:b/>
          <w:snapToGrid w:val="0"/>
          <w:szCs w:val="20"/>
        </w:rPr>
        <w:t xml:space="preserve"> valstybėse narėse registruotas tokiais pavadinimais</w:t>
      </w:r>
      <w:r w:rsidRPr="00B077D8">
        <w:rPr>
          <w:rFonts w:ascii="Times New Roman" w:eastAsia="Times New Roman" w:hAnsi="Times New Roman" w:cs="Times New Roman"/>
          <w:snapToGrid w:val="0"/>
          <w:szCs w:val="20"/>
        </w:rPr>
        <w:t>:</w:t>
      </w:r>
    </w:p>
    <w:p w:rsidR="00F5660E" w:rsidRPr="00B077D8" w:rsidRDefault="00F5660E" w:rsidP="00F5660E">
      <w:pPr>
        <w:widowControl w:val="0"/>
        <w:ind w:left="0" w:firstLine="0"/>
        <w:rPr>
          <w:rFonts w:ascii="Times New Roman" w:eastAsia="Times New Roman" w:hAnsi="Times New Roman" w:cs="Times New Roman"/>
          <w:lang w:eastAsia="sl-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3137"/>
        <w:gridCol w:w="5924"/>
      </w:tblGrid>
      <w:tr w:rsidR="00F5660E" w:rsidRPr="00B077D8" w:rsidTr="005C5DD9">
        <w:trPr>
          <w:trHeight w:val="386"/>
        </w:trPr>
        <w:tc>
          <w:tcPr>
            <w:tcW w:w="1731" w:type="pct"/>
            <w:shd w:val="clear" w:color="auto" w:fill="FFFFFF"/>
          </w:tcPr>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Valstybės narės pavadinimas</w:t>
            </w:r>
          </w:p>
        </w:tc>
        <w:tc>
          <w:tcPr>
            <w:tcW w:w="3269" w:type="pct"/>
            <w:shd w:val="clear" w:color="auto" w:fill="FFFFFF"/>
          </w:tcPr>
          <w:p w:rsidR="00F5660E" w:rsidRPr="00B077D8" w:rsidRDefault="00F5660E" w:rsidP="00F5660E">
            <w:pPr>
              <w:widowControl w:val="0"/>
              <w:ind w:left="0" w:firstLine="0"/>
              <w:rPr>
                <w:rFonts w:ascii="Times New Roman" w:eastAsia="Calibri" w:hAnsi="Times New Roman" w:cs="Times New Roman"/>
                <w:lang w:eastAsia="sl-SI"/>
              </w:rPr>
            </w:pPr>
            <w:r w:rsidRPr="00B077D8">
              <w:rPr>
                <w:rFonts w:ascii="Times New Roman" w:eastAsia="Calibri" w:hAnsi="Times New Roman" w:cs="Times New Roman"/>
                <w:lang w:eastAsia="sl-SI"/>
              </w:rPr>
              <w:t>Vaisto pavadinimas</w:t>
            </w:r>
          </w:p>
        </w:tc>
      </w:tr>
      <w:tr w:rsidR="00F5660E" w:rsidRPr="00B077D8" w:rsidTr="005C5DD9">
        <w:trPr>
          <w:trHeight w:val="386"/>
        </w:trPr>
        <w:tc>
          <w:tcPr>
            <w:tcW w:w="1731" w:type="pct"/>
            <w:shd w:val="clear" w:color="auto" w:fill="FFFFFF"/>
            <w:vAlign w:val="center"/>
          </w:tcPr>
          <w:p w:rsidR="00F5660E" w:rsidRPr="00B077D8" w:rsidRDefault="00F5660E" w:rsidP="00F5660E">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Portugalija</w:t>
            </w:r>
          </w:p>
        </w:tc>
        <w:tc>
          <w:tcPr>
            <w:tcW w:w="3269" w:type="pct"/>
            <w:shd w:val="clear" w:color="auto" w:fill="FFFFFF"/>
            <w:vAlign w:val="center"/>
          </w:tcPr>
          <w:p w:rsidR="00F5660E" w:rsidRPr="00B077D8" w:rsidRDefault="00F5660E" w:rsidP="00F5660E">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Perindopril + Amlodipina TAD</w:t>
            </w:r>
          </w:p>
        </w:tc>
      </w:tr>
      <w:tr w:rsidR="00F5660E" w:rsidRPr="00B077D8" w:rsidTr="005C5DD9">
        <w:trPr>
          <w:trHeight w:val="386"/>
        </w:trPr>
        <w:tc>
          <w:tcPr>
            <w:tcW w:w="1731" w:type="pct"/>
            <w:shd w:val="clear" w:color="auto" w:fill="FFFFFF"/>
            <w:vAlign w:val="center"/>
          </w:tcPr>
          <w:p w:rsidR="00F5660E" w:rsidRPr="00B077D8" w:rsidRDefault="00F5660E" w:rsidP="00F5660E">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Italija</w:t>
            </w:r>
          </w:p>
        </w:tc>
        <w:tc>
          <w:tcPr>
            <w:tcW w:w="3269" w:type="pct"/>
            <w:shd w:val="clear" w:color="auto" w:fill="FFFFFF"/>
            <w:vAlign w:val="center"/>
          </w:tcPr>
          <w:p w:rsidR="00F5660E" w:rsidRPr="00B077D8" w:rsidRDefault="00F5660E" w:rsidP="00F5660E">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Perindopril e amlodipina Krka</w:t>
            </w:r>
          </w:p>
        </w:tc>
      </w:tr>
      <w:tr w:rsidR="00F5660E" w:rsidRPr="00B077D8" w:rsidTr="005C5DD9">
        <w:trPr>
          <w:trHeight w:val="386"/>
        </w:trPr>
        <w:tc>
          <w:tcPr>
            <w:tcW w:w="1731" w:type="pct"/>
            <w:shd w:val="clear" w:color="auto" w:fill="FFFFFF"/>
            <w:vAlign w:val="center"/>
          </w:tcPr>
          <w:p w:rsidR="00F5660E" w:rsidRPr="00B077D8" w:rsidRDefault="00F5660E" w:rsidP="00F5660E">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Belgija</w:t>
            </w:r>
          </w:p>
        </w:tc>
        <w:tc>
          <w:tcPr>
            <w:tcW w:w="3269" w:type="pct"/>
            <w:shd w:val="clear" w:color="auto" w:fill="FFFFFF"/>
            <w:vAlign w:val="center"/>
          </w:tcPr>
          <w:p w:rsidR="00F5660E" w:rsidRPr="00B077D8" w:rsidRDefault="00F5660E" w:rsidP="00F5660E">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Perindopril/Amlodipine Krka</w:t>
            </w:r>
          </w:p>
        </w:tc>
      </w:tr>
      <w:tr w:rsidR="00F5660E" w:rsidRPr="00B077D8" w:rsidTr="005C5DD9">
        <w:trPr>
          <w:trHeight w:val="386"/>
        </w:trPr>
        <w:tc>
          <w:tcPr>
            <w:tcW w:w="1731" w:type="pct"/>
            <w:shd w:val="clear" w:color="auto" w:fill="FFFFFF"/>
            <w:vAlign w:val="center"/>
          </w:tcPr>
          <w:p w:rsidR="00F5660E" w:rsidRPr="00B077D8" w:rsidRDefault="00F5660E" w:rsidP="00F5660E">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Rumunija</w:t>
            </w:r>
          </w:p>
        </w:tc>
        <w:tc>
          <w:tcPr>
            <w:tcW w:w="3269" w:type="pct"/>
            <w:shd w:val="clear" w:color="auto" w:fill="FFFFFF"/>
            <w:vAlign w:val="center"/>
          </w:tcPr>
          <w:p w:rsidR="00F5660E" w:rsidRPr="00B077D8" w:rsidRDefault="00F5660E" w:rsidP="00F5660E">
            <w:pPr>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Preamlessa</w:t>
            </w:r>
          </w:p>
        </w:tc>
      </w:tr>
      <w:tr w:rsidR="00F5660E" w:rsidRPr="00B077D8" w:rsidTr="005C5DD9">
        <w:trPr>
          <w:trHeight w:val="386"/>
        </w:trPr>
        <w:tc>
          <w:tcPr>
            <w:tcW w:w="1731" w:type="pct"/>
            <w:shd w:val="clear" w:color="auto" w:fill="FFFFFF"/>
            <w:vAlign w:val="center"/>
          </w:tcPr>
          <w:p w:rsidR="00F5660E" w:rsidRPr="00B077D8" w:rsidRDefault="00F5660E" w:rsidP="00F5660E">
            <w:pPr>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Vengrija, Estija</w:t>
            </w:r>
          </w:p>
        </w:tc>
        <w:tc>
          <w:tcPr>
            <w:tcW w:w="3269"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Dalnessa</w:t>
            </w:r>
          </w:p>
        </w:tc>
      </w:tr>
      <w:tr w:rsidR="00F5660E" w:rsidRPr="00B077D8" w:rsidTr="005C5DD9">
        <w:trPr>
          <w:trHeight w:val="386"/>
        </w:trPr>
        <w:tc>
          <w:tcPr>
            <w:tcW w:w="1731"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Čekija, Latvija, Lietuva</w:t>
            </w:r>
          </w:p>
        </w:tc>
        <w:tc>
          <w:tcPr>
            <w:tcW w:w="3269"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Tonarssa</w:t>
            </w:r>
          </w:p>
        </w:tc>
      </w:tr>
      <w:tr w:rsidR="00F5660E" w:rsidRPr="00B077D8" w:rsidTr="005C5DD9">
        <w:trPr>
          <w:trHeight w:val="386"/>
        </w:trPr>
        <w:tc>
          <w:tcPr>
            <w:tcW w:w="1731"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Bulgarija</w:t>
            </w:r>
          </w:p>
        </w:tc>
        <w:tc>
          <w:tcPr>
            <w:tcW w:w="3269"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Амлеса</w:t>
            </w:r>
          </w:p>
        </w:tc>
      </w:tr>
      <w:tr w:rsidR="00F5660E" w:rsidRPr="00B077D8" w:rsidTr="005C5DD9">
        <w:trPr>
          <w:trHeight w:val="386"/>
        </w:trPr>
        <w:tc>
          <w:tcPr>
            <w:tcW w:w="1731"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Slovakija</w:t>
            </w:r>
          </w:p>
        </w:tc>
        <w:tc>
          <w:tcPr>
            <w:tcW w:w="3269"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Amlessa</w:t>
            </w:r>
          </w:p>
        </w:tc>
      </w:tr>
      <w:tr w:rsidR="00F5660E" w:rsidRPr="00B077D8" w:rsidTr="005C5DD9">
        <w:trPr>
          <w:trHeight w:val="386"/>
        </w:trPr>
        <w:tc>
          <w:tcPr>
            <w:tcW w:w="1731"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bCs/>
                <w:lang w:eastAsia="de-DE"/>
              </w:rPr>
            </w:pPr>
            <w:r w:rsidRPr="00B077D8">
              <w:rPr>
                <w:rFonts w:ascii="Times New Roman" w:eastAsia="Times New Roman" w:hAnsi="Times New Roman" w:cs="Times New Roman"/>
                <w:bCs/>
                <w:lang w:eastAsia="de-DE"/>
              </w:rPr>
              <w:t>Lenkija, Slovėnija</w:t>
            </w:r>
          </w:p>
        </w:tc>
        <w:tc>
          <w:tcPr>
            <w:tcW w:w="3269" w:type="pct"/>
            <w:shd w:val="clear" w:color="auto" w:fill="FFFFFF"/>
            <w:vAlign w:val="center"/>
          </w:tcPr>
          <w:p w:rsidR="00F5660E" w:rsidRPr="00B077D8" w:rsidRDefault="00F5660E" w:rsidP="00F5660E">
            <w:pPr>
              <w:tabs>
                <w:tab w:val="left" w:pos="2268"/>
              </w:tabs>
              <w:ind w:left="0" w:firstLine="0"/>
              <w:rPr>
                <w:rFonts w:ascii="Times New Roman" w:eastAsia="Times New Roman" w:hAnsi="Times New Roman" w:cs="Times New Roman"/>
                <w:lang w:eastAsia="de-DE"/>
              </w:rPr>
            </w:pPr>
            <w:r w:rsidRPr="00B077D8">
              <w:rPr>
                <w:rFonts w:ascii="Times New Roman" w:eastAsia="Times New Roman" w:hAnsi="Times New Roman" w:cs="Times New Roman"/>
                <w:lang w:eastAsia="de-DE"/>
              </w:rPr>
              <w:t>Amlessini</w:t>
            </w:r>
          </w:p>
        </w:tc>
      </w:tr>
    </w:tbl>
    <w:p w:rsidR="00F5660E" w:rsidRPr="00B077D8" w:rsidRDefault="00F5660E" w:rsidP="00F5660E">
      <w:pPr>
        <w:widowControl w:val="0"/>
        <w:tabs>
          <w:tab w:val="left" w:pos="567"/>
        </w:tabs>
        <w:ind w:left="0" w:firstLine="0"/>
        <w:rPr>
          <w:rFonts w:ascii="Times New Roman" w:eastAsia="Times New Roman" w:hAnsi="Times New Roman" w:cs="Times New Roman"/>
          <w:highlight w:val="yellow"/>
          <w:lang w:eastAsia="sl-SI"/>
        </w:rPr>
      </w:pPr>
    </w:p>
    <w:p w:rsidR="00F5660E" w:rsidRPr="00B077D8" w:rsidRDefault="00F5660E" w:rsidP="00F5660E">
      <w:pPr>
        <w:widowControl w:val="0"/>
        <w:ind w:left="0" w:firstLine="0"/>
        <w:rPr>
          <w:rFonts w:ascii="Times New Roman" w:eastAsia="Times New Roman" w:hAnsi="Times New Roman" w:cs="Times New Roman"/>
          <w:lang w:eastAsia="sl-SI"/>
        </w:rPr>
      </w:pPr>
      <w:r w:rsidRPr="00B077D8">
        <w:rPr>
          <w:rFonts w:ascii="Times New Roman" w:eastAsia="Calibri" w:hAnsi="Times New Roman" w:cs="Times New Roman"/>
          <w:b/>
          <w:lang w:eastAsia="sl-SI"/>
        </w:rPr>
        <w:t xml:space="preserve">Šis pakuotės lapelis paskutinį kartą peržiūrėtas </w:t>
      </w:r>
      <w:r>
        <w:rPr>
          <w:rFonts w:ascii="Times New Roman" w:eastAsia="Calibri" w:hAnsi="Times New Roman" w:cs="Times New Roman"/>
          <w:b/>
          <w:lang w:eastAsia="sl-SI"/>
        </w:rPr>
        <w:t>2024-03-01.</w:t>
      </w:r>
    </w:p>
    <w:p w:rsidR="00F5660E" w:rsidRPr="00B077D8" w:rsidRDefault="00F5660E" w:rsidP="00F5660E">
      <w:pPr>
        <w:widowControl w:val="0"/>
        <w:ind w:left="0" w:firstLine="0"/>
        <w:rPr>
          <w:rFonts w:ascii="Times New Roman" w:eastAsia="Times New Roman" w:hAnsi="Times New Roman" w:cs="Times New Roman"/>
          <w:lang w:eastAsia="sl-SI"/>
        </w:rPr>
      </w:pPr>
    </w:p>
    <w:p w:rsidR="00F5660E" w:rsidRPr="00B077D8" w:rsidRDefault="00F5660E" w:rsidP="00F5660E">
      <w:pPr>
        <w:widowControl w:val="0"/>
        <w:ind w:left="0" w:firstLine="0"/>
        <w:rPr>
          <w:rFonts w:ascii="Times New Roman" w:eastAsia="Calibri" w:hAnsi="Times New Roman" w:cs="Times New Roman"/>
          <w:color w:val="0000FF"/>
          <w:u w:val="single"/>
          <w:lang w:eastAsia="sl-SI"/>
        </w:rPr>
      </w:pPr>
      <w:r w:rsidRPr="00B077D8">
        <w:rPr>
          <w:rFonts w:ascii="Times New Roman" w:eastAsia="Calibri" w:hAnsi="Times New Roman" w:cs="Times New Roman"/>
          <w:lang w:eastAsia="sl-SI"/>
        </w:rPr>
        <w:t xml:space="preserve">Išsami informacija apie šį vaistą pateikiama Valstybinės vaistų kontrolės tarnybos prie Lietuvos Respublikos sveikatos apsaugos ministerijos tinklalapyje </w:t>
      </w:r>
      <w:hyperlink r:id="rId5" w:history="1">
        <w:r w:rsidRPr="00B077D8">
          <w:rPr>
            <w:rFonts w:ascii="Times New Roman" w:eastAsia="Calibri" w:hAnsi="Times New Roman" w:cs="Times New Roman"/>
            <w:color w:val="0000FF"/>
            <w:u w:val="single"/>
            <w:lang w:eastAsia="sl-SI"/>
          </w:rPr>
          <w:t>http://www.vvkt.lt/</w:t>
        </w:r>
      </w:hyperlink>
    </w:p>
    <w:p w:rsidR="00F5660E" w:rsidRPr="00B077D8" w:rsidRDefault="00F5660E" w:rsidP="00F5660E">
      <w:pPr>
        <w:widowControl w:val="0"/>
        <w:ind w:left="0" w:firstLine="0"/>
        <w:rPr>
          <w:rFonts w:ascii="Times New Roman" w:eastAsia="Calibri" w:hAnsi="Times New Roman" w:cs="Times New Roman"/>
          <w:u w:val="single"/>
          <w:lang w:eastAsia="sl-SI"/>
        </w:rPr>
      </w:pPr>
    </w:p>
    <w:p w:rsidR="00F5660E" w:rsidRDefault="00F5660E" w:rsidP="00F5660E">
      <w:pPr>
        <w:ind w:left="0" w:firstLine="0"/>
      </w:pPr>
    </w:p>
    <w:p w:rsidR="00BA6577" w:rsidRDefault="00BA6577">
      <w:bookmarkStart w:id="16" w:name="_GoBack"/>
      <w:bookmarkEnd w:id="16"/>
    </w:p>
    <w:sectPr w:rsidR="00BA6577" w:rsidSect="00F5660E">
      <w:pgSz w:w="11907" w:h="16840" w:code="9"/>
      <w:pgMar w:top="1134" w:right="1418" w:bottom="1134" w:left="1418" w:header="737" w:footer="737"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25282A"/>
    <w:multiLevelType w:val="hybridMultilevel"/>
    <w:tmpl w:val="0DAA8706"/>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3D476E"/>
    <w:multiLevelType w:val="hybridMultilevel"/>
    <w:tmpl w:val="1ACA189A"/>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2C24313"/>
    <w:multiLevelType w:val="hybridMultilevel"/>
    <w:tmpl w:val="0A969B2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35E030E"/>
    <w:multiLevelType w:val="hybridMultilevel"/>
    <w:tmpl w:val="AF6C54B8"/>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3B3C1BC1"/>
    <w:multiLevelType w:val="hybridMultilevel"/>
    <w:tmpl w:val="D68654D8"/>
    <w:lvl w:ilvl="0" w:tplc="BF06C694">
      <w:start w:val="1"/>
      <w:numFmt w:val="bullet"/>
      <w:lvlText w:val="-"/>
      <w:lvlJc w:val="left"/>
      <w:pPr>
        <w:ind w:left="790" w:hanging="360"/>
      </w:pPr>
      <w:rPr>
        <w:rFonts w:ascii="Times New Roman" w:hAnsi="Times New Roman" w:cs="Times New Roman" w:hint="default"/>
        <w:b w:val="0"/>
        <w:i w:val="0"/>
        <w:sz w:val="24"/>
        <w:szCs w:val="24"/>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6" w15:restartNumberingAfterBreak="0">
    <w:nsid w:val="567D4969"/>
    <w:multiLevelType w:val="hybridMultilevel"/>
    <w:tmpl w:val="F88483A8"/>
    <w:lvl w:ilvl="0" w:tplc="9FC0074A">
      <w:start w:val="1"/>
      <w:numFmt w:val="bullet"/>
      <w:lvlText w:val="­"/>
      <w:lvlJc w:val="left"/>
      <w:pPr>
        <w:ind w:left="36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9066988"/>
    <w:multiLevelType w:val="hybridMultilevel"/>
    <w:tmpl w:val="9E00D6D2"/>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6F166B3B"/>
    <w:multiLevelType w:val="hybridMultilevel"/>
    <w:tmpl w:val="00C6E38E"/>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E05C7F"/>
    <w:multiLevelType w:val="hybridMultilevel"/>
    <w:tmpl w:val="A30EDCF8"/>
    <w:lvl w:ilvl="0" w:tplc="E2D8FEBE">
      <w:start w:val="1"/>
      <w:numFmt w:val="bullet"/>
      <w:lvlText w:val="-"/>
      <w:lvlJc w:val="left"/>
      <w:pPr>
        <w:tabs>
          <w:tab w:val="num" w:pos="567"/>
        </w:tabs>
        <w:ind w:left="567" w:hanging="567"/>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C3729B3"/>
    <w:multiLevelType w:val="hybridMultilevel"/>
    <w:tmpl w:val="067AB9D2"/>
    <w:lvl w:ilvl="0" w:tplc="3DBE1544">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7"/>
  </w:num>
  <w:num w:numId="3">
    <w:abstractNumId w:val="9"/>
  </w:num>
  <w:num w:numId="4">
    <w:abstractNumId w:val="8"/>
  </w:num>
  <w:num w:numId="5">
    <w:abstractNumId w:val="5"/>
  </w:num>
  <w:num w:numId="6">
    <w:abstractNumId w:val="10"/>
  </w:num>
  <w:num w:numId="7">
    <w:abstractNumId w:val="1"/>
  </w:num>
  <w:num w:numId="8">
    <w:abstractNumId w:val="6"/>
  </w:num>
  <w:num w:numId="9">
    <w:abstractNumId w:val="2"/>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60E"/>
    <w:rsid w:val="00072F85"/>
    <w:rsid w:val="00181364"/>
    <w:rsid w:val="00305C48"/>
    <w:rsid w:val="003362C6"/>
    <w:rsid w:val="00BA6577"/>
    <w:rsid w:val="00F566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6A02B4-4C38-417F-A571-D04947B8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660E"/>
    <w:pPr>
      <w:spacing w:after="0" w:line="240" w:lineRule="auto"/>
      <w:ind w:left="567" w:hanging="567"/>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15492</Words>
  <Characters>8832</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vt:lpstr>Vairavimas ir mechanizmų valdymas</vt:lpstr>
      <vt:lpstr>        3.	Kaip vartoti Tonarssa</vt:lpstr>
      <vt:lpstr>    4.	Galimas šalutinis poveikis</vt:lpstr>
      <vt:lpstr>        5.	Kaip laikyti Tonarssa</vt:lpstr>
      <vt:lpstr>    6.	Pakuotės turinys ir kita informacija</vt:lpstr>
    </vt:vector>
  </TitlesOfParts>
  <Company/>
  <LinksUpToDate>false</LinksUpToDate>
  <CharactersWithSpaces>24276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2024-03-22T08:39:00Z</dcterms:created>
  <dcterms:modified xsi:type="dcterms:W3CDTF">2024-03-22T08:40:00Z</dcterms:modified>
</cp:coreProperties>
</file>