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9A" w:rsidRPr="00AC49A7" w:rsidRDefault="002E239A" w:rsidP="002E239A">
      <w:pPr>
        <w:spacing w:line="240" w:lineRule="auto"/>
        <w:ind w:left="567" w:hanging="567"/>
        <w:jc w:val="center"/>
        <w:outlineLvl w:val="0"/>
        <w:rPr>
          <w:rFonts w:eastAsia="Calibri"/>
          <w:b/>
          <w:snapToGrid/>
          <w:szCs w:val="22"/>
          <w:lang w:val="lt-LT"/>
        </w:rPr>
      </w:pPr>
      <w:bookmarkStart w:id="0" w:name="_Toc129243138"/>
      <w:bookmarkStart w:id="1" w:name="_Toc129243263"/>
      <w:r w:rsidRPr="00AC49A7">
        <w:rPr>
          <w:rFonts w:eastAsia="Calibri"/>
          <w:b/>
          <w:snapToGrid/>
          <w:szCs w:val="22"/>
          <w:lang w:val="lt-LT"/>
        </w:rPr>
        <w:t>Pakuotės lapelis:</w:t>
      </w:r>
      <w:r w:rsidRPr="00AC49A7">
        <w:rPr>
          <w:rFonts w:eastAsia="Calibri"/>
          <w:b/>
          <w:bCs/>
          <w:iCs/>
          <w:snapToGrid/>
          <w:szCs w:val="24"/>
          <w:lang w:val="lt-LT"/>
        </w:rPr>
        <w:t xml:space="preserve"> </w:t>
      </w:r>
      <w:r w:rsidRPr="00AC49A7">
        <w:rPr>
          <w:rFonts w:eastAsia="Calibri"/>
          <w:b/>
          <w:snapToGrid/>
          <w:szCs w:val="22"/>
          <w:lang w:val="lt-LT"/>
        </w:rPr>
        <w:t>informacija vartotojui</w:t>
      </w:r>
      <w:bookmarkEnd w:id="0"/>
      <w:bookmarkEnd w:id="1"/>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jc w:val="center"/>
        <w:rPr>
          <w:rFonts w:eastAsia="Calibri"/>
          <w:b/>
          <w:snapToGrid/>
          <w:szCs w:val="22"/>
          <w:lang w:val="lt-LT"/>
        </w:rPr>
      </w:pPr>
      <w:proofErr w:type="spellStart"/>
      <w:r w:rsidRPr="00AC49A7">
        <w:rPr>
          <w:rFonts w:eastAsia="Calibri"/>
          <w:b/>
          <w:snapToGrid/>
          <w:szCs w:val="22"/>
          <w:lang w:val="lt-LT"/>
        </w:rPr>
        <w:t>Milurit</w:t>
      </w:r>
      <w:proofErr w:type="spellEnd"/>
      <w:r w:rsidRPr="00AC49A7">
        <w:rPr>
          <w:rFonts w:eastAsia="Calibri"/>
          <w:b/>
          <w:snapToGrid/>
          <w:szCs w:val="22"/>
          <w:lang w:val="lt-LT"/>
        </w:rPr>
        <w:t xml:space="preserve"> 150 mg tabletės</w:t>
      </w:r>
    </w:p>
    <w:p w:rsidR="002E239A" w:rsidRPr="00AC49A7" w:rsidRDefault="002E239A" w:rsidP="002E239A">
      <w:pPr>
        <w:tabs>
          <w:tab w:val="clear" w:pos="567"/>
        </w:tabs>
        <w:spacing w:line="240" w:lineRule="auto"/>
        <w:jc w:val="center"/>
        <w:rPr>
          <w:rFonts w:eastAsia="Calibri"/>
          <w:b/>
          <w:snapToGrid/>
          <w:szCs w:val="22"/>
          <w:lang w:val="lt-LT"/>
        </w:rPr>
      </w:pPr>
      <w:proofErr w:type="spellStart"/>
      <w:r w:rsidRPr="00AC49A7">
        <w:rPr>
          <w:rFonts w:eastAsia="Calibri"/>
          <w:b/>
          <w:snapToGrid/>
          <w:szCs w:val="22"/>
          <w:lang w:val="lt-LT"/>
        </w:rPr>
        <w:t>Milurit</w:t>
      </w:r>
      <w:proofErr w:type="spellEnd"/>
      <w:r w:rsidRPr="00AC49A7">
        <w:rPr>
          <w:rFonts w:eastAsia="Calibri"/>
          <w:b/>
          <w:snapToGrid/>
          <w:szCs w:val="22"/>
          <w:lang w:val="lt-LT"/>
        </w:rPr>
        <w:t xml:space="preserve"> 200 mg tabletės</w:t>
      </w:r>
    </w:p>
    <w:p w:rsidR="002E239A" w:rsidRPr="00AC49A7" w:rsidRDefault="002E239A" w:rsidP="002E239A">
      <w:pPr>
        <w:tabs>
          <w:tab w:val="clear" w:pos="567"/>
        </w:tabs>
        <w:spacing w:line="240" w:lineRule="auto"/>
        <w:jc w:val="center"/>
        <w:rPr>
          <w:rFonts w:eastAsia="Calibri"/>
          <w:snapToGrid/>
          <w:szCs w:val="22"/>
          <w:lang w:val="lt-LT"/>
        </w:rPr>
      </w:pPr>
    </w:p>
    <w:p w:rsidR="002E239A" w:rsidRPr="00AC49A7" w:rsidRDefault="002E239A" w:rsidP="002E239A">
      <w:pPr>
        <w:tabs>
          <w:tab w:val="clear" w:pos="567"/>
        </w:tabs>
        <w:spacing w:line="240" w:lineRule="auto"/>
        <w:jc w:val="center"/>
        <w:rPr>
          <w:rFonts w:eastAsia="Calibri"/>
          <w:snapToGrid/>
          <w:szCs w:val="22"/>
          <w:lang w:val="lt-LT"/>
        </w:rPr>
      </w:pPr>
      <w:proofErr w:type="spellStart"/>
      <w:r w:rsidRPr="00AC49A7">
        <w:rPr>
          <w:rFonts w:eastAsia="Calibri"/>
          <w:snapToGrid/>
          <w:szCs w:val="22"/>
          <w:lang w:val="lt-LT"/>
        </w:rPr>
        <w:t>alopurinolis</w:t>
      </w:r>
      <w:proofErr w:type="spellEnd"/>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uppressAutoHyphens/>
        <w:spacing w:line="240" w:lineRule="auto"/>
        <w:rPr>
          <w:szCs w:val="24"/>
          <w:lang w:val="lt-LT"/>
        </w:rPr>
      </w:pPr>
      <w:r w:rsidRPr="00AC49A7">
        <w:rPr>
          <w:b/>
          <w:noProof/>
          <w:szCs w:val="24"/>
          <w:lang w:val="lt-LT"/>
        </w:rPr>
        <w:t>Atidžiai perskaitykite visą šį lapelį, prieš pradėdami vartoti vaistą, nes jame pateikiama Jums svarbi informacija.</w:t>
      </w:r>
    </w:p>
    <w:p w:rsidR="002E239A" w:rsidRPr="00AC49A7" w:rsidRDefault="002E239A" w:rsidP="002E239A">
      <w:pPr>
        <w:numPr>
          <w:ilvl w:val="0"/>
          <w:numId w:val="1"/>
        </w:numPr>
        <w:tabs>
          <w:tab w:val="clear" w:pos="567"/>
        </w:tabs>
        <w:spacing w:line="240" w:lineRule="auto"/>
        <w:ind w:left="567" w:right="-2" w:hanging="567"/>
        <w:rPr>
          <w:szCs w:val="24"/>
          <w:lang w:val="lt-LT"/>
        </w:rPr>
      </w:pPr>
      <w:r w:rsidRPr="00AC49A7">
        <w:rPr>
          <w:noProof/>
          <w:szCs w:val="24"/>
          <w:lang w:val="lt-LT"/>
        </w:rPr>
        <w:t>Neišmeskite šio lapelio, nes vėl gali prireikti jį perskaityti.</w:t>
      </w:r>
      <w:r w:rsidRPr="00AC49A7">
        <w:rPr>
          <w:szCs w:val="24"/>
          <w:lang w:val="lt-LT"/>
        </w:rPr>
        <w:t xml:space="preserve"> </w:t>
      </w:r>
    </w:p>
    <w:p w:rsidR="002E239A" w:rsidRPr="00AC49A7" w:rsidRDefault="002E239A" w:rsidP="002E239A">
      <w:pPr>
        <w:numPr>
          <w:ilvl w:val="0"/>
          <w:numId w:val="1"/>
        </w:numPr>
        <w:tabs>
          <w:tab w:val="clear" w:pos="567"/>
        </w:tabs>
        <w:spacing w:line="240" w:lineRule="auto"/>
        <w:ind w:left="567" w:right="-2" w:hanging="567"/>
        <w:rPr>
          <w:szCs w:val="24"/>
          <w:lang w:val="lt-LT"/>
        </w:rPr>
      </w:pPr>
      <w:r w:rsidRPr="00AC49A7">
        <w:rPr>
          <w:noProof/>
          <w:szCs w:val="24"/>
          <w:lang w:val="lt-LT"/>
        </w:rPr>
        <w:t>Jeigu kiltų daugiau klausimų, kreipkitės į gydytoją arba vaistininką.</w:t>
      </w:r>
    </w:p>
    <w:p w:rsidR="002E239A" w:rsidRPr="00AC49A7" w:rsidRDefault="002E239A" w:rsidP="002E239A">
      <w:pPr>
        <w:spacing w:line="240" w:lineRule="auto"/>
        <w:ind w:left="567" w:right="-2" w:hanging="567"/>
        <w:rPr>
          <w:noProof/>
          <w:szCs w:val="24"/>
          <w:lang w:val="lt-LT"/>
        </w:rPr>
      </w:pPr>
      <w:r w:rsidRPr="00AC49A7">
        <w:rPr>
          <w:szCs w:val="24"/>
          <w:lang w:val="lt-LT"/>
        </w:rPr>
        <w:t>-</w:t>
      </w:r>
      <w:r w:rsidRPr="00AC49A7">
        <w:rPr>
          <w:szCs w:val="24"/>
          <w:lang w:val="lt-LT"/>
        </w:rPr>
        <w:tab/>
      </w:r>
      <w:r w:rsidRPr="00AC49A7">
        <w:rPr>
          <w:noProof/>
          <w:szCs w:val="24"/>
          <w:lang w:val="lt-LT"/>
        </w:rPr>
        <w:t>Šis vaistas skirtas tik Jums, todėl kitiems žmonėms jo duoti negalima.</w:t>
      </w:r>
      <w:r w:rsidRPr="00AC49A7">
        <w:rPr>
          <w:szCs w:val="24"/>
          <w:lang w:val="lt-LT"/>
        </w:rPr>
        <w:t xml:space="preserve"> </w:t>
      </w:r>
      <w:r w:rsidRPr="00AC49A7">
        <w:rPr>
          <w:noProof/>
          <w:szCs w:val="24"/>
          <w:lang w:val="lt-LT"/>
        </w:rPr>
        <w:t>Vaistas gali jiems pakenkti (net tiems, kurių ligos požymiai yra tokie patys kaip Jūsų).</w:t>
      </w:r>
    </w:p>
    <w:p w:rsidR="002E239A" w:rsidRPr="00AC49A7" w:rsidRDefault="002E239A" w:rsidP="002E239A">
      <w:pPr>
        <w:spacing w:line="240" w:lineRule="auto"/>
        <w:ind w:left="567" w:right="-2" w:hanging="567"/>
        <w:rPr>
          <w:noProof/>
          <w:szCs w:val="22"/>
          <w:lang w:val="lt-LT"/>
        </w:rPr>
      </w:pPr>
      <w:r w:rsidRPr="00AC49A7">
        <w:rPr>
          <w:noProof/>
          <w:szCs w:val="24"/>
          <w:lang w:val="lt-LT"/>
        </w:rPr>
        <w:t>-</w:t>
      </w:r>
      <w:r w:rsidRPr="00AC49A7">
        <w:rPr>
          <w:noProof/>
          <w:szCs w:val="24"/>
          <w:lang w:val="lt-LT"/>
        </w:rPr>
        <w:tab/>
      </w:r>
      <w:r w:rsidRPr="00AC49A7">
        <w:rPr>
          <w:noProof/>
          <w:szCs w:val="22"/>
          <w:lang w:val="lt-LT"/>
        </w:rPr>
        <w:t>Jeigu pasireiškė šalutinis poveikis (net jeigu jis šiame lapelyje nenurodytas), kreipkitės į gydytoją arba vaistininką. Žr. 4 skyrių.</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keepNext/>
        <w:spacing w:line="240" w:lineRule="auto"/>
        <w:jc w:val="both"/>
        <w:outlineLvl w:val="3"/>
        <w:rPr>
          <w:b/>
          <w:bCs/>
          <w:szCs w:val="28"/>
          <w:lang w:val="lt-LT"/>
        </w:rPr>
      </w:pPr>
      <w:r w:rsidRPr="00AC49A7">
        <w:rPr>
          <w:b/>
          <w:bCs/>
          <w:szCs w:val="28"/>
          <w:lang w:val="lt-LT"/>
        </w:rPr>
        <w:t>Apie ką rašoma šiame lapelyje?</w:t>
      </w:r>
    </w:p>
    <w:p w:rsidR="002E239A" w:rsidRPr="00AC49A7" w:rsidRDefault="002E239A" w:rsidP="002E239A">
      <w:pPr>
        <w:keepNext/>
        <w:spacing w:line="240" w:lineRule="auto"/>
        <w:jc w:val="both"/>
        <w:outlineLvl w:val="3"/>
        <w:rPr>
          <w:b/>
          <w:bCs/>
          <w:szCs w:val="28"/>
          <w:lang w:val="lt-LT"/>
        </w:rPr>
      </w:pPr>
    </w:p>
    <w:p w:rsidR="002E239A" w:rsidRPr="00AC49A7" w:rsidRDefault="002E239A" w:rsidP="002E239A">
      <w:pPr>
        <w:tabs>
          <w:tab w:val="clear" w:pos="567"/>
        </w:tabs>
        <w:spacing w:line="240" w:lineRule="auto"/>
        <w:ind w:left="567" w:hanging="567"/>
        <w:rPr>
          <w:rFonts w:eastAsia="Calibri"/>
          <w:snapToGrid/>
          <w:szCs w:val="22"/>
          <w:lang w:val="lt-LT"/>
        </w:rPr>
      </w:pPr>
      <w:r w:rsidRPr="00AC49A7">
        <w:rPr>
          <w:rFonts w:eastAsia="Calibri"/>
          <w:snapToGrid/>
          <w:szCs w:val="22"/>
          <w:lang w:val="lt-LT"/>
        </w:rPr>
        <w:t>1.</w:t>
      </w:r>
      <w:r w:rsidRPr="00AC49A7">
        <w:rPr>
          <w:rFonts w:eastAsia="Calibri"/>
          <w:snapToGrid/>
          <w:szCs w:val="22"/>
          <w:lang w:val="lt-LT"/>
        </w:rPr>
        <w:tab/>
        <w:t xml:space="preserve">Kas yra </w:t>
      </w:r>
      <w:proofErr w:type="spellStart"/>
      <w:r w:rsidRPr="00AC49A7">
        <w:rPr>
          <w:rFonts w:eastAsia="Calibri"/>
          <w:snapToGrid/>
          <w:szCs w:val="22"/>
          <w:lang w:val="lt-LT"/>
        </w:rPr>
        <w:t>Milurit</w:t>
      </w:r>
      <w:proofErr w:type="spellEnd"/>
      <w:r w:rsidRPr="00AC49A7">
        <w:rPr>
          <w:rFonts w:eastAsia="Calibri"/>
          <w:snapToGrid/>
          <w:szCs w:val="22"/>
          <w:lang w:val="lt-LT"/>
        </w:rPr>
        <w:t xml:space="preserve"> ir kam jis vartojamas</w:t>
      </w:r>
    </w:p>
    <w:p w:rsidR="002E239A" w:rsidRPr="00AC49A7" w:rsidRDefault="002E239A" w:rsidP="002E239A">
      <w:pPr>
        <w:tabs>
          <w:tab w:val="clear" w:pos="567"/>
        </w:tabs>
        <w:spacing w:line="240" w:lineRule="auto"/>
        <w:ind w:left="567" w:hanging="567"/>
        <w:rPr>
          <w:rFonts w:eastAsia="Calibri"/>
          <w:snapToGrid/>
          <w:szCs w:val="22"/>
          <w:lang w:val="lt-LT"/>
        </w:rPr>
      </w:pPr>
      <w:r w:rsidRPr="00AC49A7">
        <w:rPr>
          <w:rFonts w:eastAsia="Calibri"/>
          <w:snapToGrid/>
          <w:szCs w:val="22"/>
          <w:lang w:val="lt-LT"/>
        </w:rPr>
        <w:t>2.</w:t>
      </w:r>
      <w:r w:rsidRPr="00AC49A7">
        <w:rPr>
          <w:rFonts w:eastAsia="Calibri"/>
          <w:snapToGrid/>
          <w:szCs w:val="22"/>
          <w:lang w:val="lt-LT"/>
        </w:rPr>
        <w:tab/>
        <w:t xml:space="preserve">Kas žinotina prieš vartojant </w:t>
      </w:r>
      <w:proofErr w:type="spellStart"/>
      <w:r w:rsidRPr="00AC49A7">
        <w:rPr>
          <w:rFonts w:eastAsia="Calibri"/>
          <w:snapToGrid/>
          <w:szCs w:val="22"/>
          <w:lang w:val="lt-LT"/>
        </w:rPr>
        <w:t>Milurit</w:t>
      </w:r>
      <w:proofErr w:type="spellEnd"/>
    </w:p>
    <w:p w:rsidR="002E239A" w:rsidRPr="00AC49A7" w:rsidRDefault="002E239A" w:rsidP="002E239A">
      <w:pPr>
        <w:tabs>
          <w:tab w:val="clear" w:pos="567"/>
        </w:tabs>
        <w:spacing w:line="240" w:lineRule="auto"/>
        <w:ind w:left="567" w:hanging="567"/>
        <w:rPr>
          <w:rFonts w:eastAsia="Calibri"/>
          <w:snapToGrid/>
          <w:szCs w:val="22"/>
          <w:lang w:val="lt-LT"/>
        </w:rPr>
      </w:pPr>
      <w:r w:rsidRPr="00AC49A7">
        <w:rPr>
          <w:rFonts w:eastAsia="Calibri"/>
          <w:snapToGrid/>
          <w:szCs w:val="22"/>
          <w:lang w:val="lt-LT"/>
        </w:rPr>
        <w:t>3.</w:t>
      </w:r>
      <w:r w:rsidRPr="00AC49A7">
        <w:rPr>
          <w:rFonts w:eastAsia="Calibri"/>
          <w:snapToGrid/>
          <w:szCs w:val="22"/>
          <w:lang w:val="lt-LT"/>
        </w:rPr>
        <w:tab/>
        <w:t xml:space="preserve">Kaip vartoti </w:t>
      </w:r>
      <w:proofErr w:type="spellStart"/>
      <w:r w:rsidRPr="00AC49A7">
        <w:rPr>
          <w:rFonts w:eastAsia="Calibri"/>
          <w:snapToGrid/>
          <w:szCs w:val="22"/>
          <w:lang w:val="lt-LT"/>
        </w:rPr>
        <w:t>Milurit</w:t>
      </w:r>
      <w:proofErr w:type="spellEnd"/>
    </w:p>
    <w:p w:rsidR="002E239A" w:rsidRPr="00AC49A7" w:rsidRDefault="002E239A" w:rsidP="002E239A">
      <w:pPr>
        <w:tabs>
          <w:tab w:val="clear" w:pos="567"/>
        </w:tabs>
        <w:spacing w:line="240" w:lineRule="auto"/>
        <w:ind w:left="567" w:hanging="567"/>
        <w:rPr>
          <w:rFonts w:eastAsia="Calibri"/>
          <w:snapToGrid/>
          <w:szCs w:val="22"/>
          <w:lang w:val="lt-LT"/>
        </w:rPr>
      </w:pPr>
      <w:r w:rsidRPr="00AC49A7">
        <w:rPr>
          <w:rFonts w:eastAsia="Calibri"/>
          <w:snapToGrid/>
          <w:szCs w:val="22"/>
          <w:lang w:val="lt-LT"/>
        </w:rPr>
        <w:t>4.</w:t>
      </w:r>
      <w:r w:rsidRPr="00AC49A7">
        <w:rPr>
          <w:rFonts w:eastAsia="Calibri"/>
          <w:snapToGrid/>
          <w:szCs w:val="22"/>
          <w:lang w:val="lt-LT"/>
        </w:rPr>
        <w:tab/>
        <w:t>Galimas šalutinis poveikis</w:t>
      </w:r>
    </w:p>
    <w:p w:rsidR="002E239A" w:rsidRPr="00AC49A7" w:rsidRDefault="002E239A" w:rsidP="002E239A">
      <w:pPr>
        <w:tabs>
          <w:tab w:val="clear" w:pos="567"/>
        </w:tabs>
        <w:spacing w:line="240" w:lineRule="auto"/>
        <w:ind w:left="567" w:hanging="567"/>
        <w:rPr>
          <w:rFonts w:eastAsia="Calibri"/>
          <w:snapToGrid/>
          <w:szCs w:val="22"/>
          <w:lang w:val="lt-LT"/>
        </w:rPr>
      </w:pPr>
      <w:r w:rsidRPr="00AC49A7">
        <w:rPr>
          <w:rFonts w:eastAsia="Calibri"/>
          <w:snapToGrid/>
          <w:szCs w:val="22"/>
          <w:lang w:val="lt-LT"/>
        </w:rPr>
        <w:t>5.</w:t>
      </w:r>
      <w:r w:rsidRPr="00AC49A7">
        <w:rPr>
          <w:rFonts w:eastAsia="Calibri"/>
          <w:snapToGrid/>
          <w:szCs w:val="22"/>
          <w:lang w:val="lt-LT"/>
        </w:rPr>
        <w:tab/>
        <w:t xml:space="preserve">Kaip laikyti </w:t>
      </w:r>
      <w:proofErr w:type="spellStart"/>
      <w:r w:rsidRPr="00AC49A7">
        <w:rPr>
          <w:rFonts w:eastAsia="Calibri"/>
          <w:snapToGrid/>
          <w:szCs w:val="22"/>
          <w:lang w:val="lt-LT"/>
        </w:rPr>
        <w:t>Milurit</w:t>
      </w:r>
      <w:proofErr w:type="spellEnd"/>
    </w:p>
    <w:p w:rsidR="002E239A" w:rsidRPr="00AC49A7" w:rsidRDefault="002E239A" w:rsidP="002E239A">
      <w:pPr>
        <w:tabs>
          <w:tab w:val="clear" w:pos="567"/>
        </w:tabs>
        <w:spacing w:line="240" w:lineRule="auto"/>
        <w:ind w:left="567" w:hanging="567"/>
        <w:rPr>
          <w:rFonts w:eastAsia="Calibri"/>
          <w:snapToGrid/>
          <w:szCs w:val="22"/>
          <w:lang w:val="lt-LT"/>
        </w:rPr>
      </w:pPr>
      <w:r w:rsidRPr="00AC49A7">
        <w:rPr>
          <w:rFonts w:eastAsia="Calibri"/>
          <w:snapToGrid/>
          <w:szCs w:val="22"/>
          <w:lang w:val="lt-LT"/>
        </w:rPr>
        <w:t>6.</w:t>
      </w:r>
      <w:r w:rsidRPr="00AC49A7">
        <w:rPr>
          <w:rFonts w:eastAsia="Calibri"/>
          <w:snapToGrid/>
          <w:szCs w:val="22"/>
          <w:lang w:val="lt-LT"/>
        </w:rPr>
        <w:tab/>
        <w:t>Pakuotės turinys ir kita informacija</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keepNext/>
        <w:spacing w:line="240" w:lineRule="auto"/>
        <w:ind w:left="567" w:hanging="567"/>
        <w:outlineLvl w:val="1"/>
        <w:rPr>
          <w:rFonts w:eastAsia="Calibri"/>
          <w:b/>
          <w:snapToGrid/>
          <w:szCs w:val="22"/>
          <w:lang w:val="lt-LT"/>
        </w:rPr>
      </w:pPr>
      <w:bookmarkStart w:id="2" w:name="_Toc129243139"/>
      <w:bookmarkStart w:id="3" w:name="_Toc129243264"/>
      <w:r w:rsidRPr="00AC49A7">
        <w:rPr>
          <w:rFonts w:eastAsia="Calibri"/>
          <w:b/>
          <w:snapToGrid/>
          <w:szCs w:val="22"/>
          <w:lang w:val="lt-LT"/>
        </w:rPr>
        <w:t>1.</w:t>
      </w:r>
      <w:r w:rsidRPr="00AC49A7">
        <w:rPr>
          <w:rFonts w:eastAsia="Calibri"/>
          <w:b/>
          <w:snapToGrid/>
          <w:szCs w:val="22"/>
          <w:lang w:val="lt-LT"/>
        </w:rPr>
        <w:tab/>
        <w:t xml:space="preserve">Kas yra </w:t>
      </w:r>
      <w:proofErr w:type="spellStart"/>
      <w:r w:rsidRPr="00AC49A7">
        <w:rPr>
          <w:rFonts w:eastAsia="Calibri"/>
          <w:b/>
          <w:snapToGrid/>
          <w:szCs w:val="22"/>
          <w:lang w:val="lt-LT"/>
        </w:rPr>
        <w:t>Milurit</w:t>
      </w:r>
      <w:proofErr w:type="spellEnd"/>
      <w:r w:rsidRPr="00AC49A7">
        <w:rPr>
          <w:rFonts w:eastAsia="Calibri"/>
          <w:b/>
          <w:snapToGrid/>
          <w:szCs w:val="22"/>
          <w:lang w:val="lt-LT"/>
        </w:rPr>
        <w:t xml:space="preserve"> ir kam jis vartojamas</w:t>
      </w:r>
      <w:bookmarkEnd w:id="2"/>
      <w:bookmarkEnd w:id="3"/>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spacing w:line="240" w:lineRule="auto"/>
        <w:rPr>
          <w:snapToGrid/>
          <w:szCs w:val="22"/>
          <w:lang w:val="lt-LT"/>
        </w:rPr>
      </w:pPr>
      <w:proofErr w:type="spellStart"/>
      <w:r w:rsidRPr="00AC49A7">
        <w:rPr>
          <w:rFonts w:eastAsia="Calibri"/>
          <w:snapToGrid/>
          <w:color w:val="000000"/>
          <w:szCs w:val="22"/>
          <w:lang w:val="lt-LT" w:eastAsia="lt-LT"/>
        </w:rPr>
        <w:t>Milurit</w:t>
      </w:r>
      <w:proofErr w:type="spellEnd"/>
      <w:r w:rsidRPr="00AC49A7">
        <w:rPr>
          <w:rFonts w:eastAsia="Calibri"/>
          <w:snapToGrid/>
          <w:color w:val="000000"/>
          <w:szCs w:val="22"/>
          <w:lang w:val="lt-LT" w:eastAsia="lt-LT"/>
        </w:rPr>
        <w:t xml:space="preserve"> </w:t>
      </w:r>
      <w:r w:rsidRPr="00AC49A7">
        <w:rPr>
          <w:snapToGrid/>
          <w:szCs w:val="22"/>
          <w:lang w:val="lt-LT"/>
        </w:rPr>
        <w:t xml:space="preserve">tabletėje yra vaisto, vadinamo </w:t>
      </w:r>
      <w:proofErr w:type="spellStart"/>
      <w:r w:rsidRPr="00AC49A7">
        <w:rPr>
          <w:snapToGrid/>
          <w:szCs w:val="22"/>
          <w:lang w:val="lt-LT"/>
        </w:rPr>
        <w:t>alopurinoliu</w:t>
      </w:r>
      <w:proofErr w:type="spellEnd"/>
      <w:r w:rsidRPr="00AC49A7">
        <w:rPr>
          <w:snapToGrid/>
          <w:szCs w:val="22"/>
          <w:lang w:val="lt-LT"/>
        </w:rPr>
        <w:t>. Jis veikia lėtindamas tam tikrų organizme vykstančių cheminių reakcijų greitį ir sumažina šlapimo rūgšties kiekį kraujyje ir šlapime.</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proofErr w:type="spellStart"/>
      <w:r w:rsidRPr="00AC49A7">
        <w:rPr>
          <w:snapToGrid/>
          <w:szCs w:val="22"/>
          <w:lang w:val="lt-LT"/>
        </w:rPr>
        <w:t>Milurit</w:t>
      </w:r>
      <w:proofErr w:type="spellEnd"/>
      <w:r w:rsidRPr="00AC49A7">
        <w:rPr>
          <w:snapToGrid/>
          <w:szCs w:val="22"/>
          <w:lang w:val="lt-LT"/>
        </w:rPr>
        <w:t xml:space="preserve"> vartojamas:</w:t>
      </w:r>
    </w:p>
    <w:p w:rsidR="002E239A" w:rsidRPr="00AC49A7" w:rsidRDefault="002E239A" w:rsidP="002E239A">
      <w:pPr>
        <w:numPr>
          <w:ilvl w:val="0"/>
          <w:numId w:val="2"/>
        </w:numPr>
        <w:tabs>
          <w:tab w:val="clear" w:pos="567"/>
        </w:tabs>
        <w:spacing w:line="240" w:lineRule="auto"/>
        <w:ind w:left="567" w:hanging="567"/>
        <w:rPr>
          <w:snapToGrid/>
          <w:szCs w:val="22"/>
          <w:lang w:val="lt-LT"/>
        </w:rPr>
      </w:pPr>
      <w:r w:rsidRPr="00AC49A7">
        <w:rPr>
          <w:snapToGrid/>
          <w:szCs w:val="22"/>
          <w:lang w:val="lt-LT"/>
        </w:rPr>
        <w:t>podagros profilaktikai. Podagra yra liga, kai organizme susidaro per daug medžiagos, vadinamos šlapimo rūgštimi. Šlapimo rūgštis kaupiasi sąnariuose ir sausgyslėse kristalų forma. Tokie kristalai sukelia uždegiminę reakciją. Uždegimas sukelia aplink sąnarius esančios odos uždegimą, jautrumą ir skausmą nuo menkiausio prisilietimo. Be to, gali pasireikšti labai stiprus skausmas judinant sąnarį;</w:t>
      </w:r>
    </w:p>
    <w:p w:rsidR="002E239A" w:rsidRPr="00AC49A7" w:rsidRDefault="002E239A" w:rsidP="002E239A">
      <w:pPr>
        <w:numPr>
          <w:ilvl w:val="0"/>
          <w:numId w:val="2"/>
        </w:numPr>
        <w:tabs>
          <w:tab w:val="clear" w:pos="567"/>
        </w:tabs>
        <w:spacing w:line="240" w:lineRule="auto"/>
        <w:ind w:left="567" w:hanging="567"/>
        <w:rPr>
          <w:snapToGrid/>
          <w:szCs w:val="22"/>
          <w:lang w:val="lt-LT"/>
        </w:rPr>
      </w:pPr>
      <w:r w:rsidRPr="00AC49A7">
        <w:rPr>
          <w:snapToGrid/>
          <w:szCs w:val="22"/>
          <w:lang w:val="lt-LT"/>
        </w:rPr>
        <w:t>neleidžiant pasireikšti kitoms būklėms, kai organizme kaupiasi šlapimo rūgštis. Tokios būklės yra inkstų akmenligė, tam tikros kitokios inkstų problemos, vėžio gydymas ar tam tikro fermento sutrikimas.</w:t>
      </w:r>
    </w:p>
    <w:p w:rsidR="002E239A" w:rsidRPr="00AC49A7" w:rsidRDefault="002E239A" w:rsidP="002E239A">
      <w:pPr>
        <w:tabs>
          <w:tab w:val="clear" w:pos="567"/>
        </w:tabs>
        <w:spacing w:line="240" w:lineRule="auto"/>
        <w:rPr>
          <w:rFonts w:eastAsia="Calibri"/>
          <w:snapToGrid/>
          <w:szCs w:val="22"/>
          <w:lang w:val="lt-LT" w:eastAsia="lt-LT"/>
        </w:rPr>
      </w:pPr>
    </w:p>
    <w:p w:rsidR="002E239A" w:rsidRPr="00AC49A7" w:rsidRDefault="002E239A" w:rsidP="002E239A">
      <w:pPr>
        <w:tabs>
          <w:tab w:val="clear" w:pos="567"/>
        </w:tabs>
        <w:spacing w:line="240" w:lineRule="auto"/>
        <w:rPr>
          <w:rFonts w:eastAsia="Calibri"/>
          <w:snapToGrid/>
          <w:szCs w:val="22"/>
          <w:lang w:val="lt-LT" w:eastAsia="lt-LT"/>
        </w:rPr>
      </w:pPr>
    </w:p>
    <w:p w:rsidR="002E239A" w:rsidRPr="00AC49A7" w:rsidRDefault="002E239A" w:rsidP="002E239A">
      <w:pPr>
        <w:keepNext/>
        <w:spacing w:line="240" w:lineRule="auto"/>
        <w:ind w:left="567" w:hanging="567"/>
        <w:outlineLvl w:val="1"/>
        <w:rPr>
          <w:rFonts w:eastAsia="Calibri"/>
          <w:b/>
          <w:snapToGrid/>
          <w:szCs w:val="22"/>
          <w:lang w:val="lt-LT"/>
        </w:rPr>
      </w:pPr>
      <w:bookmarkStart w:id="4" w:name="_Toc129243140"/>
      <w:bookmarkStart w:id="5" w:name="_Toc129243265"/>
      <w:r w:rsidRPr="00AC49A7">
        <w:rPr>
          <w:rFonts w:eastAsia="Calibri"/>
          <w:b/>
          <w:snapToGrid/>
          <w:szCs w:val="22"/>
          <w:lang w:val="lt-LT"/>
        </w:rPr>
        <w:t>2.</w:t>
      </w:r>
      <w:r w:rsidRPr="00AC49A7">
        <w:rPr>
          <w:rFonts w:eastAsia="Calibri"/>
          <w:b/>
          <w:snapToGrid/>
          <w:szCs w:val="22"/>
          <w:lang w:val="lt-LT"/>
        </w:rPr>
        <w:tab/>
        <w:t xml:space="preserve">Kas žinotina prieš vartojant </w:t>
      </w:r>
      <w:bookmarkEnd w:id="4"/>
      <w:bookmarkEnd w:id="5"/>
      <w:proofErr w:type="spellStart"/>
      <w:r w:rsidRPr="00AC49A7">
        <w:rPr>
          <w:rFonts w:eastAsia="Calibri"/>
          <w:b/>
          <w:snapToGrid/>
          <w:szCs w:val="22"/>
          <w:lang w:val="lt-LT"/>
        </w:rPr>
        <w:t>Milurit</w:t>
      </w:r>
      <w:proofErr w:type="spellEnd"/>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proofErr w:type="spellStart"/>
      <w:r w:rsidRPr="00AC49A7">
        <w:rPr>
          <w:rFonts w:eastAsia="Calibri"/>
          <w:b/>
          <w:bCs/>
          <w:snapToGrid/>
          <w:szCs w:val="22"/>
          <w:lang w:val="lt-LT"/>
        </w:rPr>
        <w:t>Milurit</w:t>
      </w:r>
      <w:proofErr w:type="spellEnd"/>
      <w:r w:rsidRPr="00AC49A7">
        <w:rPr>
          <w:rFonts w:eastAsia="Calibri"/>
          <w:b/>
          <w:bCs/>
          <w:snapToGrid/>
          <w:szCs w:val="22"/>
          <w:lang w:val="lt-LT"/>
        </w:rPr>
        <w:t xml:space="preserve"> vartoti </w:t>
      </w:r>
      <w:r>
        <w:rPr>
          <w:rFonts w:eastAsia="Calibri"/>
          <w:b/>
          <w:bCs/>
          <w:snapToGrid/>
          <w:szCs w:val="22"/>
          <w:lang w:val="lt-LT"/>
        </w:rPr>
        <w:t>draudžiama</w:t>
      </w:r>
    </w:p>
    <w:p w:rsidR="002E239A" w:rsidRPr="00AC49A7" w:rsidRDefault="002E239A" w:rsidP="002E239A">
      <w:pPr>
        <w:numPr>
          <w:ilvl w:val="0"/>
          <w:numId w:val="3"/>
        </w:numPr>
        <w:tabs>
          <w:tab w:val="clear" w:pos="567"/>
        </w:tabs>
        <w:spacing w:line="240" w:lineRule="auto"/>
        <w:ind w:left="567" w:hanging="567"/>
        <w:rPr>
          <w:snapToGrid/>
          <w:szCs w:val="22"/>
          <w:lang w:val="lt-LT"/>
        </w:rPr>
      </w:pPr>
      <w:r w:rsidRPr="00AC49A7">
        <w:rPr>
          <w:snapToGrid/>
          <w:szCs w:val="22"/>
          <w:lang w:val="lt-LT"/>
        </w:rPr>
        <w:t>jeigu yra alergija veikliajai arba bet kuriai pagalbinei šio vaisto medžiagai (jos išvardytos 6 skyriuje).</w:t>
      </w:r>
    </w:p>
    <w:p w:rsidR="002E239A" w:rsidRPr="00AC49A7" w:rsidRDefault="002E239A" w:rsidP="002E239A">
      <w:pPr>
        <w:tabs>
          <w:tab w:val="clear" w:pos="567"/>
        </w:tabs>
        <w:spacing w:line="240" w:lineRule="auto"/>
        <w:rPr>
          <w:rFonts w:eastAsia="Calibri"/>
          <w:snapToGrid/>
          <w:color w:val="000000"/>
          <w:szCs w:val="22"/>
          <w:lang w:val="lt-LT" w:eastAsia="lt-LT"/>
        </w:rPr>
      </w:pPr>
    </w:p>
    <w:p w:rsidR="002E239A" w:rsidRPr="00AC49A7" w:rsidRDefault="002E239A" w:rsidP="002E239A">
      <w:pPr>
        <w:tabs>
          <w:tab w:val="clear" w:pos="567"/>
        </w:tabs>
        <w:spacing w:line="240" w:lineRule="auto"/>
        <w:rPr>
          <w:rFonts w:eastAsia="Calibri"/>
          <w:b/>
          <w:snapToGrid/>
          <w:lang w:val="lt-LT" w:eastAsia="lt-LT"/>
        </w:rPr>
      </w:pPr>
      <w:r w:rsidRPr="00AC49A7">
        <w:rPr>
          <w:rFonts w:eastAsia="Calibri"/>
          <w:b/>
          <w:snapToGrid/>
          <w:lang w:val="lt-LT" w:eastAsia="lt-LT"/>
        </w:rPr>
        <w:t>Įspėjimai ir atsargumo priemonės</w:t>
      </w:r>
      <w:r w:rsidRPr="00AC49A7" w:rsidDel="009741D3">
        <w:rPr>
          <w:rFonts w:eastAsia="Calibri"/>
          <w:b/>
          <w:snapToGrid/>
          <w:lang w:val="lt-LT" w:eastAsia="lt-LT"/>
        </w:rPr>
        <w:t xml:space="preserve"> </w:t>
      </w:r>
    </w:p>
    <w:p w:rsidR="002E239A" w:rsidRPr="00AC49A7" w:rsidRDefault="002E239A" w:rsidP="002E239A">
      <w:pPr>
        <w:tabs>
          <w:tab w:val="clear" w:pos="567"/>
        </w:tabs>
        <w:spacing w:line="240" w:lineRule="auto"/>
        <w:rPr>
          <w:rFonts w:eastAsia="Calibri"/>
          <w:snapToGrid/>
          <w:lang w:val="lt-LT" w:eastAsia="lt-LT"/>
        </w:rPr>
      </w:pPr>
      <w:r w:rsidRPr="00AC49A7">
        <w:rPr>
          <w:rFonts w:eastAsia="Calibri"/>
          <w:noProof/>
          <w:snapToGrid/>
          <w:szCs w:val="24"/>
          <w:lang w:val="lt-LT" w:eastAsia="lt-LT"/>
        </w:rPr>
        <w:t>Pasitarkite su gydytoju arba vaistininku, prieš pradėdami vartoti Milurit.</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Ypatingas atsargumas ir atidi medikų priežiūra gali būti būtina:</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t xml:space="preserve">jeigu esate </w:t>
      </w:r>
      <w:proofErr w:type="spellStart"/>
      <w:r w:rsidRPr="00AC49A7">
        <w:rPr>
          <w:snapToGrid/>
          <w:szCs w:val="22"/>
          <w:lang w:val="lt-LT"/>
        </w:rPr>
        <w:t>Han</w:t>
      </w:r>
      <w:proofErr w:type="spellEnd"/>
      <w:r w:rsidRPr="00AC49A7">
        <w:rPr>
          <w:snapToGrid/>
          <w:szCs w:val="22"/>
          <w:lang w:val="lt-LT"/>
        </w:rPr>
        <w:t xml:space="preserve"> kinų, tailandiečių ar korėjiečių kilmės;</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lastRenderedPageBreak/>
        <w:t>jeigu yra kepenų ar inkstų sutrikimų. Gydytojas Jums gali skirti mažesnę dozę arba paprašyti vaistą vartoti rečiau nei kasdien. Be to, jis atidžiau stebės Jūsų būklę;</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t xml:space="preserve">jeigu yra širdies sutrikimų ar didelis kraujospūdis ir vartojate diuretikų (šlapimo išsiskyrimą skatinančių vaistų, pvz., </w:t>
      </w:r>
      <w:proofErr w:type="spellStart"/>
      <w:r w:rsidRPr="00AC49A7">
        <w:rPr>
          <w:snapToGrid/>
          <w:szCs w:val="22"/>
          <w:lang w:val="lt-LT"/>
        </w:rPr>
        <w:t>hidrochlorotiazido</w:t>
      </w:r>
      <w:proofErr w:type="spellEnd"/>
      <w:r w:rsidRPr="00AC49A7">
        <w:rPr>
          <w:snapToGrid/>
          <w:szCs w:val="22"/>
          <w:lang w:val="lt-LT"/>
        </w:rPr>
        <w:t xml:space="preserve">, </w:t>
      </w:r>
      <w:proofErr w:type="spellStart"/>
      <w:r w:rsidRPr="00AC49A7">
        <w:rPr>
          <w:snapToGrid/>
          <w:szCs w:val="22"/>
          <w:lang w:val="lt-LT"/>
        </w:rPr>
        <w:t>furozemido</w:t>
      </w:r>
      <w:proofErr w:type="spellEnd"/>
      <w:r w:rsidRPr="00AC49A7">
        <w:rPr>
          <w:snapToGrid/>
          <w:szCs w:val="22"/>
          <w:lang w:val="lt-LT"/>
        </w:rPr>
        <w:t xml:space="preserve">) ir (arba) tam tikrų kraujospūdį mažinančių vaistų, vadinamų AKF inhibitoriais (pvz., </w:t>
      </w:r>
      <w:proofErr w:type="spellStart"/>
      <w:r w:rsidRPr="00AC49A7">
        <w:rPr>
          <w:snapToGrid/>
          <w:szCs w:val="22"/>
          <w:lang w:val="lt-LT"/>
        </w:rPr>
        <w:t>kaptoprilio</w:t>
      </w:r>
      <w:proofErr w:type="spellEnd"/>
      <w:r w:rsidRPr="00AC49A7">
        <w:rPr>
          <w:snapToGrid/>
          <w:szCs w:val="22"/>
          <w:lang w:val="lt-LT"/>
        </w:rPr>
        <w:t xml:space="preserve">, </w:t>
      </w:r>
      <w:proofErr w:type="spellStart"/>
      <w:r w:rsidRPr="00AC49A7">
        <w:rPr>
          <w:snapToGrid/>
          <w:szCs w:val="22"/>
          <w:lang w:val="lt-LT"/>
        </w:rPr>
        <w:t>ramiprilio</w:t>
      </w:r>
      <w:proofErr w:type="spellEnd"/>
      <w:r w:rsidRPr="00AC49A7">
        <w:rPr>
          <w:snapToGrid/>
          <w:szCs w:val="22"/>
          <w:lang w:val="lt-LT"/>
        </w:rPr>
        <w:t xml:space="preserve">) (gali pablogėti inkstų funkcija, todėl gali reikėti mažinti </w:t>
      </w:r>
      <w:proofErr w:type="spellStart"/>
      <w:r w:rsidRPr="00AC49A7">
        <w:rPr>
          <w:snapToGrid/>
          <w:szCs w:val="22"/>
          <w:lang w:val="lt-LT"/>
        </w:rPr>
        <w:t>Milurit</w:t>
      </w:r>
      <w:proofErr w:type="spellEnd"/>
      <w:r w:rsidRPr="00AC49A7">
        <w:rPr>
          <w:snapToGrid/>
          <w:szCs w:val="22"/>
          <w:lang w:val="lt-LT"/>
        </w:rPr>
        <w:t xml:space="preserve"> dozę);</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t>jeigu yra pasireiškęs ūminis podagros priepuolis;</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t xml:space="preserve">jeigu Jūs ar Jūsų kraujo giminaičiai sergate </w:t>
      </w:r>
      <w:proofErr w:type="spellStart"/>
      <w:r w:rsidRPr="00AC49A7">
        <w:rPr>
          <w:snapToGrid/>
          <w:szCs w:val="22"/>
          <w:lang w:val="lt-LT"/>
        </w:rPr>
        <w:t>hemochromatoze</w:t>
      </w:r>
      <w:proofErr w:type="spellEnd"/>
      <w:r w:rsidRPr="00AC49A7">
        <w:rPr>
          <w:snapToGrid/>
          <w:szCs w:val="22"/>
          <w:lang w:val="lt-LT"/>
        </w:rPr>
        <w:t xml:space="preserve"> (reta liga, kuriai būdingas nenormaliai didelis geležies pasisavinimas virškinimo trakte ir todėl organizme, ypač kepenyse būna per didelės geležies atsargos);</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t>jeigu yra skydliaukės sutrikimų;</w:t>
      </w:r>
    </w:p>
    <w:p w:rsidR="002E239A" w:rsidRPr="00AC49A7" w:rsidRDefault="002E239A" w:rsidP="002E239A">
      <w:pPr>
        <w:numPr>
          <w:ilvl w:val="0"/>
          <w:numId w:val="3"/>
        </w:numPr>
        <w:tabs>
          <w:tab w:val="num" w:pos="567"/>
        </w:tabs>
        <w:spacing w:line="240" w:lineRule="auto"/>
        <w:ind w:left="567" w:hanging="567"/>
        <w:rPr>
          <w:snapToGrid/>
          <w:szCs w:val="22"/>
          <w:lang w:val="lt-LT"/>
        </w:rPr>
      </w:pPr>
      <w:r w:rsidRPr="00AC49A7">
        <w:rPr>
          <w:snapToGrid/>
          <w:szCs w:val="22"/>
          <w:lang w:val="lt-LT"/>
        </w:rPr>
        <w:t xml:space="preserve">jeigu esate gydomi </w:t>
      </w:r>
      <w:proofErr w:type="spellStart"/>
      <w:r w:rsidRPr="00AC49A7">
        <w:rPr>
          <w:snapToGrid/>
          <w:szCs w:val="22"/>
          <w:lang w:val="lt-LT"/>
        </w:rPr>
        <w:t>azatioprinu</w:t>
      </w:r>
      <w:proofErr w:type="spellEnd"/>
      <w:r w:rsidRPr="00AC49A7">
        <w:rPr>
          <w:snapToGrid/>
          <w:szCs w:val="22"/>
          <w:lang w:val="lt-LT"/>
        </w:rPr>
        <w:t xml:space="preserve"> (vaistu, vartojamu imuninei reakcijai slopinti) ar </w:t>
      </w:r>
      <w:proofErr w:type="spellStart"/>
      <w:r w:rsidRPr="00AC49A7">
        <w:rPr>
          <w:snapToGrid/>
          <w:szCs w:val="22"/>
          <w:lang w:val="lt-LT"/>
        </w:rPr>
        <w:t>merkaptopurinu</w:t>
      </w:r>
      <w:proofErr w:type="spellEnd"/>
      <w:r w:rsidRPr="00AC49A7">
        <w:rPr>
          <w:snapToGrid/>
          <w:szCs w:val="22"/>
          <w:lang w:val="lt-LT"/>
        </w:rPr>
        <w:t xml:space="preserve"> (vartojamu nuo leukemijos).</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Jeigu abejojate, ar kuri nors aukščiau paminėta būklė Jums tinka, prieš </w:t>
      </w:r>
      <w:proofErr w:type="spellStart"/>
      <w:r w:rsidRPr="00AC49A7">
        <w:rPr>
          <w:snapToGrid/>
          <w:szCs w:val="22"/>
          <w:lang w:val="lt-LT"/>
        </w:rPr>
        <w:t>Milurit</w:t>
      </w:r>
      <w:proofErr w:type="spellEnd"/>
      <w:r w:rsidRPr="00AC49A7">
        <w:rPr>
          <w:snapToGrid/>
          <w:szCs w:val="22"/>
          <w:lang w:val="lt-LT"/>
        </w:rPr>
        <w:t xml:space="preserve"> vartojimą pasitarkite su gydytoju arba vaistininku.</w:t>
      </w:r>
    </w:p>
    <w:p w:rsidR="002E239A" w:rsidRPr="00AC49A7" w:rsidRDefault="002E239A" w:rsidP="002E239A">
      <w:pPr>
        <w:tabs>
          <w:tab w:val="clear" w:pos="567"/>
        </w:tabs>
        <w:autoSpaceDE w:val="0"/>
        <w:autoSpaceDN w:val="0"/>
        <w:adjustRightInd w:val="0"/>
        <w:spacing w:line="240" w:lineRule="auto"/>
        <w:rPr>
          <w:snapToGrid/>
          <w:color w:val="000000"/>
          <w:szCs w:val="22"/>
          <w:lang w:val="lt-LT" w:eastAsia="hu-HU"/>
        </w:rPr>
      </w:pPr>
    </w:p>
    <w:p w:rsidR="002E239A" w:rsidRPr="00AC49A7" w:rsidRDefault="002E239A" w:rsidP="002E239A">
      <w:pPr>
        <w:tabs>
          <w:tab w:val="clear" w:pos="567"/>
        </w:tabs>
        <w:autoSpaceDE w:val="0"/>
        <w:autoSpaceDN w:val="0"/>
        <w:adjustRightInd w:val="0"/>
        <w:spacing w:line="240" w:lineRule="auto"/>
        <w:rPr>
          <w:snapToGrid/>
          <w:color w:val="000000"/>
          <w:szCs w:val="22"/>
          <w:lang w:val="lt-LT" w:eastAsia="hu-HU"/>
        </w:rPr>
      </w:pPr>
      <w:r w:rsidRPr="00AC49A7">
        <w:rPr>
          <w:snapToGrid/>
          <w:color w:val="000000"/>
          <w:szCs w:val="22"/>
          <w:lang w:val="lt-LT" w:eastAsia="hu-HU"/>
        </w:rPr>
        <w:t xml:space="preserve">Pranešta apie su </w:t>
      </w:r>
      <w:proofErr w:type="spellStart"/>
      <w:r w:rsidRPr="00AC49A7">
        <w:rPr>
          <w:snapToGrid/>
          <w:color w:val="000000"/>
          <w:szCs w:val="22"/>
          <w:lang w:val="lt-LT" w:eastAsia="hu-HU"/>
        </w:rPr>
        <w:t>alopurinolio</w:t>
      </w:r>
      <w:proofErr w:type="spellEnd"/>
      <w:r w:rsidRPr="00AC49A7">
        <w:rPr>
          <w:snapToGrid/>
          <w:color w:val="000000"/>
          <w:szCs w:val="22"/>
          <w:lang w:val="lt-LT" w:eastAsia="hu-HU"/>
        </w:rPr>
        <w:t xml:space="preserve"> vartojimu susijusio sunkaus odos išbėrimo (padidėjusio jautrumo sindromo, </w:t>
      </w:r>
      <w:proofErr w:type="spellStart"/>
      <w:r w:rsidRPr="00AC49A7">
        <w:rPr>
          <w:snapToGrid/>
          <w:color w:val="000000"/>
          <w:szCs w:val="22"/>
          <w:lang w:val="lt-LT" w:eastAsia="hu-HU"/>
        </w:rPr>
        <w:t>Stivenso</w:t>
      </w:r>
      <w:proofErr w:type="spellEnd"/>
      <w:r w:rsidRPr="00AC49A7">
        <w:rPr>
          <w:snapToGrid/>
          <w:color w:val="000000"/>
          <w:szCs w:val="22"/>
          <w:lang w:val="lt-LT" w:eastAsia="hu-HU"/>
        </w:rPr>
        <w:t xml:space="preserve">-Džonsono sindromo, toksinės epidermio </w:t>
      </w:r>
      <w:proofErr w:type="spellStart"/>
      <w:r w:rsidRPr="00AC49A7">
        <w:rPr>
          <w:snapToGrid/>
          <w:color w:val="000000"/>
          <w:szCs w:val="22"/>
          <w:lang w:val="lt-LT" w:eastAsia="hu-HU"/>
        </w:rPr>
        <w:t>nekrolizės</w:t>
      </w:r>
      <w:proofErr w:type="spellEnd"/>
      <w:r w:rsidRPr="00AC49A7">
        <w:rPr>
          <w:snapToGrid/>
          <w:color w:val="000000"/>
          <w:szCs w:val="22"/>
          <w:lang w:val="lt-LT" w:eastAsia="hu-HU"/>
        </w:rPr>
        <w:t>) atvejus. Dažnai išbėrimas pasireiškia kartu su burnos, gerklės, nosies ir lytinių organų išopėjimu bei konjunktyvitu (akių paraudimu ir patinimu). Prieš tokio gyvybei pavojų kelti galinčio sunkaus odos išbėrimo pasireiškimą dažnai atsiranda į gripą panašių simptomų, tokių kaip karščiavimas, galvos skausmas, kūno maudimas, (į gripą panašūs simptomai). Išbėrimas gali progresuoti iki išplitusio odos pūslėjimo ir lupimosi.</w:t>
      </w:r>
    </w:p>
    <w:p w:rsidR="002E239A" w:rsidRPr="00AC49A7" w:rsidRDefault="002E239A" w:rsidP="002E239A">
      <w:pPr>
        <w:tabs>
          <w:tab w:val="clear" w:pos="567"/>
        </w:tabs>
        <w:autoSpaceDE w:val="0"/>
        <w:autoSpaceDN w:val="0"/>
        <w:adjustRightInd w:val="0"/>
        <w:spacing w:line="240" w:lineRule="auto"/>
        <w:rPr>
          <w:snapToGrid/>
          <w:color w:val="000000"/>
          <w:szCs w:val="22"/>
          <w:lang w:val="lt-LT" w:eastAsia="hu-HU"/>
        </w:rPr>
      </w:pPr>
      <w:r w:rsidRPr="00AC49A7">
        <w:rPr>
          <w:snapToGrid/>
          <w:color w:val="000000"/>
          <w:szCs w:val="22"/>
          <w:lang w:val="lt-LT" w:eastAsia="hu-HU"/>
        </w:rPr>
        <w:t>Didžiausia sunkių odos reakcijų pasireiškimo rizika yra pirmosiomis gydymo savaitėmis.</w:t>
      </w:r>
    </w:p>
    <w:p w:rsidR="002E239A" w:rsidRPr="00AC49A7" w:rsidRDefault="002E239A" w:rsidP="002E239A">
      <w:pPr>
        <w:tabs>
          <w:tab w:val="clear" w:pos="567"/>
        </w:tabs>
        <w:autoSpaceDE w:val="0"/>
        <w:autoSpaceDN w:val="0"/>
        <w:adjustRightInd w:val="0"/>
        <w:spacing w:line="240" w:lineRule="auto"/>
        <w:rPr>
          <w:snapToGrid/>
          <w:szCs w:val="22"/>
          <w:lang w:val="lt-LT"/>
        </w:rPr>
      </w:pPr>
      <w:r w:rsidRPr="00AC49A7">
        <w:rPr>
          <w:snapToGrid/>
          <w:szCs w:val="22"/>
          <w:lang w:val="lt-LT"/>
        </w:rPr>
        <w:t xml:space="preserve">Tokių sunkių odos reakcijų dažniau gali pasireikšti </w:t>
      </w:r>
      <w:proofErr w:type="spellStart"/>
      <w:r w:rsidRPr="00AC49A7">
        <w:rPr>
          <w:snapToGrid/>
          <w:szCs w:val="22"/>
          <w:lang w:val="lt-LT"/>
        </w:rPr>
        <w:t>Han</w:t>
      </w:r>
      <w:proofErr w:type="spellEnd"/>
      <w:r w:rsidRPr="00AC49A7">
        <w:rPr>
          <w:snapToGrid/>
          <w:szCs w:val="22"/>
          <w:lang w:val="lt-LT"/>
        </w:rPr>
        <w:t xml:space="preserve"> kinų, tailandiečių ar korėjiečių kilmės žmonėms. Lėtinė inkstų liga tokiems pacientams gali papildomai padidinti riziką.</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Jeigu Jums pasireškia išbėrimas ar minėtų odos simptomų, nutraukite </w:t>
      </w:r>
      <w:proofErr w:type="spellStart"/>
      <w:r w:rsidRPr="00AC49A7">
        <w:rPr>
          <w:snapToGrid/>
          <w:szCs w:val="22"/>
          <w:lang w:val="lt-LT"/>
        </w:rPr>
        <w:t>Milurit</w:t>
      </w:r>
      <w:proofErr w:type="spellEnd"/>
      <w:r w:rsidRPr="00AC49A7">
        <w:rPr>
          <w:snapToGrid/>
          <w:szCs w:val="22"/>
          <w:lang w:val="lt-LT"/>
        </w:rPr>
        <w:t xml:space="preserve"> vartojimą, skubiai kreipkitės į gydytoją ir pasakykite, kad vartojate šį vaistą. Jeigu vartojant </w:t>
      </w:r>
      <w:proofErr w:type="spellStart"/>
      <w:r w:rsidRPr="00AC49A7">
        <w:rPr>
          <w:snapToGrid/>
          <w:szCs w:val="22"/>
          <w:lang w:val="lt-LT"/>
        </w:rPr>
        <w:t>Milurit</w:t>
      </w:r>
      <w:proofErr w:type="spellEnd"/>
      <w:r w:rsidRPr="00AC49A7">
        <w:rPr>
          <w:snapToGrid/>
          <w:szCs w:val="22"/>
          <w:lang w:val="lt-LT"/>
        </w:rPr>
        <w:t xml:space="preserve"> Jums pasireiškė sunkus odos išbėrimas, padidėjusio jautrumo sindromas, </w:t>
      </w:r>
      <w:r w:rsidRPr="00AC49A7">
        <w:rPr>
          <w:snapToGrid/>
          <w:color w:val="000000"/>
          <w:szCs w:val="22"/>
          <w:lang w:val="lt-LT" w:eastAsia="hu-HU"/>
        </w:rPr>
        <w:t>gydymo</w:t>
      </w:r>
      <w:r w:rsidRPr="00AC49A7">
        <w:rPr>
          <w:snapToGrid/>
          <w:szCs w:val="22"/>
          <w:lang w:val="lt-LT"/>
        </w:rPr>
        <w:t xml:space="preserve"> </w:t>
      </w:r>
      <w:proofErr w:type="spellStart"/>
      <w:r w:rsidRPr="00AC49A7">
        <w:rPr>
          <w:snapToGrid/>
          <w:szCs w:val="22"/>
          <w:lang w:val="lt-LT"/>
        </w:rPr>
        <w:t>Milurit</w:t>
      </w:r>
      <w:proofErr w:type="spellEnd"/>
      <w:r w:rsidRPr="00AC49A7">
        <w:rPr>
          <w:snapToGrid/>
          <w:szCs w:val="22"/>
          <w:lang w:val="lt-LT"/>
        </w:rPr>
        <w:t xml:space="preserve"> atnaujinti nebegalima niekada.</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Ankstyvuoju gydymo </w:t>
      </w:r>
      <w:proofErr w:type="spellStart"/>
      <w:r w:rsidRPr="00AC49A7">
        <w:rPr>
          <w:snapToGrid/>
          <w:szCs w:val="22"/>
          <w:lang w:val="lt-LT"/>
        </w:rPr>
        <w:t>Milurit</w:t>
      </w:r>
      <w:proofErr w:type="spellEnd"/>
      <w:r w:rsidRPr="00AC49A7">
        <w:rPr>
          <w:snapToGrid/>
          <w:szCs w:val="22"/>
          <w:lang w:val="lt-LT"/>
        </w:rPr>
        <w:t xml:space="preserve"> laikotarpiu gali būti išprovokuotas ūminio podagrinio artrito priepuolio pasireiškimas. Dėl to Jūsų gydytojas mažiausiai vienam mėnesiui gali skirti profilaktinį gydymą tinkamu uždegimą slopinančiu vaistu ar </w:t>
      </w:r>
      <w:proofErr w:type="spellStart"/>
      <w:r w:rsidRPr="00AC49A7">
        <w:rPr>
          <w:snapToGrid/>
          <w:szCs w:val="22"/>
          <w:lang w:val="lt-LT"/>
        </w:rPr>
        <w:t>kolchicinu</w:t>
      </w:r>
      <w:proofErr w:type="spellEnd"/>
      <w:r w:rsidRPr="00AC49A7">
        <w:rPr>
          <w:snapToGrid/>
          <w:szCs w:val="22"/>
          <w:lang w:val="lt-LT"/>
        </w:rPr>
        <w:t>.</w:t>
      </w:r>
    </w:p>
    <w:p w:rsidR="002E239A" w:rsidRPr="00AC49A7" w:rsidRDefault="002E239A" w:rsidP="002E239A">
      <w:pPr>
        <w:tabs>
          <w:tab w:val="clear" w:pos="567"/>
        </w:tabs>
        <w:spacing w:line="240" w:lineRule="auto"/>
        <w:rPr>
          <w:iCs/>
          <w:snapToGrid/>
          <w:szCs w:val="22"/>
          <w:lang w:val="lt-LT"/>
        </w:rPr>
      </w:pPr>
    </w:p>
    <w:p w:rsidR="002E239A" w:rsidRPr="00AC49A7" w:rsidRDefault="002E239A" w:rsidP="002E239A">
      <w:pPr>
        <w:tabs>
          <w:tab w:val="clear" w:pos="567"/>
        </w:tabs>
        <w:spacing w:line="240" w:lineRule="auto"/>
        <w:rPr>
          <w:iCs/>
          <w:snapToGrid/>
          <w:szCs w:val="22"/>
          <w:lang w:val="lt-LT"/>
        </w:rPr>
      </w:pPr>
      <w:r w:rsidRPr="00AC49A7">
        <w:rPr>
          <w:iCs/>
          <w:snapToGrid/>
          <w:szCs w:val="22"/>
          <w:lang w:val="lt-LT"/>
        </w:rPr>
        <w:t xml:space="preserve">Jeigu sergate vėžiu ar Jums yra </w:t>
      </w:r>
      <w:proofErr w:type="spellStart"/>
      <w:r w:rsidRPr="00AC49A7">
        <w:rPr>
          <w:i/>
          <w:iCs/>
          <w:snapToGrid/>
          <w:szCs w:val="22"/>
          <w:lang w:val="lt-LT"/>
        </w:rPr>
        <w:t>Lesch-Nyhan</w:t>
      </w:r>
      <w:proofErr w:type="spellEnd"/>
      <w:r w:rsidRPr="00AC49A7">
        <w:rPr>
          <w:iCs/>
          <w:snapToGrid/>
          <w:szCs w:val="22"/>
          <w:lang w:val="lt-LT"/>
        </w:rPr>
        <w:t xml:space="preserve"> sindromas, šlapime gali padidėti šlapimo rūgšties kiekis. Siekiant išvengti tokio poveikio, reikia pakankamai gerti, kad būtų atskiestas šlapimas.</w:t>
      </w:r>
    </w:p>
    <w:p w:rsidR="002E239A" w:rsidRPr="00AC49A7" w:rsidRDefault="002E239A" w:rsidP="002E239A">
      <w:pPr>
        <w:tabs>
          <w:tab w:val="clear" w:pos="567"/>
        </w:tabs>
        <w:spacing w:line="240" w:lineRule="auto"/>
        <w:rPr>
          <w:iCs/>
          <w:snapToGrid/>
          <w:szCs w:val="22"/>
          <w:lang w:val="lt-LT"/>
        </w:rPr>
      </w:pPr>
    </w:p>
    <w:p w:rsidR="002E239A" w:rsidRPr="00AC49A7" w:rsidRDefault="002E239A" w:rsidP="002E239A">
      <w:pPr>
        <w:tabs>
          <w:tab w:val="clear" w:pos="567"/>
        </w:tabs>
        <w:spacing w:line="240" w:lineRule="auto"/>
        <w:rPr>
          <w:iCs/>
          <w:snapToGrid/>
          <w:szCs w:val="22"/>
          <w:lang w:val="lt-LT"/>
        </w:rPr>
      </w:pPr>
      <w:r w:rsidRPr="00AC49A7">
        <w:rPr>
          <w:iCs/>
          <w:snapToGrid/>
          <w:szCs w:val="22"/>
          <w:lang w:val="lt-LT"/>
        </w:rPr>
        <w:t>Jei Jums yra inkstų akmenligė, inkstų akmenys gali tapti mažesni ir patekti į šlapimo takus.</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Tam, kad gydytojas galėtų stebėti gydymo </w:t>
      </w:r>
      <w:proofErr w:type="spellStart"/>
      <w:r w:rsidRPr="00AC49A7">
        <w:rPr>
          <w:snapToGrid/>
          <w:szCs w:val="22"/>
          <w:lang w:val="lt-LT"/>
        </w:rPr>
        <w:t>Milurit</w:t>
      </w:r>
      <w:proofErr w:type="spellEnd"/>
      <w:r w:rsidRPr="00AC49A7">
        <w:rPr>
          <w:snapToGrid/>
          <w:szCs w:val="22"/>
          <w:lang w:val="lt-LT"/>
        </w:rPr>
        <w:t xml:space="preserve"> saugumą ir veiksmingumą, jis gali nurodyti atlikti vieną ar daugiau laboratorinių tyrimų. Atlikite tokius tyrimus ir nepamirškite jų rezultatų parodyti gydytojui.</w:t>
      </w:r>
    </w:p>
    <w:p w:rsidR="002E239A" w:rsidRPr="00AC49A7" w:rsidRDefault="002E239A" w:rsidP="002E239A">
      <w:pPr>
        <w:tabs>
          <w:tab w:val="clear" w:pos="567"/>
        </w:tabs>
        <w:spacing w:line="240" w:lineRule="auto"/>
        <w:rPr>
          <w:b/>
          <w:bCs/>
          <w:snapToGrid/>
          <w:szCs w:val="22"/>
          <w:lang w:val="lt-LT"/>
        </w:rPr>
      </w:pPr>
    </w:p>
    <w:p w:rsidR="002E239A" w:rsidRPr="00AC49A7" w:rsidRDefault="002E239A" w:rsidP="002E239A">
      <w:pPr>
        <w:tabs>
          <w:tab w:val="clear" w:pos="567"/>
        </w:tabs>
        <w:spacing w:line="240" w:lineRule="auto"/>
        <w:rPr>
          <w:b/>
          <w:bCs/>
          <w:snapToGrid/>
          <w:szCs w:val="22"/>
          <w:lang w:val="lt-LT"/>
        </w:rPr>
      </w:pPr>
      <w:r w:rsidRPr="00AC49A7">
        <w:rPr>
          <w:b/>
          <w:lang w:val="lt-LT"/>
        </w:rPr>
        <w:t>Vaikams ir paaugliams</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Vaikams ir jaunesniems kaip 15 metų paaugliams </w:t>
      </w:r>
      <w:proofErr w:type="spellStart"/>
      <w:r w:rsidRPr="00AC49A7">
        <w:rPr>
          <w:snapToGrid/>
          <w:szCs w:val="22"/>
          <w:lang w:val="lt-LT"/>
        </w:rPr>
        <w:t>Milurit</w:t>
      </w:r>
      <w:proofErr w:type="spellEnd"/>
      <w:r w:rsidRPr="00AC49A7">
        <w:rPr>
          <w:snapToGrid/>
          <w:szCs w:val="22"/>
          <w:lang w:val="lt-LT"/>
        </w:rPr>
        <w:t xml:space="preserve"> vartoti negalima, išskyrus atvejus, kai sergama tam tikro tipo vėžiu (ypač leukemija) bei gydant tam tikrus fermentų sutrikimus, tokius kaip </w:t>
      </w:r>
      <w:proofErr w:type="spellStart"/>
      <w:r w:rsidRPr="00AC49A7">
        <w:rPr>
          <w:i/>
          <w:snapToGrid/>
          <w:szCs w:val="22"/>
          <w:lang w:val="lt-LT"/>
        </w:rPr>
        <w:t>Lesch-Nyhan</w:t>
      </w:r>
      <w:proofErr w:type="spellEnd"/>
      <w:r w:rsidRPr="00AC49A7">
        <w:rPr>
          <w:snapToGrid/>
          <w:szCs w:val="22"/>
          <w:lang w:val="lt-LT"/>
        </w:rPr>
        <w:t xml:space="preserve"> sindromas. </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Kiti vaistai ir </w:t>
      </w:r>
      <w:proofErr w:type="spellStart"/>
      <w:r w:rsidRPr="00AC49A7">
        <w:rPr>
          <w:rFonts w:eastAsia="Calibri"/>
          <w:b/>
          <w:bCs/>
          <w:snapToGrid/>
          <w:szCs w:val="22"/>
          <w:lang w:val="lt-LT"/>
        </w:rPr>
        <w:t>Milurit</w:t>
      </w:r>
      <w:proofErr w:type="spellEnd"/>
    </w:p>
    <w:p w:rsidR="002E239A" w:rsidRPr="00AC49A7" w:rsidRDefault="002E239A" w:rsidP="002E239A">
      <w:pPr>
        <w:tabs>
          <w:tab w:val="clear" w:pos="567"/>
        </w:tabs>
        <w:spacing w:line="240" w:lineRule="auto"/>
        <w:rPr>
          <w:snapToGrid/>
          <w:szCs w:val="22"/>
          <w:lang w:val="lt-LT"/>
        </w:rPr>
      </w:pPr>
      <w:r w:rsidRPr="00AC49A7">
        <w:rPr>
          <w:snapToGrid/>
          <w:szCs w:val="22"/>
          <w:lang w:val="lt-LT"/>
        </w:rPr>
        <w:t>Pasakykite gydytojui arba vaistininkui, jei vartojate bet kurį iš šių vaistų:</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proofErr w:type="spellStart"/>
      <w:r w:rsidRPr="00AC49A7">
        <w:rPr>
          <w:snapToGrid/>
          <w:szCs w:val="22"/>
          <w:lang w:val="lt-LT"/>
        </w:rPr>
        <w:t>salicilatų</w:t>
      </w:r>
      <w:proofErr w:type="spellEnd"/>
      <w:r w:rsidRPr="00AC49A7">
        <w:rPr>
          <w:snapToGrid/>
          <w:szCs w:val="22"/>
          <w:lang w:val="lt-LT"/>
        </w:rPr>
        <w:t xml:space="preserve"> (vartojamų skausmui, karščiavimui ar uždegimui malšinti, pvz., </w:t>
      </w:r>
      <w:proofErr w:type="spellStart"/>
      <w:r w:rsidRPr="00AC49A7">
        <w:rPr>
          <w:snapToGrid/>
          <w:szCs w:val="22"/>
          <w:lang w:val="lt-LT"/>
        </w:rPr>
        <w:t>acetilsalicilo</w:t>
      </w:r>
      <w:proofErr w:type="spellEnd"/>
      <w:r w:rsidRPr="00AC49A7">
        <w:rPr>
          <w:snapToGrid/>
          <w:szCs w:val="22"/>
          <w:lang w:val="lt-LT"/>
        </w:rPr>
        <w:t xml:space="preserve"> rūgšties);</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proofErr w:type="spellStart"/>
      <w:r w:rsidRPr="00AC49A7">
        <w:rPr>
          <w:snapToGrid/>
          <w:szCs w:val="22"/>
          <w:lang w:val="lt-LT"/>
        </w:rPr>
        <w:t>teofilino</w:t>
      </w:r>
      <w:proofErr w:type="spellEnd"/>
      <w:r w:rsidRPr="00AC49A7">
        <w:rPr>
          <w:snapToGrid/>
          <w:szCs w:val="22"/>
          <w:lang w:val="lt-LT"/>
        </w:rPr>
        <w:t xml:space="preserve"> (vaisto nuo kvėpavimo sutrikimų). Gydytojas tirs </w:t>
      </w:r>
      <w:proofErr w:type="spellStart"/>
      <w:r w:rsidRPr="00AC49A7">
        <w:rPr>
          <w:snapToGrid/>
          <w:szCs w:val="22"/>
          <w:lang w:val="lt-LT"/>
        </w:rPr>
        <w:t>teofilino</w:t>
      </w:r>
      <w:proofErr w:type="spellEnd"/>
      <w:r w:rsidRPr="00AC49A7">
        <w:rPr>
          <w:snapToGrid/>
          <w:szCs w:val="22"/>
          <w:lang w:val="lt-LT"/>
        </w:rPr>
        <w:t xml:space="preserve"> kiekį Jūsų kraujyje, ypač gydymo </w:t>
      </w:r>
      <w:proofErr w:type="spellStart"/>
      <w:r w:rsidRPr="00AC49A7">
        <w:rPr>
          <w:snapToGrid/>
          <w:szCs w:val="22"/>
          <w:lang w:val="lt-LT"/>
        </w:rPr>
        <w:t>Milurit</w:t>
      </w:r>
      <w:proofErr w:type="spellEnd"/>
      <w:r w:rsidRPr="00AC49A7">
        <w:rPr>
          <w:snapToGrid/>
          <w:szCs w:val="22"/>
          <w:lang w:val="lt-LT"/>
        </w:rPr>
        <w:t xml:space="preserve"> pradžioje ar koreguojant dozę;</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proofErr w:type="spellStart"/>
      <w:r w:rsidRPr="00AC49A7">
        <w:rPr>
          <w:snapToGrid/>
          <w:szCs w:val="22"/>
          <w:lang w:val="lt-LT"/>
        </w:rPr>
        <w:t>fenitoino</w:t>
      </w:r>
      <w:proofErr w:type="spellEnd"/>
      <w:r w:rsidRPr="00AC49A7">
        <w:rPr>
          <w:snapToGrid/>
          <w:szCs w:val="22"/>
          <w:lang w:val="lt-LT"/>
        </w:rPr>
        <w:t xml:space="preserve"> (vaisto nuo epilepsijos);</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 xml:space="preserve">ampicilino ar </w:t>
      </w:r>
      <w:proofErr w:type="spellStart"/>
      <w:r w:rsidRPr="00AC49A7">
        <w:rPr>
          <w:snapToGrid/>
          <w:szCs w:val="22"/>
          <w:lang w:val="lt-LT"/>
        </w:rPr>
        <w:t>amoksicilino</w:t>
      </w:r>
      <w:proofErr w:type="spellEnd"/>
      <w:r w:rsidRPr="00AC49A7">
        <w:rPr>
          <w:snapToGrid/>
          <w:szCs w:val="22"/>
          <w:lang w:val="lt-LT"/>
        </w:rPr>
        <w:t xml:space="preserve"> (vartojamų bakterijų sukeltoms infekcinėms ligoms gydyti). Vartojant šių vaistų dažniau pasireiškia alerginių reakcijų, todėl, jei įmanoma, pacientai turi būti gydomi kitokiais antibiotikais;</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proofErr w:type="spellStart"/>
      <w:r w:rsidRPr="00AC49A7">
        <w:rPr>
          <w:snapToGrid/>
          <w:szCs w:val="22"/>
          <w:lang w:val="lt-LT"/>
        </w:rPr>
        <w:t>didanozino</w:t>
      </w:r>
      <w:proofErr w:type="spellEnd"/>
      <w:r w:rsidRPr="00AC49A7">
        <w:rPr>
          <w:snapToGrid/>
          <w:szCs w:val="22"/>
          <w:lang w:val="lt-LT"/>
        </w:rPr>
        <w:t>, vartojamo ŽIV (žmogaus imunodeficito virusu) infekuotiems pacientams gydyti;</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proofErr w:type="spellStart"/>
      <w:r w:rsidRPr="00AC49A7">
        <w:rPr>
          <w:snapToGrid/>
          <w:szCs w:val="22"/>
          <w:lang w:val="lt-LT"/>
        </w:rPr>
        <w:t>vidarabino</w:t>
      </w:r>
      <w:proofErr w:type="spellEnd"/>
      <w:r w:rsidRPr="00AC49A7">
        <w:rPr>
          <w:snapToGrid/>
          <w:szCs w:val="22"/>
          <w:lang w:val="lt-LT"/>
        </w:rPr>
        <w:t xml:space="preserve">, vartojamo virusų sukeltoms infekcinėms ligoms gydyti. Pastaba: gali dažniau pasireikšti </w:t>
      </w:r>
      <w:proofErr w:type="spellStart"/>
      <w:r w:rsidRPr="00AC49A7">
        <w:rPr>
          <w:snapToGrid/>
          <w:szCs w:val="22"/>
          <w:lang w:val="lt-LT"/>
        </w:rPr>
        <w:t>vidarabino</w:t>
      </w:r>
      <w:proofErr w:type="spellEnd"/>
      <w:r w:rsidRPr="00AC49A7">
        <w:rPr>
          <w:snapToGrid/>
          <w:szCs w:val="22"/>
          <w:lang w:val="lt-LT"/>
        </w:rPr>
        <w:t xml:space="preserve"> sukeltų nepageidaujamų reakcijų. Jei jų atsiranda, reikia imtis specialių atsargumo priemonių;</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 xml:space="preserve">vaistų nuo vėžio. Jei kartu vartojama </w:t>
      </w:r>
      <w:proofErr w:type="spellStart"/>
      <w:r w:rsidRPr="00AC49A7">
        <w:rPr>
          <w:snapToGrid/>
          <w:szCs w:val="22"/>
          <w:lang w:val="lt-LT"/>
        </w:rPr>
        <w:t>alopurinolio</w:t>
      </w:r>
      <w:proofErr w:type="spellEnd"/>
      <w:r w:rsidRPr="00AC49A7">
        <w:rPr>
          <w:snapToGrid/>
          <w:szCs w:val="22"/>
          <w:lang w:val="lt-LT"/>
        </w:rPr>
        <w:t xml:space="preserve"> ir </w:t>
      </w:r>
      <w:proofErr w:type="spellStart"/>
      <w:r w:rsidRPr="00AC49A7">
        <w:rPr>
          <w:snapToGrid/>
          <w:szCs w:val="22"/>
          <w:lang w:val="lt-LT"/>
        </w:rPr>
        <w:t>citostatikų</w:t>
      </w:r>
      <w:proofErr w:type="spellEnd"/>
      <w:r w:rsidRPr="00AC49A7">
        <w:rPr>
          <w:snapToGrid/>
          <w:szCs w:val="22"/>
          <w:lang w:val="lt-LT"/>
        </w:rPr>
        <w:t xml:space="preserve"> (pvz., </w:t>
      </w:r>
      <w:proofErr w:type="spellStart"/>
      <w:r w:rsidRPr="00AC49A7">
        <w:rPr>
          <w:snapToGrid/>
          <w:szCs w:val="22"/>
          <w:lang w:val="lt-LT"/>
        </w:rPr>
        <w:t>ciklofosfamido</w:t>
      </w:r>
      <w:proofErr w:type="spellEnd"/>
      <w:r w:rsidRPr="00AC49A7">
        <w:rPr>
          <w:snapToGrid/>
          <w:szCs w:val="22"/>
          <w:lang w:val="lt-LT"/>
        </w:rPr>
        <w:t xml:space="preserve">, </w:t>
      </w:r>
      <w:proofErr w:type="spellStart"/>
      <w:r w:rsidRPr="00AC49A7">
        <w:rPr>
          <w:snapToGrid/>
          <w:szCs w:val="22"/>
          <w:lang w:val="lt-LT"/>
        </w:rPr>
        <w:t>doksorubicino</w:t>
      </w:r>
      <w:proofErr w:type="spellEnd"/>
      <w:r w:rsidRPr="00AC49A7">
        <w:rPr>
          <w:snapToGrid/>
          <w:szCs w:val="22"/>
          <w:lang w:val="lt-LT"/>
        </w:rPr>
        <w:t xml:space="preserve">, </w:t>
      </w:r>
      <w:proofErr w:type="spellStart"/>
      <w:r w:rsidRPr="00AC49A7">
        <w:rPr>
          <w:snapToGrid/>
          <w:szCs w:val="22"/>
          <w:lang w:val="lt-LT"/>
        </w:rPr>
        <w:t>bleomicino</w:t>
      </w:r>
      <w:proofErr w:type="spellEnd"/>
      <w:r w:rsidRPr="00AC49A7">
        <w:rPr>
          <w:snapToGrid/>
          <w:szCs w:val="22"/>
          <w:lang w:val="lt-LT"/>
        </w:rPr>
        <w:t xml:space="preserve">, </w:t>
      </w:r>
      <w:proofErr w:type="spellStart"/>
      <w:r w:rsidRPr="00AC49A7">
        <w:rPr>
          <w:snapToGrid/>
          <w:szCs w:val="22"/>
          <w:lang w:val="lt-LT"/>
        </w:rPr>
        <w:t>prokarbazino</w:t>
      </w:r>
      <w:proofErr w:type="spellEnd"/>
      <w:r w:rsidRPr="00AC49A7">
        <w:rPr>
          <w:snapToGrid/>
          <w:szCs w:val="22"/>
          <w:lang w:val="lt-LT"/>
        </w:rPr>
        <w:t xml:space="preserve">, </w:t>
      </w:r>
      <w:proofErr w:type="spellStart"/>
      <w:r w:rsidRPr="00AC49A7">
        <w:rPr>
          <w:snapToGrid/>
          <w:szCs w:val="22"/>
          <w:lang w:val="lt-LT"/>
        </w:rPr>
        <w:t>alkilintų</w:t>
      </w:r>
      <w:proofErr w:type="spellEnd"/>
      <w:r w:rsidRPr="00AC49A7">
        <w:rPr>
          <w:snapToGrid/>
          <w:szCs w:val="22"/>
          <w:lang w:val="lt-LT"/>
        </w:rPr>
        <w:t xml:space="preserve"> </w:t>
      </w:r>
      <w:proofErr w:type="spellStart"/>
      <w:r w:rsidRPr="00AC49A7">
        <w:rPr>
          <w:snapToGrid/>
          <w:szCs w:val="22"/>
          <w:lang w:val="lt-LT"/>
        </w:rPr>
        <w:t>halogenidų</w:t>
      </w:r>
      <w:proofErr w:type="spellEnd"/>
      <w:r w:rsidRPr="00AC49A7">
        <w:rPr>
          <w:snapToGrid/>
          <w:szCs w:val="22"/>
          <w:lang w:val="lt-LT"/>
        </w:rPr>
        <w:t>), kraujo sutrikimų pasireiškia dažniau, nei vartojant vien šių veikliųjų medžiagų. Bus reguliariai tiriamas kraujo ląstelių kiekis;</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 xml:space="preserve">aliuminio </w:t>
      </w:r>
      <w:proofErr w:type="spellStart"/>
      <w:r w:rsidRPr="00AC49A7">
        <w:rPr>
          <w:snapToGrid/>
          <w:szCs w:val="22"/>
          <w:lang w:val="lt-LT"/>
        </w:rPr>
        <w:t>hidroksido</w:t>
      </w:r>
      <w:proofErr w:type="spellEnd"/>
      <w:r w:rsidRPr="00AC49A7">
        <w:rPr>
          <w:snapToGrid/>
          <w:szCs w:val="22"/>
          <w:lang w:val="lt-LT"/>
        </w:rPr>
        <w:t xml:space="preserve"> (kartu vartojamo </w:t>
      </w:r>
      <w:proofErr w:type="spellStart"/>
      <w:r w:rsidRPr="00AC49A7">
        <w:rPr>
          <w:snapToGrid/>
          <w:szCs w:val="22"/>
          <w:lang w:val="lt-LT"/>
        </w:rPr>
        <w:t>alopurinolio</w:t>
      </w:r>
      <w:proofErr w:type="spellEnd"/>
      <w:r w:rsidRPr="00AC49A7">
        <w:rPr>
          <w:snapToGrid/>
          <w:szCs w:val="22"/>
          <w:lang w:val="lt-LT"/>
        </w:rPr>
        <w:t xml:space="preserve"> poveikis gali susilpnėti). Tarp šių vaistų vartojimo reikia daryti ne trumpesnę kaip 3 valandų pertrauką;</w:t>
      </w:r>
    </w:p>
    <w:p w:rsidR="002E239A"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vaistų, vartojamų imuninei reakcijai silpninti (</w:t>
      </w:r>
      <w:proofErr w:type="spellStart"/>
      <w:r w:rsidRPr="00AC49A7">
        <w:rPr>
          <w:snapToGrid/>
          <w:szCs w:val="22"/>
          <w:lang w:val="lt-LT"/>
        </w:rPr>
        <w:t>imunosupresantų</w:t>
      </w:r>
      <w:proofErr w:type="spellEnd"/>
      <w:r w:rsidRPr="00AC49A7">
        <w:rPr>
          <w:snapToGrid/>
          <w:szCs w:val="22"/>
          <w:lang w:val="lt-LT"/>
        </w:rPr>
        <w:t xml:space="preserve">), pvz., </w:t>
      </w:r>
      <w:proofErr w:type="spellStart"/>
      <w:r w:rsidRPr="00AC49A7">
        <w:rPr>
          <w:snapToGrid/>
          <w:szCs w:val="22"/>
          <w:lang w:val="lt-LT"/>
        </w:rPr>
        <w:t>ciklosporino</w:t>
      </w:r>
      <w:proofErr w:type="spellEnd"/>
      <w:r w:rsidRPr="00AC49A7">
        <w:rPr>
          <w:snapToGrid/>
          <w:szCs w:val="22"/>
          <w:lang w:val="lt-LT"/>
        </w:rPr>
        <w:t xml:space="preserve"> (gali dažniau pasireikšti </w:t>
      </w:r>
      <w:proofErr w:type="spellStart"/>
      <w:r w:rsidRPr="00AC49A7">
        <w:rPr>
          <w:snapToGrid/>
          <w:szCs w:val="22"/>
          <w:lang w:val="lt-LT"/>
        </w:rPr>
        <w:t>ciklosporino</w:t>
      </w:r>
      <w:proofErr w:type="spellEnd"/>
      <w:r w:rsidRPr="00AC49A7">
        <w:rPr>
          <w:snapToGrid/>
          <w:szCs w:val="22"/>
          <w:lang w:val="lt-LT"/>
        </w:rPr>
        <w:t xml:space="preserve"> šalutinis poveikis)</w:t>
      </w:r>
      <w:r>
        <w:rPr>
          <w:snapToGrid/>
          <w:szCs w:val="22"/>
          <w:lang w:val="lt-LT"/>
        </w:rPr>
        <w:t>;</w:t>
      </w:r>
    </w:p>
    <w:p w:rsidR="002E239A" w:rsidRPr="00B840EF" w:rsidRDefault="002E239A" w:rsidP="002E239A">
      <w:pPr>
        <w:numPr>
          <w:ilvl w:val="0"/>
          <w:numId w:val="3"/>
        </w:numPr>
        <w:tabs>
          <w:tab w:val="num" w:pos="567"/>
          <w:tab w:val="num" w:pos="720"/>
        </w:tabs>
        <w:spacing w:line="240" w:lineRule="auto"/>
        <w:ind w:left="567" w:hanging="567"/>
        <w:rPr>
          <w:snapToGrid/>
          <w:szCs w:val="22"/>
          <w:lang w:val="lt-LT"/>
        </w:rPr>
      </w:pPr>
      <w:proofErr w:type="spellStart"/>
      <w:r w:rsidRPr="00936A91">
        <w:rPr>
          <w:snapToGrid/>
          <w:szCs w:val="22"/>
          <w:lang w:val="lt-LT"/>
        </w:rPr>
        <w:t>azatioprino</w:t>
      </w:r>
      <w:proofErr w:type="spellEnd"/>
      <w:r w:rsidRPr="00936A91">
        <w:rPr>
          <w:snapToGrid/>
          <w:szCs w:val="22"/>
          <w:lang w:val="lt-LT"/>
        </w:rPr>
        <w:t xml:space="preserve"> (</w:t>
      </w:r>
      <w:proofErr w:type="spellStart"/>
      <w:r w:rsidRPr="00936A91">
        <w:rPr>
          <w:snapToGrid/>
          <w:szCs w:val="22"/>
          <w:lang w:val="lt-LT"/>
        </w:rPr>
        <w:t>imunosupresanto</w:t>
      </w:r>
      <w:proofErr w:type="spellEnd"/>
      <w:r w:rsidRPr="00936A91">
        <w:rPr>
          <w:snapToGrid/>
          <w:szCs w:val="22"/>
          <w:lang w:val="lt-LT"/>
        </w:rPr>
        <w:t xml:space="preserve">) ir </w:t>
      </w:r>
      <w:proofErr w:type="spellStart"/>
      <w:r w:rsidRPr="00936A91">
        <w:rPr>
          <w:snapToGrid/>
          <w:szCs w:val="22"/>
          <w:lang w:val="lt-LT"/>
        </w:rPr>
        <w:t>merkaptopurino</w:t>
      </w:r>
      <w:proofErr w:type="spellEnd"/>
      <w:r w:rsidRPr="00936A91">
        <w:rPr>
          <w:snapToGrid/>
          <w:szCs w:val="22"/>
          <w:lang w:val="lt-LT"/>
        </w:rPr>
        <w:t xml:space="preserve"> (vartojamo leukemijai gydyti). </w:t>
      </w:r>
      <w:r w:rsidRPr="00B840EF">
        <w:rPr>
          <w:snapToGrid/>
          <w:szCs w:val="22"/>
          <w:lang w:val="lt-LT"/>
        </w:rPr>
        <w:t xml:space="preserve">Reikia vengti 6-merkaptopurino arba </w:t>
      </w:r>
      <w:proofErr w:type="spellStart"/>
      <w:r w:rsidRPr="00B840EF">
        <w:rPr>
          <w:snapToGrid/>
          <w:szCs w:val="22"/>
          <w:lang w:val="lt-LT"/>
        </w:rPr>
        <w:t>azatioprino</w:t>
      </w:r>
      <w:proofErr w:type="spellEnd"/>
      <w:r w:rsidRPr="00B840EF">
        <w:rPr>
          <w:snapToGrid/>
          <w:szCs w:val="22"/>
          <w:lang w:val="lt-LT"/>
        </w:rPr>
        <w:t xml:space="preserve"> vartoti kartu su </w:t>
      </w:r>
      <w:proofErr w:type="spellStart"/>
      <w:r w:rsidRPr="00B840EF">
        <w:rPr>
          <w:snapToGrid/>
          <w:szCs w:val="22"/>
          <w:lang w:val="lt-LT"/>
        </w:rPr>
        <w:t>alopurinoliu</w:t>
      </w:r>
      <w:proofErr w:type="spellEnd"/>
      <w:r w:rsidRPr="00B840EF">
        <w:rPr>
          <w:snapToGrid/>
          <w:szCs w:val="22"/>
          <w:lang w:val="lt-LT"/>
        </w:rPr>
        <w:t xml:space="preserve">. Kai 6-merkaptopurinas arba </w:t>
      </w:r>
      <w:proofErr w:type="spellStart"/>
      <w:r w:rsidRPr="00B840EF">
        <w:rPr>
          <w:snapToGrid/>
          <w:szCs w:val="22"/>
          <w:lang w:val="lt-LT"/>
        </w:rPr>
        <w:t>azatioprinas</w:t>
      </w:r>
      <w:proofErr w:type="spellEnd"/>
      <w:r w:rsidRPr="00B840EF">
        <w:rPr>
          <w:snapToGrid/>
          <w:szCs w:val="22"/>
          <w:lang w:val="lt-LT"/>
        </w:rPr>
        <w:t xml:space="preserve"> vartojamas kartu su </w:t>
      </w:r>
      <w:proofErr w:type="spellStart"/>
      <w:r w:rsidRPr="00B840EF">
        <w:rPr>
          <w:snapToGrid/>
          <w:szCs w:val="22"/>
          <w:lang w:val="lt-LT"/>
        </w:rPr>
        <w:t>Milurit</w:t>
      </w:r>
      <w:proofErr w:type="spellEnd"/>
      <w:r w:rsidRPr="00B840EF">
        <w:rPr>
          <w:snapToGrid/>
          <w:szCs w:val="22"/>
          <w:lang w:val="lt-LT"/>
        </w:rPr>
        <w:t xml:space="preserve">, 6-merkaptopurino arba </w:t>
      </w:r>
      <w:proofErr w:type="spellStart"/>
      <w:r w:rsidRPr="00B840EF">
        <w:rPr>
          <w:snapToGrid/>
          <w:szCs w:val="22"/>
          <w:lang w:val="lt-LT"/>
        </w:rPr>
        <w:t>azatioprino</w:t>
      </w:r>
      <w:proofErr w:type="spellEnd"/>
      <w:r w:rsidRPr="00B840EF">
        <w:rPr>
          <w:snapToGrid/>
          <w:szCs w:val="22"/>
          <w:lang w:val="lt-LT"/>
        </w:rPr>
        <w:t xml:space="preserve"> dozę reikia sumažinti, nes pailgės jų veikimas. Tai gali padidinti sunkių kraujo sutrikimų pavojų. Tokiu atveju gydytojas gydymo metu atidžiai stebės Jūsų kraujo rodiklius. </w:t>
      </w:r>
    </w:p>
    <w:p w:rsidR="002E239A" w:rsidRPr="00936A91" w:rsidRDefault="002E239A" w:rsidP="002E239A">
      <w:pPr>
        <w:tabs>
          <w:tab w:val="clear" w:pos="567"/>
        </w:tabs>
        <w:spacing w:line="240" w:lineRule="auto"/>
        <w:ind w:left="567"/>
        <w:rPr>
          <w:snapToGrid/>
          <w:szCs w:val="22"/>
          <w:lang w:val="lt-LT"/>
        </w:rPr>
      </w:pPr>
      <w:r w:rsidRPr="00B840EF">
        <w:rPr>
          <w:snapToGrid/>
          <w:szCs w:val="22"/>
          <w:lang w:val="lt-LT"/>
        </w:rPr>
        <w:t>Nedelsdami kreipkitės į gydytoją, jei pastebėjote, kad atsirado neaiškių mėlynių, kraujavimas, karščiavimas ar gerklės skausmas</w:t>
      </w:r>
      <w:r>
        <w:rPr>
          <w:snapToGrid/>
          <w:szCs w:val="22"/>
          <w:lang w:val="lt-LT"/>
        </w:rPr>
        <w:t>;</w:t>
      </w:r>
    </w:p>
    <w:p w:rsidR="002E239A" w:rsidRPr="00936A91" w:rsidRDefault="002E239A" w:rsidP="002E239A">
      <w:pPr>
        <w:numPr>
          <w:ilvl w:val="0"/>
          <w:numId w:val="3"/>
        </w:numPr>
        <w:tabs>
          <w:tab w:val="num" w:pos="567"/>
          <w:tab w:val="num" w:pos="720"/>
        </w:tabs>
        <w:spacing w:line="240" w:lineRule="auto"/>
        <w:ind w:left="567" w:hanging="567"/>
        <w:rPr>
          <w:snapToGrid/>
          <w:szCs w:val="22"/>
          <w:lang w:val="lt-LT"/>
        </w:rPr>
      </w:pPr>
      <w:r w:rsidRPr="00936A91">
        <w:rPr>
          <w:snapToGrid/>
          <w:szCs w:val="22"/>
          <w:lang w:val="lt-LT"/>
        </w:rPr>
        <w:t>vaistų nuo cukrinio diabeto (</w:t>
      </w:r>
      <w:proofErr w:type="spellStart"/>
      <w:r w:rsidRPr="00936A91">
        <w:rPr>
          <w:snapToGrid/>
          <w:szCs w:val="22"/>
          <w:lang w:val="lt-LT"/>
        </w:rPr>
        <w:t>chlorpropamido</w:t>
      </w:r>
      <w:proofErr w:type="spellEnd"/>
      <w:r w:rsidRPr="00936A91">
        <w:rPr>
          <w:snapToGrid/>
          <w:szCs w:val="22"/>
          <w:lang w:val="lt-LT"/>
        </w:rPr>
        <w:t xml:space="preserve">). Gali reikėti mažinti </w:t>
      </w:r>
      <w:proofErr w:type="spellStart"/>
      <w:r w:rsidRPr="00936A91">
        <w:rPr>
          <w:snapToGrid/>
          <w:szCs w:val="22"/>
          <w:lang w:val="lt-LT"/>
        </w:rPr>
        <w:t>chlorpropamido</w:t>
      </w:r>
      <w:proofErr w:type="spellEnd"/>
      <w:r w:rsidRPr="00936A91">
        <w:rPr>
          <w:snapToGrid/>
          <w:szCs w:val="22"/>
          <w:lang w:val="lt-LT"/>
        </w:rPr>
        <w:t xml:space="preserve"> dozę, ypač pacientams, kurių inkstų funkcija sutrikusi;</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 xml:space="preserve">vaistų nuo širdies sutrikių ar didelio kraujospūdžio, pvz., vadinamųjų AKF inhibitorių (tokių kaip </w:t>
      </w:r>
      <w:proofErr w:type="spellStart"/>
      <w:r w:rsidRPr="00AC49A7">
        <w:rPr>
          <w:snapToGrid/>
          <w:szCs w:val="22"/>
          <w:lang w:val="lt-LT"/>
        </w:rPr>
        <w:t>kaptoprilis</w:t>
      </w:r>
      <w:proofErr w:type="spellEnd"/>
      <w:r w:rsidRPr="00AC49A7">
        <w:rPr>
          <w:snapToGrid/>
          <w:szCs w:val="22"/>
          <w:lang w:val="lt-LT"/>
        </w:rPr>
        <w:t xml:space="preserve">, </w:t>
      </w:r>
      <w:proofErr w:type="spellStart"/>
      <w:r w:rsidRPr="00AC49A7">
        <w:rPr>
          <w:snapToGrid/>
          <w:szCs w:val="22"/>
          <w:lang w:val="lt-LT"/>
        </w:rPr>
        <w:t>ramiprilis</w:t>
      </w:r>
      <w:proofErr w:type="spellEnd"/>
      <w:r w:rsidRPr="00AC49A7">
        <w:rPr>
          <w:snapToGrid/>
          <w:szCs w:val="22"/>
          <w:lang w:val="lt-LT"/>
        </w:rPr>
        <w:t xml:space="preserve">) ar šlapimo išsiskyrimą skatinančių tablečių (diuretikų, ypač </w:t>
      </w:r>
      <w:proofErr w:type="spellStart"/>
      <w:r w:rsidRPr="00AC49A7">
        <w:rPr>
          <w:snapToGrid/>
          <w:szCs w:val="22"/>
          <w:lang w:val="lt-LT"/>
        </w:rPr>
        <w:t>tiazidų</w:t>
      </w:r>
      <w:proofErr w:type="spellEnd"/>
      <w:r w:rsidRPr="00AC49A7">
        <w:rPr>
          <w:snapToGrid/>
          <w:szCs w:val="22"/>
          <w:lang w:val="lt-LT"/>
        </w:rPr>
        <w:t xml:space="preserve"> grupės diuretikų, tokių kaip </w:t>
      </w:r>
      <w:proofErr w:type="spellStart"/>
      <w:r w:rsidRPr="00AC49A7">
        <w:rPr>
          <w:snapToGrid/>
          <w:szCs w:val="22"/>
          <w:lang w:val="lt-LT"/>
        </w:rPr>
        <w:t>hidrochlorotiazidas</w:t>
      </w:r>
      <w:proofErr w:type="spellEnd"/>
      <w:r w:rsidRPr="00AC49A7">
        <w:rPr>
          <w:snapToGrid/>
          <w:szCs w:val="22"/>
          <w:lang w:val="lt-LT"/>
        </w:rPr>
        <w:t xml:space="preserve"> ar </w:t>
      </w:r>
      <w:proofErr w:type="spellStart"/>
      <w:r w:rsidRPr="00AC49A7">
        <w:rPr>
          <w:snapToGrid/>
          <w:szCs w:val="22"/>
          <w:lang w:val="lt-LT"/>
        </w:rPr>
        <w:t>furozemidas</w:t>
      </w:r>
      <w:proofErr w:type="spellEnd"/>
      <w:r w:rsidRPr="00AC49A7">
        <w:rPr>
          <w:snapToGrid/>
          <w:szCs w:val="22"/>
          <w:lang w:val="lt-LT"/>
        </w:rPr>
        <w:t>);</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 xml:space="preserve">vaistų, vartojamų kraujui skystinti (kumarino grupės antikoaguliantų), tokių kaip </w:t>
      </w:r>
      <w:proofErr w:type="spellStart"/>
      <w:r w:rsidRPr="00AC49A7">
        <w:rPr>
          <w:snapToGrid/>
          <w:szCs w:val="22"/>
          <w:lang w:val="lt-LT"/>
        </w:rPr>
        <w:t>varfarinas</w:t>
      </w:r>
      <w:proofErr w:type="spellEnd"/>
      <w:r w:rsidRPr="00AC49A7">
        <w:rPr>
          <w:snapToGrid/>
          <w:szCs w:val="22"/>
          <w:lang w:val="lt-LT"/>
        </w:rPr>
        <w:t xml:space="preserve">, </w:t>
      </w:r>
      <w:proofErr w:type="spellStart"/>
      <w:r w:rsidRPr="00AC49A7">
        <w:rPr>
          <w:snapToGrid/>
          <w:szCs w:val="22"/>
          <w:lang w:val="lt-LT"/>
        </w:rPr>
        <w:t>fenprokumonas</w:t>
      </w:r>
      <w:proofErr w:type="spellEnd"/>
      <w:r w:rsidRPr="00AC49A7">
        <w:rPr>
          <w:snapToGrid/>
          <w:szCs w:val="22"/>
          <w:lang w:val="lt-LT"/>
        </w:rPr>
        <w:t xml:space="preserve"> ir </w:t>
      </w:r>
      <w:proofErr w:type="spellStart"/>
      <w:r w:rsidRPr="00AC49A7">
        <w:rPr>
          <w:snapToGrid/>
          <w:szCs w:val="22"/>
          <w:lang w:val="lt-LT"/>
        </w:rPr>
        <w:t>acenokumarolis</w:t>
      </w:r>
      <w:proofErr w:type="spellEnd"/>
      <w:r w:rsidRPr="00AC49A7">
        <w:rPr>
          <w:snapToGrid/>
          <w:szCs w:val="22"/>
          <w:lang w:val="lt-LT"/>
        </w:rPr>
        <w:t>. Gydytojas dažniau tirs Jūsų kraujo krešėjimo rodmenis ir, jei reikės, sumažins šių vaistų dozę;</w:t>
      </w:r>
    </w:p>
    <w:p w:rsidR="002E239A" w:rsidRPr="00AC49A7" w:rsidRDefault="002E239A" w:rsidP="002E239A">
      <w:pPr>
        <w:numPr>
          <w:ilvl w:val="0"/>
          <w:numId w:val="3"/>
        </w:numPr>
        <w:tabs>
          <w:tab w:val="num" w:pos="567"/>
          <w:tab w:val="num" w:pos="720"/>
        </w:tabs>
        <w:spacing w:line="240" w:lineRule="auto"/>
        <w:ind w:left="567" w:hanging="567"/>
        <w:rPr>
          <w:snapToGrid/>
          <w:szCs w:val="22"/>
          <w:lang w:val="lt-LT"/>
        </w:rPr>
      </w:pPr>
      <w:r w:rsidRPr="00AC49A7">
        <w:rPr>
          <w:snapToGrid/>
          <w:szCs w:val="22"/>
          <w:lang w:val="lt-LT"/>
        </w:rPr>
        <w:t>bet kokių kitų vaistų podagrai gydyti (</w:t>
      </w:r>
      <w:proofErr w:type="spellStart"/>
      <w:r w:rsidRPr="00AC49A7">
        <w:rPr>
          <w:snapToGrid/>
          <w:szCs w:val="22"/>
          <w:lang w:val="lt-LT"/>
        </w:rPr>
        <w:t>probenecido</w:t>
      </w:r>
      <w:proofErr w:type="spellEnd"/>
      <w:r w:rsidRPr="00AC49A7">
        <w:rPr>
          <w:snapToGrid/>
          <w:szCs w:val="22"/>
          <w:lang w:val="lt-LT"/>
        </w:rPr>
        <w:t xml:space="preserve">, </w:t>
      </w:r>
      <w:proofErr w:type="spellStart"/>
      <w:r w:rsidRPr="00AC49A7">
        <w:rPr>
          <w:snapToGrid/>
          <w:szCs w:val="22"/>
          <w:lang w:val="lt-LT"/>
        </w:rPr>
        <w:t>sulfinpirazono</w:t>
      </w:r>
      <w:proofErr w:type="spellEnd"/>
      <w:r w:rsidRPr="00AC49A7">
        <w:rPr>
          <w:snapToGrid/>
          <w:szCs w:val="22"/>
          <w:lang w:val="lt-LT"/>
        </w:rPr>
        <w:t>).</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Jeigu vartojate ar neseniai vartojote kitų vaistų, įskaitant nereceptinius vaistus bei augalinius preparatus, arba dėl to nesate tikri, apie tai pasakykite gydytojui arba vaistininkui, kadangi </w:t>
      </w:r>
      <w:proofErr w:type="spellStart"/>
      <w:r w:rsidRPr="00AC49A7">
        <w:rPr>
          <w:snapToGrid/>
          <w:szCs w:val="22"/>
          <w:lang w:val="lt-LT"/>
        </w:rPr>
        <w:t>Milurit</w:t>
      </w:r>
      <w:proofErr w:type="spellEnd"/>
      <w:r w:rsidRPr="00AC49A7">
        <w:rPr>
          <w:snapToGrid/>
          <w:szCs w:val="22"/>
          <w:lang w:val="lt-LT"/>
        </w:rPr>
        <w:t xml:space="preserve"> gali keisti kitų vaistų poveikį, o kiti vaistai – </w:t>
      </w:r>
      <w:proofErr w:type="spellStart"/>
      <w:r w:rsidRPr="00AC49A7">
        <w:rPr>
          <w:snapToGrid/>
          <w:szCs w:val="22"/>
          <w:lang w:val="lt-LT"/>
        </w:rPr>
        <w:t>Milurit</w:t>
      </w:r>
      <w:proofErr w:type="spellEnd"/>
      <w:r w:rsidRPr="00AC49A7">
        <w:rPr>
          <w:snapToGrid/>
          <w:szCs w:val="22"/>
          <w:lang w:val="lt-LT"/>
        </w:rPr>
        <w:t xml:space="preserve"> poveikį.</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r w:rsidRPr="00AC49A7">
        <w:rPr>
          <w:rFonts w:eastAsia="Calibri"/>
          <w:b/>
          <w:bCs/>
          <w:snapToGrid/>
          <w:szCs w:val="22"/>
          <w:lang w:val="lt-LT"/>
        </w:rPr>
        <w:t>Nėštumas ir žindymo laikotarpis</w:t>
      </w:r>
    </w:p>
    <w:p w:rsidR="002E239A" w:rsidRPr="00AC49A7" w:rsidRDefault="002E239A" w:rsidP="002E239A">
      <w:pPr>
        <w:tabs>
          <w:tab w:val="clear" w:pos="567"/>
        </w:tabs>
        <w:spacing w:line="240" w:lineRule="auto"/>
        <w:rPr>
          <w:rFonts w:eastAsia="Calibri"/>
          <w:noProof/>
          <w:snapToGrid/>
          <w:szCs w:val="24"/>
          <w:lang w:val="lt-LT" w:eastAsia="lt-LT"/>
        </w:rPr>
      </w:pPr>
      <w:r w:rsidRPr="00AC49A7">
        <w:rPr>
          <w:rFonts w:eastAsia="Calibri"/>
          <w:noProof/>
          <w:snapToGrid/>
          <w:szCs w:val="24"/>
          <w:lang w:val="lt-LT" w:eastAsia="lt-LT"/>
        </w:rPr>
        <w:t>Jeigu esate nėščia, žindote kūdikį, manote, kad galbūt esate nėščia, arba planuojate pastoti, tai prieš vartodama šį vaistą, pasitarkite su gydytoju arba vaistininku.</w:t>
      </w:r>
    </w:p>
    <w:p w:rsidR="002E239A" w:rsidRPr="00AC49A7" w:rsidRDefault="002E239A" w:rsidP="002E239A">
      <w:pPr>
        <w:tabs>
          <w:tab w:val="clear" w:pos="567"/>
        </w:tabs>
        <w:spacing w:line="240" w:lineRule="auto"/>
        <w:rPr>
          <w:rFonts w:eastAsia="Calibri"/>
          <w:snapToGrid/>
          <w:szCs w:val="22"/>
          <w:lang w:val="lt-LT" w:eastAsia="lt-LT"/>
        </w:rPr>
      </w:pPr>
    </w:p>
    <w:p w:rsidR="002E239A" w:rsidRPr="00AC49A7" w:rsidRDefault="002E239A" w:rsidP="002E239A">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Nėštumas</w:t>
      </w:r>
    </w:p>
    <w:p w:rsidR="002E239A" w:rsidRPr="00AC49A7" w:rsidRDefault="002E239A" w:rsidP="002E239A">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 xml:space="preserve">Duomenų apie </w:t>
      </w:r>
      <w:proofErr w:type="spellStart"/>
      <w:r w:rsidRPr="00AC49A7">
        <w:rPr>
          <w:rFonts w:eastAsia="Calibri"/>
          <w:snapToGrid/>
          <w:color w:val="000000"/>
          <w:szCs w:val="22"/>
          <w:lang w:val="lt-LT" w:eastAsia="lt-LT"/>
        </w:rPr>
        <w:t>alopurinolio</w:t>
      </w:r>
      <w:proofErr w:type="spellEnd"/>
      <w:r w:rsidRPr="00AC49A7">
        <w:rPr>
          <w:rFonts w:eastAsia="Calibri"/>
          <w:snapToGrid/>
          <w:color w:val="000000"/>
          <w:szCs w:val="22"/>
          <w:lang w:val="lt-LT" w:eastAsia="lt-LT"/>
        </w:rPr>
        <w:t xml:space="preserve"> vartojimo saugumą nėštumo laikotarpiu nepakanka.</w:t>
      </w:r>
    </w:p>
    <w:p w:rsidR="002E239A" w:rsidRPr="00AC49A7" w:rsidRDefault="002E239A" w:rsidP="002E239A">
      <w:pPr>
        <w:tabs>
          <w:tab w:val="clear" w:pos="567"/>
        </w:tabs>
        <w:spacing w:line="240" w:lineRule="auto"/>
        <w:rPr>
          <w:rFonts w:eastAsia="Calibri"/>
          <w:snapToGrid/>
          <w:color w:val="000000"/>
          <w:szCs w:val="22"/>
          <w:lang w:val="lt-LT" w:eastAsia="lt-LT"/>
        </w:rPr>
      </w:pPr>
      <w:proofErr w:type="spellStart"/>
      <w:r w:rsidRPr="00AC49A7">
        <w:rPr>
          <w:rFonts w:eastAsia="Calibri"/>
          <w:snapToGrid/>
          <w:color w:val="000000"/>
          <w:szCs w:val="22"/>
          <w:lang w:val="lt-LT" w:eastAsia="lt-LT"/>
        </w:rPr>
        <w:t>Alopurinolio</w:t>
      </w:r>
      <w:proofErr w:type="spellEnd"/>
      <w:r w:rsidRPr="00AC49A7">
        <w:rPr>
          <w:rFonts w:eastAsia="Calibri"/>
          <w:snapToGrid/>
          <w:color w:val="000000"/>
          <w:szCs w:val="22"/>
          <w:lang w:val="lt-LT" w:eastAsia="lt-LT"/>
        </w:rPr>
        <w:t xml:space="preserve"> nėštumo laikotarpiu galima vartoti tik tuo atveju, jei nėra saugesnių alternatyvų ir liga sukelia riziką moteriai ar dar negimusiam vaikui.</w:t>
      </w:r>
    </w:p>
    <w:p w:rsidR="002E239A" w:rsidRPr="00AC49A7" w:rsidRDefault="002E239A" w:rsidP="002E239A">
      <w:pPr>
        <w:tabs>
          <w:tab w:val="clear" w:pos="567"/>
        </w:tabs>
        <w:spacing w:line="240" w:lineRule="auto"/>
        <w:rPr>
          <w:rFonts w:eastAsia="Calibri"/>
          <w:snapToGrid/>
          <w:szCs w:val="22"/>
          <w:lang w:val="lt-LT" w:eastAsia="lt-LT"/>
        </w:rPr>
      </w:pPr>
    </w:p>
    <w:p w:rsidR="002E239A" w:rsidRPr="00AC49A7" w:rsidRDefault="002E239A" w:rsidP="002E239A">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Žindymo laikotarpis</w:t>
      </w:r>
    </w:p>
    <w:p w:rsidR="002E239A" w:rsidRPr="00AC49A7" w:rsidRDefault="002E239A" w:rsidP="002E239A">
      <w:pPr>
        <w:tabs>
          <w:tab w:val="clear" w:pos="567"/>
        </w:tabs>
        <w:spacing w:line="240" w:lineRule="auto"/>
        <w:rPr>
          <w:rFonts w:eastAsia="Calibri"/>
          <w:snapToGrid/>
          <w:szCs w:val="22"/>
          <w:lang w:val="lt-LT" w:eastAsia="lt-LT"/>
        </w:rPr>
      </w:pPr>
      <w:proofErr w:type="spellStart"/>
      <w:r w:rsidRPr="00AC49A7">
        <w:rPr>
          <w:rFonts w:eastAsia="Calibri"/>
          <w:bCs/>
          <w:snapToGrid/>
          <w:szCs w:val="22"/>
          <w:lang w:val="lt-LT" w:eastAsia="lt-LT"/>
        </w:rPr>
        <w:t>Alopurinolis</w:t>
      </w:r>
      <w:proofErr w:type="spellEnd"/>
      <w:r w:rsidRPr="00AC49A7">
        <w:rPr>
          <w:rFonts w:eastAsia="Calibri"/>
          <w:bCs/>
          <w:snapToGrid/>
          <w:szCs w:val="22"/>
          <w:lang w:val="lt-LT" w:eastAsia="lt-LT"/>
        </w:rPr>
        <w:t xml:space="preserve"> išsiskiria į motinos pieną.</w:t>
      </w:r>
      <w:r w:rsidRPr="00AC49A7">
        <w:rPr>
          <w:rFonts w:eastAsia="Calibri"/>
          <w:snapToGrid/>
          <w:szCs w:val="22"/>
          <w:lang w:val="lt-LT" w:eastAsia="lt-LT"/>
        </w:rPr>
        <w:t xml:space="preserve"> </w:t>
      </w:r>
      <w:proofErr w:type="spellStart"/>
      <w:r w:rsidRPr="00AC49A7">
        <w:rPr>
          <w:rFonts w:eastAsia="Calibri"/>
          <w:snapToGrid/>
          <w:szCs w:val="22"/>
          <w:lang w:val="lt-LT" w:eastAsia="lt-LT"/>
        </w:rPr>
        <w:t>Alopurinolio</w:t>
      </w:r>
      <w:proofErr w:type="spellEnd"/>
      <w:r w:rsidRPr="00AC49A7">
        <w:rPr>
          <w:rFonts w:eastAsia="Calibri"/>
          <w:snapToGrid/>
          <w:szCs w:val="22"/>
          <w:lang w:val="lt-LT" w:eastAsia="lt-LT"/>
        </w:rPr>
        <w:t xml:space="preserve"> žindymo laikotarpiu vartoti nerekomenduojama.</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r w:rsidRPr="00AC49A7">
        <w:rPr>
          <w:rFonts w:eastAsia="Calibri"/>
          <w:b/>
          <w:bCs/>
          <w:snapToGrid/>
          <w:szCs w:val="22"/>
          <w:lang w:val="lt-LT"/>
        </w:rPr>
        <w:t>Vairavimas ir mechanizmų valdymas</w:t>
      </w:r>
    </w:p>
    <w:p w:rsidR="002E239A" w:rsidRPr="00AC49A7" w:rsidRDefault="002E239A" w:rsidP="002E239A">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Gali pasireikšti apsnūdimas, svaigulys ar koordinacijos sutrikimų. Tokiu atveju nevairuokite, nenaudokite jokių įrankių ir nevaldykite mechanizmų.</w:t>
      </w:r>
    </w:p>
    <w:p w:rsidR="002E239A" w:rsidRPr="00AC49A7" w:rsidRDefault="002E239A" w:rsidP="002E239A">
      <w:pPr>
        <w:tabs>
          <w:tab w:val="clear" w:pos="567"/>
        </w:tabs>
        <w:autoSpaceDE w:val="0"/>
        <w:autoSpaceDN w:val="0"/>
        <w:adjustRightInd w:val="0"/>
        <w:spacing w:line="240" w:lineRule="auto"/>
        <w:rPr>
          <w:rFonts w:ascii="Verdana" w:eastAsia="Calibri" w:hAnsi="Verdana" w:cs="Verdana"/>
          <w:snapToGrid/>
          <w:sz w:val="16"/>
          <w:szCs w:val="16"/>
          <w:lang w:val="lt-LT" w:eastAsia="lt-LT"/>
        </w:rPr>
      </w:pPr>
    </w:p>
    <w:p w:rsidR="002E239A" w:rsidRPr="00AC49A7" w:rsidRDefault="002E239A" w:rsidP="002E239A">
      <w:pPr>
        <w:tabs>
          <w:tab w:val="clear" w:pos="567"/>
        </w:tabs>
        <w:autoSpaceDE w:val="0"/>
        <w:autoSpaceDN w:val="0"/>
        <w:adjustRightInd w:val="0"/>
        <w:spacing w:line="240" w:lineRule="auto"/>
        <w:rPr>
          <w:rFonts w:eastAsia="Calibri"/>
          <w:b/>
          <w:bCs/>
          <w:snapToGrid/>
          <w:szCs w:val="22"/>
          <w:lang w:val="lt-LT" w:eastAsia="lt-LT"/>
        </w:rPr>
      </w:pPr>
      <w:proofErr w:type="spellStart"/>
      <w:r w:rsidRPr="00AC49A7">
        <w:rPr>
          <w:rFonts w:eastAsia="Calibri"/>
          <w:b/>
          <w:bCs/>
          <w:snapToGrid/>
          <w:szCs w:val="22"/>
          <w:lang w:val="lt-LT" w:eastAsia="lt-LT"/>
        </w:rPr>
        <w:t>Milurit</w:t>
      </w:r>
      <w:proofErr w:type="spellEnd"/>
      <w:r w:rsidRPr="00AC49A7">
        <w:rPr>
          <w:rFonts w:eastAsia="Calibri"/>
          <w:b/>
          <w:bCs/>
          <w:snapToGrid/>
          <w:szCs w:val="22"/>
          <w:lang w:val="lt-LT" w:eastAsia="lt-LT"/>
        </w:rPr>
        <w:t xml:space="preserve"> sudėtyje yra natrio</w:t>
      </w:r>
    </w:p>
    <w:p w:rsidR="002E239A" w:rsidRPr="00AC49A7" w:rsidRDefault="002E239A" w:rsidP="002E239A">
      <w:pPr>
        <w:tabs>
          <w:tab w:val="clear" w:pos="567"/>
        </w:tabs>
        <w:autoSpaceDE w:val="0"/>
        <w:autoSpaceDN w:val="0"/>
        <w:adjustRightInd w:val="0"/>
        <w:spacing w:line="240" w:lineRule="auto"/>
        <w:rPr>
          <w:rFonts w:eastAsia="Calibri"/>
          <w:snapToGrid/>
          <w:szCs w:val="22"/>
          <w:lang w:val="lt-LT"/>
        </w:rPr>
      </w:pPr>
      <w:r w:rsidRPr="00AC49A7">
        <w:rPr>
          <w:rFonts w:eastAsia="Calibri"/>
          <w:snapToGrid/>
          <w:szCs w:val="22"/>
          <w:lang w:val="lt-LT" w:eastAsia="lt-LT"/>
        </w:rPr>
        <w:t>Šio vaisto tabletėje yra mažiau kaip 1 </w:t>
      </w:r>
      <w:proofErr w:type="spellStart"/>
      <w:r w:rsidRPr="00AC49A7">
        <w:rPr>
          <w:rFonts w:eastAsia="Calibri"/>
          <w:snapToGrid/>
          <w:szCs w:val="22"/>
          <w:lang w:val="lt-LT" w:eastAsia="lt-LT"/>
        </w:rPr>
        <w:t>mmol</w:t>
      </w:r>
      <w:proofErr w:type="spellEnd"/>
      <w:r w:rsidRPr="00AC49A7">
        <w:rPr>
          <w:rFonts w:eastAsia="Calibri"/>
          <w:snapToGrid/>
          <w:szCs w:val="22"/>
          <w:lang w:val="lt-LT" w:eastAsia="lt-LT"/>
        </w:rPr>
        <w:t xml:space="preserve"> (23 mg) natrio, t. y. jis beveik neturi reikšmės.</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keepNext/>
        <w:spacing w:line="240" w:lineRule="auto"/>
        <w:ind w:left="567" w:hanging="567"/>
        <w:outlineLvl w:val="1"/>
        <w:rPr>
          <w:rFonts w:eastAsia="Calibri"/>
          <w:b/>
          <w:snapToGrid/>
          <w:szCs w:val="22"/>
          <w:lang w:val="lt-LT"/>
        </w:rPr>
      </w:pPr>
      <w:bookmarkStart w:id="6" w:name="_Toc129243141"/>
      <w:bookmarkStart w:id="7" w:name="_Toc129243266"/>
      <w:r w:rsidRPr="00AC49A7">
        <w:rPr>
          <w:rFonts w:eastAsia="Calibri"/>
          <w:b/>
          <w:snapToGrid/>
          <w:szCs w:val="22"/>
          <w:lang w:val="lt-LT"/>
        </w:rPr>
        <w:t>3.</w:t>
      </w:r>
      <w:r w:rsidRPr="00AC49A7">
        <w:rPr>
          <w:rFonts w:eastAsia="Calibri"/>
          <w:b/>
          <w:snapToGrid/>
          <w:szCs w:val="22"/>
          <w:lang w:val="lt-LT"/>
        </w:rPr>
        <w:tab/>
        <w:t xml:space="preserve">Kaip vartoti </w:t>
      </w:r>
      <w:bookmarkEnd w:id="6"/>
      <w:bookmarkEnd w:id="7"/>
      <w:proofErr w:type="spellStart"/>
      <w:r w:rsidRPr="00AC49A7">
        <w:rPr>
          <w:rFonts w:eastAsia="Calibri"/>
          <w:b/>
          <w:snapToGrid/>
          <w:szCs w:val="22"/>
          <w:lang w:val="lt-LT"/>
        </w:rPr>
        <w:t>Milurit</w:t>
      </w:r>
      <w:proofErr w:type="spellEnd"/>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noProof/>
          <w:snapToGrid/>
          <w:szCs w:val="22"/>
          <w:lang w:val="lt-LT"/>
        </w:rPr>
        <w:t>Visada vartokite šį vaistą tiksliai kaip nurodė gydytojas arba vaistininkas.</w:t>
      </w:r>
      <w:r w:rsidRPr="00AC49A7">
        <w:rPr>
          <w:rFonts w:eastAsia="Calibri"/>
          <w:snapToGrid/>
          <w:szCs w:val="22"/>
          <w:lang w:val="lt-LT"/>
        </w:rPr>
        <w:t xml:space="preserve"> </w:t>
      </w:r>
      <w:r w:rsidRPr="00AC49A7">
        <w:rPr>
          <w:rFonts w:eastAsia="Calibri"/>
          <w:noProof/>
          <w:snapToGrid/>
          <w:szCs w:val="22"/>
          <w:lang w:val="lt-LT"/>
        </w:rPr>
        <w:t>Jeigu abejojate, kreipkitės į gydytoją arba vaistininką.</w:t>
      </w:r>
    </w:p>
    <w:p w:rsidR="002E239A" w:rsidRPr="00AC49A7" w:rsidRDefault="002E239A" w:rsidP="002E239A">
      <w:pPr>
        <w:tabs>
          <w:tab w:val="clear" w:pos="567"/>
        </w:tabs>
        <w:spacing w:line="240" w:lineRule="auto"/>
        <w:rPr>
          <w:rFonts w:eastAsia="Calibri"/>
          <w:snapToGrid/>
          <w:color w:val="000000"/>
          <w:szCs w:val="22"/>
          <w:lang w:val="lt-LT" w:eastAsia="lt-LT"/>
        </w:rPr>
      </w:pPr>
    </w:p>
    <w:p w:rsidR="002E239A" w:rsidRPr="00AC49A7" w:rsidRDefault="002E239A" w:rsidP="002E239A">
      <w:pPr>
        <w:tabs>
          <w:tab w:val="clear" w:pos="567"/>
        </w:tabs>
        <w:spacing w:line="240" w:lineRule="auto"/>
        <w:rPr>
          <w:iCs/>
          <w:snapToGrid/>
          <w:szCs w:val="22"/>
          <w:lang w:val="lt-LT"/>
        </w:rPr>
      </w:pPr>
      <w:proofErr w:type="spellStart"/>
      <w:r w:rsidRPr="00AC49A7">
        <w:rPr>
          <w:iCs/>
          <w:snapToGrid/>
          <w:szCs w:val="22"/>
          <w:lang w:val="lt-LT"/>
        </w:rPr>
        <w:t>Milurit</w:t>
      </w:r>
      <w:proofErr w:type="spellEnd"/>
      <w:r w:rsidRPr="00AC49A7">
        <w:rPr>
          <w:iCs/>
          <w:snapToGrid/>
          <w:szCs w:val="22"/>
          <w:lang w:val="lt-LT"/>
        </w:rPr>
        <w:t xml:space="preserve"> reikia vartoti kartą per parą po valgio, užgeriant vandeniu. Kol vartosite šį vaistą, turite gerti daug skysčių (2</w:t>
      </w:r>
      <w:r>
        <w:rPr>
          <w:iCs/>
          <w:snapToGrid/>
          <w:szCs w:val="22"/>
          <w:lang w:val="lt-LT"/>
        </w:rPr>
        <w:t>–</w:t>
      </w:r>
      <w:r w:rsidRPr="00AC49A7">
        <w:rPr>
          <w:iCs/>
          <w:snapToGrid/>
          <w:szCs w:val="22"/>
          <w:lang w:val="lt-LT"/>
        </w:rPr>
        <w:t>3 litrus per dieną).</w:t>
      </w:r>
    </w:p>
    <w:p w:rsidR="002E239A" w:rsidRPr="00AC49A7" w:rsidRDefault="002E239A" w:rsidP="002E239A">
      <w:pPr>
        <w:keepNext/>
        <w:tabs>
          <w:tab w:val="clear" w:pos="567"/>
        </w:tabs>
        <w:spacing w:line="240" w:lineRule="auto"/>
        <w:outlineLvl w:val="2"/>
        <w:rPr>
          <w:snapToGrid/>
          <w:szCs w:val="22"/>
          <w:lang w:val="lt-LT"/>
        </w:rPr>
      </w:pPr>
      <w:r w:rsidRPr="00AC49A7">
        <w:rPr>
          <w:snapToGrid/>
          <w:szCs w:val="22"/>
          <w:lang w:val="lt-LT"/>
        </w:rPr>
        <w:t xml:space="preserve">Jei paros dozė yra didesnė kaip 300 mg ir pasireiškia su virškinimo traktu susijęs šalutinis poveikis, pvz., pykinimas arba vėmimas (žr. 4 skyrių), gydytojas gali nurodyti </w:t>
      </w:r>
      <w:proofErr w:type="spellStart"/>
      <w:r w:rsidRPr="00AC49A7">
        <w:rPr>
          <w:snapToGrid/>
          <w:szCs w:val="22"/>
          <w:lang w:val="lt-LT"/>
        </w:rPr>
        <w:t>alopurinolio</w:t>
      </w:r>
      <w:proofErr w:type="spellEnd"/>
      <w:r w:rsidRPr="00AC49A7">
        <w:rPr>
          <w:snapToGrid/>
          <w:szCs w:val="22"/>
          <w:lang w:val="lt-LT"/>
        </w:rPr>
        <w:t xml:space="preserve"> paros dozę padalyti į kelias dalis, kad toks poveikis susilpnėtų.</w:t>
      </w:r>
    </w:p>
    <w:p w:rsidR="002E239A" w:rsidRPr="00AC49A7" w:rsidRDefault="002E239A" w:rsidP="002E239A">
      <w:pPr>
        <w:keepNext/>
        <w:tabs>
          <w:tab w:val="clear" w:pos="567"/>
        </w:tabs>
        <w:spacing w:line="240" w:lineRule="auto"/>
        <w:outlineLvl w:val="2"/>
        <w:rPr>
          <w:b/>
          <w:bCs/>
          <w:iCs/>
          <w:snapToGrid/>
          <w:szCs w:val="22"/>
          <w:lang w:val="lt-LT"/>
        </w:rPr>
      </w:pPr>
    </w:p>
    <w:p w:rsidR="002E239A" w:rsidRPr="00AC49A7" w:rsidRDefault="002E239A" w:rsidP="002E239A">
      <w:pPr>
        <w:keepNext/>
        <w:tabs>
          <w:tab w:val="clear" w:pos="567"/>
        </w:tabs>
        <w:spacing w:line="240" w:lineRule="auto"/>
        <w:outlineLvl w:val="2"/>
        <w:rPr>
          <w:bCs/>
          <w:iCs/>
          <w:snapToGrid/>
          <w:szCs w:val="22"/>
          <w:lang w:val="lt-LT"/>
        </w:rPr>
      </w:pPr>
      <w:r w:rsidRPr="00AC49A7">
        <w:rPr>
          <w:bCs/>
          <w:iCs/>
          <w:snapToGrid/>
          <w:szCs w:val="22"/>
          <w:lang w:val="lt-LT"/>
        </w:rPr>
        <w:t>Dozę visada individualiai nustato gydytojas.</w:t>
      </w:r>
    </w:p>
    <w:p w:rsidR="002E239A" w:rsidRPr="00AC49A7" w:rsidRDefault="002E239A" w:rsidP="002E239A">
      <w:pPr>
        <w:tabs>
          <w:tab w:val="clear" w:pos="567"/>
        </w:tabs>
        <w:spacing w:line="240" w:lineRule="auto"/>
        <w:rPr>
          <w:b/>
          <w:bCs/>
          <w:iCs/>
          <w:snapToGrid/>
          <w:szCs w:val="22"/>
          <w:lang w:val="lt-LT"/>
        </w:rPr>
      </w:pPr>
    </w:p>
    <w:p w:rsidR="002E239A" w:rsidRPr="00AC49A7" w:rsidRDefault="002E239A" w:rsidP="002E239A">
      <w:pPr>
        <w:tabs>
          <w:tab w:val="clear" w:pos="567"/>
        </w:tabs>
        <w:spacing w:line="240" w:lineRule="auto"/>
        <w:rPr>
          <w:iCs/>
          <w:snapToGrid/>
          <w:szCs w:val="22"/>
          <w:lang w:val="lt-LT"/>
        </w:rPr>
      </w:pPr>
      <w:r w:rsidRPr="00AC49A7">
        <w:rPr>
          <w:iCs/>
          <w:snapToGrid/>
          <w:szCs w:val="22"/>
          <w:lang w:val="lt-LT"/>
        </w:rPr>
        <w:t>Toliau nurodytos rekomenduojamos dozės.</w:t>
      </w:r>
    </w:p>
    <w:p w:rsidR="002E239A" w:rsidRPr="00AC49A7" w:rsidRDefault="002E239A" w:rsidP="002E239A">
      <w:pPr>
        <w:keepNext/>
        <w:tabs>
          <w:tab w:val="clear" w:pos="567"/>
        </w:tabs>
        <w:spacing w:line="240" w:lineRule="auto"/>
        <w:outlineLvl w:val="2"/>
        <w:rPr>
          <w:b/>
          <w:bCs/>
          <w:snapToGrid/>
          <w:szCs w:val="22"/>
          <w:lang w:val="lt-LT"/>
        </w:rPr>
      </w:pPr>
    </w:p>
    <w:p w:rsidR="002E239A" w:rsidRPr="00AC49A7" w:rsidRDefault="002E239A" w:rsidP="002E239A">
      <w:pPr>
        <w:keepNext/>
        <w:tabs>
          <w:tab w:val="clear" w:pos="567"/>
        </w:tabs>
        <w:spacing w:line="240" w:lineRule="auto"/>
        <w:outlineLvl w:val="2"/>
        <w:rPr>
          <w:b/>
          <w:bCs/>
          <w:snapToGrid/>
          <w:szCs w:val="22"/>
          <w:lang w:val="lt-LT"/>
        </w:rPr>
      </w:pPr>
      <w:r w:rsidRPr="00AC49A7">
        <w:rPr>
          <w:b/>
          <w:bCs/>
          <w:snapToGrid/>
          <w:szCs w:val="22"/>
          <w:lang w:val="lt-LT"/>
        </w:rPr>
        <w:t>Suaugusieji</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Gydytojas paprastai iš pradžių skiria mažą pradinę </w:t>
      </w:r>
      <w:proofErr w:type="spellStart"/>
      <w:r w:rsidRPr="00AC49A7">
        <w:rPr>
          <w:snapToGrid/>
          <w:szCs w:val="22"/>
          <w:lang w:val="lt-LT"/>
        </w:rPr>
        <w:t>alopurinolio</w:t>
      </w:r>
      <w:proofErr w:type="spellEnd"/>
      <w:r w:rsidRPr="00AC49A7">
        <w:rPr>
          <w:snapToGrid/>
          <w:szCs w:val="22"/>
          <w:lang w:val="lt-LT"/>
        </w:rPr>
        <w:t xml:space="preserve"> dozę (pvz., 100 mg per parą), kad būtų sumažinta galimo šalutinio poveikio pasireiškimo rizika. Jei reikia, dozė padidinama.</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Rekomenduojamos palaikomosios dozės:</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100</w:t>
      </w:r>
      <w:r>
        <w:rPr>
          <w:snapToGrid/>
          <w:szCs w:val="22"/>
          <w:lang w:val="lt-LT"/>
        </w:rPr>
        <w:t>–</w:t>
      </w:r>
      <w:r w:rsidRPr="00AC49A7">
        <w:rPr>
          <w:snapToGrid/>
          <w:szCs w:val="22"/>
          <w:lang w:val="lt-LT"/>
        </w:rPr>
        <w:t>200 mg per parą, jei yra lengvas sutrikimas; 300</w:t>
      </w:r>
      <w:r>
        <w:rPr>
          <w:snapToGrid/>
          <w:szCs w:val="22"/>
          <w:lang w:val="lt-LT"/>
        </w:rPr>
        <w:t>–</w:t>
      </w:r>
      <w:r w:rsidRPr="00AC49A7">
        <w:rPr>
          <w:snapToGrid/>
          <w:szCs w:val="22"/>
          <w:lang w:val="lt-LT"/>
        </w:rPr>
        <w:t>600 mg per parą, jei yra vidutinio sunkumo sutrikimas; 700</w:t>
      </w:r>
      <w:r>
        <w:rPr>
          <w:snapToGrid/>
          <w:szCs w:val="22"/>
          <w:lang w:val="lt-LT"/>
        </w:rPr>
        <w:t>–</w:t>
      </w:r>
      <w:r w:rsidRPr="00AC49A7">
        <w:rPr>
          <w:snapToGrid/>
          <w:szCs w:val="22"/>
          <w:lang w:val="lt-LT"/>
        </w:rPr>
        <w:t>900 mg per parą, jei yra sunkus sutrikimas.</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Jei reikia dozuoti mg/kg kūno svorio, reikia vartoti, 2</w:t>
      </w:r>
      <w:r>
        <w:rPr>
          <w:snapToGrid/>
          <w:szCs w:val="22"/>
          <w:lang w:val="lt-LT"/>
        </w:rPr>
        <w:t>–</w:t>
      </w:r>
      <w:r w:rsidRPr="00AC49A7">
        <w:rPr>
          <w:snapToGrid/>
          <w:szCs w:val="22"/>
          <w:lang w:val="lt-LT"/>
        </w:rPr>
        <w:t>10 mg/kg kūno svorio paros dozę.</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Gydymo pradžioje gydytojas mėnesiui ar ilgiau gali skirti vartoti vaistą nuo uždegimo ar </w:t>
      </w:r>
      <w:proofErr w:type="spellStart"/>
      <w:r w:rsidRPr="00AC49A7">
        <w:rPr>
          <w:snapToGrid/>
          <w:szCs w:val="22"/>
          <w:lang w:val="lt-LT"/>
        </w:rPr>
        <w:t>kolchiciną</w:t>
      </w:r>
      <w:proofErr w:type="spellEnd"/>
      <w:r w:rsidRPr="00AC49A7">
        <w:rPr>
          <w:snapToGrid/>
          <w:szCs w:val="22"/>
          <w:lang w:val="lt-LT"/>
        </w:rPr>
        <w:t>, kad būtų išvengta podagrinio artrito priepuolio.</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keepNext/>
        <w:tabs>
          <w:tab w:val="clear" w:pos="567"/>
        </w:tabs>
        <w:spacing w:line="240" w:lineRule="auto"/>
        <w:outlineLvl w:val="2"/>
        <w:rPr>
          <w:b/>
          <w:bCs/>
          <w:snapToGrid/>
          <w:szCs w:val="22"/>
          <w:lang w:val="lt-LT"/>
        </w:rPr>
      </w:pPr>
      <w:r w:rsidRPr="00AC49A7">
        <w:rPr>
          <w:b/>
          <w:bCs/>
          <w:snapToGrid/>
          <w:szCs w:val="22"/>
          <w:lang w:val="lt-LT"/>
        </w:rPr>
        <w:t>Vartojimas vaikams ir paaugliams (jaunesniems kaip 15 metų)</w:t>
      </w:r>
    </w:p>
    <w:p w:rsidR="002E239A" w:rsidRPr="00AC49A7" w:rsidRDefault="002E239A" w:rsidP="002E239A">
      <w:pPr>
        <w:keepNext/>
        <w:tabs>
          <w:tab w:val="clear" w:pos="567"/>
        </w:tabs>
        <w:spacing w:line="240" w:lineRule="auto"/>
        <w:outlineLvl w:val="2"/>
        <w:rPr>
          <w:bCs/>
          <w:snapToGrid/>
          <w:szCs w:val="22"/>
          <w:lang w:val="lt-LT"/>
        </w:rPr>
      </w:pPr>
      <w:r w:rsidRPr="00AC49A7">
        <w:rPr>
          <w:rFonts w:eastAsia="Calibri"/>
          <w:snapToGrid/>
          <w:color w:val="000000"/>
          <w:szCs w:val="22"/>
          <w:lang w:val="lt-LT" w:eastAsia="lt-LT"/>
        </w:rPr>
        <w:t xml:space="preserve">Vaikams </w:t>
      </w:r>
      <w:proofErr w:type="spellStart"/>
      <w:r w:rsidRPr="00AC49A7">
        <w:rPr>
          <w:rFonts w:eastAsia="Calibri"/>
          <w:snapToGrid/>
          <w:color w:val="000000"/>
          <w:szCs w:val="22"/>
          <w:lang w:val="lt-LT" w:eastAsia="lt-LT"/>
        </w:rPr>
        <w:t>Milurit</w:t>
      </w:r>
      <w:proofErr w:type="spellEnd"/>
      <w:r w:rsidRPr="00AC49A7">
        <w:rPr>
          <w:rFonts w:eastAsia="Calibri"/>
          <w:snapToGrid/>
          <w:color w:val="000000"/>
          <w:szCs w:val="22"/>
          <w:lang w:val="lt-LT" w:eastAsia="lt-LT"/>
        </w:rPr>
        <w:t xml:space="preserve"> skiriama retai, išskyrus vėžines būkles (ypač leukemiją) ir tam tikrus fermentų sutrikimus (pvz., </w:t>
      </w:r>
      <w:proofErr w:type="spellStart"/>
      <w:r w:rsidRPr="00AC49A7">
        <w:rPr>
          <w:i/>
          <w:snapToGrid/>
          <w:szCs w:val="22"/>
          <w:lang w:val="lt-LT"/>
        </w:rPr>
        <w:t>Lesch-Nyhan</w:t>
      </w:r>
      <w:proofErr w:type="spellEnd"/>
      <w:r w:rsidRPr="00AC49A7">
        <w:rPr>
          <w:snapToGrid/>
          <w:szCs w:val="22"/>
          <w:lang w:val="lt-LT"/>
        </w:rPr>
        <w:t xml:space="preserve"> sindromą).</w:t>
      </w:r>
    </w:p>
    <w:p w:rsidR="002E239A" w:rsidRPr="00AC49A7" w:rsidRDefault="002E239A" w:rsidP="002E239A">
      <w:pPr>
        <w:keepNext/>
        <w:tabs>
          <w:tab w:val="clear" w:pos="567"/>
        </w:tabs>
        <w:spacing w:line="240" w:lineRule="auto"/>
        <w:outlineLvl w:val="2"/>
        <w:rPr>
          <w:bCs/>
          <w:snapToGrid/>
          <w:szCs w:val="22"/>
          <w:lang w:val="lt-LT"/>
        </w:rPr>
      </w:pPr>
      <w:r w:rsidRPr="00AC49A7">
        <w:rPr>
          <w:bCs/>
          <w:snapToGrid/>
          <w:szCs w:val="22"/>
          <w:lang w:val="lt-LT"/>
        </w:rPr>
        <w:t>Rekomenduojama paros dozė yra 10</w:t>
      </w:r>
      <w:r>
        <w:rPr>
          <w:bCs/>
          <w:snapToGrid/>
          <w:szCs w:val="22"/>
          <w:lang w:val="lt-LT"/>
        </w:rPr>
        <w:t>–</w:t>
      </w:r>
      <w:r w:rsidRPr="00AC49A7">
        <w:rPr>
          <w:bCs/>
          <w:snapToGrid/>
          <w:szCs w:val="22"/>
          <w:lang w:val="lt-LT"/>
        </w:rPr>
        <w:t>20 mg/kg kūno svorio. Paros dozė negali būti didesnė kaip 400 mg,</w:t>
      </w:r>
      <w:r w:rsidRPr="00AC49A7">
        <w:rPr>
          <w:snapToGrid/>
          <w:szCs w:val="22"/>
          <w:lang w:val="lt-LT"/>
        </w:rPr>
        <w:t xml:space="preserve"> </w:t>
      </w:r>
      <w:r w:rsidRPr="00AC49A7">
        <w:rPr>
          <w:bCs/>
          <w:snapToGrid/>
          <w:szCs w:val="22"/>
          <w:lang w:val="lt-LT"/>
        </w:rPr>
        <w:t>ji išgeriama padalyta į 3 atskiras dozes.</w:t>
      </w:r>
    </w:p>
    <w:p w:rsidR="002E239A" w:rsidRPr="00AC49A7" w:rsidRDefault="002E239A" w:rsidP="002E239A">
      <w:pPr>
        <w:keepNext/>
        <w:tabs>
          <w:tab w:val="clear" w:pos="567"/>
        </w:tabs>
        <w:spacing w:line="240" w:lineRule="auto"/>
        <w:outlineLvl w:val="2"/>
        <w:rPr>
          <w:b/>
          <w:bCs/>
          <w:snapToGrid/>
          <w:szCs w:val="22"/>
          <w:lang w:val="lt-LT"/>
        </w:rPr>
      </w:pPr>
    </w:p>
    <w:p w:rsidR="002E239A" w:rsidRPr="00AC49A7" w:rsidRDefault="002E239A" w:rsidP="002E239A">
      <w:pPr>
        <w:keepNext/>
        <w:tabs>
          <w:tab w:val="clear" w:pos="567"/>
        </w:tabs>
        <w:spacing w:line="240" w:lineRule="auto"/>
        <w:outlineLvl w:val="2"/>
        <w:rPr>
          <w:b/>
          <w:bCs/>
          <w:snapToGrid/>
          <w:szCs w:val="22"/>
          <w:lang w:val="lt-LT"/>
        </w:rPr>
      </w:pPr>
      <w:r w:rsidRPr="00AC49A7">
        <w:rPr>
          <w:b/>
          <w:bCs/>
          <w:snapToGrid/>
          <w:szCs w:val="22"/>
          <w:lang w:val="lt-LT"/>
        </w:rPr>
        <w:t>Senyvi pacientai</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Gydytojas skirs mažiausią veiksmingą </w:t>
      </w:r>
      <w:proofErr w:type="spellStart"/>
      <w:r w:rsidRPr="00AC49A7">
        <w:rPr>
          <w:snapToGrid/>
          <w:szCs w:val="22"/>
          <w:lang w:val="lt-LT"/>
        </w:rPr>
        <w:t>Milurit</w:t>
      </w:r>
      <w:proofErr w:type="spellEnd"/>
      <w:r w:rsidRPr="00AC49A7">
        <w:rPr>
          <w:snapToGrid/>
          <w:szCs w:val="22"/>
          <w:lang w:val="lt-LT"/>
        </w:rPr>
        <w:t xml:space="preserve"> tablečių dozę, kuria pasiekiama geriausia simptomų kontrolė.</w:t>
      </w:r>
    </w:p>
    <w:p w:rsidR="002E239A" w:rsidRPr="00AC49A7" w:rsidRDefault="002E239A" w:rsidP="002E239A">
      <w:pPr>
        <w:keepNext/>
        <w:tabs>
          <w:tab w:val="clear" w:pos="567"/>
        </w:tabs>
        <w:spacing w:line="240" w:lineRule="auto"/>
        <w:outlineLvl w:val="2"/>
        <w:rPr>
          <w:b/>
          <w:bCs/>
          <w:snapToGrid/>
          <w:szCs w:val="22"/>
          <w:lang w:val="lt-LT"/>
        </w:rPr>
      </w:pPr>
    </w:p>
    <w:p w:rsidR="002E239A" w:rsidRPr="00AC49A7" w:rsidRDefault="002E239A" w:rsidP="002E239A">
      <w:pPr>
        <w:keepNext/>
        <w:tabs>
          <w:tab w:val="clear" w:pos="567"/>
        </w:tabs>
        <w:spacing w:line="240" w:lineRule="auto"/>
        <w:outlineLvl w:val="2"/>
        <w:rPr>
          <w:b/>
          <w:bCs/>
          <w:snapToGrid/>
          <w:szCs w:val="22"/>
          <w:lang w:val="lt-LT"/>
        </w:rPr>
      </w:pPr>
      <w:r w:rsidRPr="00AC49A7">
        <w:rPr>
          <w:b/>
          <w:bCs/>
          <w:snapToGrid/>
          <w:szCs w:val="22"/>
          <w:lang w:val="lt-LT"/>
        </w:rPr>
        <w:t>Vartojimas sergant inkstų liga</w:t>
      </w:r>
    </w:p>
    <w:p w:rsidR="002E239A" w:rsidRPr="00AC49A7" w:rsidRDefault="002E239A" w:rsidP="002E239A">
      <w:pPr>
        <w:keepNext/>
        <w:tabs>
          <w:tab w:val="clear" w:pos="567"/>
        </w:tabs>
        <w:spacing w:line="240" w:lineRule="auto"/>
        <w:outlineLvl w:val="2"/>
        <w:rPr>
          <w:snapToGrid/>
          <w:szCs w:val="22"/>
          <w:lang w:val="lt-LT"/>
        </w:rPr>
      </w:pPr>
      <w:r w:rsidRPr="00AC49A7">
        <w:rPr>
          <w:bCs/>
          <w:snapToGrid/>
          <w:szCs w:val="22"/>
          <w:lang w:val="lt-LT"/>
        </w:rPr>
        <w:t>Jei sergama inkstų liga, reikia mažinti dozę. Jeigu Jums yra sunkių inkstų sutrikimų, Jums gali būti nurodyta vartoti mažesnę kaip 100 mg paros dozę arba 100 mg dozę vartoti rečiau nei kasdien</w:t>
      </w:r>
      <w:r w:rsidRPr="00AC49A7">
        <w:rPr>
          <w:snapToGrid/>
          <w:szCs w:val="22"/>
          <w:lang w:val="lt-LT"/>
        </w:rPr>
        <w:t>.</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Jeigu Jums du arba tris kartus per savaitę atliekama dializė, gydytojas gali skirti 300 mg ar 400 mg dozę, kurią reikės gerti iš karto po dializės.</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Jeigu yra inkstų sutrikimų, gydytojas gali tikrinti inkstų funkciją, ypač jei vartojate šlapimo išsiskyrimą skatinančių tablečių (diuretikų, ypač </w:t>
      </w:r>
      <w:proofErr w:type="spellStart"/>
      <w:r w:rsidRPr="00AC49A7">
        <w:rPr>
          <w:snapToGrid/>
          <w:szCs w:val="22"/>
          <w:lang w:val="lt-LT"/>
        </w:rPr>
        <w:t>tiazidų</w:t>
      </w:r>
      <w:proofErr w:type="spellEnd"/>
      <w:r w:rsidRPr="00AC49A7">
        <w:rPr>
          <w:snapToGrid/>
          <w:szCs w:val="22"/>
          <w:lang w:val="lt-LT"/>
        </w:rPr>
        <w:t xml:space="preserve"> grupės diuretikų, tokių kaip </w:t>
      </w:r>
      <w:proofErr w:type="spellStart"/>
      <w:r w:rsidRPr="00AC49A7">
        <w:rPr>
          <w:snapToGrid/>
          <w:szCs w:val="22"/>
          <w:lang w:val="lt-LT"/>
        </w:rPr>
        <w:t>hidrochlorotiazidas</w:t>
      </w:r>
      <w:proofErr w:type="spellEnd"/>
      <w:r w:rsidRPr="00AC49A7">
        <w:rPr>
          <w:snapToGrid/>
          <w:szCs w:val="22"/>
          <w:lang w:val="lt-LT"/>
        </w:rPr>
        <w:t>).</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b/>
          <w:snapToGrid/>
          <w:szCs w:val="22"/>
          <w:lang w:val="lt-LT"/>
        </w:rPr>
      </w:pPr>
      <w:r w:rsidRPr="00AC49A7">
        <w:rPr>
          <w:b/>
          <w:snapToGrid/>
          <w:szCs w:val="22"/>
          <w:lang w:val="lt-LT"/>
        </w:rPr>
        <w:t>Jeigu yra kepenų sutrikimų</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Gydytojas gali skirti mažesnes dozes. Gali reikėti periodiškai tirti kepenų funkciją, ypač gydymo pradžioje.</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u w:val="single"/>
          <w:lang w:val="lt-LT"/>
        </w:rPr>
      </w:pPr>
      <w:r w:rsidRPr="00AC49A7">
        <w:rPr>
          <w:b/>
          <w:iCs/>
          <w:snapToGrid/>
          <w:szCs w:val="22"/>
          <w:lang w:val="lt-LT"/>
        </w:rPr>
        <w:t>Būklių, kurioms būdinga didelė uratų apykaita</w:t>
      </w:r>
      <w:r w:rsidRPr="00AC49A7">
        <w:rPr>
          <w:i/>
          <w:iCs/>
          <w:snapToGrid/>
          <w:szCs w:val="22"/>
          <w:lang w:val="lt-LT"/>
        </w:rPr>
        <w:t xml:space="preserve"> (pvz., vėžio, </w:t>
      </w:r>
      <w:proofErr w:type="spellStart"/>
      <w:r w:rsidRPr="00AC49A7">
        <w:rPr>
          <w:i/>
          <w:iCs/>
          <w:snapToGrid/>
          <w:szCs w:val="22"/>
          <w:lang w:val="lt-LT"/>
        </w:rPr>
        <w:t>Lesch-Nyhan</w:t>
      </w:r>
      <w:proofErr w:type="spellEnd"/>
      <w:r w:rsidRPr="00AC49A7">
        <w:rPr>
          <w:i/>
          <w:iCs/>
          <w:snapToGrid/>
          <w:szCs w:val="22"/>
          <w:lang w:val="lt-LT"/>
        </w:rPr>
        <w:t xml:space="preserve"> sindromo)</w:t>
      </w:r>
      <w:r w:rsidRPr="00AC49A7">
        <w:rPr>
          <w:b/>
          <w:iCs/>
          <w:snapToGrid/>
          <w:szCs w:val="22"/>
          <w:lang w:val="lt-LT"/>
        </w:rPr>
        <w:t>,</w:t>
      </w:r>
      <w:r w:rsidRPr="00AC49A7">
        <w:rPr>
          <w:i/>
          <w:iCs/>
          <w:snapToGrid/>
          <w:szCs w:val="22"/>
          <w:lang w:val="lt-LT"/>
        </w:rPr>
        <w:t xml:space="preserve"> </w:t>
      </w:r>
      <w:r w:rsidRPr="00AC49A7">
        <w:rPr>
          <w:b/>
          <w:iCs/>
          <w:snapToGrid/>
          <w:szCs w:val="22"/>
          <w:lang w:val="lt-LT"/>
        </w:rPr>
        <w:t>gydymas</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Prieš gydymo </w:t>
      </w:r>
      <w:proofErr w:type="spellStart"/>
      <w:r w:rsidRPr="00AC49A7">
        <w:rPr>
          <w:snapToGrid/>
          <w:szCs w:val="22"/>
          <w:lang w:val="lt-LT"/>
        </w:rPr>
        <w:t>citotoksiniais</w:t>
      </w:r>
      <w:proofErr w:type="spellEnd"/>
      <w:r w:rsidRPr="00AC49A7">
        <w:rPr>
          <w:snapToGrid/>
          <w:szCs w:val="22"/>
          <w:lang w:val="lt-LT"/>
        </w:rPr>
        <w:t xml:space="preserve"> vaistais pradžią rekomenduojama </w:t>
      </w:r>
      <w:proofErr w:type="spellStart"/>
      <w:r w:rsidRPr="00AC49A7">
        <w:rPr>
          <w:snapToGrid/>
          <w:szCs w:val="22"/>
          <w:lang w:val="lt-LT"/>
        </w:rPr>
        <w:t>Milurit</w:t>
      </w:r>
      <w:proofErr w:type="spellEnd"/>
      <w:r w:rsidRPr="00AC49A7">
        <w:rPr>
          <w:snapToGrid/>
          <w:szCs w:val="22"/>
          <w:lang w:val="lt-LT"/>
        </w:rPr>
        <w:t xml:space="preserve"> tabletėmis sumažinti per didelį šlapimo rūgšties kiekį. Svarbu vartoti pakankamai skysčių.</w:t>
      </w:r>
    </w:p>
    <w:p w:rsidR="002E239A" w:rsidRPr="00AC49A7" w:rsidRDefault="002E239A" w:rsidP="002E239A">
      <w:pPr>
        <w:tabs>
          <w:tab w:val="clear" w:pos="567"/>
        </w:tabs>
        <w:spacing w:line="240" w:lineRule="auto"/>
        <w:rPr>
          <w:i/>
          <w:snapToGrid/>
          <w:szCs w:val="22"/>
          <w:lang w:val="lt-LT"/>
        </w:rPr>
      </w:pPr>
    </w:p>
    <w:p w:rsidR="002E239A" w:rsidRPr="00AC49A7" w:rsidRDefault="002E239A" w:rsidP="002E239A">
      <w:pPr>
        <w:tabs>
          <w:tab w:val="clear" w:pos="567"/>
        </w:tabs>
        <w:spacing w:line="240" w:lineRule="auto"/>
        <w:rPr>
          <w:snapToGrid/>
          <w:szCs w:val="22"/>
          <w:lang w:val="lt-LT"/>
        </w:rPr>
      </w:pPr>
      <w:r w:rsidRPr="00AC49A7">
        <w:rPr>
          <w:b/>
          <w:snapToGrid/>
          <w:szCs w:val="22"/>
          <w:lang w:val="lt-LT"/>
        </w:rPr>
        <w:t>Odos reakcijos</w:t>
      </w:r>
    </w:p>
    <w:p w:rsidR="002E239A" w:rsidRPr="00AC49A7" w:rsidRDefault="002E239A" w:rsidP="002E239A">
      <w:pPr>
        <w:tabs>
          <w:tab w:val="clear" w:pos="567"/>
        </w:tabs>
        <w:spacing w:line="240" w:lineRule="auto"/>
        <w:rPr>
          <w:snapToGrid/>
          <w:szCs w:val="22"/>
          <w:lang w:val="lt-LT"/>
        </w:rPr>
      </w:pPr>
      <w:r w:rsidRPr="00AC49A7">
        <w:rPr>
          <w:snapToGrid/>
          <w:szCs w:val="22"/>
          <w:lang w:val="lt-LT" w:bidi="en-GB"/>
        </w:rPr>
        <w:t xml:space="preserve">Jei atsiranda odos reakcijų, </w:t>
      </w:r>
      <w:proofErr w:type="spellStart"/>
      <w:r w:rsidRPr="00AC49A7">
        <w:rPr>
          <w:snapToGrid/>
          <w:szCs w:val="22"/>
          <w:lang w:val="lt-LT" w:bidi="en-GB"/>
        </w:rPr>
        <w:t>alopurinolio</w:t>
      </w:r>
      <w:proofErr w:type="spellEnd"/>
      <w:r w:rsidRPr="00AC49A7">
        <w:rPr>
          <w:snapToGrid/>
          <w:szCs w:val="22"/>
          <w:lang w:val="lt-LT" w:bidi="en-GB"/>
        </w:rPr>
        <w:t xml:space="preserve"> vartojimą būtina nutraukti nedelsiant. Išnykus lengvai reakcijai, po atidaus rizikos įvertinimo gydytojas gali nuspręsti atnaujinti </w:t>
      </w:r>
      <w:proofErr w:type="spellStart"/>
      <w:r w:rsidRPr="00AC49A7">
        <w:rPr>
          <w:snapToGrid/>
          <w:szCs w:val="22"/>
          <w:lang w:val="lt-LT" w:bidi="en-GB"/>
        </w:rPr>
        <w:t>alopurinolio</w:t>
      </w:r>
      <w:proofErr w:type="spellEnd"/>
      <w:r w:rsidRPr="00AC49A7">
        <w:rPr>
          <w:snapToGrid/>
          <w:szCs w:val="22"/>
          <w:lang w:val="lt-LT" w:bidi="en-GB"/>
        </w:rPr>
        <w:t xml:space="preserve"> vartojimą maža doze (pvz., 50 mg per parą). Po to dozę galima laipsniškai didinti, stebint dėl odos reakcijų ir kitokio galimo nepageidaujamo poveikio. Jei odos reakcija atsinaujina, </w:t>
      </w:r>
      <w:proofErr w:type="spellStart"/>
      <w:r w:rsidRPr="00AC49A7">
        <w:rPr>
          <w:snapToGrid/>
          <w:szCs w:val="22"/>
          <w:lang w:val="lt-LT" w:bidi="en-GB"/>
        </w:rPr>
        <w:t>alopurinolio</w:t>
      </w:r>
      <w:proofErr w:type="spellEnd"/>
      <w:r w:rsidRPr="00AC49A7">
        <w:rPr>
          <w:snapToGrid/>
          <w:szCs w:val="22"/>
          <w:lang w:val="lt-LT" w:bidi="en-GB"/>
        </w:rPr>
        <w:t xml:space="preserve"> vartojimą būtina nutraukti visam laikui, nes gali atsirasti sunkesnių padidėjusio jautrumo reakcijų (žr. 4 skyrių).</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Ką daryti pavartojus per didelę </w:t>
      </w:r>
      <w:proofErr w:type="spellStart"/>
      <w:r w:rsidRPr="00AC49A7">
        <w:rPr>
          <w:rFonts w:eastAsia="Calibri"/>
          <w:b/>
          <w:bCs/>
          <w:snapToGrid/>
          <w:szCs w:val="22"/>
          <w:lang w:val="lt-LT"/>
        </w:rPr>
        <w:t>Milurit</w:t>
      </w:r>
      <w:proofErr w:type="spellEnd"/>
      <w:r w:rsidRPr="00AC49A7">
        <w:rPr>
          <w:rFonts w:eastAsia="Calibri"/>
          <w:b/>
          <w:bCs/>
          <w:snapToGrid/>
          <w:szCs w:val="22"/>
          <w:lang w:val="lt-LT"/>
        </w:rPr>
        <w:t xml:space="preserve"> dozę</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Jei išgersite daugiau </w:t>
      </w:r>
      <w:proofErr w:type="spellStart"/>
      <w:r w:rsidRPr="00AC49A7">
        <w:rPr>
          <w:snapToGrid/>
          <w:szCs w:val="22"/>
          <w:lang w:val="lt-LT"/>
        </w:rPr>
        <w:t>Milurit</w:t>
      </w:r>
      <w:proofErr w:type="spellEnd"/>
      <w:r w:rsidRPr="00AC49A7">
        <w:rPr>
          <w:snapToGrid/>
          <w:szCs w:val="22"/>
          <w:lang w:val="lt-LT"/>
        </w:rPr>
        <w:t xml:space="preserve"> tablečių nei reikia arba jei manysite, kad tablečių nurijo vaikas, kreipkitės į gydytoją arba nedelsdami vykite į ligoninę. Pasiimkite šį lapelį, likusias tabletes ir vaisto pakuotę, kad medikai žinotų, kokių tablečių išgėrėte.</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Dažniausi perdozavimo simptomai yra pykinimas, vėmimas, viduriavimas ar svaigulys. Kol atvyks medikai, pirmiausia pradėkite gerti daug skysčių.</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Pamiršus pavartoti </w:t>
      </w:r>
      <w:proofErr w:type="spellStart"/>
      <w:r w:rsidRPr="00AC49A7">
        <w:rPr>
          <w:rFonts w:eastAsia="Calibri"/>
          <w:b/>
          <w:bCs/>
          <w:snapToGrid/>
          <w:szCs w:val="22"/>
          <w:lang w:val="lt-LT"/>
        </w:rPr>
        <w:t>Milurit</w:t>
      </w:r>
      <w:proofErr w:type="spellEnd"/>
    </w:p>
    <w:p w:rsidR="002E239A" w:rsidRPr="00AC49A7" w:rsidRDefault="002E239A" w:rsidP="002E239A">
      <w:pPr>
        <w:rPr>
          <w:szCs w:val="22"/>
          <w:lang w:val="lt-LT"/>
        </w:rPr>
      </w:pPr>
      <w:r w:rsidRPr="00AC49A7">
        <w:rPr>
          <w:szCs w:val="22"/>
          <w:lang w:val="lt-LT"/>
        </w:rPr>
        <w:t xml:space="preserve">Jei pamiršote suvartoti dozę, ją išgerkite, kai tik prisiminsite. Vis dėlto jei jau beveik laikas gerti kitą dozę, pamirštąją dozę praleiskite. Negalima vartoti dvigubos dozės norint kompensuoti praleistą dozę. </w:t>
      </w:r>
    </w:p>
    <w:p w:rsidR="002E239A" w:rsidRPr="00AC49A7" w:rsidRDefault="002E239A" w:rsidP="002E239A">
      <w:pPr>
        <w:rPr>
          <w:szCs w:val="22"/>
          <w:lang w:val="lt-LT"/>
        </w:rPr>
      </w:pPr>
      <w:r w:rsidRPr="00AC49A7">
        <w:rPr>
          <w:szCs w:val="22"/>
          <w:lang w:val="lt-LT"/>
        </w:rPr>
        <w:t>Tęskite gydymą taip kaip nurodyta.</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Nustojus vartoti </w:t>
      </w:r>
      <w:proofErr w:type="spellStart"/>
      <w:r w:rsidRPr="00AC49A7">
        <w:rPr>
          <w:rFonts w:eastAsia="Calibri"/>
          <w:b/>
          <w:bCs/>
          <w:snapToGrid/>
          <w:szCs w:val="22"/>
          <w:lang w:val="lt-LT"/>
        </w:rPr>
        <w:t>Milurit</w:t>
      </w:r>
      <w:proofErr w:type="spellEnd"/>
    </w:p>
    <w:p w:rsidR="002E239A" w:rsidRPr="00AC49A7" w:rsidRDefault="002E239A" w:rsidP="002E239A">
      <w:pPr>
        <w:tabs>
          <w:tab w:val="clear" w:pos="567"/>
        </w:tabs>
        <w:spacing w:line="240" w:lineRule="auto"/>
        <w:rPr>
          <w:snapToGrid/>
          <w:szCs w:val="22"/>
          <w:lang w:val="lt-LT"/>
        </w:rPr>
      </w:pPr>
      <w:r w:rsidRPr="00AC49A7">
        <w:rPr>
          <w:snapToGrid/>
          <w:szCs w:val="22"/>
          <w:lang w:val="lt-LT"/>
        </w:rPr>
        <w:t>Gydymo trukmę nustatys Jūsų gydytojas.</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Nenutraukite </w:t>
      </w:r>
      <w:proofErr w:type="spellStart"/>
      <w:r w:rsidRPr="00AC49A7">
        <w:rPr>
          <w:snapToGrid/>
          <w:szCs w:val="22"/>
          <w:lang w:val="lt-LT"/>
        </w:rPr>
        <w:t>Milurit</w:t>
      </w:r>
      <w:proofErr w:type="spellEnd"/>
      <w:r w:rsidRPr="00AC49A7">
        <w:rPr>
          <w:snapToGrid/>
          <w:szCs w:val="22"/>
          <w:lang w:val="lt-LT"/>
        </w:rPr>
        <w:t xml:space="preserve"> vartojimo nepasitarę su gydytojų, nebent pasireikš alerginė reakcija ar kitoks sunkus šalutinis poveikis (žr. 4 skyrių).</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snapToGrid/>
          <w:szCs w:val="22"/>
          <w:lang w:val="lt-LT"/>
        </w:rPr>
        <w:t>Jeigu kiltų daugiau klausimų dėl šio vaisto vartojimo, kreipkitės į gydytoją arba vaistininką.</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keepNext/>
        <w:spacing w:line="240" w:lineRule="auto"/>
        <w:ind w:left="567" w:hanging="567"/>
        <w:outlineLvl w:val="1"/>
        <w:rPr>
          <w:rFonts w:eastAsia="Calibri"/>
          <w:b/>
          <w:snapToGrid/>
          <w:szCs w:val="22"/>
          <w:lang w:val="lt-LT"/>
        </w:rPr>
      </w:pPr>
      <w:bookmarkStart w:id="8" w:name="_Toc129243142"/>
      <w:bookmarkStart w:id="9" w:name="_Toc129243267"/>
      <w:r w:rsidRPr="00AC49A7">
        <w:rPr>
          <w:rFonts w:eastAsia="Calibri"/>
          <w:b/>
          <w:snapToGrid/>
          <w:szCs w:val="22"/>
          <w:lang w:val="lt-LT"/>
        </w:rPr>
        <w:t>4.</w:t>
      </w:r>
      <w:r w:rsidRPr="00AC49A7">
        <w:rPr>
          <w:rFonts w:eastAsia="Calibri"/>
          <w:b/>
          <w:snapToGrid/>
          <w:szCs w:val="22"/>
          <w:lang w:val="lt-LT"/>
        </w:rPr>
        <w:tab/>
        <w:t>Galimas šalutinis poveikis</w:t>
      </w:r>
      <w:bookmarkEnd w:id="8"/>
      <w:bookmarkEnd w:id="9"/>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noProof/>
          <w:snapToGrid/>
          <w:szCs w:val="24"/>
          <w:lang w:val="lt-LT"/>
        </w:rPr>
        <w:t>Šis vaistas, kaip ir visi kiti, gali sukelti šalutinį poveikį, nors jis pasireiškia ne visiems žmonėms.</w:t>
      </w:r>
    </w:p>
    <w:p w:rsidR="002E239A" w:rsidRPr="00AC49A7" w:rsidRDefault="002E239A" w:rsidP="002E239A">
      <w:pPr>
        <w:tabs>
          <w:tab w:val="clear" w:pos="567"/>
        </w:tabs>
        <w:spacing w:line="240" w:lineRule="auto"/>
        <w:rPr>
          <w:rFonts w:eastAsia="Calibri"/>
          <w:snapToGrid/>
          <w:szCs w:val="22"/>
          <w:lang w:val="lt-LT" w:eastAsia="lt-LT"/>
        </w:rPr>
      </w:pP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Gydymo </w:t>
      </w:r>
      <w:proofErr w:type="spellStart"/>
      <w:r w:rsidRPr="00AC49A7">
        <w:rPr>
          <w:snapToGrid/>
          <w:szCs w:val="22"/>
          <w:lang w:val="lt-LT"/>
        </w:rPr>
        <w:t>Milurit</w:t>
      </w:r>
      <w:proofErr w:type="spellEnd"/>
      <w:r w:rsidRPr="00AC49A7">
        <w:rPr>
          <w:snapToGrid/>
          <w:szCs w:val="22"/>
          <w:lang w:val="lt-LT"/>
        </w:rPr>
        <w:t xml:space="preserve"> metu pasireiškiantis šalutinis poveikis paprastai yra retas ir dažniausiai būna lengvas.</w:t>
      </w:r>
    </w:p>
    <w:p w:rsidR="002E239A" w:rsidRPr="00AC49A7" w:rsidRDefault="002E239A" w:rsidP="002E239A">
      <w:pPr>
        <w:tabs>
          <w:tab w:val="clear" w:pos="567"/>
        </w:tabs>
        <w:spacing w:line="240" w:lineRule="auto"/>
        <w:rPr>
          <w:snapToGrid/>
          <w:color w:val="000000"/>
          <w:szCs w:val="22"/>
          <w:lang w:val="lt-LT"/>
        </w:rPr>
      </w:pPr>
      <w:r w:rsidRPr="00AC49A7">
        <w:rPr>
          <w:snapToGrid/>
          <w:color w:val="000000"/>
          <w:szCs w:val="22"/>
          <w:lang w:val="lt-LT"/>
        </w:rPr>
        <w:t>Šalutinio poveikio dažnis gali skirtis priklausomai nuo vartojamos dozės bei kartu vartojamų kitų vaistų.</w:t>
      </w:r>
      <w:r w:rsidRPr="00AC49A7">
        <w:rPr>
          <w:snapToGrid/>
          <w:szCs w:val="22"/>
          <w:lang w:val="lt-LT"/>
        </w:rPr>
        <w:t xml:space="preserve"> </w:t>
      </w:r>
      <w:r w:rsidRPr="00AC49A7">
        <w:rPr>
          <w:snapToGrid/>
          <w:color w:val="000000"/>
          <w:szCs w:val="22"/>
          <w:lang w:val="lt-LT"/>
        </w:rPr>
        <w:t>Dažnis būna didesnis, jei sergama inkstų ir (arba) kepenų liga.</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bCs/>
          <w:snapToGrid/>
          <w:szCs w:val="22"/>
          <w:lang w:val="lt-LT"/>
        </w:rPr>
      </w:pPr>
      <w:r w:rsidRPr="00AC49A7">
        <w:rPr>
          <w:bCs/>
          <w:snapToGrid/>
          <w:szCs w:val="22"/>
          <w:lang w:val="lt-LT"/>
        </w:rPr>
        <w:t>Pranešta apie gyvybei pavojų kelti galinčio odos išbėrimo (</w:t>
      </w:r>
      <w:proofErr w:type="spellStart"/>
      <w:r w:rsidRPr="00AC49A7">
        <w:rPr>
          <w:bCs/>
          <w:snapToGrid/>
          <w:szCs w:val="22"/>
          <w:lang w:val="lt-LT"/>
        </w:rPr>
        <w:t>Stivenso</w:t>
      </w:r>
      <w:proofErr w:type="spellEnd"/>
      <w:r w:rsidRPr="00AC49A7">
        <w:rPr>
          <w:bCs/>
          <w:snapToGrid/>
          <w:szCs w:val="22"/>
          <w:lang w:val="lt-LT"/>
        </w:rPr>
        <w:t xml:space="preserve">-Džonsono sindromo, toksinės epidermio </w:t>
      </w:r>
      <w:proofErr w:type="spellStart"/>
      <w:r w:rsidRPr="00AC49A7">
        <w:rPr>
          <w:bCs/>
          <w:snapToGrid/>
          <w:szCs w:val="22"/>
          <w:lang w:val="lt-LT"/>
        </w:rPr>
        <w:t>nekrolizės</w:t>
      </w:r>
      <w:proofErr w:type="spellEnd"/>
      <w:r w:rsidRPr="00AC49A7">
        <w:rPr>
          <w:bCs/>
          <w:snapToGrid/>
          <w:szCs w:val="22"/>
          <w:lang w:val="lt-LT"/>
        </w:rPr>
        <w:t>) atvejus (žr. 2 skyrių).</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b/>
          <w:snapToGrid/>
          <w:szCs w:val="22"/>
          <w:lang w:val="lt-LT"/>
        </w:rPr>
      </w:pPr>
      <w:r w:rsidRPr="00AC49A7">
        <w:rPr>
          <w:b/>
          <w:snapToGrid/>
          <w:szCs w:val="22"/>
          <w:lang w:val="lt-LT"/>
        </w:rPr>
        <w:t xml:space="preserve">Jei vartojant </w:t>
      </w:r>
      <w:proofErr w:type="spellStart"/>
      <w:r w:rsidRPr="00AC49A7">
        <w:rPr>
          <w:b/>
          <w:snapToGrid/>
          <w:szCs w:val="22"/>
          <w:lang w:val="lt-LT"/>
        </w:rPr>
        <w:t>Milurit</w:t>
      </w:r>
      <w:proofErr w:type="spellEnd"/>
      <w:r w:rsidRPr="00AC49A7">
        <w:rPr>
          <w:b/>
          <w:snapToGrid/>
          <w:szCs w:val="22"/>
          <w:lang w:val="lt-LT"/>
        </w:rPr>
        <w:t xml:space="preserve"> pasireiškia bet kuris toliau nurodytas šalutinis poveikis, nutraukite šio vaisto vartojimą ir nedelsdami kreipkitės į gydytoją.</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snapToGrid/>
          <w:szCs w:val="22"/>
          <w:lang w:val="lt-LT"/>
        </w:rPr>
      </w:pPr>
      <w:r w:rsidRPr="001E431A">
        <w:rPr>
          <w:b/>
          <w:bCs/>
          <w:noProof/>
          <w:szCs w:val="22"/>
          <w:lang w:val="lt-LT"/>
        </w:rPr>
        <w:t>Nedažni šalutinio poveikio reiškiniai</w:t>
      </w:r>
      <w:r w:rsidRPr="00BE1D8D">
        <w:rPr>
          <w:b/>
          <w:lang w:val="lt-LT"/>
        </w:rPr>
        <w:t xml:space="preserve"> (gali pasireikšti rečiau kaip 1 iš 100</w:t>
      </w:r>
      <w:r w:rsidRPr="001E431A">
        <w:rPr>
          <w:b/>
          <w:bCs/>
          <w:noProof/>
          <w:szCs w:val="22"/>
          <w:lang w:val="lt-LT"/>
        </w:rPr>
        <w:t xml:space="preserve"> asmenų):</w:t>
      </w:r>
    </w:p>
    <w:p w:rsidR="002E239A" w:rsidRPr="00AC49A7" w:rsidRDefault="002E239A" w:rsidP="002E239A">
      <w:pPr>
        <w:numPr>
          <w:ilvl w:val="0"/>
          <w:numId w:val="5"/>
        </w:numPr>
        <w:tabs>
          <w:tab w:val="clear" w:pos="567"/>
        </w:tabs>
        <w:spacing w:line="240" w:lineRule="auto"/>
        <w:ind w:left="567" w:hanging="567"/>
        <w:rPr>
          <w:i/>
          <w:snapToGrid/>
          <w:szCs w:val="22"/>
          <w:u w:val="single"/>
          <w:lang w:val="lt-LT"/>
        </w:rPr>
      </w:pPr>
      <w:r w:rsidRPr="00AC49A7">
        <w:rPr>
          <w:snapToGrid/>
          <w:szCs w:val="22"/>
          <w:lang w:val="lt-LT"/>
        </w:rPr>
        <w:t>Alerginės reakcijos. Galimi požymiai yra:</w:t>
      </w:r>
    </w:p>
    <w:p w:rsidR="002E239A" w:rsidRPr="00AC49A7" w:rsidRDefault="002E239A" w:rsidP="002E239A">
      <w:pPr>
        <w:widowControl w:val="0"/>
        <w:numPr>
          <w:ilvl w:val="0"/>
          <w:numId w:val="6"/>
        </w:numPr>
        <w:tabs>
          <w:tab w:val="clear" w:pos="720"/>
          <w:tab w:val="num" w:pos="567"/>
          <w:tab w:val="left" w:pos="1134"/>
        </w:tabs>
        <w:autoSpaceDE w:val="0"/>
        <w:autoSpaceDN w:val="0"/>
        <w:adjustRightInd w:val="0"/>
        <w:spacing w:line="240" w:lineRule="auto"/>
        <w:ind w:left="567" w:firstLine="0"/>
        <w:rPr>
          <w:snapToGrid/>
          <w:szCs w:val="22"/>
          <w:lang w:val="lt-LT"/>
        </w:rPr>
      </w:pPr>
      <w:r w:rsidRPr="00AC49A7">
        <w:rPr>
          <w:snapToGrid/>
          <w:szCs w:val="22"/>
          <w:lang w:val="lt-LT"/>
        </w:rPr>
        <w:t>odos išbėrimas, odos lupimasis, burnos ir lūpų išopėjimas;</w:t>
      </w:r>
    </w:p>
    <w:p w:rsidR="002E239A" w:rsidRPr="00AC49A7" w:rsidRDefault="002E239A" w:rsidP="002E239A">
      <w:pPr>
        <w:widowControl w:val="0"/>
        <w:numPr>
          <w:ilvl w:val="0"/>
          <w:numId w:val="6"/>
        </w:numPr>
        <w:tabs>
          <w:tab w:val="clear" w:pos="720"/>
          <w:tab w:val="num" w:pos="567"/>
          <w:tab w:val="left" w:pos="1134"/>
        </w:tabs>
        <w:autoSpaceDE w:val="0"/>
        <w:autoSpaceDN w:val="0"/>
        <w:adjustRightInd w:val="0"/>
        <w:spacing w:line="240" w:lineRule="auto"/>
        <w:ind w:left="567" w:firstLine="0"/>
        <w:rPr>
          <w:snapToGrid/>
          <w:szCs w:val="22"/>
          <w:lang w:val="lt-LT"/>
        </w:rPr>
      </w:pPr>
      <w:r w:rsidRPr="00AC49A7">
        <w:rPr>
          <w:snapToGrid/>
          <w:szCs w:val="22"/>
          <w:lang w:val="lt-LT"/>
        </w:rPr>
        <w:t>veido, plaštakų, lūpų, liežuvio ar gerklės patinimas;</w:t>
      </w:r>
    </w:p>
    <w:p w:rsidR="002E239A" w:rsidRPr="00AC49A7" w:rsidRDefault="002E239A" w:rsidP="002E239A">
      <w:pPr>
        <w:widowControl w:val="0"/>
        <w:numPr>
          <w:ilvl w:val="0"/>
          <w:numId w:val="6"/>
        </w:numPr>
        <w:tabs>
          <w:tab w:val="clear" w:pos="720"/>
          <w:tab w:val="num" w:pos="567"/>
          <w:tab w:val="left" w:pos="1134"/>
        </w:tabs>
        <w:autoSpaceDE w:val="0"/>
        <w:autoSpaceDN w:val="0"/>
        <w:adjustRightInd w:val="0"/>
        <w:spacing w:line="240" w:lineRule="auto"/>
        <w:ind w:left="567" w:firstLine="0"/>
        <w:rPr>
          <w:snapToGrid/>
          <w:szCs w:val="22"/>
          <w:lang w:val="lt-LT"/>
        </w:rPr>
      </w:pPr>
      <w:r w:rsidRPr="00AC49A7">
        <w:rPr>
          <w:snapToGrid/>
          <w:szCs w:val="22"/>
          <w:lang w:val="lt-LT"/>
        </w:rPr>
        <w:t>rijimo ar kvėpavimo pasunkėjimas;</w:t>
      </w:r>
    </w:p>
    <w:p w:rsidR="002E239A" w:rsidRPr="00AC49A7" w:rsidRDefault="002E239A" w:rsidP="002E239A">
      <w:pPr>
        <w:widowControl w:val="0"/>
        <w:numPr>
          <w:ilvl w:val="0"/>
          <w:numId w:val="6"/>
        </w:numPr>
        <w:tabs>
          <w:tab w:val="clear" w:pos="567"/>
          <w:tab w:val="clear" w:pos="720"/>
          <w:tab w:val="num" w:pos="1134"/>
        </w:tabs>
        <w:autoSpaceDE w:val="0"/>
        <w:autoSpaceDN w:val="0"/>
        <w:adjustRightInd w:val="0"/>
        <w:spacing w:line="240" w:lineRule="auto"/>
        <w:ind w:left="1134" w:hanging="567"/>
        <w:rPr>
          <w:snapToGrid/>
          <w:szCs w:val="22"/>
          <w:lang w:val="lt-LT"/>
        </w:rPr>
      </w:pPr>
      <w:r w:rsidRPr="00AC49A7">
        <w:rPr>
          <w:snapToGrid/>
          <w:szCs w:val="22"/>
          <w:lang w:val="lt-LT"/>
        </w:rPr>
        <w:t xml:space="preserve">labai reti galimi požymiai yra staiga atsiradęs švokštimas, stiprus širdies plakimas ar krūtinės veržimas ir </w:t>
      </w:r>
      <w:proofErr w:type="spellStart"/>
      <w:r w:rsidRPr="00AC49A7">
        <w:rPr>
          <w:snapToGrid/>
          <w:szCs w:val="22"/>
          <w:lang w:val="lt-LT"/>
        </w:rPr>
        <w:t>kolapsas</w:t>
      </w:r>
      <w:proofErr w:type="spellEnd"/>
      <w:r w:rsidRPr="00AC49A7">
        <w:rPr>
          <w:snapToGrid/>
          <w:szCs w:val="22"/>
          <w:lang w:val="lt-LT"/>
        </w:rPr>
        <w:t>.</w:t>
      </w:r>
    </w:p>
    <w:p w:rsidR="002E239A" w:rsidRPr="00AC49A7" w:rsidRDefault="002E239A" w:rsidP="002E239A">
      <w:pPr>
        <w:tabs>
          <w:tab w:val="clear" w:pos="567"/>
        </w:tabs>
        <w:spacing w:line="240" w:lineRule="auto"/>
        <w:rPr>
          <w:b/>
          <w:snapToGrid/>
          <w:szCs w:val="22"/>
          <w:lang w:val="lt-LT"/>
        </w:rPr>
      </w:pPr>
      <w:r w:rsidRPr="00AC49A7">
        <w:rPr>
          <w:b/>
          <w:snapToGrid/>
          <w:szCs w:val="22"/>
          <w:lang w:val="lt-LT"/>
        </w:rPr>
        <w:t xml:space="preserve">Nebevartokite </w:t>
      </w:r>
      <w:proofErr w:type="spellStart"/>
      <w:r w:rsidRPr="00AC49A7">
        <w:rPr>
          <w:b/>
          <w:snapToGrid/>
          <w:szCs w:val="22"/>
          <w:lang w:val="lt-LT"/>
        </w:rPr>
        <w:t>Milurit</w:t>
      </w:r>
      <w:proofErr w:type="spellEnd"/>
      <w:r w:rsidRPr="00AC49A7">
        <w:rPr>
          <w:b/>
          <w:snapToGrid/>
          <w:szCs w:val="22"/>
          <w:lang w:val="lt-LT"/>
        </w:rPr>
        <w:t xml:space="preserve"> tablečių, nebent taip nurodė gydytojas.</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snapToGrid/>
          <w:szCs w:val="22"/>
          <w:lang w:val="lt-LT"/>
        </w:rPr>
      </w:pPr>
      <w:r w:rsidRPr="001E431A">
        <w:rPr>
          <w:b/>
          <w:bCs/>
          <w:noProof/>
          <w:szCs w:val="22"/>
          <w:lang w:val="lt-LT"/>
        </w:rPr>
        <w:t>Reti šalutinio poveikio reiškiniai</w:t>
      </w:r>
      <w:r w:rsidRPr="00BE1D8D">
        <w:rPr>
          <w:b/>
          <w:lang w:val="lt-LT"/>
        </w:rPr>
        <w:t xml:space="preserve"> (gali pasireikšti rečiau kaip 1 iš </w:t>
      </w:r>
      <w:r w:rsidRPr="001E431A">
        <w:rPr>
          <w:b/>
          <w:bCs/>
          <w:noProof/>
          <w:szCs w:val="22"/>
          <w:lang w:val="lt-LT"/>
        </w:rPr>
        <w:t>1 000 asmenų):</w:t>
      </w:r>
    </w:p>
    <w:p w:rsidR="002E239A" w:rsidRPr="00AC49A7" w:rsidRDefault="002E239A" w:rsidP="002E239A">
      <w:pPr>
        <w:numPr>
          <w:ilvl w:val="0"/>
          <w:numId w:val="5"/>
        </w:numPr>
        <w:tabs>
          <w:tab w:val="num" w:pos="567"/>
        </w:tabs>
        <w:spacing w:line="240" w:lineRule="auto"/>
        <w:ind w:left="567" w:hanging="567"/>
        <w:rPr>
          <w:snapToGrid/>
          <w:szCs w:val="22"/>
          <w:lang w:val="lt-LT"/>
        </w:rPr>
      </w:pPr>
      <w:r w:rsidRPr="00AC49A7">
        <w:rPr>
          <w:snapToGrid/>
          <w:szCs w:val="22"/>
          <w:lang w:val="lt-LT"/>
        </w:rPr>
        <w:t xml:space="preserve">Karščiavimas ir </w:t>
      </w:r>
      <w:proofErr w:type="spellStart"/>
      <w:r w:rsidRPr="00AC49A7">
        <w:rPr>
          <w:snapToGrid/>
          <w:szCs w:val="22"/>
          <w:lang w:val="lt-LT"/>
        </w:rPr>
        <w:t>šaltkrėtis</w:t>
      </w:r>
      <w:proofErr w:type="spellEnd"/>
      <w:r w:rsidRPr="00AC49A7">
        <w:rPr>
          <w:snapToGrid/>
          <w:szCs w:val="22"/>
          <w:lang w:val="lt-LT"/>
        </w:rPr>
        <w:t>, galvos skausmas, raumenų maudimas (į gripą panašūs simptomai) ir bloga bendroji savijauta.</w:t>
      </w:r>
    </w:p>
    <w:p w:rsidR="002E239A" w:rsidRPr="00AC49A7" w:rsidRDefault="002E239A" w:rsidP="002E239A">
      <w:pPr>
        <w:numPr>
          <w:ilvl w:val="0"/>
          <w:numId w:val="5"/>
        </w:numPr>
        <w:tabs>
          <w:tab w:val="num" w:pos="567"/>
        </w:tabs>
        <w:spacing w:line="240" w:lineRule="auto"/>
        <w:ind w:left="567" w:hanging="567"/>
        <w:rPr>
          <w:snapToGrid/>
          <w:szCs w:val="22"/>
          <w:lang w:val="lt-LT"/>
        </w:rPr>
      </w:pPr>
      <w:r w:rsidRPr="00AC49A7">
        <w:rPr>
          <w:snapToGrid/>
          <w:szCs w:val="22"/>
          <w:lang w:val="lt-LT"/>
        </w:rPr>
        <w:t>Bet koks odos pokytis, pvz., burnos, gerklės, nosies bei lytinių organų išopėjimas, ir konjunktyvitas (akių paraudimas ir patinimas), išplitęs odos pūslėjimasis ar lupimasis.</w:t>
      </w:r>
    </w:p>
    <w:p w:rsidR="002E239A" w:rsidRPr="00AC49A7" w:rsidRDefault="002E239A" w:rsidP="002E239A">
      <w:pPr>
        <w:numPr>
          <w:ilvl w:val="0"/>
          <w:numId w:val="5"/>
        </w:numPr>
        <w:tabs>
          <w:tab w:val="num" w:pos="567"/>
        </w:tabs>
        <w:spacing w:line="240" w:lineRule="auto"/>
        <w:ind w:left="567" w:hanging="567"/>
        <w:rPr>
          <w:snapToGrid/>
          <w:szCs w:val="22"/>
          <w:lang w:val="lt-LT"/>
        </w:rPr>
      </w:pPr>
      <w:r w:rsidRPr="00AC49A7">
        <w:rPr>
          <w:snapToGrid/>
          <w:szCs w:val="22"/>
          <w:lang w:val="lt-LT"/>
        </w:rPr>
        <w:t>Sunkios padidėjusio jautrumo reakcijos, pasireiškiančios karščiavimu, odos išbėrimu, sąnarių skausmu ir nenormaliais kraujo ir kepenų veiklos tyrimų rezultatais (tai gali būti daugelio organų jautrumo sutrikimo požymiai).</w:t>
      </w:r>
    </w:p>
    <w:p w:rsidR="002E239A" w:rsidRPr="00AC49A7" w:rsidRDefault="002E239A" w:rsidP="002E239A">
      <w:pPr>
        <w:tabs>
          <w:tab w:val="clear" w:pos="567"/>
        </w:tabs>
        <w:spacing w:line="240" w:lineRule="auto"/>
        <w:rPr>
          <w:bCs/>
          <w:snapToGrid/>
          <w:szCs w:val="22"/>
          <w:lang w:val="lt-LT"/>
        </w:rPr>
      </w:pPr>
    </w:p>
    <w:p w:rsidR="002E239A" w:rsidRPr="00AC49A7" w:rsidRDefault="002E239A" w:rsidP="002E239A">
      <w:pPr>
        <w:tabs>
          <w:tab w:val="clear" w:pos="567"/>
        </w:tabs>
        <w:spacing w:line="240" w:lineRule="auto"/>
        <w:rPr>
          <w:bCs/>
          <w:snapToGrid/>
          <w:szCs w:val="22"/>
          <w:lang w:val="lt-LT"/>
        </w:rPr>
      </w:pPr>
      <w:r w:rsidRPr="00AC49A7">
        <w:rPr>
          <w:b/>
          <w:snapToGrid/>
          <w:szCs w:val="22"/>
          <w:lang w:val="lt-LT"/>
        </w:rPr>
        <w:t>Šalutinio poveikio reiškiniai, kurių dažnis nežinomas</w:t>
      </w:r>
      <w:r w:rsidRPr="00AC49A7">
        <w:rPr>
          <w:bCs/>
          <w:snapToGrid/>
          <w:szCs w:val="22"/>
          <w:lang w:val="lt-LT"/>
        </w:rPr>
        <w:t xml:space="preserve"> (</w:t>
      </w:r>
      <w:r w:rsidRPr="00BE1D8D">
        <w:rPr>
          <w:b/>
          <w:lang w:val="lt-LT"/>
        </w:rPr>
        <w:t>negali būti apskaičiuotas pagal turimus duomenis</w:t>
      </w:r>
      <w:r w:rsidRPr="001E431A">
        <w:rPr>
          <w:b/>
          <w:snapToGrid/>
          <w:szCs w:val="22"/>
          <w:lang w:val="lt-LT"/>
        </w:rPr>
        <w:t>)</w:t>
      </w:r>
      <w:r>
        <w:rPr>
          <w:b/>
          <w:snapToGrid/>
          <w:szCs w:val="22"/>
          <w:lang w:val="lt-LT"/>
        </w:rPr>
        <w:t>:</w:t>
      </w:r>
    </w:p>
    <w:p w:rsidR="002E239A" w:rsidRPr="00AC49A7" w:rsidRDefault="002E239A" w:rsidP="002E239A">
      <w:pPr>
        <w:numPr>
          <w:ilvl w:val="0"/>
          <w:numId w:val="5"/>
        </w:numPr>
        <w:tabs>
          <w:tab w:val="num" w:pos="567"/>
        </w:tabs>
        <w:spacing w:line="240" w:lineRule="auto"/>
        <w:ind w:left="567" w:hanging="567"/>
        <w:rPr>
          <w:snapToGrid/>
          <w:szCs w:val="22"/>
          <w:lang w:val="lt-LT"/>
        </w:rPr>
      </w:pPr>
      <w:proofErr w:type="spellStart"/>
      <w:r w:rsidRPr="00AC49A7">
        <w:rPr>
          <w:snapToGrid/>
          <w:szCs w:val="22"/>
          <w:lang w:val="lt-LT"/>
        </w:rPr>
        <w:t>Aseptinis</w:t>
      </w:r>
      <w:proofErr w:type="spellEnd"/>
      <w:r w:rsidRPr="00AC49A7">
        <w:rPr>
          <w:snapToGrid/>
          <w:szCs w:val="22"/>
          <w:lang w:val="lt-LT"/>
        </w:rPr>
        <w:t xml:space="preserve"> meningitas (galvos ir nugaros smegenis gaubiančių dangalų uždegimas): galimi simptomai yra kaklo standumas, galvos skausmas, pykinimas, karščiavimas arba sąmonės pritemimas. Jei pasireiškia toks poveikis, nedelsdami kreipkitės į medikus.</w:t>
      </w:r>
    </w:p>
    <w:p w:rsidR="002E239A" w:rsidRPr="00AC49A7" w:rsidRDefault="002E239A" w:rsidP="002E239A">
      <w:pPr>
        <w:tabs>
          <w:tab w:val="clear" w:pos="567"/>
        </w:tabs>
        <w:spacing w:line="240" w:lineRule="auto"/>
        <w:rPr>
          <w:bCs/>
          <w:snapToGrid/>
          <w:szCs w:val="22"/>
          <w:lang w:val="lt-LT"/>
        </w:rPr>
      </w:pPr>
    </w:p>
    <w:p w:rsidR="002E239A" w:rsidRPr="00AC49A7" w:rsidRDefault="002E239A" w:rsidP="002E239A">
      <w:pPr>
        <w:tabs>
          <w:tab w:val="clear" w:pos="567"/>
        </w:tabs>
        <w:spacing w:line="240" w:lineRule="auto"/>
        <w:rPr>
          <w:i/>
          <w:snapToGrid/>
          <w:szCs w:val="22"/>
          <w:u w:val="single"/>
          <w:lang w:val="lt-LT"/>
        </w:rPr>
      </w:pPr>
      <w:r w:rsidRPr="00AC49A7">
        <w:rPr>
          <w:i/>
          <w:snapToGrid/>
          <w:szCs w:val="22"/>
          <w:u w:val="single"/>
          <w:lang w:val="lt-LT"/>
        </w:rPr>
        <w:t>Kitoks galimas šalutinis poveikis</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1E431A">
        <w:rPr>
          <w:b/>
          <w:bCs/>
          <w:noProof/>
          <w:szCs w:val="22"/>
          <w:lang w:val="lt-LT"/>
        </w:rPr>
        <w:t>Dažni šalutinio poveikio reiškiniai</w:t>
      </w:r>
      <w:r w:rsidRPr="00BE1D8D">
        <w:rPr>
          <w:b/>
          <w:lang w:val="lt-LT"/>
        </w:rPr>
        <w:t xml:space="preserve"> (gali pasireikšti rečiau kaip 1 iš 10</w:t>
      </w:r>
      <w:r w:rsidRPr="001E431A">
        <w:rPr>
          <w:b/>
          <w:bCs/>
          <w:noProof/>
          <w:szCs w:val="22"/>
          <w:lang w:val="lt-LT"/>
        </w:rPr>
        <w:t xml:space="preserve"> asmenų)</w:t>
      </w:r>
      <w:r>
        <w:rPr>
          <w:b/>
          <w:bCs/>
          <w:noProof/>
          <w:szCs w:val="22"/>
          <w:lang w:val="lt-LT"/>
        </w:rPr>
        <w:t>:</w:t>
      </w:r>
    </w:p>
    <w:p w:rsidR="002E239A" w:rsidRPr="00AC49A7" w:rsidRDefault="002E239A" w:rsidP="002E239A">
      <w:pPr>
        <w:numPr>
          <w:ilvl w:val="0"/>
          <w:numId w:val="5"/>
        </w:numPr>
        <w:tabs>
          <w:tab w:val="num" w:pos="567"/>
        </w:tabs>
        <w:spacing w:line="240" w:lineRule="auto"/>
        <w:ind w:left="567" w:hanging="567"/>
        <w:rPr>
          <w:snapToGrid/>
          <w:szCs w:val="22"/>
          <w:lang w:val="lt-LT"/>
        </w:rPr>
      </w:pPr>
      <w:r w:rsidRPr="00AC49A7">
        <w:rPr>
          <w:snapToGrid/>
          <w:szCs w:val="22"/>
          <w:lang w:val="lt-LT"/>
        </w:rPr>
        <w:t>Odos išbėrimas.</w:t>
      </w:r>
    </w:p>
    <w:p w:rsidR="002E239A" w:rsidRPr="00AC49A7" w:rsidRDefault="002E239A" w:rsidP="002E239A">
      <w:pPr>
        <w:numPr>
          <w:ilvl w:val="0"/>
          <w:numId w:val="5"/>
        </w:numPr>
        <w:tabs>
          <w:tab w:val="num" w:pos="567"/>
        </w:tabs>
        <w:spacing w:line="240" w:lineRule="auto"/>
        <w:ind w:left="567" w:hanging="567"/>
        <w:rPr>
          <w:snapToGrid/>
          <w:szCs w:val="22"/>
          <w:lang w:val="lt-LT"/>
        </w:rPr>
      </w:pPr>
      <w:r w:rsidRPr="00AC49A7">
        <w:rPr>
          <w:snapToGrid/>
          <w:szCs w:val="22"/>
          <w:lang w:val="lt-LT"/>
        </w:rPr>
        <w:t>Skydliaukės veiklą stimuliuojančio hormono kiekio padidėjimas kraujyje.</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1E431A">
        <w:rPr>
          <w:b/>
          <w:bCs/>
          <w:noProof/>
          <w:szCs w:val="22"/>
          <w:lang w:val="lt-LT"/>
        </w:rPr>
        <w:t>Nedažni šalutinio poveikio reiškiniai</w:t>
      </w:r>
      <w:r w:rsidRPr="00BE1D8D">
        <w:rPr>
          <w:b/>
          <w:lang w:val="lt-LT"/>
        </w:rPr>
        <w:t xml:space="preserve"> (gali pasireikšti rečiau kaip 1 iš 100</w:t>
      </w:r>
      <w:r w:rsidRPr="001E431A">
        <w:rPr>
          <w:b/>
          <w:bCs/>
          <w:noProof/>
          <w:szCs w:val="22"/>
          <w:lang w:val="lt-LT"/>
        </w:rPr>
        <w:t xml:space="preserve"> asmenų</w:t>
      </w:r>
      <w:r>
        <w:rPr>
          <w:b/>
          <w:bCs/>
          <w:noProof/>
          <w:szCs w:val="22"/>
          <w:lang w:val="lt-LT"/>
        </w:rPr>
        <w:t>):</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Pykinimas, vėmimas ir viduriavimas.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Nenormalūs kraujo ir kepenų veiklos tyrimų rezultatai.</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snapToGrid/>
          <w:szCs w:val="22"/>
          <w:lang w:val="lt-LT"/>
        </w:rPr>
      </w:pPr>
      <w:r w:rsidRPr="001E431A">
        <w:rPr>
          <w:b/>
          <w:bCs/>
          <w:noProof/>
          <w:szCs w:val="22"/>
          <w:lang w:val="lt-LT"/>
        </w:rPr>
        <w:t>Reti šalutinio poveikio reiškiniai</w:t>
      </w:r>
      <w:r w:rsidRPr="00BE1D8D">
        <w:rPr>
          <w:b/>
          <w:lang w:val="lt-LT"/>
        </w:rPr>
        <w:t xml:space="preserve"> (gali pasireikšti rečiau kaip 1 iš </w:t>
      </w:r>
      <w:r w:rsidRPr="001E431A">
        <w:rPr>
          <w:b/>
          <w:bCs/>
          <w:noProof/>
          <w:szCs w:val="22"/>
          <w:lang w:val="lt-LT"/>
        </w:rPr>
        <w:t>1 000 asmenų</w:t>
      </w:r>
      <w:r>
        <w:rPr>
          <w:b/>
          <w:bCs/>
          <w:noProof/>
          <w:szCs w:val="22"/>
          <w:lang w:val="lt-LT"/>
        </w:rPr>
        <w:t>):</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Sąnarių skausmas ar skausmingas kirkšnies, pažasties ar kaklo patinimas.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Gelta (odos ir akių baltymų pageltimas).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Kepenų sutrikimai, pvz., kepenų uždegimas.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Inkstų sutrikimai.</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Akmenų atsiradimas šlapimo takuose. Galimi simptomai yra kraujas šlapime ir pilvo, šono ar kirkšnies skausmas.</w:t>
      </w:r>
    </w:p>
    <w:p w:rsidR="002E239A" w:rsidRPr="00AC49A7" w:rsidRDefault="002E239A" w:rsidP="002E239A">
      <w:pPr>
        <w:tabs>
          <w:tab w:val="clear" w:pos="567"/>
        </w:tabs>
        <w:spacing w:line="240" w:lineRule="auto"/>
        <w:rPr>
          <w:b/>
          <w:snapToGrid/>
          <w:szCs w:val="22"/>
          <w:lang w:val="lt-LT"/>
        </w:rPr>
      </w:pPr>
    </w:p>
    <w:p w:rsidR="002E239A" w:rsidRPr="00AC49A7" w:rsidRDefault="002E239A" w:rsidP="002E239A">
      <w:pPr>
        <w:tabs>
          <w:tab w:val="clear" w:pos="567"/>
        </w:tabs>
        <w:spacing w:line="240" w:lineRule="auto"/>
        <w:rPr>
          <w:snapToGrid/>
          <w:szCs w:val="22"/>
          <w:lang w:val="lt-LT"/>
        </w:rPr>
      </w:pPr>
      <w:r w:rsidRPr="001E431A">
        <w:rPr>
          <w:b/>
          <w:bCs/>
          <w:noProof/>
          <w:szCs w:val="22"/>
          <w:lang w:val="lt-LT"/>
        </w:rPr>
        <w:t>Labai reti šalutinio poveikio reiškiniai</w:t>
      </w:r>
      <w:r w:rsidRPr="00BE1D8D">
        <w:rPr>
          <w:b/>
          <w:lang w:val="lt-LT"/>
        </w:rPr>
        <w:t xml:space="preserve"> (gali pasireikšti rečiau kaip 1 iš </w:t>
      </w:r>
      <w:r w:rsidRPr="001E431A">
        <w:rPr>
          <w:b/>
          <w:bCs/>
          <w:noProof/>
          <w:szCs w:val="22"/>
          <w:lang w:val="lt-LT"/>
        </w:rPr>
        <w:t>10 000 asmenų)</w:t>
      </w:r>
      <w:r>
        <w:rPr>
          <w:b/>
          <w:bCs/>
          <w:noProof/>
          <w:szCs w:val="22"/>
          <w:lang w:val="lt-LT"/>
        </w:rPr>
        <w:t>:</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BE1D8D">
        <w:rPr>
          <w:lang w:val="lt-LT"/>
        </w:rPr>
        <w:t>Sunki alerginė reakcija, sukelianti veido ar gerklės patinimą.</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bCs/>
          <w:szCs w:val="22"/>
          <w:lang w:val="lt-LT"/>
        </w:rPr>
        <w:t>Sunki alerginė reakcija, kuri gali būti pavojinga gyvybei.</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 xml:space="preserve">Kartais </w:t>
      </w:r>
      <w:proofErr w:type="spellStart"/>
      <w:r w:rsidRPr="00AC49A7">
        <w:rPr>
          <w:snapToGrid/>
          <w:szCs w:val="22"/>
          <w:lang w:val="lt-LT"/>
        </w:rPr>
        <w:t>Milurit</w:t>
      </w:r>
      <w:proofErr w:type="spellEnd"/>
      <w:r w:rsidRPr="00AC49A7">
        <w:rPr>
          <w:snapToGrid/>
          <w:szCs w:val="22"/>
          <w:lang w:val="lt-LT"/>
        </w:rPr>
        <w:t xml:space="preserve"> tabletės gali sukelti poveikį kraujui, jis gali pasireikšti blyškumu, burnos uždegimu, lengviau nei įprasta atsirandančiomis kraujosruvomis, kraujavimu iš lūpų, akių, burnos ar lytinių organų, be to, gali atsirasti gerklės skausmas ar kitokių infekcijos požymių. Toks poveikis paprastai pasireiškia žmonėms, kuriems yra kepenų ar inkstų sutrikimų. Kiek įmanoma greičiau kreipkitės į gydytoją.</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proofErr w:type="spellStart"/>
      <w:r w:rsidRPr="00AC49A7">
        <w:rPr>
          <w:snapToGrid/>
          <w:szCs w:val="22"/>
          <w:lang w:val="lt-LT"/>
        </w:rPr>
        <w:t>Milurit</w:t>
      </w:r>
      <w:proofErr w:type="spellEnd"/>
      <w:r w:rsidRPr="00AC49A7">
        <w:rPr>
          <w:snapToGrid/>
          <w:szCs w:val="22"/>
          <w:lang w:val="lt-LT"/>
        </w:rPr>
        <w:t xml:space="preserve"> gali pažeisti limfmazgius.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Didelė kūno temperatūra.</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Kraujas šlapime (</w:t>
      </w:r>
      <w:proofErr w:type="spellStart"/>
      <w:r w:rsidRPr="00AC49A7">
        <w:rPr>
          <w:snapToGrid/>
          <w:szCs w:val="22"/>
          <w:lang w:val="lt-LT"/>
        </w:rPr>
        <w:t>hematurija</w:t>
      </w:r>
      <w:proofErr w:type="spellEnd"/>
      <w:r w:rsidRPr="00AC49A7">
        <w:rPr>
          <w:snapToGrid/>
          <w:szCs w:val="22"/>
          <w:lang w:val="lt-LT"/>
        </w:rPr>
        <w:t xml:space="preserve">), inkstų nepakankamumas. </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Vėmimas krauju.</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Didelis riebalų kiekis kraujyje (</w:t>
      </w:r>
      <w:proofErr w:type="spellStart"/>
      <w:r w:rsidRPr="00AC49A7">
        <w:rPr>
          <w:snapToGrid/>
          <w:szCs w:val="22"/>
          <w:lang w:val="lt-LT"/>
        </w:rPr>
        <w:t>hiperlipidemija</w:t>
      </w:r>
      <w:proofErr w:type="spellEnd"/>
      <w:r w:rsidRPr="00AC49A7">
        <w:rPr>
          <w:snapToGrid/>
          <w:szCs w:val="22"/>
          <w:lang w:val="lt-LT"/>
        </w:rPr>
        <w:t>).</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Bloga bendroji savijauta ar silpnumo pojūtis.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Nenormalūs pojūčiai, silpnumas, plaštakų ar pėdų tirpimas, nestabilumas stovint, badymo ir dilgčiojimo pojūtis, negalėjimas judinti raumenis (paralyžius) ar sąmonės netekimas.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Galvos skausmas, svaigulys, mieguistumas ar regos sutrikimas.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Krūtinės skausmas (krūtinės angina), didelis kraujospūdis ar retas pulsas.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 xml:space="preserve">Vyrų nevaisingumas ar </w:t>
      </w:r>
      <w:proofErr w:type="spellStart"/>
      <w:r w:rsidRPr="00AC49A7">
        <w:rPr>
          <w:snapToGrid/>
          <w:szCs w:val="22"/>
          <w:lang w:val="lt-LT"/>
        </w:rPr>
        <w:t>negebėjimas</w:t>
      </w:r>
      <w:proofErr w:type="spellEnd"/>
      <w:r w:rsidRPr="00AC49A7">
        <w:rPr>
          <w:snapToGrid/>
          <w:szCs w:val="22"/>
          <w:lang w:val="lt-LT"/>
        </w:rPr>
        <w:t xml:space="preserve"> pasiekti erekciją ar ją palaikyti.</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Krūtų padidėjimas vyrams ir moterims.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Įprasto tuštinimosi pobūdžio pokytis, riebalai išmatose.</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Skonio pojūčio pokytis.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 xml:space="preserve">Katarakta (akies lęšio </w:t>
      </w:r>
      <w:proofErr w:type="spellStart"/>
      <w:r w:rsidRPr="00AC49A7">
        <w:rPr>
          <w:snapToGrid/>
          <w:szCs w:val="22"/>
          <w:lang w:val="lt-LT"/>
        </w:rPr>
        <w:t>drumstumas</w:t>
      </w:r>
      <w:proofErr w:type="spellEnd"/>
      <w:r w:rsidRPr="00AC49A7">
        <w:rPr>
          <w:snapToGrid/>
          <w:szCs w:val="22"/>
          <w:lang w:val="lt-LT"/>
        </w:rPr>
        <w:t xml:space="preserve">), geltonosios dėmės liga. </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Plaukų slinkimas ar spalvos pokytis.</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Priepuoliai.</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Depresija.</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Skysčių susilaikymas, sukeliantis patinimą, ypač kulkšnyse.</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Troškulio pojūtis, nuovargis ir kūno svorio mažėjimas (tai gali būti cukrinio diabeto simptomai). Gydytojas gali norėti ištirti cukraus kiekį Jūsų kraujyje, kad nustatytų, ar toks poveikis pasireiškė.</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Šunvotės (</w:t>
      </w:r>
      <w:proofErr w:type="spellStart"/>
      <w:r w:rsidRPr="00AC49A7">
        <w:rPr>
          <w:snapToGrid/>
          <w:szCs w:val="22"/>
          <w:lang w:val="lt-LT"/>
        </w:rPr>
        <w:t>furunkuliozė</w:t>
      </w:r>
      <w:proofErr w:type="spellEnd"/>
      <w:r w:rsidRPr="00AC49A7">
        <w:rPr>
          <w:snapToGrid/>
          <w:szCs w:val="22"/>
          <w:lang w:val="lt-LT"/>
        </w:rPr>
        <w:t>, maži jautrūs raudoni odos gumbai).</w:t>
      </w:r>
    </w:p>
    <w:p w:rsidR="002E239A" w:rsidRPr="00AC49A7" w:rsidRDefault="002E239A" w:rsidP="002E239A">
      <w:pPr>
        <w:numPr>
          <w:ilvl w:val="0"/>
          <w:numId w:val="5"/>
        </w:numPr>
        <w:tabs>
          <w:tab w:val="num" w:pos="567"/>
          <w:tab w:val="num" w:pos="720"/>
        </w:tabs>
        <w:spacing w:line="240" w:lineRule="auto"/>
        <w:ind w:left="567" w:hanging="567"/>
        <w:rPr>
          <w:snapToGrid/>
          <w:szCs w:val="22"/>
          <w:lang w:val="lt-LT"/>
        </w:rPr>
      </w:pPr>
      <w:r w:rsidRPr="00AC49A7">
        <w:rPr>
          <w:snapToGrid/>
          <w:szCs w:val="22"/>
          <w:lang w:val="lt-LT"/>
        </w:rPr>
        <w:t>Raumenų skausmas.</w:t>
      </w:r>
    </w:p>
    <w:p w:rsidR="002E239A" w:rsidRPr="00AC49A7" w:rsidRDefault="002E239A" w:rsidP="002E239A">
      <w:pPr>
        <w:tabs>
          <w:tab w:val="clear" w:pos="567"/>
        </w:tabs>
        <w:spacing w:line="240" w:lineRule="auto"/>
        <w:rPr>
          <w:snapToGrid/>
          <w:szCs w:val="22"/>
          <w:lang w:val="lt-LT"/>
        </w:rPr>
      </w:pPr>
    </w:p>
    <w:p w:rsidR="002E239A" w:rsidRPr="00AC49A7" w:rsidRDefault="002E239A" w:rsidP="002E239A">
      <w:pPr>
        <w:tabs>
          <w:tab w:val="clear" w:pos="567"/>
        </w:tabs>
        <w:spacing w:line="240" w:lineRule="auto"/>
        <w:rPr>
          <w:snapToGrid/>
          <w:szCs w:val="22"/>
          <w:lang w:val="lt-LT"/>
        </w:rPr>
      </w:pPr>
      <w:r w:rsidRPr="00AC49A7">
        <w:rPr>
          <w:b/>
          <w:snapToGrid/>
          <w:szCs w:val="22"/>
          <w:lang w:val="lt-LT"/>
        </w:rPr>
        <w:t>Šalutinio poveikio reiškiniai, kurių dažnis nežinomas</w:t>
      </w:r>
      <w:r w:rsidRPr="00AC49A7">
        <w:rPr>
          <w:bCs/>
          <w:snapToGrid/>
          <w:szCs w:val="22"/>
          <w:lang w:val="lt-LT"/>
        </w:rPr>
        <w:t xml:space="preserve"> (</w:t>
      </w:r>
      <w:r w:rsidRPr="00BE1D8D">
        <w:rPr>
          <w:b/>
          <w:lang w:val="lt-LT"/>
        </w:rPr>
        <w:t>negali būti apskaičiuotas pagal turimus duomenis</w:t>
      </w:r>
      <w:r w:rsidRPr="00002D34">
        <w:rPr>
          <w:b/>
          <w:snapToGrid/>
          <w:szCs w:val="22"/>
          <w:lang w:val="lt-LT"/>
        </w:rPr>
        <w:t>)</w:t>
      </w:r>
      <w:r>
        <w:rPr>
          <w:b/>
          <w:snapToGrid/>
          <w:szCs w:val="22"/>
          <w:lang w:val="lt-LT"/>
        </w:rPr>
        <w:t>:</w:t>
      </w:r>
    </w:p>
    <w:p w:rsidR="002E239A" w:rsidRDefault="002E239A" w:rsidP="002E239A">
      <w:pPr>
        <w:numPr>
          <w:ilvl w:val="0"/>
          <w:numId w:val="4"/>
        </w:numPr>
        <w:tabs>
          <w:tab w:val="clear" w:pos="567"/>
        </w:tabs>
        <w:spacing w:line="240" w:lineRule="auto"/>
        <w:ind w:left="567" w:hanging="567"/>
        <w:rPr>
          <w:snapToGrid/>
          <w:szCs w:val="22"/>
          <w:lang w:val="lt-LT"/>
        </w:rPr>
      </w:pPr>
      <w:r w:rsidRPr="00AC49A7">
        <w:rPr>
          <w:snapToGrid/>
          <w:szCs w:val="22"/>
          <w:lang w:val="lt-LT"/>
        </w:rPr>
        <w:t>Pilvo skausmas.</w:t>
      </w:r>
    </w:p>
    <w:p w:rsidR="002E239A" w:rsidRPr="00717D87" w:rsidRDefault="002E239A" w:rsidP="002E239A">
      <w:pPr>
        <w:numPr>
          <w:ilvl w:val="0"/>
          <w:numId w:val="4"/>
        </w:numPr>
        <w:tabs>
          <w:tab w:val="clear" w:pos="567"/>
        </w:tabs>
        <w:spacing w:line="240" w:lineRule="auto"/>
        <w:ind w:left="567" w:hanging="567"/>
        <w:rPr>
          <w:snapToGrid/>
          <w:szCs w:val="22"/>
          <w:lang w:val="lt-LT"/>
        </w:rPr>
      </w:pPr>
      <w:proofErr w:type="spellStart"/>
      <w:r>
        <w:rPr>
          <w:snapToGrid/>
          <w:szCs w:val="22"/>
          <w:lang w:val="lt-LT"/>
        </w:rPr>
        <w:t>L</w:t>
      </w:r>
      <w:r w:rsidRPr="00B840EF">
        <w:rPr>
          <w:snapToGrid/>
          <w:szCs w:val="22"/>
          <w:lang w:val="lt-LT"/>
        </w:rPr>
        <w:t>ichenoidinis</w:t>
      </w:r>
      <w:proofErr w:type="spellEnd"/>
      <w:r w:rsidRPr="00B840EF">
        <w:rPr>
          <w:snapToGrid/>
          <w:szCs w:val="22"/>
          <w:lang w:val="lt-LT"/>
        </w:rPr>
        <w:t xml:space="preserve"> odos išbėrimas (niežtintis rausvai violetinis odos išbėrimas ir (arba) siūlinės baltai pilkos linijos ant gleivinės.</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spacing w:line="240" w:lineRule="auto"/>
        <w:rPr>
          <w:b/>
          <w:szCs w:val="22"/>
          <w:lang w:val="lt-LT"/>
        </w:rPr>
      </w:pPr>
      <w:r w:rsidRPr="00AC49A7">
        <w:rPr>
          <w:b/>
          <w:noProof/>
          <w:szCs w:val="22"/>
          <w:lang w:val="lt-LT"/>
        </w:rPr>
        <w:t>Pranešimas apie šalutinį poveikį</w:t>
      </w:r>
    </w:p>
    <w:p w:rsidR="002E239A" w:rsidRPr="00AC49A7" w:rsidRDefault="002E239A" w:rsidP="002E239A">
      <w:pPr>
        <w:tabs>
          <w:tab w:val="clear" w:pos="567"/>
        </w:tabs>
        <w:spacing w:line="240" w:lineRule="auto"/>
        <w:rPr>
          <w:rFonts w:eastAsia="Calibri"/>
          <w:snapToGrid/>
          <w:sz w:val="24"/>
          <w:szCs w:val="24"/>
          <w:lang w:val="lt-LT"/>
        </w:rPr>
      </w:pPr>
      <w:r w:rsidRPr="00AC49A7">
        <w:rPr>
          <w:rFonts w:eastAsia="Calibri"/>
          <w:noProof/>
          <w:snapToGrid/>
          <w:szCs w:val="22"/>
          <w:lang w:val="lt-LT"/>
        </w:rPr>
        <w:t xml:space="preserve">Jeigu pasireiškė šalutinis poveikis, įskaitant šiame lapelyje nenurodytą, pasakykite gydytojui arba vaistininkui. </w:t>
      </w:r>
      <w:r w:rsidRPr="006C7D84">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6C7D84">
        <w:rPr>
          <w:snapToGrid/>
          <w:color w:val="0000EE"/>
          <w:szCs w:val="22"/>
          <w:u w:val="single"/>
          <w:lang w:val="lt-LT" w:eastAsia="lt-LT"/>
        </w:rPr>
        <w:t>https://vvkt.lrv.lt/lt/</w:t>
      </w:r>
      <w:r w:rsidRPr="006C7D84">
        <w:rPr>
          <w:snapToGrid/>
          <w:szCs w:val="22"/>
          <w:lang w:val="lt-LT" w:eastAsia="lt-LT"/>
        </w:rPr>
        <w:t xml:space="preserve"> nurodytais būdais arba paskambinti nemokamu telefonu </w:t>
      </w:r>
      <w:r>
        <w:rPr>
          <w:snapToGrid/>
          <w:szCs w:val="22"/>
          <w:lang w:val="lt-LT" w:eastAsia="lt-LT"/>
        </w:rPr>
        <w:t>+370</w:t>
      </w:r>
      <w:r w:rsidRPr="006C7D84">
        <w:rPr>
          <w:snapToGrid/>
          <w:szCs w:val="22"/>
          <w:lang w:val="lt-LT" w:eastAsia="lt-LT"/>
        </w:rPr>
        <w:t xml:space="preserve"> 800 73 568. Pranešdami apie šalutinį poveikį galite mums padėti gauti daugiau informacijos apie šio vaisto saugumą</w:t>
      </w:r>
      <w:r w:rsidRPr="001E431A">
        <w:rPr>
          <w:lang w:val="lt-LT"/>
        </w:rPr>
        <w:t>.</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keepNext/>
        <w:spacing w:line="240" w:lineRule="auto"/>
        <w:ind w:left="567" w:hanging="567"/>
        <w:outlineLvl w:val="1"/>
        <w:rPr>
          <w:rFonts w:eastAsia="Calibri"/>
          <w:b/>
          <w:snapToGrid/>
          <w:szCs w:val="22"/>
          <w:lang w:val="lt-LT"/>
        </w:rPr>
      </w:pPr>
      <w:bookmarkStart w:id="10" w:name="_Toc129243143"/>
      <w:bookmarkStart w:id="11" w:name="_Toc129243268"/>
      <w:r w:rsidRPr="00AC49A7">
        <w:rPr>
          <w:rFonts w:eastAsia="Calibri"/>
          <w:b/>
          <w:snapToGrid/>
          <w:szCs w:val="22"/>
          <w:lang w:val="lt-LT"/>
        </w:rPr>
        <w:t>5.</w:t>
      </w:r>
      <w:r w:rsidRPr="00AC49A7">
        <w:rPr>
          <w:rFonts w:eastAsia="Calibri"/>
          <w:b/>
          <w:snapToGrid/>
          <w:szCs w:val="22"/>
          <w:lang w:val="lt-LT"/>
        </w:rPr>
        <w:tab/>
        <w:t xml:space="preserve">Kaip laikyti </w:t>
      </w:r>
      <w:bookmarkEnd w:id="10"/>
      <w:bookmarkEnd w:id="11"/>
      <w:proofErr w:type="spellStart"/>
      <w:r w:rsidRPr="00AC49A7">
        <w:rPr>
          <w:rFonts w:eastAsia="Calibri"/>
          <w:b/>
          <w:snapToGrid/>
          <w:szCs w:val="22"/>
          <w:lang w:val="lt-LT"/>
        </w:rPr>
        <w:t>Milurit</w:t>
      </w:r>
      <w:proofErr w:type="spellEnd"/>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numPr>
          <w:ilvl w:val="12"/>
          <w:numId w:val="0"/>
        </w:numPr>
        <w:tabs>
          <w:tab w:val="clear" w:pos="567"/>
        </w:tabs>
        <w:spacing w:line="240" w:lineRule="auto"/>
        <w:ind w:right="-2"/>
        <w:rPr>
          <w:szCs w:val="24"/>
          <w:lang w:val="lt-LT"/>
        </w:rPr>
      </w:pPr>
      <w:r w:rsidRPr="00AC49A7">
        <w:rPr>
          <w:noProof/>
          <w:szCs w:val="24"/>
          <w:lang w:val="lt-LT"/>
        </w:rPr>
        <w:t>Šį vaistą laikykite vaikams nepastebimoje ir nepasiekiamoje vietoje.</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eastAsia="lt-LT"/>
        </w:rPr>
      </w:pPr>
      <w:r w:rsidRPr="00AC49A7">
        <w:rPr>
          <w:rFonts w:eastAsia="Calibri"/>
          <w:snapToGrid/>
          <w:szCs w:val="22"/>
          <w:lang w:val="lt-LT" w:eastAsia="lt-LT"/>
        </w:rPr>
        <w:t>Šiam vaistui specialių laikymo sąlygų nereikia.</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snapToGrid/>
          <w:szCs w:val="22"/>
          <w:lang w:val="lt-LT"/>
        </w:rPr>
        <w:t>Ant pakuotės po „EXP“ nurodytam tinkamumo laikui pasibaigus, šio vaisto vartoti negalima. Vaistas tinkamas vartoti iki paskutinės nurodyto mėnesio dienos.</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snapToGrid/>
          <w:szCs w:val="22"/>
          <w:lang w:val="lt-LT"/>
        </w:rPr>
        <w:t>Vaistų negalima</w:t>
      </w:r>
      <w:r w:rsidRPr="00AC49A7">
        <w:rPr>
          <w:rFonts w:eastAsia="Calibri"/>
          <w:noProof/>
          <w:snapToGrid/>
          <w:szCs w:val="24"/>
          <w:lang w:val="lt-LT"/>
        </w:rPr>
        <w:t xml:space="preserve"> išmesti</w:t>
      </w:r>
      <w:r w:rsidRPr="00AC49A7" w:rsidDel="00FB5840">
        <w:rPr>
          <w:rFonts w:eastAsia="Calibri"/>
          <w:snapToGrid/>
          <w:szCs w:val="22"/>
          <w:lang w:val="lt-LT"/>
        </w:rPr>
        <w:t xml:space="preserve"> </w:t>
      </w:r>
      <w:r w:rsidRPr="00AC49A7">
        <w:rPr>
          <w:rFonts w:eastAsia="Calibri"/>
          <w:snapToGrid/>
          <w:szCs w:val="22"/>
          <w:lang w:val="lt-LT"/>
        </w:rPr>
        <w:t>į kanalizaciją arba su buitinėmis atliekomis. Kaip išmesti nereikalingus vaistus, klauskite vaistininko. Šios priemonės padės apsaugoti aplinką.</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keepNext/>
        <w:spacing w:line="240" w:lineRule="auto"/>
        <w:ind w:left="567" w:hanging="567"/>
        <w:outlineLvl w:val="1"/>
        <w:rPr>
          <w:rFonts w:eastAsia="Calibri"/>
          <w:b/>
          <w:snapToGrid/>
          <w:szCs w:val="22"/>
          <w:lang w:val="lt-LT"/>
        </w:rPr>
      </w:pPr>
      <w:bookmarkStart w:id="12" w:name="_Toc129243144"/>
      <w:bookmarkStart w:id="13" w:name="_Toc129243269"/>
      <w:r w:rsidRPr="00AC49A7">
        <w:rPr>
          <w:rFonts w:eastAsia="Calibri"/>
          <w:b/>
          <w:snapToGrid/>
          <w:szCs w:val="22"/>
          <w:lang w:val="lt-LT"/>
        </w:rPr>
        <w:t>6.</w:t>
      </w:r>
      <w:r w:rsidRPr="00AC49A7">
        <w:rPr>
          <w:rFonts w:eastAsia="Calibri"/>
          <w:b/>
          <w:snapToGrid/>
          <w:szCs w:val="22"/>
          <w:lang w:val="lt-LT"/>
        </w:rPr>
        <w:tab/>
        <w:t>Pakuotės turinys ir kita informacija</w:t>
      </w:r>
      <w:bookmarkEnd w:id="12"/>
      <w:bookmarkEnd w:id="13"/>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proofErr w:type="spellStart"/>
      <w:r w:rsidRPr="00AC49A7">
        <w:rPr>
          <w:rFonts w:eastAsia="Calibri"/>
          <w:b/>
          <w:bCs/>
          <w:snapToGrid/>
          <w:szCs w:val="22"/>
          <w:lang w:val="lt-LT"/>
        </w:rPr>
        <w:t>Milurit</w:t>
      </w:r>
      <w:proofErr w:type="spellEnd"/>
      <w:r w:rsidRPr="00AC49A7">
        <w:rPr>
          <w:rFonts w:eastAsia="Calibri"/>
          <w:b/>
          <w:bCs/>
          <w:snapToGrid/>
          <w:szCs w:val="22"/>
          <w:lang w:val="lt-LT"/>
        </w:rPr>
        <w:t xml:space="preserve"> sudėtis</w:t>
      </w:r>
    </w:p>
    <w:p w:rsidR="002E239A" w:rsidRPr="00AC49A7" w:rsidRDefault="002E239A" w:rsidP="002E239A">
      <w:pPr>
        <w:tabs>
          <w:tab w:val="clear" w:pos="567"/>
          <w:tab w:val="left" w:pos="426"/>
        </w:tabs>
        <w:spacing w:line="240" w:lineRule="auto"/>
        <w:rPr>
          <w:rFonts w:eastAsia="Calibri"/>
          <w:snapToGrid/>
          <w:szCs w:val="22"/>
          <w:lang w:val="lt-LT" w:eastAsia="lt-LT"/>
        </w:rPr>
      </w:pPr>
      <w:r w:rsidRPr="00AC49A7">
        <w:rPr>
          <w:rFonts w:eastAsia="Calibri"/>
          <w:snapToGrid/>
          <w:szCs w:val="22"/>
          <w:lang w:val="lt-LT" w:eastAsia="lt-LT"/>
        </w:rPr>
        <w:t>-</w:t>
      </w:r>
      <w:r w:rsidRPr="00AC49A7">
        <w:rPr>
          <w:rFonts w:eastAsia="Calibri"/>
          <w:snapToGrid/>
          <w:szCs w:val="22"/>
          <w:lang w:val="lt-LT" w:eastAsia="lt-LT"/>
        </w:rPr>
        <w:tab/>
        <w:t xml:space="preserve">Veiklioji medžiaga yra </w:t>
      </w:r>
      <w:proofErr w:type="spellStart"/>
      <w:r w:rsidRPr="00AC49A7">
        <w:rPr>
          <w:rFonts w:eastAsia="Calibri"/>
          <w:snapToGrid/>
          <w:szCs w:val="22"/>
          <w:lang w:val="lt-LT" w:eastAsia="lt-LT"/>
        </w:rPr>
        <w:t>alopurinolis</w:t>
      </w:r>
      <w:proofErr w:type="spellEnd"/>
      <w:r w:rsidRPr="00AC49A7">
        <w:rPr>
          <w:rFonts w:eastAsia="Calibri"/>
          <w:snapToGrid/>
          <w:szCs w:val="22"/>
          <w:lang w:val="lt-LT" w:eastAsia="lt-LT"/>
        </w:rPr>
        <w:t xml:space="preserve">. Kiekvienoje </w:t>
      </w:r>
      <w:r w:rsidRPr="00AC49A7">
        <w:rPr>
          <w:rFonts w:eastAsia="Calibri"/>
          <w:snapToGrid/>
          <w:color w:val="000000"/>
          <w:szCs w:val="22"/>
          <w:lang w:val="lt-LT" w:eastAsia="lt-LT"/>
        </w:rPr>
        <w:t xml:space="preserve">tabletėje </w:t>
      </w:r>
      <w:r w:rsidRPr="00AC49A7">
        <w:rPr>
          <w:rFonts w:eastAsia="Calibri"/>
          <w:snapToGrid/>
          <w:szCs w:val="22"/>
          <w:lang w:val="lt-LT" w:eastAsia="lt-LT"/>
        </w:rPr>
        <w:t xml:space="preserve">yra 150 mg arba 200 mg </w:t>
      </w:r>
      <w:proofErr w:type="spellStart"/>
      <w:r w:rsidRPr="00AC49A7">
        <w:rPr>
          <w:rFonts w:eastAsia="Calibri"/>
          <w:snapToGrid/>
          <w:szCs w:val="22"/>
          <w:lang w:val="lt-LT" w:eastAsia="lt-LT"/>
        </w:rPr>
        <w:t>alopurinolio</w:t>
      </w:r>
      <w:proofErr w:type="spellEnd"/>
      <w:r w:rsidRPr="00AC49A7">
        <w:rPr>
          <w:rFonts w:eastAsia="Calibri"/>
          <w:snapToGrid/>
          <w:szCs w:val="22"/>
          <w:lang w:val="lt-LT" w:eastAsia="lt-LT"/>
        </w:rPr>
        <w:t>.</w:t>
      </w:r>
    </w:p>
    <w:p w:rsidR="002E239A" w:rsidRPr="00AC49A7" w:rsidRDefault="002E239A" w:rsidP="002E239A">
      <w:pPr>
        <w:tabs>
          <w:tab w:val="clear" w:pos="567"/>
          <w:tab w:val="num" w:pos="426"/>
        </w:tabs>
        <w:spacing w:line="240" w:lineRule="auto"/>
        <w:ind w:left="426" w:hanging="426"/>
        <w:rPr>
          <w:rFonts w:eastAsia="Calibri"/>
          <w:snapToGrid/>
          <w:szCs w:val="22"/>
          <w:lang w:val="lt-LT"/>
        </w:rPr>
      </w:pPr>
      <w:r w:rsidRPr="00AC49A7">
        <w:rPr>
          <w:rFonts w:eastAsia="Calibri"/>
          <w:snapToGrid/>
          <w:szCs w:val="22"/>
          <w:lang w:val="lt-LT"/>
        </w:rPr>
        <w:t>-</w:t>
      </w:r>
      <w:r w:rsidRPr="00AC49A7">
        <w:rPr>
          <w:rFonts w:eastAsia="Calibri"/>
          <w:snapToGrid/>
          <w:szCs w:val="22"/>
          <w:lang w:val="lt-LT"/>
        </w:rPr>
        <w:tab/>
        <w:t xml:space="preserve">Pagalbinės medžiagos yra </w:t>
      </w:r>
      <w:proofErr w:type="spellStart"/>
      <w:r w:rsidRPr="00AC49A7">
        <w:rPr>
          <w:rFonts w:eastAsia="Calibri"/>
          <w:snapToGrid/>
          <w:szCs w:val="22"/>
          <w:lang w:val="lt-LT"/>
        </w:rPr>
        <w:t>mikrokristalinė</w:t>
      </w:r>
      <w:proofErr w:type="spellEnd"/>
      <w:r w:rsidRPr="00AC49A7">
        <w:rPr>
          <w:rFonts w:eastAsia="Calibri"/>
          <w:snapToGrid/>
          <w:szCs w:val="22"/>
          <w:lang w:val="lt-LT"/>
        </w:rPr>
        <w:t xml:space="preserve"> celiuliozė, </w:t>
      </w:r>
      <w:proofErr w:type="spellStart"/>
      <w:r w:rsidRPr="00AC49A7">
        <w:rPr>
          <w:rFonts w:eastAsia="Calibri"/>
          <w:snapToGrid/>
          <w:szCs w:val="22"/>
          <w:lang w:val="lt-LT"/>
        </w:rPr>
        <w:t>karboksimetilkrakmolo</w:t>
      </w:r>
      <w:proofErr w:type="spellEnd"/>
      <w:r w:rsidRPr="00AC49A7">
        <w:rPr>
          <w:rFonts w:eastAsia="Calibri"/>
          <w:snapToGrid/>
          <w:szCs w:val="22"/>
          <w:lang w:val="lt-LT"/>
        </w:rPr>
        <w:t xml:space="preserve"> A natrio druska, želatina, koloidinis bevandenis silicio dioksidas, magnio </w:t>
      </w:r>
      <w:proofErr w:type="spellStart"/>
      <w:r w:rsidRPr="00AC49A7">
        <w:rPr>
          <w:rFonts w:eastAsia="Calibri"/>
          <w:snapToGrid/>
          <w:szCs w:val="22"/>
          <w:lang w:val="lt-LT"/>
        </w:rPr>
        <w:t>stearatas</w:t>
      </w:r>
      <w:proofErr w:type="spellEnd"/>
      <w:r w:rsidRPr="00AC49A7">
        <w:rPr>
          <w:rFonts w:eastAsia="Calibri"/>
          <w:snapToGrid/>
          <w:szCs w:val="22"/>
          <w:lang w:val="lt-LT"/>
        </w:rPr>
        <w:t>.</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proofErr w:type="spellStart"/>
      <w:r w:rsidRPr="00AC49A7">
        <w:rPr>
          <w:rFonts w:eastAsia="Calibri"/>
          <w:b/>
          <w:bCs/>
          <w:snapToGrid/>
          <w:szCs w:val="22"/>
          <w:lang w:val="lt-LT"/>
        </w:rPr>
        <w:t>Milurit</w:t>
      </w:r>
      <w:proofErr w:type="spellEnd"/>
      <w:r w:rsidRPr="00AC49A7">
        <w:rPr>
          <w:rFonts w:eastAsia="Calibri"/>
          <w:b/>
          <w:bCs/>
          <w:snapToGrid/>
          <w:szCs w:val="22"/>
          <w:lang w:val="lt-LT"/>
        </w:rPr>
        <w:t xml:space="preserve"> išvaizda ir kiekis pakuotėje</w:t>
      </w:r>
    </w:p>
    <w:p w:rsidR="002E239A" w:rsidRPr="00AC49A7" w:rsidRDefault="002E239A" w:rsidP="002E239A">
      <w:pPr>
        <w:tabs>
          <w:tab w:val="clear" w:pos="567"/>
        </w:tabs>
        <w:spacing w:line="240" w:lineRule="auto"/>
        <w:rPr>
          <w:rFonts w:eastAsia="Calibri"/>
          <w:i/>
          <w:snapToGrid/>
          <w:color w:val="000000"/>
          <w:szCs w:val="22"/>
          <w:lang w:val="lt-LT" w:eastAsia="lt-LT"/>
        </w:rPr>
      </w:pPr>
      <w:r w:rsidRPr="00AC49A7">
        <w:rPr>
          <w:rFonts w:eastAsia="Calibri"/>
          <w:i/>
          <w:snapToGrid/>
          <w:color w:val="000000"/>
          <w:szCs w:val="22"/>
          <w:lang w:val="lt-LT" w:eastAsia="lt-LT"/>
        </w:rPr>
        <w:t>Išvaizda</w:t>
      </w:r>
    </w:p>
    <w:p w:rsidR="002E239A" w:rsidRPr="00AC49A7" w:rsidRDefault="002E239A" w:rsidP="002E239A">
      <w:pPr>
        <w:tabs>
          <w:tab w:val="clear" w:pos="567"/>
        </w:tabs>
        <w:spacing w:line="240" w:lineRule="auto"/>
        <w:rPr>
          <w:snapToGrid/>
          <w:szCs w:val="22"/>
          <w:lang w:val="lt-LT"/>
        </w:rPr>
      </w:pPr>
      <w:proofErr w:type="spellStart"/>
      <w:r w:rsidRPr="00AC49A7">
        <w:rPr>
          <w:rFonts w:eastAsia="Calibri"/>
          <w:i/>
          <w:snapToGrid/>
          <w:color w:val="000000"/>
          <w:szCs w:val="22"/>
          <w:lang w:val="lt-LT" w:eastAsia="lt-LT"/>
        </w:rPr>
        <w:t>Milurit</w:t>
      </w:r>
      <w:proofErr w:type="spellEnd"/>
      <w:r w:rsidRPr="00AC49A7">
        <w:rPr>
          <w:rFonts w:eastAsia="Calibri"/>
          <w:i/>
          <w:snapToGrid/>
          <w:color w:val="000000"/>
          <w:szCs w:val="22"/>
          <w:lang w:val="lt-LT" w:eastAsia="lt-LT"/>
        </w:rPr>
        <w:t xml:space="preserve"> 150 mg tabletės</w:t>
      </w:r>
      <w:r w:rsidRPr="00AC49A7">
        <w:rPr>
          <w:i/>
          <w:snapToGrid/>
          <w:szCs w:val="22"/>
          <w:lang w:val="lt-LT"/>
        </w:rPr>
        <w:t xml:space="preserve">: </w:t>
      </w:r>
      <w:r w:rsidRPr="00AC49A7">
        <w:rPr>
          <w:snapToGrid/>
          <w:szCs w:val="22"/>
          <w:lang w:val="lt-LT"/>
        </w:rPr>
        <w:t>balta ar pilkšvai balta ovali tabletė, vienoje pusėje yra stilizuotas „E 353“, kitoje – vagelė. Tabletę galima padalyti į lygias dozes.</w:t>
      </w:r>
    </w:p>
    <w:p w:rsidR="002E239A" w:rsidRPr="00AC49A7" w:rsidRDefault="002E239A" w:rsidP="002E239A">
      <w:pPr>
        <w:tabs>
          <w:tab w:val="clear" w:pos="567"/>
        </w:tabs>
        <w:spacing w:line="240" w:lineRule="auto"/>
        <w:rPr>
          <w:i/>
          <w:snapToGrid/>
          <w:szCs w:val="22"/>
          <w:lang w:val="lt-LT"/>
        </w:rPr>
      </w:pPr>
    </w:p>
    <w:p w:rsidR="002E239A" w:rsidRPr="00AC49A7" w:rsidRDefault="002E239A" w:rsidP="002E239A">
      <w:pPr>
        <w:tabs>
          <w:tab w:val="clear" w:pos="567"/>
        </w:tabs>
        <w:spacing w:line="240" w:lineRule="auto"/>
        <w:rPr>
          <w:snapToGrid/>
          <w:szCs w:val="22"/>
          <w:lang w:val="lt-LT"/>
        </w:rPr>
      </w:pPr>
      <w:proofErr w:type="spellStart"/>
      <w:r w:rsidRPr="00AC49A7">
        <w:rPr>
          <w:rFonts w:eastAsia="Calibri"/>
          <w:i/>
          <w:snapToGrid/>
          <w:color w:val="000000"/>
          <w:szCs w:val="22"/>
          <w:lang w:val="lt-LT" w:eastAsia="lt-LT"/>
        </w:rPr>
        <w:t>Milurit</w:t>
      </w:r>
      <w:proofErr w:type="spellEnd"/>
      <w:r w:rsidRPr="00AC49A7">
        <w:rPr>
          <w:rFonts w:eastAsia="Calibri"/>
          <w:i/>
          <w:snapToGrid/>
          <w:color w:val="000000"/>
          <w:szCs w:val="22"/>
          <w:lang w:val="lt-LT" w:eastAsia="lt-LT"/>
        </w:rPr>
        <w:t xml:space="preserve"> 200 mg tabletės</w:t>
      </w:r>
      <w:r w:rsidRPr="00AC49A7">
        <w:rPr>
          <w:i/>
          <w:snapToGrid/>
          <w:szCs w:val="22"/>
          <w:lang w:val="lt-LT"/>
        </w:rPr>
        <w:t>:</w:t>
      </w:r>
      <w:r w:rsidRPr="00AC49A7">
        <w:rPr>
          <w:snapToGrid/>
          <w:sz w:val="24"/>
          <w:szCs w:val="24"/>
          <w:lang w:val="lt-LT" w:eastAsia="hu-HU"/>
        </w:rPr>
        <w:t xml:space="preserve"> </w:t>
      </w:r>
      <w:r w:rsidRPr="00AC49A7">
        <w:rPr>
          <w:snapToGrid/>
          <w:szCs w:val="22"/>
          <w:lang w:val="lt-LT"/>
        </w:rPr>
        <w:t>balta ar pilkšvai balta ovali tabletė, vienoje pusėje yra stilizuotas „E 354“, kitoje – laužimo vagelė. Tabletę galima padalyti į lygias dozes.</w:t>
      </w:r>
    </w:p>
    <w:p w:rsidR="002E239A" w:rsidRPr="00AC49A7" w:rsidRDefault="002E239A" w:rsidP="002E239A">
      <w:pPr>
        <w:tabs>
          <w:tab w:val="clear" w:pos="567"/>
        </w:tabs>
        <w:spacing w:line="240" w:lineRule="auto"/>
        <w:rPr>
          <w:rFonts w:eastAsia="Calibri"/>
          <w:snapToGrid/>
          <w:color w:val="000000"/>
          <w:szCs w:val="22"/>
          <w:lang w:val="lt-LT" w:eastAsia="lt-LT"/>
        </w:rPr>
      </w:pPr>
    </w:p>
    <w:p w:rsidR="002E239A" w:rsidRPr="00AC49A7" w:rsidRDefault="002E239A" w:rsidP="002E239A">
      <w:pPr>
        <w:keepNext/>
        <w:keepLines/>
        <w:spacing w:line="240" w:lineRule="auto"/>
        <w:ind w:left="567" w:hanging="567"/>
        <w:outlineLvl w:val="2"/>
        <w:rPr>
          <w:rFonts w:eastAsia="Calibri"/>
          <w:i/>
          <w:snapToGrid/>
          <w:kern w:val="28"/>
          <w:szCs w:val="22"/>
          <w:lang w:val="lt-LT"/>
        </w:rPr>
      </w:pPr>
      <w:proofErr w:type="spellStart"/>
      <w:r w:rsidRPr="00AC49A7">
        <w:rPr>
          <w:rFonts w:eastAsia="Calibri"/>
          <w:i/>
          <w:snapToGrid/>
          <w:kern w:val="28"/>
          <w:szCs w:val="22"/>
          <w:lang w:val="lt-LT"/>
        </w:rPr>
        <w:t>Talpyklės</w:t>
      </w:r>
      <w:proofErr w:type="spellEnd"/>
      <w:r w:rsidRPr="00AC49A7">
        <w:rPr>
          <w:rFonts w:eastAsia="Calibri"/>
          <w:i/>
          <w:snapToGrid/>
          <w:kern w:val="28"/>
          <w:szCs w:val="22"/>
          <w:lang w:val="lt-LT"/>
        </w:rPr>
        <w:t xml:space="preserve"> pobūdis ir jos turinys</w:t>
      </w:r>
    </w:p>
    <w:p w:rsidR="002E239A" w:rsidRPr="00AC49A7" w:rsidRDefault="002E239A" w:rsidP="002E239A">
      <w:pPr>
        <w:tabs>
          <w:tab w:val="clear" w:pos="567"/>
        </w:tabs>
        <w:spacing w:line="240" w:lineRule="auto"/>
        <w:rPr>
          <w:snapToGrid/>
          <w:szCs w:val="22"/>
          <w:lang w:val="lt-LT"/>
        </w:rPr>
      </w:pPr>
      <w:r w:rsidRPr="00AC49A7">
        <w:rPr>
          <w:snapToGrid/>
          <w:szCs w:val="22"/>
          <w:lang w:val="lt-LT"/>
        </w:rPr>
        <w:t xml:space="preserve">30, 50, 60, 70, 80, 90, 100 ar 120 tablečių </w:t>
      </w:r>
      <w:r>
        <w:rPr>
          <w:snapToGrid/>
          <w:szCs w:val="22"/>
          <w:lang w:val="lt-LT"/>
        </w:rPr>
        <w:t>rudo</w:t>
      </w:r>
      <w:r w:rsidRPr="00AC49A7">
        <w:rPr>
          <w:snapToGrid/>
          <w:szCs w:val="22"/>
          <w:lang w:val="lt-LT"/>
        </w:rPr>
        <w:t xml:space="preserve"> stiklo buteliuke, uždarytame pirmąjį atidarymą rodančiu plastikiniu dangteliu su judesio slopintuvu, kartono dėžutėje kartu su pakuotės lapeliu.</w:t>
      </w:r>
    </w:p>
    <w:p w:rsidR="002E239A" w:rsidRDefault="002E239A" w:rsidP="002E239A">
      <w:pPr>
        <w:tabs>
          <w:tab w:val="clear" w:pos="567"/>
        </w:tabs>
        <w:spacing w:line="240" w:lineRule="auto"/>
        <w:rPr>
          <w:noProof/>
          <w:szCs w:val="24"/>
          <w:lang w:val="lt-LT"/>
        </w:rPr>
      </w:pPr>
    </w:p>
    <w:p w:rsidR="002E239A" w:rsidRPr="00AC49A7" w:rsidRDefault="002E239A" w:rsidP="002E239A">
      <w:pPr>
        <w:tabs>
          <w:tab w:val="clear" w:pos="567"/>
        </w:tabs>
        <w:spacing w:line="240" w:lineRule="auto"/>
        <w:rPr>
          <w:szCs w:val="24"/>
          <w:lang w:val="lt-LT"/>
        </w:rPr>
      </w:pPr>
      <w:r w:rsidRPr="00AC49A7">
        <w:rPr>
          <w:noProof/>
          <w:szCs w:val="24"/>
          <w:lang w:val="lt-LT"/>
        </w:rPr>
        <w:t>Gali būti tiekiamos ne visų dydžių pakuotės.</w:t>
      </w:r>
    </w:p>
    <w:p w:rsidR="002E239A" w:rsidRPr="00AC49A7" w:rsidRDefault="002E239A" w:rsidP="002E239A">
      <w:pPr>
        <w:tabs>
          <w:tab w:val="clear" w:pos="567"/>
        </w:tabs>
        <w:spacing w:line="240" w:lineRule="auto"/>
        <w:rPr>
          <w:rFonts w:eastAsia="Calibri"/>
          <w:snapToGrid/>
          <w:color w:val="000000"/>
          <w:szCs w:val="22"/>
          <w:lang w:val="lt-LT" w:eastAsia="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b/>
          <w:bCs/>
          <w:snapToGrid/>
          <w:szCs w:val="22"/>
          <w:lang w:val="lt-LT"/>
        </w:rPr>
        <w:t>Registruotojas ir gamintojas</w:t>
      </w:r>
    </w:p>
    <w:p w:rsidR="002E239A" w:rsidRPr="00AC49A7" w:rsidRDefault="002E239A" w:rsidP="002E239A">
      <w:pPr>
        <w:tabs>
          <w:tab w:val="clear" w:pos="567"/>
        </w:tabs>
        <w:spacing w:line="240" w:lineRule="auto"/>
        <w:rPr>
          <w:rFonts w:eastAsia="Calibri"/>
          <w:i/>
          <w:snapToGrid/>
          <w:szCs w:val="22"/>
          <w:lang w:val="lt-LT"/>
        </w:rPr>
      </w:pPr>
      <w:r w:rsidRPr="00AC49A7">
        <w:rPr>
          <w:rFonts w:eastAsia="Calibri"/>
          <w:i/>
          <w:snapToGrid/>
          <w:szCs w:val="22"/>
          <w:lang w:val="lt-LT"/>
        </w:rPr>
        <w:t>Registruotojas</w:t>
      </w:r>
    </w:p>
    <w:p w:rsidR="002E239A" w:rsidRPr="00AC49A7" w:rsidRDefault="002E239A" w:rsidP="002E239A">
      <w:pPr>
        <w:tabs>
          <w:tab w:val="clear" w:pos="567"/>
        </w:tabs>
        <w:spacing w:line="240" w:lineRule="auto"/>
        <w:rPr>
          <w:rFonts w:eastAsia="Calibri"/>
          <w:snapToGrid/>
          <w:szCs w:val="22"/>
          <w:lang w:val="lt-LT"/>
        </w:rPr>
      </w:pPr>
      <w:proofErr w:type="spellStart"/>
      <w:r w:rsidRPr="00AC49A7">
        <w:rPr>
          <w:rFonts w:eastAsia="Calibri"/>
          <w:snapToGrid/>
          <w:szCs w:val="22"/>
          <w:lang w:val="lt-LT"/>
        </w:rPr>
        <w:t>Egis</w:t>
      </w:r>
      <w:proofErr w:type="spellEnd"/>
      <w:r w:rsidRPr="00AC49A7">
        <w:rPr>
          <w:rFonts w:eastAsia="Calibri"/>
          <w:snapToGrid/>
          <w:szCs w:val="22"/>
          <w:lang w:val="lt-LT"/>
        </w:rPr>
        <w:t xml:space="preserve"> </w:t>
      </w:r>
      <w:proofErr w:type="spellStart"/>
      <w:r w:rsidRPr="00AC49A7">
        <w:rPr>
          <w:rFonts w:eastAsia="Calibri"/>
          <w:snapToGrid/>
          <w:szCs w:val="22"/>
          <w:lang w:val="lt-LT"/>
        </w:rPr>
        <w:t>Pharmaceuticals</w:t>
      </w:r>
      <w:proofErr w:type="spellEnd"/>
      <w:r w:rsidRPr="00AC49A7">
        <w:rPr>
          <w:rFonts w:eastAsia="Calibri"/>
          <w:snapToGrid/>
          <w:szCs w:val="22"/>
          <w:lang w:val="lt-LT"/>
        </w:rPr>
        <w:t xml:space="preserve"> PLC</w:t>
      </w:r>
    </w:p>
    <w:p w:rsidR="002E239A" w:rsidRPr="00AC49A7" w:rsidRDefault="002E239A" w:rsidP="002E239A">
      <w:pPr>
        <w:tabs>
          <w:tab w:val="clear" w:pos="567"/>
        </w:tabs>
        <w:spacing w:line="240" w:lineRule="auto"/>
        <w:rPr>
          <w:rFonts w:eastAsia="Calibri"/>
          <w:snapToGrid/>
          <w:szCs w:val="22"/>
          <w:lang w:val="lt-LT"/>
        </w:rPr>
      </w:pPr>
      <w:proofErr w:type="spellStart"/>
      <w:r w:rsidRPr="00AC49A7">
        <w:rPr>
          <w:rFonts w:eastAsia="Calibri"/>
          <w:snapToGrid/>
          <w:szCs w:val="22"/>
          <w:lang w:val="lt-LT"/>
        </w:rPr>
        <w:t>Keresztúri</w:t>
      </w:r>
      <w:proofErr w:type="spellEnd"/>
      <w:r w:rsidRPr="00AC49A7">
        <w:rPr>
          <w:rFonts w:eastAsia="Calibri"/>
          <w:snapToGrid/>
          <w:szCs w:val="22"/>
          <w:lang w:val="lt-LT"/>
        </w:rPr>
        <w:t xml:space="preserve"> </w:t>
      </w:r>
      <w:proofErr w:type="spellStart"/>
      <w:r w:rsidRPr="00AC49A7">
        <w:rPr>
          <w:rFonts w:eastAsia="Calibri"/>
          <w:snapToGrid/>
          <w:szCs w:val="22"/>
          <w:lang w:val="lt-LT"/>
        </w:rPr>
        <w:t>út</w:t>
      </w:r>
      <w:proofErr w:type="spellEnd"/>
      <w:r w:rsidRPr="00AC49A7">
        <w:rPr>
          <w:rFonts w:eastAsia="Calibri"/>
          <w:snapToGrid/>
          <w:szCs w:val="22"/>
          <w:lang w:val="lt-LT"/>
        </w:rPr>
        <w:t xml:space="preserve"> 30-38.</w:t>
      </w: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snapToGrid/>
          <w:szCs w:val="22"/>
          <w:lang w:val="lt-LT"/>
        </w:rPr>
        <w:t xml:space="preserve">1106 </w:t>
      </w:r>
      <w:proofErr w:type="spellStart"/>
      <w:r w:rsidRPr="00AC49A7">
        <w:rPr>
          <w:rFonts w:eastAsia="Calibri"/>
          <w:snapToGrid/>
          <w:szCs w:val="22"/>
          <w:lang w:val="lt-LT"/>
        </w:rPr>
        <w:t>Budapest</w:t>
      </w:r>
      <w:proofErr w:type="spellEnd"/>
    </w:p>
    <w:p w:rsidR="002E239A" w:rsidRPr="00AC49A7" w:rsidRDefault="002E239A" w:rsidP="002E239A">
      <w:pPr>
        <w:tabs>
          <w:tab w:val="clear" w:pos="567"/>
        </w:tabs>
        <w:spacing w:line="240" w:lineRule="auto"/>
        <w:rPr>
          <w:rFonts w:eastAsia="Calibri"/>
          <w:snapToGrid/>
          <w:szCs w:val="22"/>
          <w:lang w:val="lt-LT"/>
        </w:rPr>
      </w:pPr>
      <w:r w:rsidRPr="00AC49A7">
        <w:rPr>
          <w:rFonts w:eastAsia="Calibri"/>
          <w:snapToGrid/>
          <w:szCs w:val="22"/>
          <w:lang w:val="lt-LT"/>
        </w:rPr>
        <w:t>Vengrija</w:t>
      </w:r>
    </w:p>
    <w:p w:rsidR="002E239A" w:rsidRPr="00AC49A7" w:rsidRDefault="002E239A" w:rsidP="002E239A">
      <w:pPr>
        <w:tabs>
          <w:tab w:val="clear" w:pos="567"/>
        </w:tabs>
        <w:spacing w:line="240" w:lineRule="auto"/>
        <w:rPr>
          <w:rFonts w:eastAsia="Calibri"/>
          <w:b/>
          <w:snapToGrid/>
          <w:szCs w:val="22"/>
          <w:lang w:val="lt-LT" w:eastAsia="lt-LT"/>
        </w:rPr>
      </w:pPr>
    </w:p>
    <w:p w:rsidR="002E239A" w:rsidRPr="00AC49A7" w:rsidRDefault="002E239A" w:rsidP="002E239A">
      <w:pPr>
        <w:tabs>
          <w:tab w:val="clear" w:pos="567"/>
        </w:tabs>
        <w:spacing w:line="240" w:lineRule="auto"/>
        <w:rPr>
          <w:rFonts w:eastAsia="Calibri"/>
          <w:i/>
          <w:snapToGrid/>
          <w:szCs w:val="22"/>
          <w:lang w:val="lt-LT" w:eastAsia="lt-LT"/>
        </w:rPr>
      </w:pPr>
      <w:r w:rsidRPr="00AC49A7">
        <w:rPr>
          <w:rFonts w:eastAsia="Calibri"/>
          <w:i/>
          <w:snapToGrid/>
          <w:szCs w:val="22"/>
          <w:lang w:val="lt-LT" w:eastAsia="lt-LT"/>
        </w:rPr>
        <w:t>Gamintojas</w:t>
      </w:r>
    </w:p>
    <w:p w:rsidR="002E239A" w:rsidRPr="00AC49A7" w:rsidRDefault="002E239A" w:rsidP="002E239A">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t>Egis</w:t>
      </w:r>
      <w:proofErr w:type="spellEnd"/>
      <w:r w:rsidRPr="00AC49A7">
        <w:rPr>
          <w:rFonts w:eastAsia="Calibri"/>
          <w:snapToGrid/>
          <w:szCs w:val="22"/>
          <w:lang w:val="lt-LT" w:eastAsia="lt-LT"/>
        </w:rPr>
        <w:t xml:space="preserve"> </w:t>
      </w:r>
      <w:proofErr w:type="spellStart"/>
      <w:r w:rsidRPr="00AC49A7">
        <w:rPr>
          <w:rFonts w:eastAsia="Calibri"/>
          <w:snapToGrid/>
          <w:szCs w:val="22"/>
          <w:lang w:val="lt-LT" w:eastAsia="lt-LT"/>
        </w:rPr>
        <w:t>Pharmaceuticals</w:t>
      </w:r>
      <w:proofErr w:type="spellEnd"/>
      <w:r w:rsidRPr="00AC49A7">
        <w:rPr>
          <w:rFonts w:eastAsia="Calibri"/>
          <w:snapToGrid/>
          <w:szCs w:val="22"/>
          <w:lang w:val="lt-LT" w:eastAsia="lt-LT"/>
        </w:rPr>
        <w:t xml:space="preserve"> PLC</w:t>
      </w:r>
    </w:p>
    <w:p w:rsidR="002E239A" w:rsidRPr="00AC49A7" w:rsidRDefault="002E239A" w:rsidP="002E239A">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t>Mátyás</w:t>
      </w:r>
      <w:proofErr w:type="spellEnd"/>
      <w:r w:rsidRPr="00AC49A7">
        <w:rPr>
          <w:rFonts w:eastAsia="Calibri"/>
          <w:snapToGrid/>
          <w:szCs w:val="22"/>
          <w:lang w:val="lt-LT" w:eastAsia="lt-LT"/>
        </w:rPr>
        <w:t xml:space="preserve"> </w:t>
      </w:r>
      <w:proofErr w:type="spellStart"/>
      <w:r w:rsidRPr="00AC49A7">
        <w:rPr>
          <w:rFonts w:eastAsia="Calibri"/>
          <w:snapToGrid/>
          <w:szCs w:val="22"/>
          <w:lang w:val="lt-LT" w:eastAsia="lt-LT"/>
        </w:rPr>
        <w:t>király</w:t>
      </w:r>
      <w:proofErr w:type="spellEnd"/>
      <w:r w:rsidRPr="00AC49A7">
        <w:rPr>
          <w:rFonts w:eastAsia="Calibri"/>
          <w:snapToGrid/>
          <w:szCs w:val="22"/>
          <w:lang w:val="lt-LT" w:eastAsia="lt-LT"/>
        </w:rPr>
        <w:t xml:space="preserve"> u. 65.</w:t>
      </w:r>
    </w:p>
    <w:p w:rsidR="002E239A" w:rsidRPr="00AC49A7" w:rsidRDefault="002E239A" w:rsidP="002E239A">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9900 </w:t>
      </w:r>
      <w:proofErr w:type="spellStart"/>
      <w:r w:rsidRPr="00AC49A7">
        <w:rPr>
          <w:rFonts w:eastAsia="Calibri"/>
          <w:snapToGrid/>
          <w:szCs w:val="22"/>
          <w:lang w:val="lt-LT" w:eastAsia="lt-LT"/>
        </w:rPr>
        <w:t>Körmend</w:t>
      </w:r>
      <w:proofErr w:type="spellEnd"/>
    </w:p>
    <w:p w:rsidR="002E239A" w:rsidRPr="00AC49A7" w:rsidRDefault="002E239A" w:rsidP="002E239A">
      <w:pPr>
        <w:tabs>
          <w:tab w:val="clear" w:pos="567"/>
        </w:tabs>
        <w:spacing w:line="240" w:lineRule="auto"/>
        <w:rPr>
          <w:rFonts w:eastAsia="Calibri"/>
          <w:snapToGrid/>
          <w:szCs w:val="22"/>
          <w:lang w:val="lt-LT" w:eastAsia="lt-LT"/>
        </w:rPr>
      </w:pPr>
      <w:r w:rsidRPr="00AC49A7">
        <w:rPr>
          <w:rFonts w:eastAsia="Calibri"/>
          <w:snapToGrid/>
          <w:szCs w:val="22"/>
          <w:lang w:val="lt-LT" w:eastAsia="lt-LT"/>
        </w:rPr>
        <w:t>Vengrija</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napToGrid/>
          <w:szCs w:val="22"/>
          <w:lang w:val="lt-LT"/>
        </w:rPr>
      </w:pPr>
      <w:r w:rsidRPr="00AC49A7">
        <w:rPr>
          <w:rFonts w:eastAsia="Calibri"/>
          <w:snapToGrid/>
          <w:szCs w:val="22"/>
          <w:lang w:val="lt-LT"/>
        </w:rPr>
        <w:t xml:space="preserve">Jeigu apie šį vaistą norite sužinoti daugiau, kreipkitės į vietinį </w:t>
      </w:r>
      <w:r w:rsidRPr="00AC49A7">
        <w:rPr>
          <w:rFonts w:eastAsia="Calibri"/>
          <w:noProof/>
          <w:snapToGrid/>
          <w:szCs w:val="24"/>
          <w:lang w:val="lt-LT"/>
        </w:rPr>
        <w:t>registruotojo</w:t>
      </w:r>
      <w:r w:rsidRPr="00AC49A7">
        <w:rPr>
          <w:rFonts w:eastAsia="Calibri"/>
          <w:snapToGrid/>
          <w:szCs w:val="22"/>
          <w:lang w:val="lt-LT"/>
        </w:rPr>
        <w:t xml:space="preserve"> atstovą.</w:t>
      </w:r>
    </w:p>
    <w:p w:rsidR="002E239A" w:rsidRPr="00AC49A7" w:rsidRDefault="002E239A" w:rsidP="002E239A">
      <w:pPr>
        <w:tabs>
          <w:tab w:val="clear" w:pos="567"/>
        </w:tabs>
        <w:spacing w:line="240" w:lineRule="auto"/>
        <w:rPr>
          <w:rFonts w:eastAsia="Calibri"/>
          <w:snapToGrid/>
          <w:szCs w:val="22"/>
          <w:lang w:val="lt-LT"/>
        </w:rPr>
      </w:pPr>
    </w:p>
    <w:tbl>
      <w:tblPr>
        <w:tblW w:w="4678" w:type="dxa"/>
        <w:tblInd w:w="-34" w:type="dxa"/>
        <w:tblLayout w:type="fixed"/>
        <w:tblLook w:val="0000" w:firstRow="0" w:lastRow="0" w:firstColumn="0" w:lastColumn="0" w:noHBand="0" w:noVBand="0"/>
      </w:tblPr>
      <w:tblGrid>
        <w:gridCol w:w="4678"/>
      </w:tblGrid>
      <w:tr w:rsidR="002E239A" w:rsidRPr="00AC49A7" w:rsidTr="00173FD0">
        <w:tc>
          <w:tcPr>
            <w:tcW w:w="4678" w:type="dxa"/>
          </w:tcPr>
          <w:p w:rsidR="002E239A" w:rsidRPr="00AC49A7" w:rsidRDefault="002E239A" w:rsidP="00173FD0">
            <w:pPr>
              <w:tabs>
                <w:tab w:val="clear" w:pos="567"/>
              </w:tabs>
              <w:spacing w:line="240" w:lineRule="auto"/>
              <w:rPr>
                <w:rFonts w:eastAsia="Calibri"/>
                <w:snapToGrid/>
                <w:szCs w:val="22"/>
                <w:lang w:val="lt-LT"/>
              </w:rPr>
            </w:pPr>
            <w:proofErr w:type="spellStart"/>
            <w:r w:rsidRPr="00AC49A7">
              <w:rPr>
                <w:rFonts w:eastAsia="Calibri"/>
                <w:snapToGrid/>
                <w:szCs w:val="22"/>
                <w:lang w:val="lt-LT"/>
              </w:rPr>
              <w:t>Egis</w:t>
            </w:r>
            <w:proofErr w:type="spellEnd"/>
            <w:r w:rsidRPr="00AC49A7">
              <w:rPr>
                <w:rFonts w:eastAsia="Calibri"/>
                <w:snapToGrid/>
                <w:szCs w:val="22"/>
                <w:lang w:val="lt-LT"/>
              </w:rPr>
              <w:t xml:space="preserve"> </w:t>
            </w:r>
            <w:proofErr w:type="spellStart"/>
            <w:r w:rsidRPr="00AC49A7">
              <w:rPr>
                <w:rFonts w:eastAsia="Calibri"/>
                <w:snapToGrid/>
                <w:szCs w:val="22"/>
                <w:lang w:val="lt-LT"/>
              </w:rPr>
              <w:t>Pharmaceuticals</w:t>
            </w:r>
            <w:proofErr w:type="spellEnd"/>
            <w:r w:rsidRPr="00AC49A7">
              <w:rPr>
                <w:rFonts w:eastAsia="Calibri"/>
                <w:snapToGrid/>
                <w:szCs w:val="22"/>
                <w:lang w:val="lt-LT"/>
              </w:rPr>
              <w:t xml:space="preserve"> PLC atstovybė</w:t>
            </w:r>
          </w:p>
          <w:p w:rsidR="002E239A" w:rsidRPr="00AC49A7" w:rsidRDefault="002E239A" w:rsidP="00173FD0">
            <w:pPr>
              <w:tabs>
                <w:tab w:val="clear" w:pos="567"/>
              </w:tabs>
              <w:spacing w:line="240" w:lineRule="auto"/>
              <w:rPr>
                <w:rFonts w:eastAsia="Calibri"/>
                <w:snapToGrid/>
                <w:sz w:val="24"/>
                <w:szCs w:val="22"/>
                <w:lang w:val="lt-LT"/>
              </w:rPr>
            </w:pPr>
            <w:r w:rsidRPr="00AC49A7">
              <w:rPr>
                <w:rFonts w:eastAsia="Calibri"/>
                <w:snapToGrid/>
                <w:szCs w:val="22"/>
                <w:lang w:val="lt-LT"/>
              </w:rPr>
              <w:t>Tel. 370 5 231 4658</w:t>
            </w:r>
          </w:p>
          <w:p w:rsidR="002E239A" w:rsidRPr="00BE1D8D" w:rsidRDefault="002E239A" w:rsidP="00173FD0">
            <w:pPr>
              <w:tabs>
                <w:tab w:val="clear" w:pos="567"/>
              </w:tabs>
              <w:spacing w:line="240" w:lineRule="auto"/>
              <w:rPr>
                <w:rFonts w:eastAsia="Calibri"/>
                <w:sz w:val="24"/>
                <w:lang w:val="lt-LT"/>
              </w:rPr>
            </w:pPr>
          </w:p>
        </w:tc>
      </w:tr>
    </w:tbl>
    <w:p w:rsidR="002E239A" w:rsidRPr="00AC49A7" w:rsidRDefault="002E239A" w:rsidP="002E239A">
      <w:pPr>
        <w:tabs>
          <w:tab w:val="clear" w:pos="567"/>
        </w:tabs>
        <w:spacing w:line="240" w:lineRule="auto"/>
        <w:rPr>
          <w:rFonts w:eastAsia="Calibri"/>
          <w:b/>
          <w:bCs/>
          <w:snapToGrid/>
          <w:szCs w:val="22"/>
          <w:lang w:val="lt-LT"/>
        </w:rPr>
      </w:pPr>
      <w:r w:rsidRPr="00BE1D8D">
        <w:rPr>
          <w:b/>
          <w:lang w:val="lt-LT"/>
        </w:rPr>
        <w:t xml:space="preserve">Šis vaistas </w:t>
      </w:r>
      <w:r w:rsidRPr="001E431A">
        <w:rPr>
          <w:b/>
          <w:lang w:val="lt-LT"/>
        </w:rPr>
        <w:t>Europos ekonominės erdvės</w:t>
      </w:r>
      <w:r w:rsidRPr="00BE1D8D">
        <w:rPr>
          <w:b/>
          <w:lang w:val="lt-LT"/>
        </w:rPr>
        <w:t xml:space="preserve"> valstybėse narėse registruotas tokiais pavadinimais</w:t>
      </w:r>
      <w:r w:rsidRPr="00AC49A7">
        <w:rPr>
          <w:rFonts w:eastAsia="Calibri"/>
          <w:b/>
          <w:bCs/>
          <w:snapToGrid/>
          <w:szCs w:val="22"/>
          <w:lang w:val="lt-LT"/>
        </w:rPr>
        <w:t>:</w:t>
      </w:r>
    </w:p>
    <w:p w:rsidR="002E239A" w:rsidRPr="00AC49A7" w:rsidRDefault="002E239A" w:rsidP="002E239A">
      <w:pPr>
        <w:tabs>
          <w:tab w:val="clear" w:pos="567"/>
        </w:tabs>
        <w:spacing w:line="240" w:lineRule="auto"/>
        <w:rPr>
          <w:rFonts w:eastAsia="Calibri"/>
          <w:b/>
          <w:bCs/>
          <w:snapToGrid/>
          <w:szCs w:val="22"/>
          <w:lang w:val="lt-LT"/>
        </w:rPr>
      </w:pPr>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Vengrija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r w:rsidRPr="00AC49A7">
        <w:rPr>
          <w:rFonts w:eastAsia="Calibri"/>
          <w:bCs/>
          <w:snapToGrid/>
          <w:szCs w:val="22"/>
          <w:lang w:val="lt-LT"/>
        </w:rPr>
        <w:t xml:space="preserve"> 150 mg, 200 mg </w:t>
      </w:r>
      <w:proofErr w:type="spellStart"/>
      <w:r w:rsidRPr="00AC49A7">
        <w:rPr>
          <w:rFonts w:eastAsia="Calibri"/>
          <w:bCs/>
          <w:snapToGrid/>
          <w:szCs w:val="22"/>
          <w:lang w:val="lt-LT"/>
        </w:rPr>
        <w:t>tabletta</w:t>
      </w:r>
      <w:proofErr w:type="spellEnd"/>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Bulgarija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r w:rsidRPr="00AC49A7">
        <w:rPr>
          <w:rFonts w:eastAsia="Calibri"/>
          <w:bCs/>
          <w:snapToGrid/>
          <w:szCs w:val="22"/>
          <w:lang w:val="lt-LT"/>
        </w:rPr>
        <w:t xml:space="preserve"> 150 mg, 200 mg </w:t>
      </w:r>
      <w:proofErr w:type="spellStart"/>
      <w:r w:rsidRPr="00AC49A7">
        <w:rPr>
          <w:rFonts w:eastAsia="Calibri"/>
          <w:bCs/>
          <w:snapToGrid/>
          <w:szCs w:val="22"/>
          <w:lang w:val="lt-LT"/>
        </w:rPr>
        <w:t>tablets</w:t>
      </w:r>
      <w:proofErr w:type="spellEnd"/>
    </w:p>
    <w:p w:rsidR="002E239A" w:rsidRPr="00AC49A7" w:rsidRDefault="002E239A" w:rsidP="002E239A">
      <w:pPr>
        <w:tabs>
          <w:tab w:val="clear" w:pos="567"/>
        </w:tabs>
        <w:spacing w:line="240" w:lineRule="auto"/>
        <w:ind w:firstLine="1296"/>
        <w:rPr>
          <w:rFonts w:eastAsia="Calibri"/>
          <w:bCs/>
          <w:snapToGrid/>
          <w:szCs w:val="22"/>
          <w:lang w:val="lt-LT"/>
        </w:rPr>
      </w:pPr>
      <w:proofErr w:type="spellStart"/>
      <w:r w:rsidRPr="00AC49A7">
        <w:rPr>
          <w:rFonts w:eastAsia="Calibri"/>
          <w:bCs/>
          <w:snapToGrid/>
          <w:szCs w:val="22"/>
          <w:lang w:val="lt-LT"/>
        </w:rPr>
        <w:t>Милурит</w:t>
      </w:r>
      <w:proofErr w:type="spellEnd"/>
      <w:r w:rsidRPr="00AC49A7">
        <w:rPr>
          <w:rFonts w:eastAsia="Calibri"/>
          <w:bCs/>
          <w:snapToGrid/>
          <w:szCs w:val="22"/>
          <w:lang w:val="lt-LT"/>
        </w:rPr>
        <w:t xml:space="preserve"> 150 mg, 200 mg </w:t>
      </w:r>
      <w:proofErr w:type="spellStart"/>
      <w:r w:rsidRPr="00AC49A7">
        <w:rPr>
          <w:rFonts w:eastAsia="Calibri"/>
          <w:bCs/>
          <w:snapToGrid/>
          <w:szCs w:val="22"/>
          <w:lang w:val="lt-LT"/>
        </w:rPr>
        <w:t>таблетки</w:t>
      </w:r>
      <w:proofErr w:type="spellEnd"/>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Čekija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Latvija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r w:rsidRPr="00AC49A7">
        <w:rPr>
          <w:rFonts w:eastAsia="Calibri"/>
          <w:bCs/>
          <w:snapToGrid/>
          <w:szCs w:val="22"/>
          <w:lang w:val="lt-LT"/>
        </w:rPr>
        <w:t xml:space="preserve"> 150 mg, 200 mg tabletes</w:t>
      </w:r>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Lietuva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r w:rsidRPr="00AC49A7">
        <w:rPr>
          <w:rFonts w:eastAsia="Calibri"/>
          <w:bCs/>
          <w:snapToGrid/>
          <w:szCs w:val="22"/>
          <w:lang w:val="lt-LT"/>
        </w:rPr>
        <w:t xml:space="preserve"> 150 mg, 200 mg tabletės</w:t>
      </w:r>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Rumunija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r w:rsidRPr="00AC49A7">
        <w:rPr>
          <w:rFonts w:eastAsia="Calibri"/>
          <w:bCs/>
          <w:snapToGrid/>
          <w:szCs w:val="22"/>
          <w:lang w:val="lt-LT"/>
        </w:rPr>
        <w:t xml:space="preserve"> 150 mg, 200 mg </w:t>
      </w:r>
      <w:proofErr w:type="spellStart"/>
      <w:r w:rsidRPr="00AC49A7">
        <w:rPr>
          <w:rFonts w:eastAsia="Calibri"/>
          <w:bCs/>
          <w:snapToGrid/>
          <w:szCs w:val="22"/>
          <w:lang w:val="lt-LT"/>
        </w:rPr>
        <w:t>comprimate</w:t>
      </w:r>
      <w:proofErr w:type="spellEnd"/>
    </w:p>
    <w:p w:rsidR="002E239A" w:rsidRPr="00AC49A7" w:rsidRDefault="002E239A" w:rsidP="002E239A">
      <w:pPr>
        <w:tabs>
          <w:tab w:val="clear" w:pos="567"/>
        </w:tabs>
        <w:spacing w:line="240" w:lineRule="auto"/>
        <w:rPr>
          <w:rFonts w:eastAsia="Calibri"/>
          <w:bCs/>
          <w:snapToGrid/>
          <w:szCs w:val="22"/>
          <w:lang w:val="lt-LT"/>
        </w:rPr>
      </w:pPr>
      <w:r w:rsidRPr="00AC49A7">
        <w:rPr>
          <w:rFonts w:eastAsia="Calibri"/>
          <w:bCs/>
          <w:snapToGrid/>
          <w:szCs w:val="22"/>
          <w:lang w:val="lt-LT"/>
        </w:rPr>
        <w:t>Slovakija</w:t>
      </w:r>
      <w:r w:rsidRPr="00AC49A7">
        <w:rPr>
          <w:rFonts w:eastAsia="Calibri"/>
          <w:bCs/>
          <w:snapToGrid/>
          <w:szCs w:val="22"/>
          <w:lang w:val="lt-LT"/>
        </w:rPr>
        <w:tab/>
      </w:r>
      <w:proofErr w:type="spellStart"/>
      <w:r w:rsidRPr="00AC49A7">
        <w:rPr>
          <w:rFonts w:eastAsia="Calibri"/>
          <w:bCs/>
          <w:snapToGrid/>
          <w:szCs w:val="22"/>
          <w:lang w:val="lt-LT"/>
        </w:rPr>
        <w:t>Milurit</w:t>
      </w:r>
      <w:proofErr w:type="spellEnd"/>
      <w:r w:rsidRPr="00AC49A7">
        <w:rPr>
          <w:rFonts w:eastAsia="Calibri"/>
          <w:bCs/>
          <w:snapToGrid/>
          <w:szCs w:val="22"/>
          <w:lang w:val="lt-LT"/>
        </w:rPr>
        <w:t xml:space="preserve"> 150 mg, 200 mg</w:t>
      </w:r>
    </w:p>
    <w:p w:rsidR="002E239A" w:rsidRPr="00AC49A7" w:rsidRDefault="002E239A" w:rsidP="002E239A">
      <w:pPr>
        <w:tabs>
          <w:tab w:val="clear" w:pos="567"/>
        </w:tabs>
        <w:spacing w:line="240" w:lineRule="auto"/>
        <w:rPr>
          <w:rFonts w:eastAsia="Calibri"/>
          <w:b/>
          <w:bCs/>
          <w:snapToGrid/>
          <w:szCs w:val="22"/>
          <w:lang w:val="lt-LT"/>
        </w:rPr>
      </w:pPr>
    </w:p>
    <w:p w:rsidR="002E239A" w:rsidRPr="00AC49A7" w:rsidRDefault="002E239A" w:rsidP="002E239A">
      <w:pPr>
        <w:tabs>
          <w:tab w:val="clear" w:pos="567"/>
        </w:tabs>
        <w:spacing w:line="240" w:lineRule="auto"/>
        <w:rPr>
          <w:rFonts w:eastAsia="Calibri"/>
          <w:b/>
          <w:bCs/>
          <w:snapToGrid/>
          <w:szCs w:val="22"/>
          <w:lang w:val="lt-LT"/>
        </w:rPr>
      </w:pPr>
    </w:p>
    <w:p w:rsidR="002E239A" w:rsidRPr="00AC49A7" w:rsidRDefault="002E239A" w:rsidP="002E239A">
      <w:pPr>
        <w:tabs>
          <w:tab w:val="clear" w:pos="567"/>
        </w:tabs>
        <w:spacing w:line="240" w:lineRule="auto"/>
        <w:rPr>
          <w:rFonts w:eastAsia="Calibri"/>
          <w:b/>
          <w:snapToGrid/>
          <w:szCs w:val="22"/>
          <w:lang w:val="lt-LT"/>
        </w:rPr>
      </w:pPr>
      <w:r w:rsidRPr="00AC49A7">
        <w:rPr>
          <w:rFonts w:eastAsia="Calibri"/>
          <w:b/>
          <w:bCs/>
          <w:snapToGrid/>
          <w:szCs w:val="22"/>
          <w:lang w:val="lt-LT"/>
        </w:rPr>
        <w:t>Šis pakuotės lapelis</w:t>
      </w:r>
      <w:r w:rsidRPr="00AC49A7">
        <w:rPr>
          <w:rFonts w:eastAsia="Calibri"/>
          <w:b/>
          <w:snapToGrid/>
          <w:szCs w:val="22"/>
          <w:lang w:val="lt-LT"/>
        </w:rPr>
        <w:t xml:space="preserve"> paskutinį kartą peržiūrėtas</w:t>
      </w:r>
      <w:r>
        <w:rPr>
          <w:rFonts w:eastAsia="Calibri"/>
          <w:b/>
          <w:snapToGrid/>
          <w:szCs w:val="22"/>
          <w:lang w:val="lt-LT"/>
        </w:rPr>
        <w:t xml:space="preserve"> 2025-01-16.</w:t>
      </w:r>
    </w:p>
    <w:p w:rsidR="002E239A" w:rsidRPr="00AC49A7" w:rsidRDefault="002E239A" w:rsidP="002E239A">
      <w:pPr>
        <w:tabs>
          <w:tab w:val="clear" w:pos="567"/>
        </w:tabs>
        <w:spacing w:line="240" w:lineRule="auto"/>
        <w:rPr>
          <w:rFonts w:eastAsia="Calibri"/>
          <w:snapToGrid/>
          <w:szCs w:val="22"/>
          <w:lang w:val="lt-LT"/>
        </w:rPr>
      </w:pPr>
    </w:p>
    <w:p w:rsidR="002E239A" w:rsidRPr="00AC49A7" w:rsidRDefault="002E239A" w:rsidP="002E239A">
      <w:pPr>
        <w:tabs>
          <w:tab w:val="clear" w:pos="567"/>
        </w:tabs>
        <w:spacing w:line="240" w:lineRule="auto"/>
        <w:rPr>
          <w:rFonts w:eastAsia="Calibri"/>
          <w:szCs w:val="22"/>
          <w:lang w:val="lt-LT"/>
        </w:rPr>
      </w:pPr>
      <w:r w:rsidRPr="00AC49A7">
        <w:rPr>
          <w:rFonts w:eastAsia="Calibri"/>
          <w:szCs w:val="22"/>
          <w:lang w:val="lt-LT"/>
        </w:rPr>
        <w:t xml:space="preserve">Išsami informacija apie šį </w:t>
      </w:r>
      <w:r w:rsidRPr="00AC49A7">
        <w:rPr>
          <w:rFonts w:eastAsia="Calibri"/>
          <w:szCs w:val="24"/>
          <w:lang w:val="lt-LT"/>
        </w:rPr>
        <w:t>vaistą</w:t>
      </w:r>
      <w:r w:rsidRPr="00AC49A7">
        <w:rPr>
          <w:rFonts w:eastAsia="Calibri"/>
          <w:szCs w:val="22"/>
          <w:lang w:val="lt-LT"/>
        </w:rPr>
        <w:t xml:space="preserve"> pateikiama Valstybinės vaistų kontrolės tarnybos prie Lietuvos Respublikos sveikatos apsaugos ministerijos tinklalapyje</w:t>
      </w:r>
      <w:r w:rsidRPr="00AC49A7">
        <w:rPr>
          <w:rFonts w:eastAsia="Calibri"/>
          <w:i/>
          <w:szCs w:val="24"/>
          <w:lang w:val="lt-LT"/>
        </w:rPr>
        <w:t xml:space="preserve"> </w:t>
      </w:r>
      <w:r w:rsidRPr="00B840EF">
        <w:rPr>
          <w:color w:val="0000EE"/>
          <w:szCs w:val="22"/>
          <w:u w:val="single"/>
          <w:lang w:val="lt-LT" w:eastAsia="lt-LT"/>
        </w:rPr>
        <w:t>https://vvkt.lrv.lt/lt</w:t>
      </w:r>
      <w:r w:rsidRPr="00AC49A7">
        <w:rPr>
          <w:rFonts w:eastAsia="Calibri"/>
          <w:szCs w:val="22"/>
          <w:lang w:val="lt-LT"/>
        </w:rPr>
        <w:t>.</w:t>
      </w:r>
    </w:p>
    <w:p w:rsidR="002E239A" w:rsidRPr="00AC49A7" w:rsidRDefault="002E239A" w:rsidP="002E239A">
      <w:pPr>
        <w:tabs>
          <w:tab w:val="clear" w:pos="567"/>
        </w:tabs>
        <w:spacing w:line="240" w:lineRule="auto"/>
        <w:rPr>
          <w:rFonts w:eastAsia="Calibri"/>
          <w:szCs w:val="22"/>
          <w:lang w:val="lt-LT"/>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23A12"/>
    <w:multiLevelType w:val="hybridMultilevel"/>
    <w:tmpl w:val="E8328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B443FE"/>
    <w:multiLevelType w:val="hybridMultilevel"/>
    <w:tmpl w:val="9F0E8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6C4D3E"/>
    <w:multiLevelType w:val="hybridMultilevel"/>
    <w:tmpl w:val="27203D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5238B"/>
    <w:multiLevelType w:val="hybridMultilevel"/>
    <w:tmpl w:val="79122228"/>
    <w:lvl w:ilvl="0" w:tplc="30766BF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601530"/>
    <w:multiLevelType w:val="hybridMultilevel"/>
    <w:tmpl w:val="F300E0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9A"/>
    <w:rsid w:val="00072F85"/>
    <w:rsid w:val="000A5E72"/>
    <w:rsid w:val="000A7B60"/>
    <w:rsid w:val="00181364"/>
    <w:rsid w:val="002945D9"/>
    <w:rsid w:val="002E239A"/>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EDF5A-F9E3-4E7A-991B-D7CF2C72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39A"/>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13588</Words>
  <Characters>7746</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21</vt:i4>
      </vt:variant>
    </vt:vector>
  </HeadingPairs>
  <TitlesOfParts>
    <vt:vector size="22" baseType="lpstr">
      <vt:lpstr/>
      <vt:lpstr>Pakuotės lapelis: informacija vartotojui</vt:lpstr>
      <vt:lpstr>    1.	Kas yra Milurit ir kam jis vartojamas</vt:lpstr>
      <vt:lpstr>    2.	Kas žinotina prieš vartojant Milurit</vt:lpstr>
      <vt:lpstr>    3.	Kaip vartoti Milurit</vt:lpstr>
      <vt:lpstr>        Jei paros dozė yra didesnė kaip 300 mg ir pasireiškia su virškinimo traktu susij</vt:lpstr>
      <vt:lpstr>        </vt:lpstr>
      <vt:lpstr>        Dozę visada individualiai nustato gydytojas.</vt:lpstr>
      <vt:lpstr>        </vt:lpstr>
      <vt:lpstr>        Suaugusieji</vt:lpstr>
      <vt:lpstr>        Vartojimas vaikams ir paaugliams (jaunesniems kaip 15 metų)</vt:lpstr>
      <vt:lpstr>        Vaikams Milurit skiriama retai, išskyrus vėžines būkles (ypač leukemiją) ir tam </vt:lpstr>
      <vt:lpstr>        Rekomenduojama paros dozė yra 10–20 mg/kg kūno svorio. Paros dozė negali būti di</vt:lpstr>
      <vt:lpstr>        </vt:lpstr>
      <vt:lpstr>        Senyvi pacientai</vt:lpstr>
      <vt:lpstr>        </vt:lpstr>
      <vt:lpstr>        Vartojimas sergant inkstų liga</vt:lpstr>
      <vt:lpstr>        Jei sergama inkstų liga, reikia mažinti dozę. Jeigu Jums yra sunkių inkstų sutri</vt:lpstr>
      <vt:lpstr>    4.	Galimas šalutinis poveikis</vt:lpstr>
      <vt:lpstr>    5.	Kaip laikyti Milurit</vt:lpstr>
      <vt:lpstr>    6.	Pakuotės turinys ir kita informacija</vt:lpstr>
      <vt:lpstr>        Talpyklės pobūdis ir jos turinys</vt:lpstr>
    </vt:vector>
  </TitlesOfParts>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2025-03-12T12:24:00Z</dcterms:created>
  <dcterms:modified xsi:type="dcterms:W3CDTF">2025-03-12T12:24:00Z</dcterms:modified>
</cp:coreProperties>
</file>